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ordWrap w:val="0"/>
        <w:adjustRightInd w:val="0"/>
        <w:snapToGrid w:val="0"/>
        <w:jc w:val="center"/>
        <w:rPr>
          <w:rFonts w:hint="eastAsia" w:eastAsia="宋体"/>
          <w:snapToGrid w:val="0"/>
          <w:kern w:val="0"/>
          <w:sz w:val="24"/>
          <w:lang w:eastAsia="zh-CN"/>
        </w:rPr>
      </w:pPr>
    </w:p>
    <w:p>
      <w:pPr>
        <w:pStyle w:val="23"/>
        <w:wordWrap w:val="0"/>
        <w:adjustRightInd w:val="0"/>
        <w:snapToGrid w:val="0"/>
        <w:spacing w:line="360" w:lineRule="auto"/>
        <w:jc w:val="center"/>
        <w:rPr>
          <w:rFonts w:hint="eastAsia" w:eastAsia="宋体"/>
          <w:b/>
          <w:snapToGrid w:val="0"/>
          <w:kern w:val="0"/>
          <w:sz w:val="48"/>
          <w:szCs w:val="48"/>
        </w:rPr>
      </w:pPr>
      <w:r>
        <w:rPr>
          <w:rFonts w:hint="eastAsia" w:eastAsia="宋体"/>
          <w:b/>
          <w:snapToGrid w:val="0"/>
          <w:kern w:val="0"/>
          <w:sz w:val="44"/>
          <w:szCs w:val="44"/>
          <w:lang w:eastAsia="zh-CN"/>
        </w:rPr>
        <w:t>乐昌市沙坪镇农村生活污水治理项目（新建）施工招标</w:t>
      </w:r>
    </w:p>
    <w:p>
      <w:pPr>
        <w:pStyle w:val="23"/>
        <w:wordWrap w:val="0"/>
        <w:adjustRightInd w:val="0"/>
        <w:snapToGrid w:val="0"/>
        <w:spacing w:line="360" w:lineRule="auto"/>
        <w:jc w:val="center"/>
        <w:rPr>
          <w:rFonts w:hint="eastAsia" w:eastAsia="宋体"/>
          <w:b/>
          <w:snapToGrid w:val="0"/>
          <w:kern w:val="0"/>
          <w:sz w:val="48"/>
          <w:szCs w:val="48"/>
          <w:lang w:eastAsia="zh-CN"/>
        </w:rPr>
      </w:pPr>
    </w:p>
    <w:p>
      <w:pPr>
        <w:pStyle w:val="23"/>
        <w:wordWrap w:val="0"/>
        <w:adjustRightInd w:val="0"/>
        <w:snapToGrid w:val="0"/>
        <w:spacing w:line="360" w:lineRule="auto"/>
        <w:rPr>
          <w:rFonts w:hint="eastAsia" w:eastAsia="宋体"/>
          <w:snapToGrid w:val="0"/>
          <w:kern w:val="0"/>
          <w:sz w:val="36"/>
          <w:u w:val="single"/>
          <w:lang w:val="en-US" w:eastAsia="zh-CN"/>
        </w:rPr>
      </w:pPr>
    </w:p>
    <w:p>
      <w:pPr>
        <w:pStyle w:val="23"/>
        <w:wordWrap w:val="0"/>
        <w:adjustRightInd w:val="0"/>
        <w:snapToGrid w:val="0"/>
        <w:spacing w:line="360" w:lineRule="auto"/>
        <w:jc w:val="center"/>
        <w:rPr>
          <w:rFonts w:hint="eastAsia"/>
          <w:b/>
          <w:bCs/>
          <w:snapToGrid w:val="0"/>
          <w:kern w:val="0"/>
          <w:sz w:val="48"/>
          <w:szCs w:val="48"/>
        </w:rPr>
      </w:pPr>
      <w:r>
        <w:rPr>
          <w:rFonts w:hint="eastAsia" w:eastAsia="宋体"/>
          <w:b/>
          <w:bCs/>
          <w:snapToGrid w:val="0"/>
          <w:kern w:val="0"/>
          <w:sz w:val="72"/>
          <w:szCs w:val="72"/>
          <w14:shadow w14:blurRad="50800" w14:dist="38100" w14:dir="2700000" w14:sx="100000" w14:sy="100000" w14:kx="0" w14:ky="0" w14:algn="tl">
            <w14:srgbClr w14:val="000000">
              <w14:alpha w14:val="60000"/>
            </w14:srgbClr>
          </w14:shadow>
        </w:rPr>
        <w:t>招标文件</w:t>
      </w:r>
    </w:p>
    <w:p>
      <w:pPr>
        <w:wordWrap w:val="0"/>
        <w:adjustRightInd w:val="0"/>
        <w:snapToGrid w:val="0"/>
        <w:jc w:val="center"/>
        <w:rPr>
          <w:rFonts w:ascii="Times New Roman"/>
          <w:b/>
          <w:bCs/>
          <w:snapToGrid w:val="0"/>
          <w:kern w:val="0"/>
          <w:sz w:val="48"/>
          <w:szCs w:val="48"/>
        </w:rPr>
      </w:pPr>
    </w:p>
    <w:p>
      <w:pPr>
        <w:pStyle w:val="7"/>
      </w:pPr>
    </w:p>
    <w:tbl>
      <w:tblPr>
        <w:tblStyle w:val="18"/>
        <w:tblW w:w="0" w:type="auto"/>
        <w:tblInd w:w="-100" w:type="dxa"/>
        <w:tblLayout w:type="fixed"/>
        <w:tblCellMar>
          <w:top w:w="0" w:type="dxa"/>
          <w:left w:w="0" w:type="dxa"/>
          <w:bottom w:w="0" w:type="dxa"/>
          <w:right w:w="0" w:type="dxa"/>
        </w:tblCellMar>
      </w:tblPr>
      <w:tblGrid>
        <w:gridCol w:w="4708"/>
        <w:gridCol w:w="5020"/>
      </w:tblGrid>
      <w:tr>
        <w:tblPrEx>
          <w:tblCellMar>
            <w:top w:w="0" w:type="dxa"/>
            <w:left w:w="0" w:type="dxa"/>
            <w:bottom w:w="0" w:type="dxa"/>
            <w:right w:w="0" w:type="dxa"/>
          </w:tblCellMar>
        </w:tblPrEx>
        <w:trPr>
          <w:trHeight w:val="1067" w:hRule="atLeast"/>
        </w:trPr>
        <w:tc>
          <w:tcPr>
            <w:tcW w:w="4708" w:type="dxa"/>
            <w:noWrap w:val="0"/>
            <w:vAlign w:val="center"/>
          </w:tcPr>
          <w:p>
            <w:pPr>
              <w:pStyle w:val="24"/>
              <w:wordWrap w:val="0"/>
              <w:adjustRightInd w:val="0"/>
              <w:snapToGrid w:val="0"/>
              <w:spacing w:line="240" w:lineRule="auto"/>
              <w:jc w:val="distribute"/>
              <w:rPr>
                <w:rFonts w:hint="eastAsia" w:ascii="Times New Roman"/>
                <w:snapToGrid w:val="0"/>
                <w:kern w:val="0"/>
                <w:sz w:val="28"/>
              </w:rPr>
            </w:pPr>
            <w:r>
              <w:rPr>
                <w:rFonts w:hint="eastAsia" w:ascii="Times New Roman"/>
                <w:snapToGrid w:val="0"/>
                <w:kern w:val="0"/>
                <w:sz w:val="28"/>
              </w:rPr>
              <w:t xml:space="preserve"> 招</w:t>
            </w:r>
            <w:r>
              <w:rPr>
                <w:rFonts w:ascii="Times New Roman"/>
                <w:snapToGrid w:val="0"/>
                <w:kern w:val="0"/>
                <w:sz w:val="28"/>
              </w:rPr>
              <w:t xml:space="preserve"> </w:t>
            </w:r>
            <w:r>
              <w:rPr>
                <w:rFonts w:hint="eastAsia" w:ascii="Times New Roman"/>
                <w:snapToGrid w:val="0"/>
                <w:kern w:val="0"/>
                <w:sz w:val="28"/>
              </w:rPr>
              <w:t xml:space="preserve">    标</w:t>
            </w:r>
            <w:r>
              <w:rPr>
                <w:rFonts w:ascii="Times New Roman"/>
                <w:snapToGrid w:val="0"/>
                <w:kern w:val="0"/>
                <w:sz w:val="28"/>
              </w:rPr>
              <w:t xml:space="preserve"> </w:t>
            </w:r>
            <w:r>
              <w:rPr>
                <w:rFonts w:hint="eastAsia" w:ascii="Times New Roman"/>
                <w:snapToGrid w:val="0"/>
                <w:kern w:val="0"/>
                <w:sz w:val="28"/>
              </w:rPr>
              <w:t xml:space="preserve">    人（盖单位章）：</w:t>
            </w:r>
          </w:p>
        </w:tc>
        <w:tc>
          <w:tcPr>
            <w:tcW w:w="5020" w:type="dxa"/>
            <w:noWrap w:val="0"/>
            <w:vAlign w:val="center"/>
          </w:tcPr>
          <w:p>
            <w:pPr>
              <w:pStyle w:val="24"/>
              <w:wordWrap w:val="0"/>
              <w:adjustRightInd w:val="0"/>
              <w:snapToGrid w:val="0"/>
              <w:spacing w:line="240" w:lineRule="auto"/>
              <w:rPr>
                <w:rFonts w:hint="eastAsia" w:ascii="Times New Roman" w:eastAsia="宋体"/>
                <w:snapToGrid w:val="0"/>
                <w:kern w:val="0"/>
                <w:sz w:val="28"/>
                <w:szCs w:val="28"/>
                <w:lang w:eastAsia="zh-CN"/>
              </w:rPr>
            </w:pPr>
            <w:r>
              <w:rPr>
                <w:rFonts w:hint="eastAsia" w:ascii="Times New Roman"/>
                <w:snapToGrid w:val="0"/>
                <w:kern w:val="0"/>
                <w:sz w:val="28"/>
                <w:szCs w:val="28"/>
                <w:lang w:eastAsia="zh-CN"/>
              </w:rPr>
              <w:t>乐昌市沙坪镇人民政府</w:t>
            </w:r>
          </w:p>
        </w:tc>
      </w:tr>
      <w:tr>
        <w:tblPrEx>
          <w:tblCellMar>
            <w:top w:w="0" w:type="dxa"/>
            <w:left w:w="0" w:type="dxa"/>
            <w:bottom w:w="0" w:type="dxa"/>
            <w:right w:w="0" w:type="dxa"/>
          </w:tblCellMar>
        </w:tblPrEx>
        <w:trPr>
          <w:trHeight w:val="1038" w:hRule="atLeast"/>
        </w:trPr>
        <w:tc>
          <w:tcPr>
            <w:tcW w:w="4708" w:type="dxa"/>
            <w:noWrap w:val="0"/>
            <w:vAlign w:val="center"/>
          </w:tcPr>
          <w:p>
            <w:pPr>
              <w:pStyle w:val="24"/>
              <w:wordWrap w:val="0"/>
              <w:adjustRightInd w:val="0"/>
              <w:snapToGrid w:val="0"/>
              <w:spacing w:line="240" w:lineRule="auto"/>
              <w:jc w:val="distribute"/>
              <w:rPr>
                <w:rFonts w:hint="eastAsia" w:ascii="Times New Roman"/>
                <w:snapToGrid w:val="0"/>
                <w:kern w:val="0"/>
                <w:sz w:val="28"/>
              </w:rPr>
            </w:pPr>
            <w:r>
              <w:rPr>
                <w:rFonts w:hint="eastAsia" w:ascii="Times New Roman"/>
                <w:snapToGrid w:val="0"/>
                <w:kern w:val="0"/>
                <w:sz w:val="28"/>
              </w:rPr>
              <w:t xml:space="preserve"> 招标人工作领导小组负责人（签字）：</w:t>
            </w:r>
          </w:p>
        </w:tc>
        <w:tc>
          <w:tcPr>
            <w:tcW w:w="5020" w:type="dxa"/>
            <w:noWrap w:val="0"/>
            <w:vAlign w:val="center"/>
          </w:tcPr>
          <w:p>
            <w:pPr>
              <w:pStyle w:val="24"/>
              <w:wordWrap w:val="0"/>
              <w:adjustRightInd w:val="0"/>
              <w:snapToGrid w:val="0"/>
              <w:spacing w:line="240" w:lineRule="auto"/>
              <w:rPr>
                <w:rFonts w:hint="eastAsia" w:ascii="Times New Roman"/>
                <w:snapToGrid w:val="0"/>
                <w:kern w:val="0"/>
                <w:sz w:val="28"/>
                <w:szCs w:val="28"/>
              </w:rPr>
            </w:pPr>
          </w:p>
        </w:tc>
      </w:tr>
      <w:tr>
        <w:tblPrEx>
          <w:tblCellMar>
            <w:top w:w="0" w:type="dxa"/>
            <w:left w:w="0" w:type="dxa"/>
            <w:bottom w:w="0" w:type="dxa"/>
            <w:right w:w="0" w:type="dxa"/>
          </w:tblCellMar>
        </w:tblPrEx>
        <w:trPr>
          <w:trHeight w:val="1063" w:hRule="atLeast"/>
        </w:trPr>
        <w:tc>
          <w:tcPr>
            <w:tcW w:w="4708" w:type="dxa"/>
            <w:noWrap w:val="0"/>
            <w:vAlign w:val="center"/>
          </w:tcPr>
          <w:p>
            <w:pPr>
              <w:pStyle w:val="24"/>
              <w:wordWrap w:val="0"/>
              <w:adjustRightInd w:val="0"/>
              <w:snapToGrid w:val="0"/>
              <w:spacing w:line="240" w:lineRule="auto"/>
              <w:jc w:val="distribute"/>
              <w:rPr>
                <w:rFonts w:hint="eastAsia" w:ascii="Times New Roman"/>
                <w:snapToGrid w:val="0"/>
                <w:kern w:val="0"/>
                <w:sz w:val="28"/>
              </w:rPr>
            </w:pPr>
            <w:r>
              <w:rPr>
                <w:rFonts w:hint="eastAsia" w:ascii="Times New Roman"/>
                <w:snapToGrid w:val="0"/>
                <w:kern w:val="0"/>
                <w:sz w:val="28"/>
              </w:rPr>
              <w:t xml:space="preserve"> 招 标 代 理 机 构 （盖单位章）：</w:t>
            </w:r>
          </w:p>
        </w:tc>
        <w:tc>
          <w:tcPr>
            <w:tcW w:w="5020" w:type="dxa"/>
            <w:noWrap w:val="0"/>
            <w:vAlign w:val="center"/>
          </w:tcPr>
          <w:p>
            <w:pPr>
              <w:pStyle w:val="24"/>
              <w:wordWrap w:val="0"/>
              <w:adjustRightInd w:val="0"/>
              <w:snapToGrid w:val="0"/>
              <w:spacing w:line="240" w:lineRule="auto"/>
              <w:rPr>
                <w:rFonts w:hint="eastAsia" w:ascii="Times New Roman" w:eastAsia="宋体"/>
                <w:snapToGrid w:val="0"/>
                <w:kern w:val="0"/>
                <w:sz w:val="28"/>
                <w:szCs w:val="28"/>
                <w:lang w:eastAsia="zh-CN"/>
              </w:rPr>
            </w:pPr>
            <w:r>
              <w:rPr>
                <w:rFonts w:hint="eastAsia" w:ascii="Times New Roman"/>
                <w:snapToGrid w:val="0"/>
                <w:kern w:val="0"/>
                <w:sz w:val="28"/>
                <w:szCs w:val="28"/>
                <w:lang w:eastAsia="zh-CN"/>
              </w:rPr>
              <w:t>广州穗科建设管理有限公司</w:t>
            </w:r>
          </w:p>
        </w:tc>
      </w:tr>
      <w:tr>
        <w:tblPrEx>
          <w:tblCellMar>
            <w:top w:w="0" w:type="dxa"/>
            <w:left w:w="0" w:type="dxa"/>
            <w:bottom w:w="0" w:type="dxa"/>
            <w:right w:w="0" w:type="dxa"/>
          </w:tblCellMar>
        </w:tblPrEx>
        <w:trPr>
          <w:trHeight w:val="1082" w:hRule="atLeast"/>
        </w:trPr>
        <w:tc>
          <w:tcPr>
            <w:tcW w:w="4708" w:type="dxa"/>
            <w:noWrap w:val="0"/>
            <w:vAlign w:val="center"/>
          </w:tcPr>
          <w:p>
            <w:pPr>
              <w:pStyle w:val="24"/>
              <w:wordWrap w:val="0"/>
              <w:adjustRightInd w:val="0"/>
              <w:snapToGrid w:val="0"/>
              <w:spacing w:line="240" w:lineRule="auto"/>
              <w:jc w:val="distribute"/>
              <w:rPr>
                <w:rFonts w:hint="eastAsia" w:ascii="Times New Roman"/>
                <w:snapToGrid w:val="0"/>
                <w:kern w:val="0"/>
                <w:sz w:val="28"/>
              </w:rPr>
            </w:pPr>
            <w:r>
              <w:rPr>
                <w:rFonts w:hint="eastAsia" w:ascii="Times New Roman"/>
                <w:snapToGrid w:val="0"/>
                <w:kern w:val="0"/>
                <w:sz w:val="28"/>
              </w:rPr>
              <w:t xml:space="preserve"> 招标文件编制人（签字）：</w:t>
            </w:r>
          </w:p>
        </w:tc>
        <w:tc>
          <w:tcPr>
            <w:tcW w:w="5020" w:type="dxa"/>
            <w:noWrap w:val="0"/>
            <w:vAlign w:val="center"/>
          </w:tcPr>
          <w:p>
            <w:pPr>
              <w:pStyle w:val="24"/>
              <w:wordWrap w:val="0"/>
              <w:adjustRightInd w:val="0"/>
              <w:snapToGrid w:val="0"/>
              <w:spacing w:line="240" w:lineRule="auto"/>
              <w:rPr>
                <w:rFonts w:hint="eastAsia" w:ascii="Times New Roman"/>
                <w:snapToGrid w:val="0"/>
                <w:kern w:val="0"/>
                <w:sz w:val="28"/>
                <w:szCs w:val="28"/>
              </w:rPr>
            </w:pPr>
          </w:p>
        </w:tc>
      </w:tr>
      <w:tr>
        <w:tblPrEx>
          <w:tblCellMar>
            <w:top w:w="0" w:type="dxa"/>
            <w:left w:w="0" w:type="dxa"/>
            <w:bottom w:w="0" w:type="dxa"/>
            <w:right w:w="0" w:type="dxa"/>
          </w:tblCellMar>
        </w:tblPrEx>
        <w:trPr>
          <w:trHeight w:val="1058" w:hRule="atLeast"/>
        </w:trPr>
        <w:tc>
          <w:tcPr>
            <w:tcW w:w="4708" w:type="dxa"/>
            <w:noWrap w:val="0"/>
            <w:vAlign w:val="center"/>
          </w:tcPr>
          <w:p>
            <w:pPr>
              <w:pStyle w:val="24"/>
              <w:wordWrap w:val="0"/>
              <w:adjustRightInd w:val="0"/>
              <w:snapToGrid w:val="0"/>
              <w:spacing w:line="240" w:lineRule="auto"/>
              <w:jc w:val="distribute"/>
              <w:rPr>
                <w:rFonts w:hint="eastAsia" w:ascii="Times New Roman"/>
                <w:snapToGrid w:val="0"/>
                <w:kern w:val="0"/>
                <w:sz w:val="28"/>
              </w:rPr>
            </w:pPr>
            <w:r>
              <w:rPr>
                <w:rFonts w:hint="eastAsia" w:ascii="Times New Roman"/>
                <w:snapToGrid w:val="0"/>
                <w:kern w:val="0"/>
                <w:sz w:val="28"/>
              </w:rPr>
              <w:t xml:space="preserve"> 招标代理机构项目负责人（签字）：</w:t>
            </w:r>
          </w:p>
        </w:tc>
        <w:tc>
          <w:tcPr>
            <w:tcW w:w="5020" w:type="dxa"/>
            <w:noWrap w:val="0"/>
            <w:vAlign w:val="center"/>
          </w:tcPr>
          <w:p>
            <w:pPr>
              <w:pStyle w:val="24"/>
              <w:wordWrap w:val="0"/>
              <w:adjustRightInd w:val="0"/>
              <w:snapToGrid w:val="0"/>
              <w:spacing w:line="240" w:lineRule="auto"/>
              <w:rPr>
                <w:rFonts w:hint="eastAsia" w:ascii="Times New Roman"/>
                <w:snapToGrid w:val="0"/>
                <w:kern w:val="0"/>
                <w:sz w:val="28"/>
                <w:szCs w:val="28"/>
              </w:rPr>
            </w:pPr>
          </w:p>
        </w:tc>
      </w:tr>
      <w:tr>
        <w:tblPrEx>
          <w:tblCellMar>
            <w:top w:w="0" w:type="dxa"/>
            <w:left w:w="0" w:type="dxa"/>
            <w:bottom w:w="0" w:type="dxa"/>
            <w:right w:w="0" w:type="dxa"/>
          </w:tblCellMar>
        </w:tblPrEx>
        <w:trPr>
          <w:trHeight w:val="892" w:hRule="atLeast"/>
        </w:trPr>
        <w:tc>
          <w:tcPr>
            <w:tcW w:w="4708" w:type="dxa"/>
            <w:noWrap w:val="0"/>
            <w:vAlign w:val="center"/>
          </w:tcPr>
          <w:p>
            <w:pPr>
              <w:pStyle w:val="24"/>
              <w:wordWrap w:val="0"/>
              <w:adjustRightInd w:val="0"/>
              <w:snapToGrid w:val="0"/>
              <w:spacing w:line="240" w:lineRule="auto"/>
              <w:jc w:val="distribute"/>
              <w:rPr>
                <w:rFonts w:hint="eastAsia" w:ascii="Times New Roman"/>
                <w:snapToGrid w:val="0"/>
                <w:kern w:val="0"/>
                <w:sz w:val="28"/>
              </w:rPr>
            </w:pPr>
            <w:r>
              <w:rPr>
                <w:rFonts w:hint="eastAsia" w:ascii="Times New Roman"/>
                <w:snapToGrid w:val="0"/>
                <w:kern w:val="0"/>
                <w:sz w:val="28"/>
              </w:rPr>
              <w:t xml:space="preserve"> 招标文件编制日期：</w:t>
            </w:r>
          </w:p>
        </w:tc>
        <w:tc>
          <w:tcPr>
            <w:tcW w:w="5020" w:type="dxa"/>
            <w:noWrap w:val="0"/>
            <w:vAlign w:val="center"/>
          </w:tcPr>
          <w:p>
            <w:pPr>
              <w:pStyle w:val="24"/>
              <w:wordWrap w:val="0"/>
              <w:adjustRightInd w:val="0"/>
              <w:snapToGrid w:val="0"/>
              <w:spacing w:line="240" w:lineRule="auto"/>
              <w:rPr>
                <w:rFonts w:ascii="Times New Roman"/>
                <w:snapToGrid w:val="0"/>
                <w:kern w:val="0"/>
                <w:sz w:val="28"/>
              </w:rPr>
            </w:pPr>
            <w:r>
              <w:rPr>
                <w:rFonts w:hint="eastAsia" w:ascii="Times New Roman"/>
                <w:snapToGrid w:val="0"/>
                <w:kern w:val="0"/>
                <w:sz w:val="28"/>
              </w:rPr>
              <w:t xml:space="preserve">       2022年</w:t>
            </w:r>
            <w:r>
              <w:rPr>
                <w:rFonts w:hint="eastAsia" w:ascii="Times New Roman"/>
                <w:snapToGrid w:val="0"/>
                <w:kern w:val="0"/>
                <w:sz w:val="28"/>
                <w:lang w:val="en-US" w:eastAsia="zh-CN"/>
              </w:rPr>
              <w:t>7</w:t>
            </w:r>
            <w:r>
              <w:rPr>
                <w:rFonts w:hint="eastAsia" w:ascii="Times New Roman"/>
                <w:snapToGrid w:val="0"/>
                <w:kern w:val="0"/>
                <w:sz w:val="28"/>
              </w:rPr>
              <w:t>月</w:t>
            </w:r>
          </w:p>
        </w:tc>
      </w:tr>
    </w:tbl>
    <w:p>
      <w:pPr>
        <w:tabs>
          <w:tab w:val="left" w:pos="4935"/>
        </w:tabs>
        <w:wordWrap w:val="0"/>
        <w:adjustRightInd w:val="0"/>
        <w:snapToGrid w:val="0"/>
        <w:jc w:val="center"/>
        <w:rPr>
          <w:rFonts w:ascii="Times New Roman"/>
          <w:b/>
          <w:snapToGrid w:val="0"/>
          <w:kern w:val="0"/>
          <w:sz w:val="28"/>
          <w:szCs w:val="28"/>
        </w:rPr>
        <w:sectPr>
          <w:footerReference r:id="rId5" w:type="default"/>
          <w:endnotePr>
            <w:numFmt w:val="decimal"/>
          </w:endnotePr>
          <w:pgSz w:w="11906" w:h="16838"/>
          <w:pgMar w:top="1701" w:right="1531" w:bottom="1417" w:left="1531" w:header="850" w:footer="992" w:gutter="0"/>
          <w:pgNumType w:start="1"/>
          <w:cols w:space="720" w:num="1"/>
          <w:docGrid w:linePitch="327" w:charSpace="0"/>
        </w:sectPr>
      </w:pPr>
    </w:p>
    <w:p>
      <w:pPr>
        <w:tabs>
          <w:tab w:val="left" w:pos="4935"/>
        </w:tabs>
        <w:wordWrap w:val="0"/>
        <w:adjustRightInd w:val="0"/>
        <w:snapToGrid w:val="0"/>
        <w:jc w:val="center"/>
        <w:rPr>
          <w:rFonts w:ascii="Times New Roman"/>
          <w:b/>
          <w:snapToGrid w:val="0"/>
          <w:kern w:val="0"/>
          <w:sz w:val="28"/>
          <w:szCs w:val="28"/>
        </w:rPr>
        <w:sectPr>
          <w:endnotePr>
            <w:numFmt w:val="decimal"/>
          </w:endnotePr>
          <w:pgSz w:w="11906" w:h="16838"/>
          <w:pgMar w:top="1701" w:right="1531" w:bottom="1417" w:left="1531" w:header="850" w:footer="992" w:gutter="0"/>
          <w:pgNumType w:start="1"/>
          <w:cols w:space="720" w:num="1"/>
          <w:docGrid w:linePitch="327" w:charSpace="0"/>
        </w:sectPr>
      </w:pPr>
    </w:p>
    <w:p>
      <w:pPr>
        <w:tabs>
          <w:tab w:val="left" w:pos="4935"/>
        </w:tabs>
        <w:wordWrap w:val="0"/>
        <w:adjustRightInd w:val="0"/>
        <w:snapToGrid w:val="0"/>
        <w:spacing w:line="440" w:lineRule="exact"/>
        <w:jc w:val="center"/>
        <w:rPr>
          <w:rFonts w:ascii="Times New Roman"/>
          <w:snapToGrid w:val="0"/>
          <w:kern w:val="0"/>
        </w:rPr>
      </w:pPr>
      <w:r>
        <w:rPr>
          <w:rFonts w:ascii="Times New Roman"/>
          <w:b/>
          <w:snapToGrid w:val="0"/>
          <w:kern w:val="0"/>
          <w:sz w:val="28"/>
          <w:szCs w:val="28"/>
        </w:rPr>
        <w:t>目    录</w:t>
      </w:r>
      <w:bookmarkStart w:id="0" w:name="_Hlt69333523"/>
      <w:bookmarkStart w:id="1" w:name="_Hlt68775471"/>
      <w:r>
        <w:rPr>
          <w:rFonts w:ascii="Times New Roman"/>
          <w:snapToGrid w:val="0"/>
          <w:kern w:val="0"/>
        </w:rPr>
        <w:fldChar w:fldCharType="begin"/>
      </w:r>
      <w:r>
        <w:rPr>
          <w:rFonts w:ascii="Times New Roman"/>
          <w:snapToGrid w:val="0"/>
          <w:kern w:val="0"/>
        </w:rPr>
        <w:instrText xml:space="preserve"> TOC \o "1-4" \h \z </w:instrText>
      </w:r>
      <w:r>
        <w:rPr>
          <w:rFonts w:ascii="Times New Roman"/>
          <w:snapToGrid w:val="0"/>
          <w:kern w:val="0"/>
        </w:rPr>
        <w:fldChar w:fldCharType="separate"/>
      </w:r>
    </w:p>
    <w:p>
      <w:pPr>
        <w:pStyle w:val="14"/>
        <w:tabs>
          <w:tab w:val="right" w:leader="dot" w:pos="8844"/>
        </w:tabs>
      </w:pPr>
      <w:r>
        <w:rPr>
          <w:rFonts w:ascii="Times New Roman"/>
          <w:snapToGrid w:val="0"/>
          <w:kern w:val="0"/>
        </w:rPr>
        <w:fldChar w:fldCharType="begin"/>
      </w:r>
      <w:r>
        <w:rPr>
          <w:rFonts w:ascii="Times New Roman"/>
          <w:snapToGrid w:val="0"/>
          <w:kern w:val="0"/>
        </w:rPr>
        <w:instrText xml:space="preserve"> HYPERLINK \l _Toc7378 </w:instrText>
      </w:r>
      <w:r>
        <w:rPr>
          <w:rFonts w:ascii="Times New Roman"/>
          <w:snapToGrid w:val="0"/>
          <w:kern w:val="0"/>
        </w:rPr>
        <w:fldChar w:fldCharType="separate"/>
      </w:r>
      <w:r>
        <w:rPr>
          <w:rFonts w:ascii="Times New Roman"/>
          <w:snapToGrid w:val="0"/>
        </w:rPr>
        <w:t>第一章 投标人须知</w:t>
      </w:r>
      <w:r>
        <w:tab/>
      </w:r>
      <w:r>
        <w:fldChar w:fldCharType="begin"/>
      </w:r>
      <w:r>
        <w:instrText xml:space="preserve"> PAGEREF _Toc7378 \h </w:instrText>
      </w:r>
      <w:r>
        <w:fldChar w:fldCharType="separate"/>
      </w:r>
      <w:r>
        <w:t>1</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_Toc28665 </w:instrText>
      </w:r>
      <w:r>
        <w:rPr>
          <w:rFonts w:ascii="Times New Roman"/>
          <w:snapToGrid w:val="0"/>
          <w:kern w:val="0"/>
        </w:rPr>
        <w:fldChar w:fldCharType="separate"/>
      </w:r>
      <w:r>
        <w:rPr>
          <w:rFonts w:ascii="Times New Roman"/>
          <w:snapToGrid w:val="0"/>
        </w:rPr>
        <w:t>第一节 投标人须知前附表</w:t>
      </w:r>
      <w:r>
        <w:tab/>
      </w:r>
      <w:r>
        <w:fldChar w:fldCharType="begin"/>
      </w:r>
      <w:r>
        <w:instrText xml:space="preserve"> PAGEREF _Toc28665 \h </w:instrText>
      </w:r>
      <w:r>
        <w:fldChar w:fldCharType="separate"/>
      </w:r>
      <w:r>
        <w:t>1</w:t>
      </w:r>
      <w:r>
        <w:fldChar w:fldCharType="end"/>
      </w:r>
      <w:r>
        <w:rPr>
          <w:rFonts w:ascii="Times New Roman"/>
          <w:snapToGrid w:val="0"/>
          <w:kern w:val="0"/>
        </w:rPr>
        <w:fldChar w:fldCharType="end"/>
      </w:r>
    </w:p>
    <w:p>
      <w:pPr>
        <w:pStyle w:val="16"/>
        <w:tabs>
          <w:tab w:val="right" w:leader="dot" w:pos="8844"/>
        </w:tabs>
        <w:rPr>
          <w:rFonts w:hint="eastAsia" w:eastAsia="宋体"/>
          <w:lang w:val="en-US" w:eastAsia="zh-CN"/>
        </w:rPr>
      </w:pPr>
      <w:r>
        <w:rPr>
          <w:rFonts w:ascii="Times New Roman"/>
          <w:snapToGrid w:val="0"/>
          <w:kern w:val="0"/>
        </w:rPr>
        <w:fldChar w:fldCharType="begin"/>
      </w:r>
      <w:r>
        <w:rPr>
          <w:rFonts w:ascii="Times New Roman"/>
          <w:snapToGrid w:val="0"/>
          <w:kern w:val="0"/>
        </w:rPr>
        <w:instrText xml:space="preserve"> HYPERLINK \l _Toc15870 </w:instrText>
      </w:r>
      <w:r>
        <w:rPr>
          <w:rFonts w:ascii="Times New Roman"/>
          <w:snapToGrid w:val="0"/>
          <w:kern w:val="0"/>
        </w:rPr>
        <w:fldChar w:fldCharType="separate"/>
      </w:r>
      <w:r>
        <w:rPr>
          <w:rFonts w:ascii="Times New Roman"/>
          <w:snapToGrid w:val="0"/>
        </w:rPr>
        <w:t>第二节 重要事项时间地点一览表</w:t>
      </w:r>
      <w:r>
        <w:tab/>
      </w:r>
      <w:r>
        <w:rPr>
          <w:rFonts w:ascii="Times New Roman"/>
          <w:snapToGrid w:val="0"/>
          <w:kern w:val="0"/>
        </w:rPr>
        <w:fldChar w:fldCharType="end"/>
      </w:r>
      <w:r>
        <w:rPr>
          <w:rFonts w:hint="eastAsia" w:ascii="Times New Roman"/>
          <w:snapToGrid w:val="0"/>
          <w:kern w:val="0"/>
          <w:lang w:val="en-US" w:eastAsia="zh-CN"/>
        </w:rPr>
        <w:t>7</w:t>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_Toc7923 </w:instrText>
      </w:r>
      <w:r>
        <w:rPr>
          <w:rFonts w:ascii="Times New Roman"/>
          <w:snapToGrid w:val="0"/>
          <w:kern w:val="0"/>
        </w:rPr>
        <w:fldChar w:fldCharType="separate"/>
      </w:r>
      <w:r>
        <w:rPr>
          <w:rFonts w:ascii="Times New Roman"/>
          <w:snapToGrid w:val="0"/>
        </w:rPr>
        <w:t>第三节 投标人须知正文</w:t>
      </w:r>
      <w:r>
        <w:tab/>
      </w:r>
      <w:r>
        <w:fldChar w:fldCharType="begin"/>
      </w:r>
      <w:r>
        <w:instrText xml:space="preserve"> PAGEREF _Toc7923 \h </w:instrText>
      </w:r>
      <w:r>
        <w:fldChar w:fldCharType="separate"/>
      </w:r>
      <w:r>
        <w:t>8</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_Toc30394 </w:instrText>
      </w:r>
      <w:r>
        <w:rPr>
          <w:rFonts w:ascii="Times New Roman"/>
          <w:snapToGrid w:val="0"/>
          <w:kern w:val="0"/>
        </w:rPr>
        <w:fldChar w:fldCharType="separate"/>
      </w:r>
      <w:r>
        <w:rPr>
          <w:rFonts w:ascii="Times New Roman"/>
          <w:snapToGrid w:val="0"/>
        </w:rPr>
        <w:t>1．项目概况、招标范围和标段划分、投标费用</w:t>
      </w:r>
      <w:r>
        <w:tab/>
      </w:r>
      <w:r>
        <w:fldChar w:fldCharType="begin"/>
      </w:r>
      <w:r>
        <w:instrText xml:space="preserve"> PAGEREF _Toc30394 \h </w:instrText>
      </w:r>
      <w:r>
        <w:fldChar w:fldCharType="separate"/>
      </w:r>
      <w:r>
        <w:t>8</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_Toc11361 </w:instrText>
      </w:r>
      <w:r>
        <w:rPr>
          <w:rFonts w:ascii="Times New Roman"/>
          <w:snapToGrid w:val="0"/>
          <w:kern w:val="0"/>
        </w:rPr>
        <w:fldChar w:fldCharType="separate"/>
      </w:r>
      <w:r>
        <w:rPr>
          <w:rFonts w:ascii="Times New Roman"/>
          <w:snapToGrid w:val="0"/>
        </w:rPr>
        <w:t>2．投标人资格要求</w:t>
      </w:r>
      <w:r>
        <w:tab/>
      </w:r>
      <w:r>
        <w:fldChar w:fldCharType="begin"/>
      </w:r>
      <w:r>
        <w:instrText xml:space="preserve"> PAGEREF _Toc11361 \h </w:instrText>
      </w:r>
      <w:r>
        <w:fldChar w:fldCharType="separate"/>
      </w:r>
      <w:r>
        <w:t>8</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_Toc3494 </w:instrText>
      </w:r>
      <w:r>
        <w:rPr>
          <w:rFonts w:ascii="Times New Roman"/>
          <w:snapToGrid w:val="0"/>
          <w:kern w:val="0"/>
        </w:rPr>
        <w:fldChar w:fldCharType="separate"/>
      </w:r>
      <w:r>
        <w:rPr>
          <w:rFonts w:ascii="Times New Roman"/>
          <w:snapToGrid w:val="0"/>
        </w:rPr>
        <w:t>3．投标报名</w:t>
      </w:r>
      <w:r>
        <w:tab/>
      </w:r>
      <w:r>
        <w:fldChar w:fldCharType="begin"/>
      </w:r>
      <w:r>
        <w:instrText xml:space="preserve"> PAGEREF _Toc3494 \h </w:instrText>
      </w:r>
      <w:r>
        <w:fldChar w:fldCharType="separate"/>
      </w:r>
      <w:r>
        <w:t>10</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_Toc30617 </w:instrText>
      </w:r>
      <w:r>
        <w:rPr>
          <w:rFonts w:ascii="Times New Roman"/>
          <w:snapToGrid w:val="0"/>
          <w:kern w:val="0"/>
        </w:rPr>
        <w:fldChar w:fldCharType="separate"/>
      </w:r>
      <w:r>
        <w:rPr>
          <w:rFonts w:ascii="Times New Roman"/>
          <w:snapToGrid w:val="0"/>
        </w:rPr>
        <w:t>4．工期要求</w:t>
      </w:r>
      <w:r>
        <w:tab/>
      </w:r>
      <w:r>
        <w:fldChar w:fldCharType="begin"/>
      </w:r>
      <w:r>
        <w:instrText xml:space="preserve"> PAGEREF _Toc30617 \h </w:instrText>
      </w:r>
      <w:r>
        <w:fldChar w:fldCharType="separate"/>
      </w:r>
      <w:r>
        <w:t>12</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_Toc4910 </w:instrText>
      </w:r>
      <w:r>
        <w:rPr>
          <w:rFonts w:ascii="Times New Roman"/>
          <w:snapToGrid w:val="0"/>
          <w:kern w:val="0"/>
        </w:rPr>
        <w:fldChar w:fldCharType="separate"/>
      </w:r>
      <w:r>
        <w:rPr>
          <w:rFonts w:ascii="Times New Roman"/>
          <w:snapToGrid w:val="0"/>
        </w:rPr>
        <w:t>5．质量标准和材料、机械要求</w:t>
      </w:r>
      <w:r>
        <w:tab/>
      </w:r>
      <w:r>
        <w:fldChar w:fldCharType="begin"/>
      </w:r>
      <w:r>
        <w:instrText xml:space="preserve"> PAGEREF _Toc4910 \h </w:instrText>
      </w:r>
      <w:r>
        <w:fldChar w:fldCharType="separate"/>
      </w:r>
      <w:r>
        <w:t>12</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_Toc27670 </w:instrText>
      </w:r>
      <w:r>
        <w:rPr>
          <w:rFonts w:ascii="Times New Roman"/>
          <w:snapToGrid w:val="0"/>
          <w:kern w:val="0"/>
        </w:rPr>
        <w:fldChar w:fldCharType="separate"/>
      </w:r>
      <w:r>
        <w:rPr>
          <w:rFonts w:ascii="Times New Roman"/>
          <w:snapToGrid w:val="0"/>
        </w:rPr>
        <w:t>6．施工条件及现场踏勘</w:t>
      </w:r>
      <w:r>
        <w:tab/>
      </w:r>
      <w:r>
        <w:fldChar w:fldCharType="begin"/>
      </w:r>
      <w:r>
        <w:instrText xml:space="preserve"> PAGEREF _Toc27670 \h </w:instrText>
      </w:r>
      <w:r>
        <w:fldChar w:fldCharType="separate"/>
      </w:r>
      <w:r>
        <w:t>13</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_Toc30356 </w:instrText>
      </w:r>
      <w:r>
        <w:rPr>
          <w:rFonts w:ascii="Times New Roman"/>
          <w:snapToGrid w:val="0"/>
          <w:kern w:val="0"/>
        </w:rPr>
        <w:fldChar w:fldCharType="separate"/>
      </w:r>
      <w:r>
        <w:rPr>
          <w:rFonts w:ascii="Times New Roman"/>
          <w:snapToGrid w:val="0"/>
        </w:rPr>
        <w:t>7．招标文件的提问和答疑</w:t>
      </w:r>
      <w:r>
        <w:tab/>
      </w:r>
      <w:r>
        <w:fldChar w:fldCharType="begin"/>
      </w:r>
      <w:r>
        <w:instrText xml:space="preserve"> PAGEREF _Toc30356 \h </w:instrText>
      </w:r>
      <w:r>
        <w:fldChar w:fldCharType="separate"/>
      </w:r>
      <w:r>
        <w:t>14</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_Toc3812 </w:instrText>
      </w:r>
      <w:r>
        <w:rPr>
          <w:rFonts w:ascii="Times New Roman"/>
          <w:snapToGrid w:val="0"/>
          <w:kern w:val="0"/>
        </w:rPr>
        <w:fldChar w:fldCharType="separate"/>
      </w:r>
      <w:r>
        <w:rPr>
          <w:rFonts w:ascii="Times New Roman"/>
          <w:snapToGrid w:val="0"/>
        </w:rPr>
        <w:t>8．招标控制价</w:t>
      </w:r>
      <w:r>
        <w:tab/>
      </w:r>
      <w:r>
        <w:fldChar w:fldCharType="begin"/>
      </w:r>
      <w:r>
        <w:instrText xml:space="preserve"> PAGEREF _Toc3812 \h </w:instrText>
      </w:r>
      <w:r>
        <w:fldChar w:fldCharType="separate"/>
      </w:r>
      <w:r>
        <w:t>14</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_Toc30788 </w:instrText>
      </w:r>
      <w:r>
        <w:rPr>
          <w:rFonts w:ascii="Times New Roman"/>
          <w:snapToGrid w:val="0"/>
          <w:kern w:val="0"/>
        </w:rPr>
        <w:fldChar w:fldCharType="separate"/>
      </w:r>
      <w:r>
        <w:rPr>
          <w:rFonts w:ascii="Times New Roman"/>
          <w:snapToGrid w:val="0"/>
        </w:rPr>
        <w:t>9．投标报价</w:t>
      </w:r>
      <w:r>
        <w:tab/>
      </w:r>
      <w:r>
        <w:fldChar w:fldCharType="begin"/>
      </w:r>
      <w:r>
        <w:instrText xml:space="preserve"> PAGEREF _Toc30788 \h </w:instrText>
      </w:r>
      <w:r>
        <w:fldChar w:fldCharType="separate"/>
      </w:r>
      <w:r>
        <w:t>16</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_Toc22564 </w:instrText>
      </w:r>
      <w:r>
        <w:rPr>
          <w:rFonts w:ascii="Times New Roman"/>
          <w:snapToGrid w:val="0"/>
          <w:kern w:val="0"/>
        </w:rPr>
        <w:fldChar w:fldCharType="separate"/>
      </w:r>
      <w:r>
        <w:rPr>
          <w:rFonts w:ascii="Times New Roman"/>
          <w:snapToGrid w:val="0"/>
        </w:rPr>
        <w:t>10．投标文件的编制要求</w:t>
      </w:r>
      <w:r>
        <w:tab/>
      </w:r>
      <w:r>
        <w:fldChar w:fldCharType="begin"/>
      </w:r>
      <w:r>
        <w:instrText xml:space="preserve"> PAGEREF _Toc22564 \h </w:instrText>
      </w:r>
      <w:r>
        <w:fldChar w:fldCharType="separate"/>
      </w:r>
      <w:r>
        <w:t>17</w:t>
      </w:r>
      <w:r>
        <w:fldChar w:fldCharType="end"/>
      </w:r>
      <w:r>
        <w:rPr>
          <w:rFonts w:ascii="Times New Roman"/>
          <w:snapToGrid w:val="0"/>
          <w:kern w:val="0"/>
        </w:rPr>
        <w:fldChar w:fldCharType="end"/>
      </w:r>
    </w:p>
    <w:p>
      <w:pPr>
        <w:pStyle w:val="15"/>
        <w:tabs>
          <w:tab w:val="right" w:leader="dot" w:pos="8844"/>
        </w:tabs>
      </w:pPr>
      <w:r>
        <w:rPr>
          <w:rFonts w:ascii="Times New Roman"/>
          <w:snapToGrid w:val="0"/>
          <w:kern w:val="0"/>
        </w:rPr>
        <w:fldChar w:fldCharType="begin"/>
      </w:r>
      <w:r>
        <w:rPr>
          <w:rFonts w:ascii="Times New Roman"/>
          <w:snapToGrid w:val="0"/>
          <w:kern w:val="0"/>
        </w:rPr>
        <w:instrText xml:space="preserve"> HYPERLINK \l _Toc2996 </w:instrText>
      </w:r>
      <w:r>
        <w:rPr>
          <w:rFonts w:ascii="Times New Roman"/>
          <w:snapToGrid w:val="0"/>
          <w:kern w:val="0"/>
        </w:rPr>
        <w:fldChar w:fldCharType="separate"/>
      </w:r>
      <w:r>
        <w:rPr>
          <w:rFonts w:ascii="Times New Roman"/>
          <w:bCs/>
          <w:snapToGrid w:val="0"/>
        </w:rPr>
        <w:t>10.1 一般要求</w:t>
      </w:r>
      <w:r>
        <w:tab/>
      </w:r>
      <w:r>
        <w:fldChar w:fldCharType="begin"/>
      </w:r>
      <w:r>
        <w:instrText xml:space="preserve"> PAGEREF _Toc2996 \h </w:instrText>
      </w:r>
      <w:r>
        <w:fldChar w:fldCharType="separate"/>
      </w:r>
      <w:r>
        <w:t>17</w:t>
      </w:r>
      <w:r>
        <w:fldChar w:fldCharType="end"/>
      </w:r>
      <w:r>
        <w:rPr>
          <w:rFonts w:ascii="Times New Roman"/>
          <w:snapToGrid w:val="0"/>
          <w:kern w:val="0"/>
        </w:rPr>
        <w:fldChar w:fldCharType="end"/>
      </w:r>
    </w:p>
    <w:p>
      <w:pPr>
        <w:pStyle w:val="15"/>
        <w:tabs>
          <w:tab w:val="right" w:leader="dot" w:pos="8844"/>
        </w:tabs>
      </w:pPr>
      <w:r>
        <w:rPr>
          <w:rFonts w:ascii="Times New Roman"/>
          <w:snapToGrid w:val="0"/>
          <w:kern w:val="0"/>
        </w:rPr>
        <w:fldChar w:fldCharType="begin"/>
      </w:r>
      <w:r>
        <w:rPr>
          <w:rFonts w:ascii="Times New Roman"/>
          <w:snapToGrid w:val="0"/>
          <w:kern w:val="0"/>
        </w:rPr>
        <w:instrText xml:space="preserve"> HYPERLINK \l _Toc16869 </w:instrText>
      </w:r>
      <w:r>
        <w:rPr>
          <w:rFonts w:ascii="Times New Roman"/>
          <w:snapToGrid w:val="0"/>
          <w:kern w:val="0"/>
        </w:rPr>
        <w:fldChar w:fldCharType="separate"/>
      </w:r>
      <w:r>
        <w:rPr>
          <w:rFonts w:ascii="Times New Roman"/>
          <w:bCs/>
          <w:snapToGrid w:val="0"/>
        </w:rPr>
        <w:t>10.2 商务标书的编制要求</w:t>
      </w:r>
      <w:r>
        <w:tab/>
      </w:r>
      <w:r>
        <w:fldChar w:fldCharType="begin"/>
      </w:r>
      <w:r>
        <w:instrText xml:space="preserve"> PAGEREF _Toc16869 \h </w:instrText>
      </w:r>
      <w:r>
        <w:fldChar w:fldCharType="separate"/>
      </w:r>
      <w:r>
        <w:t>18</w:t>
      </w:r>
      <w:r>
        <w:fldChar w:fldCharType="end"/>
      </w:r>
      <w:r>
        <w:rPr>
          <w:rFonts w:ascii="Times New Roman"/>
          <w:snapToGrid w:val="0"/>
          <w:kern w:val="0"/>
        </w:rPr>
        <w:fldChar w:fldCharType="end"/>
      </w:r>
    </w:p>
    <w:p>
      <w:pPr>
        <w:pStyle w:val="15"/>
        <w:tabs>
          <w:tab w:val="right" w:leader="dot" w:pos="8844"/>
        </w:tabs>
      </w:pPr>
      <w:r>
        <w:rPr>
          <w:rFonts w:ascii="Times New Roman"/>
          <w:snapToGrid w:val="0"/>
          <w:kern w:val="0"/>
        </w:rPr>
        <w:fldChar w:fldCharType="begin"/>
      </w:r>
      <w:r>
        <w:rPr>
          <w:rFonts w:ascii="Times New Roman"/>
          <w:snapToGrid w:val="0"/>
          <w:kern w:val="0"/>
        </w:rPr>
        <w:instrText xml:space="preserve"> HYPERLINK \l _Toc3426 </w:instrText>
      </w:r>
      <w:r>
        <w:rPr>
          <w:rFonts w:ascii="Times New Roman"/>
          <w:snapToGrid w:val="0"/>
          <w:kern w:val="0"/>
        </w:rPr>
        <w:fldChar w:fldCharType="separate"/>
      </w:r>
      <w:r>
        <w:rPr>
          <w:rFonts w:ascii="Times New Roman"/>
          <w:bCs/>
          <w:snapToGrid w:val="0"/>
        </w:rPr>
        <w:t>10.3 经济标书的编制要求</w:t>
      </w:r>
      <w:r>
        <w:tab/>
      </w:r>
      <w:r>
        <w:fldChar w:fldCharType="begin"/>
      </w:r>
      <w:r>
        <w:instrText xml:space="preserve"> PAGEREF _Toc3426 \h </w:instrText>
      </w:r>
      <w:r>
        <w:fldChar w:fldCharType="separate"/>
      </w:r>
      <w:r>
        <w:t>19</w:t>
      </w:r>
      <w:r>
        <w:fldChar w:fldCharType="end"/>
      </w:r>
      <w:r>
        <w:rPr>
          <w:rFonts w:ascii="Times New Roman"/>
          <w:snapToGrid w:val="0"/>
          <w:kern w:val="0"/>
        </w:rPr>
        <w:fldChar w:fldCharType="end"/>
      </w:r>
    </w:p>
    <w:p>
      <w:pPr>
        <w:pStyle w:val="15"/>
        <w:tabs>
          <w:tab w:val="right" w:leader="dot" w:pos="8844"/>
        </w:tabs>
      </w:pPr>
      <w:r>
        <w:rPr>
          <w:rFonts w:ascii="Times New Roman"/>
          <w:snapToGrid w:val="0"/>
          <w:kern w:val="0"/>
        </w:rPr>
        <w:fldChar w:fldCharType="begin"/>
      </w:r>
      <w:r>
        <w:rPr>
          <w:rFonts w:ascii="Times New Roman"/>
          <w:snapToGrid w:val="0"/>
          <w:kern w:val="0"/>
        </w:rPr>
        <w:instrText xml:space="preserve"> HYPERLINK \l _Toc32429 </w:instrText>
      </w:r>
      <w:r>
        <w:rPr>
          <w:rFonts w:ascii="Times New Roman"/>
          <w:snapToGrid w:val="0"/>
          <w:kern w:val="0"/>
        </w:rPr>
        <w:fldChar w:fldCharType="separate"/>
      </w:r>
      <w:r>
        <w:rPr>
          <w:rFonts w:ascii="Times New Roman"/>
          <w:bCs/>
          <w:snapToGrid w:val="0"/>
        </w:rPr>
        <w:t>10.4 施工组织设计的编制要求</w:t>
      </w:r>
      <w:r>
        <w:tab/>
      </w:r>
      <w:r>
        <w:fldChar w:fldCharType="begin"/>
      </w:r>
      <w:r>
        <w:instrText xml:space="preserve"> PAGEREF _Toc32429 \h </w:instrText>
      </w:r>
      <w:r>
        <w:fldChar w:fldCharType="separate"/>
      </w:r>
      <w:r>
        <w:t>20</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_Toc5553 </w:instrText>
      </w:r>
      <w:r>
        <w:rPr>
          <w:rFonts w:ascii="Times New Roman"/>
          <w:snapToGrid w:val="0"/>
          <w:kern w:val="0"/>
        </w:rPr>
        <w:fldChar w:fldCharType="separate"/>
      </w:r>
      <w:r>
        <w:rPr>
          <w:rFonts w:ascii="Times New Roman"/>
          <w:snapToGrid w:val="0"/>
        </w:rPr>
        <w:t>11．投标文件的包装、密封、标记</w:t>
      </w:r>
      <w:r>
        <w:tab/>
      </w:r>
      <w:r>
        <w:fldChar w:fldCharType="begin"/>
      </w:r>
      <w:r>
        <w:instrText xml:space="preserve"> PAGEREF _Toc5553 \h </w:instrText>
      </w:r>
      <w:r>
        <w:fldChar w:fldCharType="separate"/>
      </w:r>
      <w:r>
        <w:t>21</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_Toc7527 </w:instrText>
      </w:r>
      <w:r>
        <w:rPr>
          <w:rFonts w:ascii="Times New Roman"/>
          <w:snapToGrid w:val="0"/>
          <w:kern w:val="0"/>
        </w:rPr>
        <w:fldChar w:fldCharType="separate"/>
      </w:r>
      <w:r>
        <w:rPr>
          <w:rFonts w:ascii="Times New Roman"/>
          <w:snapToGrid w:val="0"/>
        </w:rPr>
        <w:t>12．投标文件的递交</w:t>
      </w:r>
      <w:r>
        <w:tab/>
      </w:r>
      <w:r>
        <w:fldChar w:fldCharType="begin"/>
      </w:r>
      <w:r>
        <w:instrText xml:space="preserve"> PAGEREF _Toc7527 \h </w:instrText>
      </w:r>
      <w:r>
        <w:fldChar w:fldCharType="separate"/>
      </w:r>
      <w:r>
        <w:t>21</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_Toc14255 </w:instrText>
      </w:r>
      <w:r>
        <w:rPr>
          <w:rFonts w:ascii="Times New Roman"/>
          <w:snapToGrid w:val="0"/>
          <w:kern w:val="0"/>
        </w:rPr>
        <w:fldChar w:fldCharType="separate"/>
      </w:r>
      <w:r>
        <w:rPr>
          <w:rFonts w:ascii="Times New Roman"/>
          <w:snapToGrid w:val="0"/>
        </w:rPr>
        <w:t>13．投标有效期</w:t>
      </w:r>
      <w:r>
        <w:tab/>
      </w:r>
      <w:r>
        <w:fldChar w:fldCharType="begin"/>
      </w:r>
      <w:r>
        <w:instrText xml:space="preserve"> PAGEREF _Toc14255 \h </w:instrText>
      </w:r>
      <w:r>
        <w:fldChar w:fldCharType="separate"/>
      </w:r>
      <w:r>
        <w:t>22</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_Toc19852 </w:instrText>
      </w:r>
      <w:r>
        <w:rPr>
          <w:rFonts w:ascii="Times New Roman"/>
          <w:snapToGrid w:val="0"/>
          <w:kern w:val="0"/>
        </w:rPr>
        <w:fldChar w:fldCharType="separate"/>
      </w:r>
      <w:r>
        <w:rPr>
          <w:rFonts w:ascii="Times New Roman"/>
          <w:snapToGrid w:val="0"/>
        </w:rPr>
        <w:t>14．开标</w:t>
      </w:r>
      <w:r>
        <w:tab/>
      </w:r>
      <w:r>
        <w:fldChar w:fldCharType="begin"/>
      </w:r>
      <w:r>
        <w:instrText xml:space="preserve"> PAGEREF _Toc19852 \h </w:instrText>
      </w:r>
      <w:r>
        <w:fldChar w:fldCharType="separate"/>
      </w:r>
      <w:r>
        <w:t>22</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_Toc13067 </w:instrText>
      </w:r>
      <w:r>
        <w:rPr>
          <w:rFonts w:ascii="Times New Roman"/>
          <w:snapToGrid w:val="0"/>
          <w:kern w:val="0"/>
        </w:rPr>
        <w:fldChar w:fldCharType="separate"/>
      </w:r>
      <w:r>
        <w:rPr>
          <w:rFonts w:ascii="Times New Roman"/>
          <w:snapToGrid w:val="0"/>
        </w:rPr>
        <w:t>15．评标</w:t>
      </w:r>
      <w:r>
        <w:tab/>
      </w:r>
      <w:r>
        <w:fldChar w:fldCharType="begin"/>
      </w:r>
      <w:r>
        <w:instrText xml:space="preserve"> PAGEREF _Toc13067 \h </w:instrText>
      </w:r>
      <w:r>
        <w:fldChar w:fldCharType="separate"/>
      </w:r>
      <w:r>
        <w:t>24</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_Toc19901 </w:instrText>
      </w:r>
      <w:r>
        <w:rPr>
          <w:rFonts w:ascii="Times New Roman"/>
          <w:snapToGrid w:val="0"/>
          <w:kern w:val="0"/>
        </w:rPr>
        <w:fldChar w:fldCharType="separate"/>
      </w:r>
      <w:r>
        <w:rPr>
          <w:rFonts w:ascii="Times New Roman"/>
          <w:snapToGrid w:val="0"/>
        </w:rPr>
        <w:t>16．中标候选人公示</w:t>
      </w:r>
      <w:r>
        <w:tab/>
      </w:r>
      <w:r>
        <w:fldChar w:fldCharType="begin"/>
      </w:r>
      <w:r>
        <w:instrText xml:space="preserve"> PAGEREF _Toc19901 \h </w:instrText>
      </w:r>
      <w:r>
        <w:fldChar w:fldCharType="separate"/>
      </w:r>
      <w:r>
        <w:t>35</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_Toc6855 </w:instrText>
      </w:r>
      <w:r>
        <w:rPr>
          <w:rFonts w:ascii="Times New Roman"/>
          <w:snapToGrid w:val="0"/>
          <w:kern w:val="0"/>
        </w:rPr>
        <w:fldChar w:fldCharType="separate"/>
      </w:r>
      <w:r>
        <w:rPr>
          <w:rFonts w:ascii="Times New Roman"/>
          <w:snapToGrid w:val="0"/>
        </w:rPr>
        <w:t>第四节 否决投标条件</w:t>
      </w:r>
      <w:r>
        <w:tab/>
      </w:r>
      <w:r>
        <w:fldChar w:fldCharType="begin"/>
      </w:r>
      <w:r>
        <w:instrText xml:space="preserve"> PAGEREF _Toc6855 \h </w:instrText>
      </w:r>
      <w:r>
        <w:fldChar w:fldCharType="separate"/>
      </w:r>
      <w:r>
        <w:t>37</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_Toc8247 </w:instrText>
      </w:r>
      <w:r>
        <w:rPr>
          <w:rFonts w:ascii="Times New Roman"/>
          <w:snapToGrid w:val="0"/>
          <w:kern w:val="0"/>
        </w:rPr>
        <w:fldChar w:fldCharType="separate"/>
      </w:r>
      <w:r>
        <w:rPr>
          <w:rFonts w:ascii="Times New Roman"/>
          <w:snapToGrid w:val="0"/>
        </w:rPr>
        <w:t>1．资格评审环节</w:t>
      </w:r>
      <w:r>
        <w:tab/>
      </w:r>
      <w:r>
        <w:fldChar w:fldCharType="begin"/>
      </w:r>
      <w:r>
        <w:instrText xml:space="preserve"> PAGEREF _Toc8247 \h </w:instrText>
      </w:r>
      <w:r>
        <w:fldChar w:fldCharType="separate"/>
      </w:r>
      <w:r>
        <w:t>37</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_Toc15977 </w:instrText>
      </w:r>
      <w:r>
        <w:rPr>
          <w:rFonts w:ascii="Times New Roman"/>
          <w:snapToGrid w:val="0"/>
          <w:kern w:val="0"/>
        </w:rPr>
        <w:fldChar w:fldCharType="separate"/>
      </w:r>
      <w:r>
        <w:rPr>
          <w:rFonts w:ascii="Times New Roman"/>
          <w:snapToGrid w:val="0"/>
        </w:rPr>
        <w:t>2．形式评审环节</w:t>
      </w:r>
      <w:r>
        <w:tab/>
      </w:r>
      <w:r>
        <w:fldChar w:fldCharType="begin"/>
      </w:r>
      <w:r>
        <w:instrText xml:space="preserve"> PAGEREF _Toc15977 \h </w:instrText>
      </w:r>
      <w:r>
        <w:fldChar w:fldCharType="separate"/>
      </w:r>
      <w:r>
        <w:t>38</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_Toc15294 </w:instrText>
      </w:r>
      <w:r>
        <w:rPr>
          <w:rFonts w:ascii="Times New Roman"/>
          <w:snapToGrid w:val="0"/>
          <w:kern w:val="0"/>
        </w:rPr>
        <w:fldChar w:fldCharType="separate"/>
      </w:r>
      <w:r>
        <w:rPr>
          <w:rFonts w:ascii="Times New Roman"/>
          <w:snapToGrid w:val="0"/>
        </w:rPr>
        <w:t>3．响应性评审环节</w:t>
      </w:r>
      <w:r>
        <w:tab/>
      </w:r>
      <w:r>
        <w:fldChar w:fldCharType="begin"/>
      </w:r>
      <w:r>
        <w:instrText xml:space="preserve"> PAGEREF _Toc15294 \h </w:instrText>
      </w:r>
      <w:r>
        <w:fldChar w:fldCharType="separate"/>
      </w:r>
      <w:r>
        <w:t>39</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_Toc20915 </w:instrText>
      </w:r>
      <w:r>
        <w:rPr>
          <w:rFonts w:ascii="Times New Roman"/>
          <w:snapToGrid w:val="0"/>
          <w:kern w:val="0"/>
        </w:rPr>
        <w:fldChar w:fldCharType="separate"/>
      </w:r>
      <w:r>
        <w:rPr>
          <w:rFonts w:ascii="Times New Roman"/>
          <w:snapToGrid w:val="0"/>
        </w:rPr>
        <w:t>4．其他</w:t>
      </w:r>
      <w:r>
        <w:tab/>
      </w:r>
      <w:r>
        <w:fldChar w:fldCharType="begin"/>
      </w:r>
      <w:r>
        <w:instrText xml:space="preserve"> PAGEREF _Toc20915 \h </w:instrText>
      </w:r>
      <w:r>
        <w:fldChar w:fldCharType="separate"/>
      </w:r>
      <w:r>
        <w:t>39</w:t>
      </w:r>
      <w:r>
        <w:fldChar w:fldCharType="end"/>
      </w:r>
      <w:r>
        <w:rPr>
          <w:rFonts w:ascii="Times New Roman"/>
          <w:snapToGrid w:val="0"/>
          <w:kern w:val="0"/>
        </w:rPr>
        <w:fldChar w:fldCharType="end"/>
      </w:r>
    </w:p>
    <w:p>
      <w:pPr>
        <w:pStyle w:val="14"/>
        <w:tabs>
          <w:tab w:val="right" w:leader="dot" w:pos="8844"/>
        </w:tabs>
      </w:pPr>
      <w:r>
        <w:rPr>
          <w:rFonts w:ascii="Times New Roman"/>
          <w:snapToGrid w:val="0"/>
          <w:kern w:val="0"/>
        </w:rPr>
        <w:fldChar w:fldCharType="begin"/>
      </w:r>
      <w:r>
        <w:rPr>
          <w:rFonts w:ascii="Times New Roman"/>
          <w:snapToGrid w:val="0"/>
          <w:kern w:val="0"/>
        </w:rPr>
        <w:instrText xml:space="preserve"> HYPERLINK \l _Toc25834 </w:instrText>
      </w:r>
      <w:r>
        <w:rPr>
          <w:rFonts w:ascii="Times New Roman"/>
          <w:snapToGrid w:val="0"/>
          <w:kern w:val="0"/>
        </w:rPr>
        <w:fldChar w:fldCharType="separate"/>
      </w:r>
      <w:r>
        <w:rPr>
          <w:rFonts w:ascii="Times New Roman"/>
          <w:snapToGrid w:val="0"/>
        </w:rPr>
        <w:t>第二章 中标人须知</w:t>
      </w:r>
      <w:r>
        <w:tab/>
      </w:r>
      <w:r>
        <w:fldChar w:fldCharType="begin"/>
      </w:r>
      <w:r>
        <w:instrText xml:space="preserve"> PAGEREF _Toc25834 \h </w:instrText>
      </w:r>
      <w:r>
        <w:fldChar w:fldCharType="separate"/>
      </w:r>
      <w:r>
        <w:t>41</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_Toc28464 </w:instrText>
      </w:r>
      <w:r>
        <w:rPr>
          <w:rFonts w:ascii="Times New Roman"/>
          <w:snapToGrid w:val="0"/>
          <w:kern w:val="0"/>
        </w:rPr>
        <w:fldChar w:fldCharType="separate"/>
      </w:r>
      <w:r>
        <w:rPr>
          <w:rFonts w:ascii="Times New Roman"/>
          <w:snapToGrid w:val="0"/>
        </w:rPr>
        <w:t>1．中标通知书</w:t>
      </w:r>
      <w:r>
        <w:tab/>
      </w:r>
      <w:r>
        <w:fldChar w:fldCharType="begin"/>
      </w:r>
      <w:r>
        <w:instrText xml:space="preserve"> PAGEREF _Toc28464 \h </w:instrText>
      </w:r>
      <w:r>
        <w:fldChar w:fldCharType="separate"/>
      </w:r>
      <w:r>
        <w:t>41</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_Toc31501 </w:instrText>
      </w:r>
      <w:r>
        <w:rPr>
          <w:rFonts w:ascii="Times New Roman"/>
          <w:snapToGrid w:val="0"/>
          <w:kern w:val="0"/>
        </w:rPr>
        <w:fldChar w:fldCharType="separate"/>
      </w:r>
      <w:r>
        <w:rPr>
          <w:rFonts w:ascii="Times New Roman"/>
          <w:snapToGrid w:val="0"/>
        </w:rPr>
        <w:t>2．中标结果公示</w:t>
      </w:r>
      <w:r>
        <w:tab/>
      </w:r>
      <w:r>
        <w:fldChar w:fldCharType="begin"/>
      </w:r>
      <w:r>
        <w:instrText xml:space="preserve"> PAGEREF _Toc31501 \h </w:instrText>
      </w:r>
      <w:r>
        <w:fldChar w:fldCharType="separate"/>
      </w:r>
      <w:r>
        <w:t>41</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_Toc13336 </w:instrText>
      </w:r>
      <w:r>
        <w:rPr>
          <w:rFonts w:ascii="Times New Roman"/>
          <w:snapToGrid w:val="0"/>
          <w:kern w:val="0"/>
        </w:rPr>
        <w:fldChar w:fldCharType="separate"/>
      </w:r>
      <w:r>
        <w:rPr>
          <w:rFonts w:ascii="Times New Roman"/>
          <w:snapToGrid w:val="0"/>
        </w:rPr>
        <w:t>3．履约保证</w:t>
      </w:r>
      <w:r>
        <w:tab/>
      </w:r>
      <w:r>
        <w:fldChar w:fldCharType="begin"/>
      </w:r>
      <w:r>
        <w:instrText xml:space="preserve"> PAGEREF _Toc13336 \h </w:instrText>
      </w:r>
      <w:r>
        <w:fldChar w:fldCharType="separate"/>
      </w:r>
      <w:r>
        <w:t>41</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_Toc7426 </w:instrText>
      </w:r>
      <w:r>
        <w:rPr>
          <w:rFonts w:ascii="Times New Roman"/>
          <w:snapToGrid w:val="0"/>
          <w:kern w:val="0"/>
        </w:rPr>
        <w:fldChar w:fldCharType="separate"/>
      </w:r>
      <w:r>
        <w:rPr>
          <w:rFonts w:ascii="Times New Roman"/>
          <w:snapToGrid w:val="0"/>
        </w:rPr>
        <w:t>4．合同订立</w:t>
      </w:r>
      <w:r>
        <w:tab/>
      </w:r>
      <w:r>
        <w:fldChar w:fldCharType="begin"/>
      </w:r>
      <w:r>
        <w:instrText xml:space="preserve"> PAGEREF _Toc7426 \h </w:instrText>
      </w:r>
      <w:r>
        <w:fldChar w:fldCharType="separate"/>
      </w:r>
      <w:r>
        <w:t>42</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_Toc26708 </w:instrText>
      </w:r>
      <w:r>
        <w:rPr>
          <w:rFonts w:ascii="Times New Roman"/>
          <w:snapToGrid w:val="0"/>
          <w:kern w:val="0"/>
        </w:rPr>
        <w:fldChar w:fldCharType="separate"/>
      </w:r>
      <w:r>
        <w:rPr>
          <w:rFonts w:ascii="Times New Roman"/>
          <w:snapToGrid w:val="0"/>
        </w:rPr>
        <w:t>5．放弃中标的处理</w:t>
      </w:r>
      <w:r>
        <w:tab/>
      </w:r>
      <w:r>
        <w:fldChar w:fldCharType="begin"/>
      </w:r>
      <w:r>
        <w:instrText xml:space="preserve"> PAGEREF _Toc26708 \h </w:instrText>
      </w:r>
      <w:r>
        <w:fldChar w:fldCharType="separate"/>
      </w:r>
      <w:r>
        <w:t>43</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_Toc28062 </w:instrText>
      </w:r>
      <w:r>
        <w:rPr>
          <w:rFonts w:ascii="Times New Roman"/>
          <w:snapToGrid w:val="0"/>
          <w:kern w:val="0"/>
        </w:rPr>
        <w:fldChar w:fldCharType="separate"/>
      </w:r>
      <w:r>
        <w:rPr>
          <w:rFonts w:ascii="Times New Roman"/>
          <w:snapToGrid w:val="0"/>
        </w:rPr>
        <w:t>6．专业工程分包</w:t>
      </w:r>
      <w:r>
        <w:tab/>
      </w:r>
      <w:r>
        <w:fldChar w:fldCharType="begin"/>
      </w:r>
      <w:r>
        <w:instrText xml:space="preserve"> PAGEREF _Toc28062 \h </w:instrText>
      </w:r>
      <w:r>
        <w:fldChar w:fldCharType="separate"/>
      </w:r>
      <w:r>
        <w:t>43</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_Toc31662 </w:instrText>
      </w:r>
      <w:r>
        <w:rPr>
          <w:rFonts w:ascii="Times New Roman"/>
          <w:snapToGrid w:val="0"/>
          <w:kern w:val="0"/>
        </w:rPr>
        <w:fldChar w:fldCharType="separate"/>
      </w:r>
      <w:r>
        <w:rPr>
          <w:rFonts w:ascii="Times New Roman"/>
          <w:snapToGrid w:val="0"/>
        </w:rPr>
        <w:t>7．工人工资支付专用账户</w:t>
      </w:r>
      <w:r>
        <w:tab/>
      </w:r>
      <w:r>
        <w:fldChar w:fldCharType="begin"/>
      </w:r>
      <w:r>
        <w:instrText xml:space="preserve"> PAGEREF _Toc31662 \h </w:instrText>
      </w:r>
      <w:r>
        <w:fldChar w:fldCharType="separate"/>
      </w:r>
      <w:r>
        <w:t>44</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_Toc15527 </w:instrText>
      </w:r>
      <w:r>
        <w:rPr>
          <w:rFonts w:ascii="Times New Roman"/>
          <w:snapToGrid w:val="0"/>
          <w:kern w:val="0"/>
        </w:rPr>
        <w:fldChar w:fldCharType="separate"/>
      </w:r>
      <w:r>
        <w:rPr>
          <w:rFonts w:ascii="Times New Roman"/>
          <w:snapToGrid w:val="0"/>
        </w:rPr>
        <w:t>8．诚信登记</w:t>
      </w:r>
      <w:r>
        <w:tab/>
      </w:r>
      <w:r>
        <w:fldChar w:fldCharType="begin"/>
      </w:r>
      <w:r>
        <w:instrText xml:space="preserve"> PAGEREF _Toc15527 \h </w:instrText>
      </w:r>
      <w:r>
        <w:fldChar w:fldCharType="separate"/>
      </w:r>
      <w:r>
        <w:t>44</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_Toc10607 </w:instrText>
      </w:r>
      <w:r>
        <w:rPr>
          <w:rFonts w:ascii="Times New Roman"/>
          <w:snapToGrid w:val="0"/>
          <w:kern w:val="0"/>
        </w:rPr>
        <w:fldChar w:fldCharType="separate"/>
      </w:r>
      <w:r>
        <w:rPr>
          <w:rFonts w:ascii="Times New Roman"/>
          <w:snapToGrid w:val="0"/>
        </w:rPr>
        <w:t>9．工期进度</w:t>
      </w:r>
      <w:r>
        <w:tab/>
      </w:r>
      <w:r>
        <w:fldChar w:fldCharType="begin"/>
      </w:r>
      <w:r>
        <w:instrText xml:space="preserve"> PAGEREF _Toc10607 \h </w:instrText>
      </w:r>
      <w:r>
        <w:fldChar w:fldCharType="separate"/>
      </w:r>
      <w:r>
        <w:t>44</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_Toc16501 </w:instrText>
      </w:r>
      <w:r>
        <w:rPr>
          <w:rFonts w:ascii="Times New Roman"/>
          <w:snapToGrid w:val="0"/>
          <w:kern w:val="0"/>
        </w:rPr>
        <w:fldChar w:fldCharType="separate"/>
      </w:r>
      <w:r>
        <w:rPr>
          <w:rFonts w:ascii="Times New Roman"/>
          <w:snapToGrid w:val="0"/>
        </w:rPr>
        <w:t>10．项目管理机构</w:t>
      </w:r>
      <w:r>
        <w:tab/>
      </w:r>
      <w:r>
        <w:fldChar w:fldCharType="begin"/>
      </w:r>
      <w:r>
        <w:instrText xml:space="preserve"> PAGEREF _Toc16501 \h </w:instrText>
      </w:r>
      <w:r>
        <w:fldChar w:fldCharType="separate"/>
      </w:r>
      <w:r>
        <w:t>44</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_Toc24052 </w:instrText>
      </w:r>
      <w:r>
        <w:rPr>
          <w:rFonts w:ascii="Times New Roman"/>
          <w:snapToGrid w:val="0"/>
          <w:kern w:val="0"/>
        </w:rPr>
        <w:fldChar w:fldCharType="separate"/>
      </w:r>
      <w:r>
        <w:rPr>
          <w:rFonts w:ascii="Times New Roman"/>
          <w:snapToGrid w:val="0"/>
        </w:rPr>
        <w:t>11．现场管理</w:t>
      </w:r>
      <w:r>
        <w:tab/>
      </w:r>
      <w:r>
        <w:fldChar w:fldCharType="begin"/>
      </w:r>
      <w:r>
        <w:instrText xml:space="preserve"> PAGEREF _Toc24052 \h </w:instrText>
      </w:r>
      <w:r>
        <w:fldChar w:fldCharType="separate"/>
      </w:r>
      <w:r>
        <w:t>45</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_Toc11693 </w:instrText>
      </w:r>
      <w:r>
        <w:rPr>
          <w:rFonts w:ascii="Times New Roman"/>
          <w:snapToGrid w:val="0"/>
          <w:kern w:val="0"/>
        </w:rPr>
        <w:fldChar w:fldCharType="separate"/>
      </w:r>
      <w:r>
        <w:rPr>
          <w:rFonts w:ascii="Times New Roman"/>
          <w:snapToGrid w:val="0"/>
        </w:rPr>
        <w:t>12．监督实施</w:t>
      </w:r>
      <w:r>
        <w:tab/>
      </w:r>
      <w:r>
        <w:fldChar w:fldCharType="begin"/>
      </w:r>
      <w:r>
        <w:instrText xml:space="preserve"> PAGEREF _Toc11693 \h </w:instrText>
      </w:r>
      <w:r>
        <w:fldChar w:fldCharType="separate"/>
      </w:r>
      <w:r>
        <w:t>45</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_Toc5648 </w:instrText>
      </w:r>
      <w:r>
        <w:rPr>
          <w:rFonts w:ascii="Times New Roman"/>
          <w:snapToGrid w:val="0"/>
          <w:kern w:val="0"/>
        </w:rPr>
        <w:fldChar w:fldCharType="separate"/>
      </w:r>
      <w:r>
        <w:rPr>
          <w:rFonts w:ascii="Times New Roman"/>
          <w:snapToGrid w:val="0"/>
        </w:rPr>
        <w:t>13．主材的采购和使用</w:t>
      </w:r>
      <w:r>
        <w:tab/>
      </w:r>
      <w:r>
        <w:fldChar w:fldCharType="begin"/>
      </w:r>
      <w:r>
        <w:instrText xml:space="preserve"> PAGEREF _Toc5648 \h </w:instrText>
      </w:r>
      <w:r>
        <w:fldChar w:fldCharType="separate"/>
      </w:r>
      <w:r>
        <w:t>45</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_Toc9649 </w:instrText>
      </w:r>
      <w:r>
        <w:rPr>
          <w:rFonts w:ascii="Times New Roman"/>
          <w:snapToGrid w:val="0"/>
          <w:kern w:val="0"/>
        </w:rPr>
        <w:fldChar w:fldCharType="separate"/>
      </w:r>
      <w:r>
        <w:rPr>
          <w:rFonts w:ascii="Times New Roman"/>
          <w:snapToGrid w:val="0"/>
        </w:rPr>
        <w:t>14．竣工资料移交</w:t>
      </w:r>
      <w:r>
        <w:tab/>
      </w:r>
      <w:r>
        <w:fldChar w:fldCharType="begin"/>
      </w:r>
      <w:r>
        <w:instrText xml:space="preserve"> PAGEREF _Toc9649 \h </w:instrText>
      </w:r>
      <w:r>
        <w:fldChar w:fldCharType="separate"/>
      </w:r>
      <w:r>
        <w:t>46</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_Toc28195 </w:instrText>
      </w:r>
      <w:r>
        <w:rPr>
          <w:rFonts w:ascii="Times New Roman"/>
          <w:snapToGrid w:val="0"/>
          <w:kern w:val="0"/>
        </w:rPr>
        <w:fldChar w:fldCharType="separate"/>
      </w:r>
      <w:r>
        <w:rPr>
          <w:rFonts w:ascii="Times New Roman"/>
          <w:snapToGrid w:val="0"/>
        </w:rPr>
        <w:t>15．质量保证</w:t>
      </w:r>
      <w:r>
        <w:tab/>
      </w:r>
      <w:r>
        <w:fldChar w:fldCharType="begin"/>
      </w:r>
      <w:r>
        <w:instrText xml:space="preserve"> PAGEREF _Toc28195 \h </w:instrText>
      </w:r>
      <w:r>
        <w:fldChar w:fldCharType="separate"/>
      </w:r>
      <w:r>
        <w:t>46</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_Toc31164 </w:instrText>
      </w:r>
      <w:r>
        <w:rPr>
          <w:rFonts w:ascii="Times New Roman"/>
          <w:snapToGrid w:val="0"/>
          <w:kern w:val="0"/>
        </w:rPr>
        <w:fldChar w:fldCharType="separate"/>
      </w:r>
      <w:r>
        <w:rPr>
          <w:rFonts w:ascii="Times New Roman"/>
          <w:snapToGrid w:val="0"/>
        </w:rPr>
        <w:t>16．不良行为处理</w:t>
      </w:r>
      <w:r>
        <w:tab/>
      </w:r>
      <w:r>
        <w:fldChar w:fldCharType="begin"/>
      </w:r>
      <w:r>
        <w:instrText xml:space="preserve"> PAGEREF _Toc31164 \h </w:instrText>
      </w:r>
      <w:r>
        <w:fldChar w:fldCharType="separate"/>
      </w:r>
      <w:r>
        <w:t>46</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_Toc1877 </w:instrText>
      </w:r>
      <w:r>
        <w:rPr>
          <w:rFonts w:ascii="Times New Roman"/>
          <w:snapToGrid w:val="0"/>
          <w:kern w:val="0"/>
        </w:rPr>
        <w:fldChar w:fldCharType="separate"/>
      </w:r>
      <w:r>
        <w:rPr>
          <w:rFonts w:ascii="Times New Roman"/>
          <w:snapToGrid w:val="0"/>
        </w:rPr>
        <w:t>17．信用评价条款内容</w:t>
      </w:r>
      <w:r>
        <w:tab/>
      </w:r>
      <w:r>
        <w:fldChar w:fldCharType="begin"/>
      </w:r>
      <w:r>
        <w:instrText xml:space="preserve"> PAGEREF _Toc1877 \h </w:instrText>
      </w:r>
      <w:r>
        <w:fldChar w:fldCharType="separate"/>
      </w:r>
      <w:r>
        <w:t>47</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_Toc28618 </w:instrText>
      </w:r>
      <w:r>
        <w:rPr>
          <w:rFonts w:ascii="Times New Roman"/>
          <w:snapToGrid w:val="0"/>
          <w:kern w:val="0"/>
        </w:rPr>
        <w:fldChar w:fldCharType="separate"/>
      </w:r>
      <w:r>
        <w:rPr>
          <w:rFonts w:ascii="Times New Roman"/>
          <w:snapToGrid w:val="0"/>
        </w:rPr>
        <w:t>18．其他事项</w:t>
      </w:r>
      <w:r>
        <w:tab/>
      </w:r>
      <w:r>
        <w:fldChar w:fldCharType="begin"/>
      </w:r>
      <w:r>
        <w:instrText xml:space="preserve"> PAGEREF _Toc28618 \h </w:instrText>
      </w:r>
      <w:r>
        <w:fldChar w:fldCharType="separate"/>
      </w:r>
      <w:r>
        <w:t>47</w:t>
      </w:r>
      <w:r>
        <w:fldChar w:fldCharType="end"/>
      </w:r>
      <w:r>
        <w:rPr>
          <w:rFonts w:ascii="Times New Roman"/>
          <w:snapToGrid w:val="0"/>
          <w:kern w:val="0"/>
        </w:rPr>
        <w:fldChar w:fldCharType="end"/>
      </w:r>
    </w:p>
    <w:p>
      <w:pPr>
        <w:pStyle w:val="14"/>
        <w:tabs>
          <w:tab w:val="right" w:leader="dot" w:pos="8844"/>
        </w:tabs>
      </w:pPr>
      <w:r>
        <w:rPr>
          <w:rFonts w:ascii="Times New Roman"/>
          <w:snapToGrid w:val="0"/>
          <w:kern w:val="0"/>
        </w:rPr>
        <w:fldChar w:fldCharType="begin"/>
      </w:r>
      <w:r>
        <w:rPr>
          <w:rFonts w:ascii="Times New Roman"/>
          <w:snapToGrid w:val="0"/>
          <w:kern w:val="0"/>
        </w:rPr>
        <w:instrText xml:space="preserve"> HYPERLINK \l _Toc23392 </w:instrText>
      </w:r>
      <w:r>
        <w:rPr>
          <w:rFonts w:ascii="Times New Roman"/>
          <w:snapToGrid w:val="0"/>
          <w:kern w:val="0"/>
        </w:rPr>
        <w:fldChar w:fldCharType="separate"/>
      </w:r>
      <w:r>
        <w:rPr>
          <w:rFonts w:ascii="Times New Roman"/>
          <w:snapToGrid w:val="0"/>
        </w:rPr>
        <w:t xml:space="preserve">第三章 拟签订合同的主要条款 </w:t>
      </w:r>
      <w:r>
        <w:tab/>
      </w:r>
      <w:r>
        <w:fldChar w:fldCharType="begin"/>
      </w:r>
      <w:r>
        <w:instrText xml:space="preserve"> PAGEREF _Toc23392 \h </w:instrText>
      </w:r>
      <w:r>
        <w:fldChar w:fldCharType="separate"/>
      </w:r>
      <w:r>
        <w:t>49</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_Toc24495 </w:instrText>
      </w:r>
      <w:r>
        <w:rPr>
          <w:rFonts w:ascii="Times New Roman"/>
          <w:snapToGrid w:val="0"/>
          <w:kern w:val="0"/>
        </w:rPr>
        <w:fldChar w:fldCharType="separate"/>
      </w:r>
      <w:r>
        <w:rPr>
          <w:rFonts w:ascii="Times New Roman"/>
          <w:snapToGrid w:val="0"/>
        </w:rPr>
        <w:t>1．工程承包方式</w:t>
      </w:r>
      <w:r>
        <w:tab/>
      </w:r>
      <w:r>
        <w:fldChar w:fldCharType="begin"/>
      </w:r>
      <w:r>
        <w:instrText xml:space="preserve"> PAGEREF _Toc24495 \h </w:instrText>
      </w:r>
      <w:r>
        <w:fldChar w:fldCharType="separate"/>
      </w:r>
      <w:r>
        <w:t>49</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_Toc7100 </w:instrText>
      </w:r>
      <w:r>
        <w:rPr>
          <w:rFonts w:ascii="Times New Roman"/>
          <w:snapToGrid w:val="0"/>
          <w:kern w:val="0"/>
        </w:rPr>
        <w:fldChar w:fldCharType="separate"/>
      </w:r>
      <w:r>
        <w:rPr>
          <w:rFonts w:ascii="Times New Roman"/>
          <w:snapToGrid w:val="0"/>
        </w:rPr>
        <w:t>2．工程结算原则</w:t>
      </w:r>
      <w:r>
        <w:tab/>
      </w:r>
      <w:r>
        <w:fldChar w:fldCharType="begin"/>
      </w:r>
      <w:r>
        <w:instrText xml:space="preserve"> PAGEREF _Toc7100 \h </w:instrText>
      </w:r>
      <w:r>
        <w:fldChar w:fldCharType="separate"/>
      </w:r>
      <w:r>
        <w:t>49</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_Toc29207 </w:instrText>
      </w:r>
      <w:r>
        <w:rPr>
          <w:rFonts w:ascii="Times New Roman"/>
          <w:snapToGrid w:val="0"/>
          <w:kern w:val="0"/>
        </w:rPr>
        <w:fldChar w:fldCharType="separate"/>
      </w:r>
      <w:r>
        <w:rPr>
          <w:rFonts w:ascii="Times New Roman"/>
          <w:snapToGrid w:val="0"/>
          <w:szCs w:val="22"/>
        </w:rPr>
        <w:t>3．工程付款办法</w:t>
      </w:r>
      <w:r>
        <w:tab/>
      </w:r>
      <w:r>
        <w:fldChar w:fldCharType="begin"/>
      </w:r>
      <w:r>
        <w:instrText xml:space="preserve"> PAGEREF _Toc29207 \h </w:instrText>
      </w:r>
      <w:r>
        <w:fldChar w:fldCharType="separate"/>
      </w:r>
      <w:r>
        <w:t>56</w:t>
      </w:r>
      <w:r>
        <w:fldChar w:fldCharType="end"/>
      </w:r>
      <w:r>
        <w:rPr>
          <w:rFonts w:ascii="Times New Roman"/>
          <w:snapToGrid w:val="0"/>
          <w:kern w:val="0"/>
        </w:rPr>
        <w:fldChar w:fldCharType="end"/>
      </w:r>
    </w:p>
    <w:p>
      <w:pPr>
        <w:pStyle w:val="16"/>
        <w:tabs>
          <w:tab w:val="right" w:leader="dot" w:pos="8844"/>
        </w:tabs>
      </w:pPr>
      <w:r>
        <w:rPr>
          <w:rFonts w:ascii="Times New Roman"/>
          <w:snapToGrid w:val="0"/>
          <w:kern w:val="0"/>
        </w:rPr>
        <w:fldChar w:fldCharType="begin"/>
      </w:r>
      <w:r>
        <w:rPr>
          <w:rFonts w:ascii="Times New Roman"/>
          <w:snapToGrid w:val="0"/>
          <w:kern w:val="0"/>
        </w:rPr>
        <w:instrText xml:space="preserve"> HYPERLINK \l _Toc24373 </w:instrText>
      </w:r>
      <w:r>
        <w:rPr>
          <w:rFonts w:ascii="Times New Roman"/>
          <w:snapToGrid w:val="0"/>
          <w:kern w:val="0"/>
        </w:rPr>
        <w:fldChar w:fldCharType="separate"/>
      </w:r>
      <w:r>
        <w:rPr>
          <w:rFonts w:ascii="Times New Roman"/>
          <w:snapToGrid w:val="0"/>
          <w:szCs w:val="22"/>
        </w:rPr>
        <w:t>4．专用合同条款</w:t>
      </w:r>
      <w:r>
        <w:tab/>
      </w:r>
      <w:r>
        <w:fldChar w:fldCharType="begin"/>
      </w:r>
      <w:r>
        <w:instrText xml:space="preserve"> PAGEREF _Toc24373 \h </w:instrText>
      </w:r>
      <w:r>
        <w:fldChar w:fldCharType="separate"/>
      </w:r>
      <w:r>
        <w:t>58</w:t>
      </w:r>
      <w:r>
        <w:fldChar w:fldCharType="end"/>
      </w:r>
      <w:r>
        <w:rPr>
          <w:rFonts w:ascii="Times New Roman"/>
          <w:snapToGrid w:val="0"/>
          <w:kern w:val="0"/>
        </w:rPr>
        <w:fldChar w:fldCharType="end"/>
      </w:r>
    </w:p>
    <w:p>
      <w:pPr>
        <w:pStyle w:val="14"/>
        <w:tabs>
          <w:tab w:val="right" w:leader="dot" w:pos="8844"/>
        </w:tabs>
      </w:pPr>
      <w:r>
        <w:rPr>
          <w:rFonts w:ascii="Times New Roman"/>
          <w:snapToGrid w:val="0"/>
          <w:kern w:val="0"/>
        </w:rPr>
        <w:fldChar w:fldCharType="begin"/>
      </w:r>
      <w:r>
        <w:rPr>
          <w:rFonts w:ascii="Times New Roman"/>
          <w:snapToGrid w:val="0"/>
          <w:kern w:val="0"/>
        </w:rPr>
        <w:instrText xml:space="preserve"> HYPERLINK \l _Toc22587 </w:instrText>
      </w:r>
      <w:r>
        <w:rPr>
          <w:rFonts w:ascii="Times New Roman"/>
          <w:snapToGrid w:val="0"/>
          <w:kern w:val="0"/>
        </w:rPr>
        <w:fldChar w:fldCharType="separate"/>
      </w:r>
      <w:r>
        <w:rPr>
          <w:rFonts w:ascii="Times New Roman"/>
          <w:snapToGrid w:val="0"/>
        </w:rPr>
        <w:t>第四章 技术要求</w:t>
      </w:r>
      <w:r>
        <w:tab/>
      </w:r>
      <w:r>
        <w:fldChar w:fldCharType="begin"/>
      </w:r>
      <w:r>
        <w:instrText xml:space="preserve"> PAGEREF _Toc22587 \h </w:instrText>
      </w:r>
      <w:r>
        <w:fldChar w:fldCharType="separate"/>
      </w:r>
      <w:r>
        <w:t>60</w:t>
      </w:r>
      <w:r>
        <w:fldChar w:fldCharType="end"/>
      </w:r>
      <w:r>
        <w:rPr>
          <w:rFonts w:ascii="Times New Roman"/>
          <w:snapToGrid w:val="0"/>
          <w:kern w:val="0"/>
        </w:rPr>
        <w:fldChar w:fldCharType="end"/>
      </w:r>
    </w:p>
    <w:p>
      <w:pPr>
        <w:pStyle w:val="14"/>
        <w:tabs>
          <w:tab w:val="right" w:leader="dot" w:pos="8844"/>
        </w:tabs>
      </w:pPr>
      <w:r>
        <w:rPr>
          <w:rFonts w:ascii="Times New Roman"/>
          <w:snapToGrid w:val="0"/>
          <w:kern w:val="0"/>
        </w:rPr>
        <w:fldChar w:fldCharType="begin"/>
      </w:r>
      <w:r>
        <w:rPr>
          <w:rFonts w:ascii="Times New Roman"/>
          <w:snapToGrid w:val="0"/>
          <w:kern w:val="0"/>
        </w:rPr>
        <w:instrText xml:space="preserve"> HYPERLINK \l _Toc14646 </w:instrText>
      </w:r>
      <w:r>
        <w:rPr>
          <w:rFonts w:ascii="Times New Roman"/>
          <w:snapToGrid w:val="0"/>
          <w:kern w:val="0"/>
        </w:rPr>
        <w:fldChar w:fldCharType="separate"/>
      </w:r>
      <w:r>
        <w:rPr>
          <w:rFonts w:ascii="Times New Roman"/>
          <w:snapToGrid w:val="0"/>
        </w:rPr>
        <w:t>第五章 图纸和招标工程量清单</w:t>
      </w:r>
      <w:r>
        <w:tab/>
      </w:r>
      <w:r>
        <w:fldChar w:fldCharType="begin"/>
      </w:r>
      <w:r>
        <w:instrText xml:space="preserve"> PAGEREF _Toc14646 \h </w:instrText>
      </w:r>
      <w:r>
        <w:fldChar w:fldCharType="separate"/>
      </w:r>
      <w:r>
        <w:t>63</w:t>
      </w:r>
      <w:r>
        <w:fldChar w:fldCharType="end"/>
      </w:r>
      <w:r>
        <w:rPr>
          <w:rFonts w:ascii="Times New Roman"/>
          <w:snapToGrid w:val="0"/>
          <w:kern w:val="0"/>
        </w:rPr>
        <w:fldChar w:fldCharType="end"/>
      </w:r>
    </w:p>
    <w:p>
      <w:pPr>
        <w:pStyle w:val="14"/>
        <w:tabs>
          <w:tab w:val="right" w:leader="dot" w:pos="8844"/>
        </w:tabs>
      </w:pPr>
      <w:r>
        <w:rPr>
          <w:rFonts w:ascii="Times New Roman"/>
          <w:snapToGrid w:val="0"/>
          <w:kern w:val="0"/>
        </w:rPr>
        <w:fldChar w:fldCharType="begin"/>
      </w:r>
      <w:r>
        <w:rPr>
          <w:rFonts w:ascii="Times New Roman"/>
          <w:snapToGrid w:val="0"/>
          <w:kern w:val="0"/>
        </w:rPr>
        <w:instrText xml:space="preserve"> HYPERLINK \l _Toc19091 </w:instrText>
      </w:r>
      <w:r>
        <w:rPr>
          <w:rFonts w:ascii="Times New Roman"/>
          <w:snapToGrid w:val="0"/>
          <w:kern w:val="0"/>
        </w:rPr>
        <w:fldChar w:fldCharType="separate"/>
      </w:r>
      <w:r>
        <w:rPr>
          <w:rFonts w:ascii="Times New Roman"/>
          <w:snapToGrid w:val="0"/>
        </w:rPr>
        <w:t xml:space="preserve">第六章 投标文件格式 </w:t>
      </w:r>
      <w:r>
        <w:tab/>
      </w:r>
      <w:r>
        <w:fldChar w:fldCharType="begin"/>
      </w:r>
      <w:r>
        <w:instrText xml:space="preserve"> PAGEREF _Toc19091 \h </w:instrText>
      </w:r>
      <w:r>
        <w:fldChar w:fldCharType="separate"/>
      </w:r>
      <w:r>
        <w:t>64</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_Toc28738 </w:instrText>
      </w:r>
      <w:r>
        <w:rPr>
          <w:rFonts w:ascii="Times New Roman"/>
          <w:snapToGrid w:val="0"/>
          <w:kern w:val="0"/>
        </w:rPr>
        <w:fldChar w:fldCharType="separate"/>
      </w:r>
      <w:r>
        <w:rPr>
          <w:snapToGrid w:val="0"/>
        </w:rPr>
        <w:t>格式一 封面</w:t>
      </w:r>
      <w:r>
        <w:tab/>
      </w:r>
      <w:r>
        <w:fldChar w:fldCharType="begin"/>
      </w:r>
      <w:r>
        <w:instrText xml:space="preserve"> PAGEREF _Toc28738 \h </w:instrText>
      </w:r>
      <w:r>
        <w:fldChar w:fldCharType="separate"/>
      </w:r>
      <w:r>
        <w:t>64</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_Toc19921 </w:instrText>
      </w:r>
      <w:r>
        <w:rPr>
          <w:rFonts w:ascii="Times New Roman"/>
          <w:snapToGrid w:val="0"/>
          <w:kern w:val="0"/>
        </w:rPr>
        <w:fldChar w:fldCharType="separate"/>
      </w:r>
      <w:r>
        <w:rPr>
          <w:rFonts w:ascii="Times New Roman"/>
          <w:snapToGrid w:val="0"/>
        </w:rPr>
        <w:t>格式二（1） 投标函</w:t>
      </w:r>
      <w:r>
        <w:tab/>
      </w:r>
      <w:r>
        <w:fldChar w:fldCharType="begin"/>
      </w:r>
      <w:r>
        <w:instrText xml:space="preserve"> PAGEREF _Toc19921 \h </w:instrText>
      </w:r>
      <w:r>
        <w:fldChar w:fldCharType="separate"/>
      </w:r>
      <w:r>
        <w:t>66</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_Toc30077 </w:instrText>
      </w:r>
      <w:r>
        <w:rPr>
          <w:rFonts w:ascii="Times New Roman"/>
          <w:snapToGrid w:val="0"/>
          <w:kern w:val="0"/>
        </w:rPr>
        <w:fldChar w:fldCharType="separate"/>
      </w:r>
      <w:r>
        <w:rPr>
          <w:rFonts w:ascii="Times New Roman"/>
          <w:snapToGrid w:val="0"/>
        </w:rPr>
        <w:t>格式二（2）投标函附表</w:t>
      </w:r>
      <w:r>
        <w:tab/>
      </w:r>
      <w:r>
        <w:fldChar w:fldCharType="begin"/>
      </w:r>
      <w:r>
        <w:instrText xml:space="preserve"> PAGEREF _Toc30077 \h </w:instrText>
      </w:r>
      <w:r>
        <w:fldChar w:fldCharType="separate"/>
      </w:r>
      <w:r>
        <w:t>67</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_Toc30944 </w:instrText>
      </w:r>
      <w:r>
        <w:rPr>
          <w:rFonts w:ascii="Times New Roman"/>
          <w:snapToGrid w:val="0"/>
          <w:kern w:val="0"/>
        </w:rPr>
        <w:fldChar w:fldCharType="separate"/>
      </w:r>
      <w:r>
        <w:rPr>
          <w:rFonts w:ascii="Times New Roman"/>
          <w:snapToGrid w:val="0"/>
        </w:rPr>
        <w:t>格式三 各项承诺一览表</w:t>
      </w:r>
      <w:r>
        <w:tab/>
      </w:r>
      <w:r>
        <w:fldChar w:fldCharType="begin"/>
      </w:r>
      <w:r>
        <w:instrText xml:space="preserve"> PAGEREF _Toc30944 \h </w:instrText>
      </w:r>
      <w:r>
        <w:fldChar w:fldCharType="separate"/>
      </w:r>
      <w:r>
        <w:t>68</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_Toc3376 </w:instrText>
      </w:r>
      <w:r>
        <w:rPr>
          <w:rFonts w:ascii="Times New Roman"/>
          <w:snapToGrid w:val="0"/>
          <w:kern w:val="0"/>
        </w:rPr>
        <w:fldChar w:fldCharType="separate"/>
      </w:r>
      <w:r>
        <w:rPr>
          <w:rFonts w:ascii="Times New Roman"/>
          <w:snapToGrid w:val="0"/>
        </w:rPr>
        <w:t>格式四 授权委托书</w:t>
      </w:r>
      <w:r>
        <w:tab/>
      </w:r>
      <w:r>
        <w:fldChar w:fldCharType="begin"/>
      </w:r>
      <w:r>
        <w:instrText xml:space="preserve"> PAGEREF _Toc3376 \h </w:instrText>
      </w:r>
      <w:r>
        <w:fldChar w:fldCharType="separate"/>
      </w:r>
      <w:r>
        <w:t>70</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_Toc3013 </w:instrText>
      </w:r>
      <w:r>
        <w:rPr>
          <w:rFonts w:ascii="Times New Roman"/>
          <w:snapToGrid w:val="0"/>
          <w:kern w:val="0"/>
        </w:rPr>
        <w:fldChar w:fldCharType="separate"/>
      </w:r>
      <w:r>
        <w:rPr>
          <w:rFonts w:ascii="Times New Roman"/>
          <w:snapToGrid w:val="0"/>
        </w:rPr>
        <w:t>格式五 法定代表人身份证明</w:t>
      </w:r>
      <w:r>
        <w:tab/>
      </w:r>
      <w:r>
        <w:fldChar w:fldCharType="begin"/>
      </w:r>
      <w:r>
        <w:instrText xml:space="preserve"> PAGEREF _Toc3013 \h </w:instrText>
      </w:r>
      <w:r>
        <w:fldChar w:fldCharType="separate"/>
      </w:r>
      <w:r>
        <w:t>71</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_Toc22696 </w:instrText>
      </w:r>
      <w:r>
        <w:rPr>
          <w:rFonts w:ascii="Times New Roman"/>
          <w:snapToGrid w:val="0"/>
          <w:kern w:val="0"/>
        </w:rPr>
        <w:fldChar w:fldCharType="separate"/>
      </w:r>
      <w:r>
        <w:rPr>
          <w:rFonts w:ascii="Times New Roman"/>
          <w:snapToGrid w:val="0"/>
        </w:rPr>
        <w:t>格式六 联合体协议书</w:t>
      </w:r>
      <w:r>
        <w:tab/>
      </w:r>
      <w:r>
        <w:fldChar w:fldCharType="begin"/>
      </w:r>
      <w:r>
        <w:instrText xml:space="preserve"> PAGEREF _Toc22696 \h </w:instrText>
      </w:r>
      <w:r>
        <w:fldChar w:fldCharType="separate"/>
      </w:r>
      <w:r>
        <w:t>72</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_Toc26252 </w:instrText>
      </w:r>
      <w:r>
        <w:rPr>
          <w:rFonts w:ascii="Times New Roman"/>
          <w:snapToGrid w:val="0"/>
          <w:kern w:val="0"/>
        </w:rPr>
        <w:fldChar w:fldCharType="separate"/>
      </w:r>
      <w:r>
        <w:rPr>
          <w:rFonts w:ascii="Times New Roman"/>
          <w:snapToGrid w:val="0"/>
        </w:rPr>
        <w:t>格式七 投标人基本情况表</w:t>
      </w:r>
      <w:r>
        <w:tab/>
      </w:r>
      <w:r>
        <w:fldChar w:fldCharType="begin"/>
      </w:r>
      <w:r>
        <w:instrText xml:space="preserve"> PAGEREF _Toc26252 \h </w:instrText>
      </w:r>
      <w:r>
        <w:fldChar w:fldCharType="separate"/>
      </w:r>
      <w:r>
        <w:t>74</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_Toc13287 </w:instrText>
      </w:r>
      <w:r>
        <w:rPr>
          <w:rFonts w:ascii="Times New Roman"/>
          <w:snapToGrid w:val="0"/>
          <w:kern w:val="0"/>
        </w:rPr>
        <w:fldChar w:fldCharType="separate"/>
      </w:r>
      <w:r>
        <w:rPr>
          <w:rFonts w:ascii="Times New Roman"/>
          <w:snapToGrid w:val="0"/>
        </w:rPr>
        <w:t xml:space="preserve">格式八 项目经理简历表 </w:t>
      </w:r>
      <w:r>
        <w:tab/>
      </w:r>
      <w:r>
        <w:fldChar w:fldCharType="begin"/>
      </w:r>
      <w:r>
        <w:instrText xml:space="preserve"> PAGEREF _Toc13287 \h </w:instrText>
      </w:r>
      <w:r>
        <w:fldChar w:fldCharType="separate"/>
      </w:r>
      <w:r>
        <w:t>75</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_Toc10415 </w:instrText>
      </w:r>
      <w:r>
        <w:rPr>
          <w:rFonts w:ascii="Times New Roman"/>
          <w:snapToGrid w:val="0"/>
          <w:kern w:val="0"/>
        </w:rPr>
        <w:fldChar w:fldCharType="separate"/>
      </w:r>
      <w:r>
        <w:rPr>
          <w:rFonts w:ascii="Times New Roman"/>
          <w:snapToGrid w:val="0"/>
          <w:szCs w:val="22"/>
        </w:rPr>
        <w:t>格式九 项目经理任职声明</w:t>
      </w:r>
      <w:r>
        <w:tab/>
      </w:r>
      <w:r>
        <w:fldChar w:fldCharType="begin"/>
      </w:r>
      <w:r>
        <w:instrText xml:space="preserve"> PAGEREF _Toc10415 \h </w:instrText>
      </w:r>
      <w:r>
        <w:fldChar w:fldCharType="separate"/>
      </w:r>
      <w:r>
        <w:t>76</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_Toc11773 </w:instrText>
      </w:r>
      <w:r>
        <w:rPr>
          <w:rFonts w:ascii="Times New Roman"/>
          <w:snapToGrid w:val="0"/>
          <w:kern w:val="0"/>
        </w:rPr>
        <w:fldChar w:fldCharType="separate"/>
      </w:r>
      <w:r>
        <w:rPr>
          <w:rFonts w:ascii="Times New Roman"/>
          <w:snapToGrid w:val="0"/>
        </w:rPr>
        <w:t xml:space="preserve">格式十 项目技术负责人简历表 </w:t>
      </w:r>
      <w:r>
        <w:tab/>
      </w:r>
      <w:r>
        <w:fldChar w:fldCharType="begin"/>
      </w:r>
      <w:r>
        <w:instrText xml:space="preserve"> PAGEREF _Toc11773 \h </w:instrText>
      </w:r>
      <w:r>
        <w:fldChar w:fldCharType="separate"/>
      </w:r>
      <w:r>
        <w:t>77</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_Toc17556 </w:instrText>
      </w:r>
      <w:r>
        <w:rPr>
          <w:rFonts w:ascii="Times New Roman"/>
          <w:snapToGrid w:val="0"/>
          <w:kern w:val="0"/>
        </w:rPr>
        <w:fldChar w:fldCharType="separate"/>
      </w:r>
      <w:r>
        <w:rPr>
          <w:rFonts w:ascii="Times New Roman"/>
          <w:snapToGrid w:val="0"/>
          <w:szCs w:val="22"/>
        </w:rPr>
        <w:t xml:space="preserve">格式十一 专职安全员简历表 </w:t>
      </w:r>
      <w:r>
        <w:tab/>
      </w:r>
      <w:r>
        <w:fldChar w:fldCharType="begin"/>
      </w:r>
      <w:r>
        <w:instrText xml:space="preserve"> PAGEREF _Toc17556 \h </w:instrText>
      </w:r>
      <w:r>
        <w:fldChar w:fldCharType="separate"/>
      </w:r>
      <w:r>
        <w:t>78</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_Toc22785 </w:instrText>
      </w:r>
      <w:r>
        <w:rPr>
          <w:rFonts w:ascii="Times New Roman"/>
          <w:snapToGrid w:val="0"/>
          <w:kern w:val="0"/>
        </w:rPr>
        <w:fldChar w:fldCharType="separate"/>
      </w:r>
      <w:r>
        <w:rPr>
          <w:snapToGrid w:val="0"/>
        </w:rPr>
        <w:t>格式十二 项目管理机构组成表</w:t>
      </w:r>
      <w:r>
        <w:tab/>
      </w:r>
      <w:r>
        <w:fldChar w:fldCharType="begin"/>
      </w:r>
      <w:r>
        <w:instrText xml:space="preserve"> PAGEREF _Toc22785 \h </w:instrText>
      </w:r>
      <w:r>
        <w:fldChar w:fldCharType="separate"/>
      </w:r>
      <w:r>
        <w:t>79</w:t>
      </w:r>
      <w:r>
        <w:fldChar w:fldCharType="end"/>
      </w:r>
      <w:r>
        <w:rPr>
          <w:rFonts w:ascii="Times New Roman"/>
          <w:snapToGrid w:val="0"/>
          <w:kern w:val="0"/>
        </w:rPr>
        <w:fldChar w:fldCharType="end"/>
      </w:r>
    </w:p>
    <w:p>
      <w:pPr>
        <w:pStyle w:val="11"/>
        <w:tabs>
          <w:tab w:val="right" w:leader="dot" w:pos="8844"/>
        </w:tabs>
      </w:pPr>
      <w:r>
        <w:rPr>
          <w:rFonts w:ascii="Times New Roman"/>
          <w:snapToGrid w:val="0"/>
          <w:kern w:val="0"/>
        </w:rPr>
        <w:fldChar w:fldCharType="begin"/>
      </w:r>
      <w:r>
        <w:rPr>
          <w:rFonts w:ascii="Times New Roman"/>
          <w:snapToGrid w:val="0"/>
          <w:kern w:val="0"/>
        </w:rPr>
        <w:instrText xml:space="preserve"> HYPERLINK \l _Toc28690 </w:instrText>
      </w:r>
      <w:r>
        <w:rPr>
          <w:rFonts w:ascii="Times New Roman"/>
          <w:snapToGrid w:val="0"/>
          <w:kern w:val="0"/>
        </w:rPr>
        <w:fldChar w:fldCharType="separate"/>
      </w:r>
      <w:r>
        <w:rPr>
          <w:snapToGrid w:val="0"/>
        </w:rPr>
        <w:t>格式十三 原件一览表</w:t>
      </w:r>
      <w:r>
        <w:tab/>
      </w:r>
      <w:r>
        <w:fldChar w:fldCharType="begin"/>
      </w:r>
      <w:r>
        <w:instrText xml:space="preserve"> PAGEREF _Toc28690 \h </w:instrText>
      </w:r>
      <w:r>
        <w:fldChar w:fldCharType="separate"/>
      </w:r>
      <w:r>
        <w:t>80</w:t>
      </w:r>
      <w:r>
        <w:fldChar w:fldCharType="end"/>
      </w:r>
      <w:r>
        <w:rPr>
          <w:rFonts w:ascii="Times New Roman"/>
          <w:snapToGrid w:val="0"/>
          <w:kern w:val="0"/>
        </w:rPr>
        <w:fldChar w:fldCharType="end"/>
      </w:r>
    </w:p>
    <w:p>
      <w:pPr>
        <w:pStyle w:val="14"/>
        <w:tabs>
          <w:tab w:val="right" w:leader="dot" w:pos="8844"/>
        </w:tabs>
      </w:pPr>
      <w:r>
        <w:rPr>
          <w:rFonts w:ascii="Times New Roman"/>
          <w:snapToGrid w:val="0"/>
          <w:kern w:val="0"/>
        </w:rPr>
        <w:fldChar w:fldCharType="begin"/>
      </w:r>
      <w:r>
        <w:rPr>
          <w:rFonts w:ascii="Times New Roman"/>
          <w:snapToGrid w:val="0"/>
          <w:kern w:val="0"/>
        </w:rPr>
        <w:instrText xml:space="preserve"> HYPERLINK \l _Toc22278 </w:instrText>
      </w:r>
      <w:r>
        <w:rPr>
          <w:rFonts w:ascii="Times New Roman"/>
          <w:snapToGrid w:val="0"/>
          <w:kern w:val="0"/>
        </w:rPr>
        <w:fldChar w:fldCharType="separate"/>
      </w:r>
      <w:r>
        <w:rPr>
          <w:rFonts w:ascii="Times New Roman"/>
          <w:snapToGrid w:val="0"/>
        </w:rPr>
        <w:t>第七章 建设工程施工合同</w:t>
      </w:r>
      <w:r>
        <w:tab/>
      </w:r>
      <w:r>
        <w:fldChar w:fldCharType="begin"/>
      </w:r>
      <w:r>
        <w:instrText xml:space="preserve"> PAGEREF _Toc22278 \h </w:instrText>
      </w:r>
      <w:r>
        <w:fldChar w:fldCharType="separate"/>
      </w:r>
      <w:r>
        <w:t>81</w:t>
      </w:r>
      <w:r>
        <w:fldChar w:fldCharType="end"/>
      </w:r>
      <w:r>
        <w:rPr>
          <w:rFonts w:ascii="Times New Roman"/>
          <w:snapToGrid w:val="0"/>
          <w:kern w:val="0"/>
        </w:rPr>
        <w:fldChar w:fldCharType="end"/>
      </w:r>
    </w:p>
    <w:p>
      <w:pPr>
        <w:pStyle w:val="11"/>
        <w:tabs>
          <w:tab w:val="center" w:pos="4702"/>
          <w:tab w:val="left" w:pos="4935"/>
          <w:tab w:val="left" w:pos="5630"/>
        </w:tabs>
        <w:wordWrap w:val="0"/>
        <w:adjustRightInd w:val="0"/>
        <w:snapToGrid w:val="0"/>
        <w:spacing w:line="440" w:lineRule="exact"/>
        <w:jc w:val="left"/>
        <w:rPr>
          <w:rFonts w:hint="eastAsia" w:ascii="Times New Roman" w:eastAsia="宋体"/>
          <w:snapToGrid w:val="0"/>
          <w:kern w:val="0"/>
          <w:lang w:eastAsia="zh-CN"/>
        </w:rPr>
        <w:sectPr>
          <w:endnotePr>
            <w:numFmt w:val="decimal"/>
          </w:endnotePr>
          <w:pgSz w:w="11906" w:h="16838"/>
          <w:pgMar w:top="1701" w:right="1531" w:bottom="1417" w:left="1531" w:header="850" w:footer="992" w:gutter="0"/>
          <w:pgNumType w:start="1"/>
          <w:cols w:space="720" w:num="1"/>
          <w:docGrid w:linePitch="327" w:charSpace="0"/>
        </w:sectPr>
      </w:pPr>
      <w:r>
        <w:rPr>
          <w:rFonts w:ascii="Times New Roman"/>
          <w:snapToGrid w:val="0"/>
          <w:kern w:val="0"/>
        </w:rPr>
        <w:fldChar w:fldCharType="end"/>
      </w:r>
      <w:bookmarkEnd w:id="0"/>
      <w:bookmarkEnd w:id="1"/>
      <w:r>
        <w:rPr>
          <w:rFonts w:hint="eastAsia" w:ascii="Times New Roman"/>
          <w:snapToGrid w:val="0"/>
          <w:kern w:val="0"/>
          <w:lang w:eastAsia="zh-CN"/>
        </w:rPr>
        <w:tab/>
      </w:r>
      <w:r>
        <w:rPr>
          <w:rFonts w:hint="eastAsia" w:ascii="Times New Roman"/>
          <w:snapToGrid w:val="0"/>
          <w:kern w:val="0"/>
          <w:lang w:eastAsia="zh-CN"/>
        </w:rPr>
        <w:tab/>
      </w:r>
      <w:r>
        <w:rPr>
          <w:rFonts w:hint="eastAsia" w:ascii="Times New Roman"/>
          <w:snapToGrid w:val="0"/>
          <w:kern w:val="0"/>
          <w:lang w:eastAsia="zh-CN"/>
        </w:rPr>
        <w:tab/>
      </w:r>
    </w:p>
    <w:p>
      <w:pPr>
        <w:pStyle w:val="3"/>
        <w:wordWrap w:val="0"/>
        <w:autoSpaceDE/>
        <w:autoSpaceDN/>
        <w:snapToGrid w:val="0"/>
        <w:spacing w:line="440" w:lineRule="exact"/>
        <w:jc w:val="center"/>
        <w:rPr>
          <w:rFonts w:ascii="Times New Roman"/>
          <w:b/>
          <w:snapToGrid w:val="0"/>
          <w:sz w:val="24"/>
        </w:rPr>
      </w:pPr>
      <w:bookmarkStart w:id="2" w:name="_Hlt66104981"/>
      <w:bookmarkEnd w:id="2"/>
      <w:bookmarkStart w:id="3" w:name="_Hlt66153951"/>
      <w:bookmarkEnd w:id="3"/>
      <w:bookmarkStart w:id="4" w:name="_Hlt122423813"/>
      <w:bookmarkEnd w:id="4"/>
      <w:bookmarkStart w:id="5" w:name="_Toc476739600"/>
      <w:bookmarkStart w:id="6" w:name="_Toc7378"/>
      <w:bookmarkStart w:id="7" w:name="_Hlt111690251"/>
      <w:r>
        <w:rPr>
          <w:rFonts w:ascii="Times New Roman"/>
          <w:b/>
          <w:snapToGrid w:val="0"/>
          <w:sz w:val="24"/>
        </w:rPr>
        <w:t>第一章 投标人须知</w:t>
      </w:r>
      <w:bookmarkEnd w:id="5"/>
      <w:bookmarkEnd w:id="6"/>
    </w:p>
    <w:p>
      <w:pPr>
        <w:pStyle w:val="4"/>
        <w:wordWrap w:val="0"/>
        <w:autoSpaceDE/>
        <w:autoSpaceDN/>
        <w:snapToGrid w:val="0"/>
        <w:spacing w:before="260" w:after="260" w:line="440" w:lineRule="exact"/>
        <w:jc w:val="both"/>
        <w:rPr>
          <w:rFonts w:hint="eastAsia" w:ascii="Times New Roman" w:eastAsia="宋体"/>
          <w:b/>
          <w:snapToGrid w:val="0"/>
          <w:lang w:val="en-US" w:eastAsia="zh-CN"/>
        </w:rPr>
      </w:pPr>
      <w:bookmarkStart w:id="8" w:name="_Hlt127175444"/>
      <w:bookmarkEnd w:id="8"/>
      <w:bookmarkStart w:id="9" w:name="_Toc28665"/>
      <w:bookmarkStart w:id="10" w:name="_Hlt120077520"/>
      <w:r>
        <w:rPr>
          <w:rFonts w:ascii="Times New Roman"/>
          <w:b/>
          <w:snapToGrid w:val="0"/>
        </w:rPr>
        <w:t>第一节 投标人须知前附表</w:t>
      </w:r>
      <w:bookmarkEnd w:id="9"/>
      <w:r>
        <w:rPr>
          <w:rFonts w:hint="eastAsia" w:ascii="Times New Roman"/>
          <w:b/>
          <w:snapToGrid w:val="0"/>
          <w:lang w:val="en-US" w:eastAsia="zh-CN"/>
        </w:rPr>
        <w:t xml:space="preserve"> </w:t>
      </w:r>
    </w:p>
    <w:tbl>
      <w:tblPr>
        <w:tblStyle w:val="18"/>
        <w:tblW w:w="9350" w:type="dxa"/>
        <w:tblInd w:w="-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646"/>
        <w:gridCol w:w="1799"/>
        <w:gridCol w:w="69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序</w:t>
            </w:r>
          </w:p>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号</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240" w:lineRule="auto"/>
              <w:jc w:val="center"/>
              <w:rPr>
                <w:rFonts w:hAnsi="宋体"/>
                <w:snapToGrid w:val="0"/>
                <w:color w:val="auto"/>
                <w:kern w:val="0"/>
                <w:szCs w:val="24"/>
                <w:highlight w:val="none"/>
              </w:rPr>
            </w:pPr>
            <w:r>
              <w:rPr>
                <w:rFonts w:hAnsi="宋体"/>
                <w:snapToGrid w:val="0"/>
                <w:color w:val="auto"/>
                <w:kern w:val="0"/>
                <w:szCs w:val="24"/>
                <w:highlight w:val="none"/>
              </w:rPr>
              <w:t>内容</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2"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1</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项目名称</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djustRightInd w:val="0"/>
              <w:snapToGrid w:val="0"/>
              <w:spacing w:line="400" w:lineRule="exact"/>
              <w:jc w:val="left"/>
              <w:rPr>
                <w:rFonts w:hint="eastAsia" w:hAnsi="宋体" w:eastAsia="宋体"/>
                <w:snapToGrid w:val="0"/>
                <w:color w:val="auto"/>
                <w:kern w:val="0"/>
                <w:szCs w:val="24"/>
                <w:highlight w:val="none"/>
                <w:lang w:eastAsia="zh-CN"/>
              </w:rPr>
            </w:pPr>
            <w:r>
              <w:rPr>
                <w:rFonts w:hint="eastAsia" w:hAnsi="宋体"/>
                <w:snapToGrid w:val="0"/>
                <w:color w:val="auto"/>
                <w:kern w:val="0"/>
                <w:szCs w:val="24"/>
                <w:highlight w:val="none"/>
                <w:lang w:eastAsia="zh-CN"/>
              </w:rPr>
              <w:t>乐昌市沙坪镇农村生活污水治理项目（新建）施工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2</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项目业主</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eastAsia" w:hAnsi="宋体" w:eastAsia="宋体"/>
                <w:bCs/>
                <w:snapToGrid w:val="0"/>
                <w:color w:val="auto"/>
                <w:kern w:val="0"/>
                <w:szCs w:val="24"/>
                <w:highlight w:val="none"/>
                <w:lang w:eastAsia="zh-CN"/>
              </w:rPr>
            </w:pPr>
            <w:r>
              <w:rPr>
                <w:rFonts w:hint="eastAsia" w:hAnsi="宋体"/>
                <w:bCs/>
                <w:snapToGrid w:val="0"/>
                <w:color w:val="auto"/>
                <w:kern w:val="0"/>
                <w:szCs w:val="24"/>
                <w:highlight w:val="none"/>
                <w:lang w:eastAsia="zh-CN"/>
              </w:rPr>
              <w:t>乐昌市沙坪镇人民政府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40"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3</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项目批准部门</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eastAsia" w:hAnsi="宋体" w:eastAsia="宋体"/>
                <w:bCs/>
                <w:snapToGrid w:val="0"/>
                <w:color w:val="auto"/>
                <w:kern w:val="0"/>
                <w:szCs w:val="24"/>
                <w:highlight w:val="none"/>
                <w:lang w:eastAsia="zh-CN"/>
              </w:rPr>
            </w:pPr>
            <w:r>
              <w:rPr>
                <w:rFonts w:hint="eastAsia" w:hAnsi="宋体"/>
                <w:bCs/>
                <w:snapToGrid w:val="0"/>
                <w:color w:val="auto"/>
                <w:kern w:val="0"/>
                <w:szCs w:val="24"/>
                <w:highlight w:val="none"/>
                <w:lang w:eastAsia="zh-CN"/>
              </w:rPr>
              <w:t>乐昌市发展和改革局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2"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4</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项目批准文号</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eastAsia" w:hAnsi="宋体" w:eastAsia="宋体"/>
                <w:bCs/>
                <w:snapToGrid w:val="0"/>
                <w:color w:val="auto"/>
                <w:kern w:val="0"/>
                <w:szCs w:val="24"/>
                <w:highlight w:val="none"/>
                <w:lang w:eastAsia="zh-CN"/>
              </w:rPr>
            </w:pPr>
            <w:r>
              <w:rPr>
                <w:rFonts w:hint="eastAsia" w:hAnsi="宋体"/>
                <w:bCs/>
                <w:snapToGrid w:val="0"/>
                <w:color w:val="auto"/>
                <w:kern w:val="0"/>
                <w:szCs w:val="24"/>
                <w:highlight w:val="none"/>
                <w:lang w:eastAsia="zh-CN"/>
              </w:rPr>
              <w:t>乐发改投审〔2022〕41号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7"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5</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项目代码</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eastAsia" w:hAnsi="宋体" w:eastAsia="宋体"/>
                <w:bCs/>
                <w:snapToGrid w:val="0"/>
                <w:color w:val="auto"/>
                <w:kern w:val="0"/>
                <w:szCs w:val="24"/>
                <w:highlight w:val="none"/>
                <w:lang w:eastAsia="zh-CN"/>
              </w:rPr>
            </w:pPr>
            <w:r>
              <w:rPr>
                <w:rFonts w:hint="eastAsia" w:hAnsi="宋体"/>
                <w:bCs/>
                <w:snapToGrid w:val="0"/>
                <w:color w:val="auto"/>
                <w:kern w:val="0"/>
                <w:szCs w:val="24"/>
                <w:highlight w:val="none"/>
                <w:lang w:eastAsia="zh-CN"/>
              </w:rPr>
              <w:t>2207-440281-04-01-206415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0"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6</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资金来源</w:t>
            </w:r>
          </w:p>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及出资比例</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eastAsia" w:hAnsi="宋体" w:eastAsia="宋体"/>
                <w:bCs/>
                <w:snapToGrid w:val="0"/>
                <w:color w:val="auto"/>
                <w:kern w:val="0"/>
                <w:szCs w:val="24"/>
                <w:highlight w:val="none"/>
                <w:lang w:eastAsia="zh-CN"/>
              </w:rPr>
            </w:pPr>
            <w:r>
              <w:rPr>
                <w:rFonts w:hint="eastAsia" w:hAnsi="宋体" w:eastAsia="宋体"/>
                <w:bCs/>
                <w:snapToGrid w:val="0"/>
                <w:color w:val="auto"/>
                <w:kern w:val="0"/>
                <w:szCs w:val="24"/>
                <w:highlight w:val="none"/>
                <w:lang w:eastAsia="zh-CN"/>
              </w:rPr>
              <w:t>上级</w:t>
            </w:r>
            <w:r>
              <w:rPr>
                <w:rFonts w:hint="eastAsia" w:hAnsi="宋体"/>
                <w:bCs/>
                <w:snapToGrid w:val="0"/>
                <w:color w:val="auto"/>
                <w:kern w:val="0"/>
                <w:szCs w:val="24"/>
                <w:highlight w:val="none"/>
                <w:lang w:val="en-US" w:eastAsia="zh-CN"/>
              </w:rPr>
              <w:t>财政和自筹资金</w:t>
            </w:r>
            <w:r>
              <w:rPr>
                <w:rFonts w:hint="eastAsia" w:hAnsi="宋体" w:eastAsia="宋体"/>
                <w:bCs/>
                <w:snapToGrid w:val="0"/>
                <w:color w:val="auto"/>
                <w:kern w:val="0"/>
                <w:szCs w:val="24"/>
                <w:highlight w:val="none"/>
                <w:lang w:eastAsia="zh-CN"/>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7</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招标人</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eastAsia" w:hAnsi="宋体" w:eastAsia="宋体"/>
                <w:bCs/>
                <w:snapToGrid w:val="0"/>
                <w:color w:val="auto"/>
                <w:kern w:val="0"/>
                <w:szCs w:val="24"/>
                <w:highlight w:val="none"/>
                <w:lang w:eastAsia="zh-CN"/>
              </w:rPr>
            </w:pPr>
            <w:r>
              <w:rPr>
                <w:rFonts w:hint="eastAsia" w:hAnsi="宋体"/>
                <w:bCs/>
                <w:snapToGrid w:val="0"/>
                <w:color w:val="auto"/>
                <w:kern w:val="0"/>
                <w:szCs w:val="24"/>
                <w:highlight w:val="none"/>
                <w:lang w:eastAsia="zh-CN"/>
              </w:rPr>
              <w:t>乐昌市沙坪镇人民政府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1"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8</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招标代理机构</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eastAsia" w:hAnsi="宋体" w:eastAsia="宋体"/>
                <w:bCs/>
                <w:snapToGrid w:val="0"/>
                <w:color w:val="auto"/>
                <w:kern w:val="0"/>
                <w:szCs w:val="24"/>
                <w:highlight w:val="none"/>
                <w:lang w:eastAsia="zh-CN"/>
              </w:rPr>
            </w:pPr>
            <w:r>
              <w:rPr>
                <w:rFonts w:hint="eastAsia" w:hAnsi="宋体"/>
                <w:bCs/>
                <w:snapToGrid w:val="0"/>
                <w:color w:val="auto"/>
                <w:kern w:val="0"/>
                <w:szCs w:val="24"/>
                <w:highlight w:val="none"/>
                <w:lang w:eastAsia="zh-CN"/>
              </w:rPr>
              <w:t>广州穗科建设管理有限公司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52"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9</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bCs/>
                <w:snapToGrid w:val="0"/>
                <w:color w:val="auto"/>
                <w:kern w:val="0"/>
                <w:szCs w:val="24"/>
                <w:highlight w:val="none"/>
              </w:rPr>
            </w:pPr>
            <w:r>
              <w:rPr>
                <w:rFonts w:hAnsi="宋体"/>
                <w:bCs/>
                <w:snapToGrid w:val="0"/>
                <w:color w:val="auto"/>
                <w:kern w:val="0"/>
                <w:szCs w:val="24"/>
                <w:highlight w:val="none"/>
              </w:rPr>
              <w:t>设计单位</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rPr>
                <w:rFonts w:hAnsi="宋体" w:cs="宋体"/>
                <w:bCs/>
                <w:snapToGrid w:val="0"/>
                <w:color w:val="auto"/>
                <w:kern w:val="0"/>
                <w:szCs w:val="24"/>
                <w:highlight w:val="none"/>
              </w:rPr>
            </w:pPr>
            <w:r>
              <w:rPr>
                <w:rFonts w:hint="eastAsia" w:hAnsi="宋体" w:cs="宋体"/>
                <w:bCs/>
                <w:snapToGrid w:val="0"/>
                <w:color w:val="auto"/>
                <w:kern w:val="0"/>
                <w:szCs w:val="24"/>
                <w:highlight w:val="none"/>
              </w:rPr>
              <w:t>中伦建筑工程设计有限公司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0"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10</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造价咨询单位</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rPr>
                <w:rFonts w:hAnsi="宋体" w:cs="宋体"/>
                <w:bCs/>
                <w:snapToGrid w:val="0"/>
                <w:color w:val="auto"/>
                <w:kern w:val="0"/>
                <w:szCs w:val="24"/>
                <w:highlight w:val="none"/>
              </w:rPr>
            </w:pPr>
            <w:r>
              <w:rPr>
                <w:rFonts w:hint="eastAsia" w:hAnsi="宋体" w:cs="宋体"/>
                <w:bCs/>
                <w:snapToGrid w:val="0"/>
                <w:color w:val="auto"/>
                <w:kern w:val="0"/>
                <w:szCs w:val="24"/>
                <w:highlight w:val="none"/>
              </w:rPr>
              <w:t>中慧力祥项目管理有限公司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1"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11</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监理单位</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default" w:hAnsi="宋体" w:eastAsia="宋体"/>
                <w:bCs/>
                <w:snapToGrid w:val="0"/>
                <w:color w:val="auto"/>
                <w:kern w:val="0"/>
                <w:szCs w:val="24"/>
                <w:highlight w:val="none"/>
                <w:lang w:val="en-US" w:eastAsia="zh-CN"/>
              </w:rPr>
            </w:pPr>
            <w:r>
              <w:rPr>
                <w:rFonts w:hint="eastAsia" w:hAnsi="宋体"/>
                <w:bCs/>
                <w:snapToGrid w:val="0"/>
                <w:color w:val="auto"/>
                <w:kern w:val="0"/>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7"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12</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建设地点</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rPr>
                <w:rFonts w:hint="eastAsia" w:hAnsi="宋体" w:eastAsia="宋体"/>
                <w:bCs/>
                <w:snapToGrid w:val="0"/>
                <w:color w:val="auto"/>
                <w:kern w:val="0"/>
                <w:szCs w:val="24"/>
                <w:highlight w:val="none"/>
                <w:lang w:eastAsia="zh-CN"/>
              </w:rPr>
            </w:pPr>
            <w:r>
              <w:rPr>
                <w:rFonts w:hint="eastAsia" w:ascii="宋体" w:hAnsi="宋体" w:eastAsia="宋体" w:cs="宋体"/>
                <w:bCs/>
                <w:snapToGrid w:val="0"/>
                <w:color w:val="000000"/>
                <w:kern w:val="0"/>
                <w:sz w:val="24"/>
                <w:szCs w:val="24"/>
                <w:highlight w:val="none"/>
              </w:rPr>
              <w:t>乐昌市沙坪镇关山、柘洞、雷家窝、马子坪、沙坪和山坪等 6 个行政村 20 个自然村。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9"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13</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建设内容和规模</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default" w:hAnsi="宋体" w:eastAsia="宋体"/>
                <w:bCs/>
                <w:snapToGrid w:val="0"/>
                <w:color w:val="auto"/>
                <w:kern w:val="0"/>
                <w:szCs w:val="24"/>
                <w:highlight w:val="none"/>
                <w:lang w:val="en-US" w:eastAsia="zh-CN"/>
              </w:rPr>
            </w:pPr>
            <w:r>
              <w:rPr>
                <w:rFonts w:hint="eastAsia" w:hAnsi="宋体"/>
                <w:bCs/>
                <w:snapToGrid w:val="0"/>
                <w:color w:val="auto"/>
                <w:kern w:val="0"/>
                <w:szCs w:val="24"/>
                <w:highlight w:val="none"/>
                <w:lang w:val="en-US" w:eastAsia="zh-CN"/>
              </w:rPr>
              <w:t>在沙坪镇关山、柘洞、雷家窝等6个行政村20个自然村内新建农村生活污水治理设施。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7"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14</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项目总投资</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eastAsia" w:hAnsi="宋体" w:eastAsia="宋体"/>
                <w:bCs/>
                <w:snapToGrid w:val="0"/>
                <w:color w:val="auto"/>
                <w:kern w:val="0"/>
                <w:szCs w:val="24"/>
                <w:highlight w:val="none"/>
                <w:lang w:eastAsia="zh-CN"/>
              </w:rPr>
            </w:pPr>
            <w:r>
              <w:rPr>
                <w:rFonts w:hint="eastAsia" w:hAnsi="宋体"/>
                <w:bCs/>
                <w:snapToGrid w:val="0"/>
                <w:color w:val="auto"/>
                <w:kern w:val="0"/>
                <w:szCs w:val="24"/>
                <w:highlight w:val="none"/>
                <w:lang w:eastAsia="zh-CN"/>
              </w:rPr>
              <w:t>项目估算总投资1853.51万元，本次招标建安工程费约为1613.15万元。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85"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15</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招标范围</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Ansi="宋体"/>
                <w:bCs/>
                <w:snapToGrid w:val="0"/>
                <w:color w:val="auto"/>
                <w:kern w:val="0"/>
                <w:szCs w:val="24"/>
                <w:highlight w:val="none"/>
              </w:rPr>
            </w:pPr>
            <w:r>
              <w:rPr>
                <w:rFonts w:hAnsi="宋体"/>
                <w:snapToGrid w:val="0"/>
                <w:color w:val="auto"/>
                <w:kern w:val="0"/>
                <w:szCs w:val="24"/>
                <w:highlight w:val="none"/>
              </w:rPr>
              <w:t>施工图纸及工程量清单范围内的工程等施工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4"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16</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标段划分</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Ansi="宋体"/>
                <w:snapToGrid w:val="0"/>
                <w:color w:val="auto"/>
                <w:kern w:val="0"/>
                <w:szCs w:val="24"/>
                <w:highlight w:val="none"/>
              </w:rPr>
            </w:pPr>
            <w:r>
              <w:rPr>
                <w:rFonts w:hAnsi="宋体"/>
                <w:snapToGrid w:val="0"/>
                <w:color w:val="auto"/>
                <w:kern w:val="0"/>
                <w:szCs w:val="24"/>
                <w:highlight w:val="none"/>
              </w:rPr>
              <w:t>本招标项目不划分标段。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0"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17</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工期</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rPr>
                <w:rFonts w:hAnsi="宋体"/>
                <w:bCs/>
                <w:snapToGrid w:val="0"/>
                <w:color w:val="auto"/>
                <w:kern w:val="0"/>
                <w:szCs w:val="24"/>
                <w:highlight w:val="none"/>
              </w:rPr>
            </w:pPr>
            <w:r>
              <w:rPr>
                <w:rFonts w:ascii="Times New Roman"/>
                <w:bCs/>
                <w:snapToGrid w:val="0"/>
                <w:color w:val="auto"/>
                <w:kern w:val="0"/>
                <w:szCs w:val="24"/>
                <w:highlight w:val="none"/>
              </w:rPr>
              <w:t>本招标项目施工工期为</w:t>
            </w:r>
            <w:r>
              <w:rPr>
                <w:rFonts w:hint="eastAsia" w:ascii="Times New Roman"/>
                <w:bCs/>
                <w:snapToGrid w:val="0"/>
                <w:color w:val="auto"/>
                <w:kern w:val="0"/>
                <w:szCs w:val="24"/>
                <w:highlight w:val="none"/>
                <w:lang w:val="en-US" w:eastAsia="zh-CN"/>
              </w:rPr>
              <w:t>180日历天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4"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18</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质量标准</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rPr>
                <w:rFonts w:hAnsi="宋体"/>
                <w:bCs/>
                <w:snapToGrid w:val="0"/>
                <w:color w:val="auto"/>
                <w:kern w:val="0"/>
                <w:szCs w:val="24"/>
                <w:highlight w:val="none"/>
              </w:rPr>
            </w:pPr>
            <w:bookmarkStart w:id="11" w:name="_Hlt106417017"/>
            <w:bookmarkEnd w:id="11"/>
            <w:r>
              <w:rPr>
                <w:rFonts w:hAnsi="宋体"/>
                <w:color w:val="auto"/>
                <w:szCs w:val="24"/>
                <w:highlight w:val="none"/>
              </w:rPr>
              <w:t>达到合格标准。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7"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19</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房屋建筑工程</w:t>
            </w:r>
          </w:p>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绿色建筑标准</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rPr>
                <w:rFonts w:hAnsi="宋体"/>
                <w:i/>
                <w:iCs/>
                <w:snapToGrid w:val="0"/>
                <w:color w:val="auto"/>
                <w:kern w:val="0"/>
                <w:szCs w:val="24"/>
                <w:highlight w:val="none"/>
              </w:rPr>
            </w:pPr>
            <w:r>
              <w:rPr>
                <w:rFonts w:hAnsi="宋体"/>
                <w:snapToGrid w:val="0"/>
                <w:color w:val="auto"/>
                <w:kern w:val="0"/>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3"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20</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bookmarkStart w:id="12" w:name="OLE_LINK1"/>
            <w:r>
              <w:rPr>
                <w:rFonts w:hAnsi="宋体"/>
                <w:snapToGrid w:val="0"/>
                <w:color w:val="auto"/>
                <w:kern w:val="0"/>
                <w:szCs w:val="24"/>
                <w:highlight w:val="none"/>
              </w:rPr>
              <w:t>装配式建筑</w:t>
            </w:r>
            <w:bookmarkEnd w:id="12"/>
            <w:r>
              <w:rPr>
                <w:rFonts w:hAnsi="宋体"/>
                <w:snapToGrid w:val="0"/>
                <w:color w:val="auto"/>
                <w:kern w:val="0"/>
                <w:szCs w:val="24"/>
                <w:highlight w:val="none"/>
              </w:rPr>
              <w:t>标准</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rPr>
                <w:rFonts w:hAnsi="宋体"/>
                <w:snapToGrid w:val="0"/>
                <w:color w:val="auto"/>
                <w:kern w:val="0"/>
                <w:szCs w:val="24"/>
                <w:highlight w:val="none"/>
              </w:rPr>
            </w:pPr>
            <w:r>
              <w:rPr>
                <w:rFonts w:hAnsi="宋体"/>
                <w:snapToGrid w:val="0"/>
                <w:color w:val="auto"/>
                <w:kern w:val="0"/>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57"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21</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trike/>
                <w:snapToGrid w:val="0"/>
                <w:color w:val="auto"/>
                <w:kern w:val="0"/>
                <w:szCs w:val="24"/>
                <w:highlight w:val="none"/>
              </w:rPr>
            </w:pPr>
            <w:r>
              <w:rPr>
                <w:rFonts w:hAnsi="宋体"/>
                <w:snapToGrid w:val="0"/>
                <w:color w:val="auto"/>
                <w:kern w:val="0"/>
                <w:szCs w:val="24"/>
                <w:highlight w:val="none"/>
              </w:rPr>
              <w:t>招标控制价</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rPr>
                <w:rFonts w:hAnsi="宋体"/>
                <w:bCs/>
                <w:snapToGrid w:val="0"/>
                <w:color w:val="auto"/>
                <w:kern w:val="0"/>
                <w:szCs w:val="24"/>
                <w:highlight w:val="none"/>
              </w:rPr>
            </w:pPr>
            <w:r>
              <w:rPr>
                <w:rFonts w:hint="eastAsia" w:hAnsi="宋体"/>
                <w:bCs/>
                <w:snapToGrid w:val="0"/>
                <w:color w:val="auto"/>
                <w:kern w:val="0"/>
                <w:szCs w:val="24"/>
                <w:highlight w:val="none"/>
              </w:rPr>
              <w:t>本招标项目招标控制价、工程量清单在开标前15天另行发布于广东省公共资源交易平台（韶关市）（https://ygp.gdzwfw.gov.cn/ggzy-portal/#/440200/index）</w:t>
            </w:r>
            <w:r>
              <w:rPr>
                <w:rFonts w:hint="eastAsia" w:hAnsi="宋体"/>
                <w:bCs/>
                <w:snapToGrid w:val="0"/>
                <w:color w:val="auto"/>
                <w:kern w:val="0"/>
                <w:szCs w:val="24"/>
                <w:highlight w:val="none"/>
                <w:lang w:eastAsia="zh-CN"/>
              </w:rPr>
              <w:t>、</w:t>
            </w:r>
            <w:r>
              <w:rPr>
                <w:rFonts w:hint="eastAsia" w:hAnsi="宋体"/>
                <w:bCs/>
                <w:snapToGrid w:val="0"/>
                <w:color w:val="auto"/>
                <w:kern w:val="0"/>
                <w:szCs w:val="24"/>
                <w:highlight w:val="none"/>
              </w:rPr>
              <w:t>韶关市公共资源交易一体化平台（https://portal.ythpt.sg.gov.cn/）网站，各投标人可在网站上自行下载。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6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22</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投标人资格要求</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pStyle w:val="22"/>
              <w:spacing w:beforeLines="0" w:afterLines="0" w:line="440" w:lineRule="exact"/>
              <w:ind w:firstLine="420" w:firstLineChars="200"/>
              <w:outlineLvl w:val="9"/>
            </w:pPr>
            <w:r>
              <w:t>1.本工程不接受联合体投标。</w:t>
            </w:r>
          </w:p>
          <w:p>
            <w:pPr>
              <w:pStyle w:val="22"/>
              <w:spacing w:beforeLines="0" w:afterLines="0" w:line="440" w:lineRule="exact"/>
              <w:ind w:firstLine="420" w:firstLineChars="200"/>
              <w:outlineLvl w:val="9"/>
            </w:pPr>
            <w:r>
              <w:t>2．资质要求</w:t>
            </w:r>
          </w:p>
          <w:p>
            <w:pPr>
              <w:pStyle w:val="22"/>
              <w:spacing w:beforeLines="0" w:afterLines="0" w:line="440" w:lineRule="exact"/>
              <w:ind w:firstLine="420" w:firstLineChars="200"/>
              <w:outlineLvl w:val="9"/>
            </w:pPr>
            <w:r>
              <w:t>2.1 投标人须具备独立法人资格，按国家法律经营。</w:t>
            </w:r>
          </w:p>
          <w:p>
            <w:pPr>
              <w:pStyle w:val="22"/>
              <w:spacing w:beforeLines="0" w:afterLines="0" w:line="440" w:lineRule="exact"/>
              <w:ind w:firstLine="420" w:firstLineChars="200"/>
              <w:outlineLvl w:val="9"/>
            </w:pPr>
            <w:r>
              <w:t>2.2 投标人须持有建设行政主管部门颁发的企业资质证书及安全生产许可证。</w:t>
            </w:r>
          </w:p>
          <w:p>
            <w:pPr>
              <w:pStyle w:val="22"/>
              <w:spacing w:beforeLines="0" w:afterLines="0" w:line="440" w:lineRule="exact"/>
              <w:ind w:firstLine="420" w:firstLineChars="200"/>
              <w:outlineLvl w:val="9"/>
              <w:rPr>
                <w:rFonts w:hint="eastAsia" w:eastAsia="宋体"/>
                <w:lang w:eastAsia="zh-CN"/>
              </w:rPr>
            </w:pPr>
            <w:r>
              <w:t>2.3 投标人须具备以下资质：</w:t>
            </w:r>
            <w:r>
              <w:rPr>
                <w:rFonts w:hint="eastAsia"/>
                <w:u w:val="single"/>
                <w:lang w:eastAsia="zh-CN"/>
              </w:rPr>
              <w:t>具有建设行政主管部门颁发的市政公用工程施工总承包叁级以上（含叁级）资质。</w:t>
            </w:r>
          </w:p>
          <w:p>
            <w:pPr>
              <w:pStyle w:val="22"/>
              <w:spacing w:beforeLines="0" w:afterLines="0" w:line="440" w:lineRule="exact"/>
              <w:ind w:firstLine="420" w:firstLineChars="200"/>
              <w:jc w:val="left"/>
              <w:outlineLvl w:val="9"/>
            </w:pPr>
            <w:r>
              <w:t>2.4 根据有关文件精神，在新冠肺炎疫情防控期间，投标人的企业相关证书到期的，均按该证书的发证机构相关行业主管部门最新文件执行（如自动顺延或推迟办理延期业务的通知），投标人必须将相关文件附在该证书后面中，证明在开标日继续有效。</w:t>
            </w:r>
          </w:p>
          <w:p>
            <w:pPr>
              <w:pStyle w:val="22"/>
              <w:spacing w:beforeLines="0" w:afterLines="0" w:line="440" w:lineRule="exact"/>
              <w:ind w:firstLine="420" w:firstLineChars="200"/>
              <w:jc w:val="left"/>
              <w:outlineLvl w:val="9"/>
            </w:pPr>
            <w:r>
              <w:t>3．相关人员要求</w:t>
            </w:r>
          </w:p>
          <w:p>
            <w:pPr>
              <w:pStyle w:val="22"/>
              <w:spacing w:beforeLines="0" w:afterLines="0" w:line="440" w:lineRule="exact"/>
              <w:ind w:firstLine="420" w:firstLineChars="200"/>
              <w:jc w:val="left"/>
              <w:outlineLvl w:val="9"/>
            </w:pPr>
            <w:r>
              <w:t>3.1 拟派项目经理为具有</w:t>
            </w:r>
            <w:r>
              <w:rPr>
                <w:rFonts w:hint="eastAsia"/>
                <w:u w:val="single"/>
                <w:lang w:val="en-US" w:eastAsia="zh-CN"/>
              </w:rPr>
              <w:t xml:space="preserve"> </w:t>
            </w:r>
            <w:r>
              <w:rPr>
                <w:u w:val="single"/>
              </w:rPr>
              <w:t>市政公用工程</w:t>
            </w:r>
            <w:r>
              <w:rPr>
                <w:rFonts w:hint="eastAsia"/>
                <w:u w:val="single"/>
                <w:lang w:val="en-US" w:eastAsia="zh-CN"/>
              </w:rPr>
              <w:t xml:space="preserve"> </w:t>
            </w:r>
            <w:r>
              <w:t xml:space="preserve">一级或二级注册建造师，其中一级注册建造师应持有国家住建部核准的在使用有效期内的有效电子注册证书，二级注册建造师应持有广东省住建厅核准的有效电子注册证书（在“广东省二级注册建造师、二级注册结构工程师、二级注册建筑师注册管理信息系统”中打印，二级注册建造师应持有广东省住建厅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 </w:t>
            </w:r>
          </w:p>
          <w:p>
            <w:pPr>
              <w:pStyle w:val="22"/>
              <w:spacing w:beforeLines="0" w:afterLines="0" w:line="440" w:lineRule="exact"/>
              <w:ind w:firstLine="420" w:firstLineChars="200"/>
              <w:jc w:val="left"/>
              <w:outlineLvl w:val="9"/>
            </w:pPr>
            <w:r>
              <w:t>3.2 投标人拟派项目技术负责人须具备</w:t>
            </w:r>
            <w:r>
              <w:rPr>
                <w:rFonts w:hint="eastAsia"/>
                <w:u w:val="single"/>
                <w:lang w:val="en-US" w:eastAsia="zh-CN"/>
              </w:rPr>
              <w:t xml:space="preserve"> </w:t>
            </w:r>
            <w:r>
              <w:rPr>
                <w:u w:val="single"/>
              </w:rPr>
              <w:t>中</w:t>
            </w:r>
            <w:r>
              <w:rPr>
                <w:rFonts w:hint="eastAsia"/>
                <w:u w:val="single"/>
                <w:lang w:val="en-US" w:eastAsia="zh-CN"/>
              </w:rPr>
              <w:t xml:space="preserve"> </w:t>
            </w:r>
            <w:r>
              <w:t>级或以上技术职称。</w:t>
            </w:r>
          </w:p>
          <w:p>
            <w:pPr>
              <w:pStyle w:val="22"/>
              <w:spacing w:beforeLines="0" w:afterLines="0" w:line="440" w:lineRule="exact"/>
              <w:ind w:firstLine="420" w:firstLineChars="200"/>
              <w:jc w:val="left"/>
              <w:outlineLvl w:val="9"/>
            </w:pPr>
            <w:r>
              <w:t>3.3 投标人拟派专职安全生产管理人员须具备有效安全生产考核合格证明（C证，安全生产考核合格证书或广东省建筑施工企业管理人员安全生产考核系统考核合格信息打印页），且不少于1人。</w:t>
            </w:r>
          </w:p>
          <w:p>
            <w:pPr>
              <w:pStyle w:val="22"/>
              <w:spacing w:beforeLines="0" w:afterLines="0" w:line="440" w:lineRule="exact"/>
              <w:ind w:firstLine="420" w:firstLineChars="200"/>
              <w:jc w:val="left"/>
              <w:outlineLvl w:val="9"/>
            </w:pPr>
            <w:r>
              <w:t>3.4 投标人（包括组成联合体的所有成员单位）与其拟派往本项目管理机构的所有人员之间必须具备合法、唯一的劳动聘用关系。拟派人员中具备注册执业资格的，其注册单位须与投标人保持一致。</w:t>
            </w:r>
          </w:p>
          <w:p>
            <w:pPr>
              <w:pStyle w:val="22"/>
              <w:spacing w:beforeLines="0" w:afterLines="0" w:line="440" w:lineRule="exact"/>
              <w:ind w:firstLine="420" w:firstLineChars="200"/>
              <w:jc w:val="left"/>
              <w:outlineLvl w:val="9"/>
            </w:pPr>
            <w:r>
              <w:t>4．禁止投标条款：</w:t>
            </w:r>
          </w:p>
          <w:p>
            <w:pPr>
              <w:pStyle w:val="22"/>
              <w:spacing w:beforeLines="0" w:afterLines="0" w:line="440" w:lineRule="exact"/>
              <w:ind w:firstLine="420" w:firstLineChars="200"/>
              <w:jc w:val="left"/>
              <w:outlineLvl w:val="9"/>
            </w:pPr>
            <w:r>
              <w:t xml:space="preserve">4.1 投标人不得存在下列情形之一：    </w:t>
            </w:r>
          </w:p>
          <w:p>
            <w:pPr>
              <w:pStyle w:val="22"/>
              <w:spacing w:beforeLines="0" w:afterLines="0" w:line="440" w:lineRule="exact"/>
              <w:ind w:firstLine="420" w:firstLineChars="200"/>
              <w:jc w:val="left"/>
              <w:outlineLvl w:val="9"/>
            </w:pPr>
            <w:r>
              <w:t>（1）为招标人不具有独立法人资格的附属机构（单位）；</w:t>
            </w:r>
          </w:p>
          <w:p>
            <w:pPr>
              <w:pStyle w:val="22"/>
              <w:spacing w:beforeLines="0" w:afterLines="0" w:line="440" w:lineRule="exact"/>
              <w:ind w:firstLine="420" w:firstLineChars="200"/>
              <w:jc w:val="left"/>
              <w:outlineLvl w:val="9"/>
            </w:pPr>
            <w:r>
              <w:t>（2）为本招标项目前期准备提供设计或咨询服务的；</w:t>
            </w:r>
          </w:p>
          <w:p>
            <w:pPr>
              <w:pStyle w:val="22"/>
              <w:spacing w:beforeLines="0" w:afterLines="0" w:line="440" w:lineRule="exact"/>
              <w:ind w:firstLine="420" w:firstLineChars="200"/>
              <w:jc w:val="left"/>
              <w:outlineLvl w:val="9"/>
            </w:pPr>
            <w:r>
              <w:t>（3）与本招标项目的其他投标人为同一个单位负责人；</w:t>
            </w:r>
          </w:p>
          <w:p>
            <w:pPr>
              <w:pStyle w:val="22"/>
              <w:spacing w:beforeLines="0" w:afterLines="0" w:line="440" w:lineRule="exact"/>
              <w:ind w:firstLine="420" w:firstLineChars="200"/>
              <w:jc w:val="left"/>
              <w:outlineLvl w:val="9"/>
            </w:pPr>
            <w:r>
              <w:t>（4）与本招标项目的其他投标人存在控股、管理关系；</w:t>
            </w:r>
          </w:p>
          <w:p>
            <w:pPr>
              <w:pStyle w:val="22"/>
              <w:spacing w:beforeLines="0" w:afterLines="0" w:line="440" w:lineRule="exact"/>
              <w:ind w:firstLine="420" w:firstLineChars="200"/>
              <w:jc w:val="left"/>
              <w:outlineLvl w:val="9"/>
            </w:pPr>
            <w:r>
              <w:t>（5）为本招标项目的监理人；</w:t>
            </w:r>
          </w:p>
          <w:p>
            <w:pPr>
              <w:pStyle w:val="22"/>
              <w:spacing w:beforeLines="0" w:afterLines="0" w:line="440" w:lineRule="exact"/>
              <w:ind w:firstLine="420" w:firstLineChars="200"/>
              <w:jc w:val="left"/>
              <w:outlineLvl w:val="9"/>
            </w:pPr>
            <w:r>
              <w:t>（6）为本招标项目的代建人；</w:t>
            </w:r>
          </w:p>
          <w:p>
            <w:pPr>
              <w:pStyle w:val="22"/>
              <w:spacing w:beforeLines="0" w:afterLines="0" w:line="440" w:lineRule="exact"/>
              <w:ind w:firstLine="420" w:firstLineChars="200"/>
              <w:jc w:val="left"/>
              <w:outlineLvl w:val="9"/>
            </w:pPr>
            <w:r>
              <w:t>（7）为本招标项目的招标代理机构；</w:t>
            </w:r>
          </w:p>
          <w:p>
            <w:pPr>
              <w:pStyle w:val="22"/>
              <w:spacing w:beforeLines="0" w:afterLines="0" w:line="440" w:lineRule="exact"/>
              <w:ind w:firstLine="420" w:firstLineChars="200"/>
              <w:jc w:val="left"/>
              <w:outlineLvl w:val="9"/>
            </w:pPr>
            <w:r>
              <w:t>（8）与本招标项目的监理人或代建人或招标代理机构同为一个法定代表人；</w:t>
            </w:r>
          </w:p>
          <w:p>
            <w:pPr>
              <w:pStyle w:val="22"/>
              <w:spacing w:beforeLines="0" w:afterLines="0" w:line="440" w:lineRule="exact"/>
              <w:ind w:firstLine="420" w:firstLineChars="200"/>
              <w:jc w:val="left"/>
              <w:outlineLvl w:val="9"/>
            </w:pPr>
            <w:r>
              <w:t>（9）与本招标项目的监理人或代建人或招标代理机构存在控股或参股关系；</w:t>
            </w:r>
          </w:p>
          <w:p>
            <w:pPr>
              <w:pStyle w:val="22"/>
              <w:spacing w:beforeLines="0" w:afterLines="0" w:line="440" w:lineRule="exact"/>
              <w:ind w:firstLine="420" w:firstLineChars="200"/>
              <w:jc w:val="left"/>
              <w:outlineLvl w:val="9"/>
            </w:pPr>
            <w:r>
              <w:t>（10）与本招标项目的监理人或代建人或招标代理机构存在相互任职或工作关系；</w:t>
            </w:r>
          </w:p>
          <w:p>
            <w:pPr>
              <w:pStyle w:val="22"/>
              <w:spacing w:beforeLines="0" w:afterLines="0" w:line="440" w:lineRule="exact"/>
              <w:ind w:firstLine="420" w:firstLineChars="200"/>
              <w:jc w:val="left"/>
              <w:outlineLvl w:val="9"/>
            </w:pPr>
            <w:r>
              <w:t>（11）被依法暂停或者取消投标资格；</w:t>
            </w:r>
          </w:p>
          <w:p>
            <w:pPr>
              <w:pStyle w:val="22"/>
              <w:spacing w:beforeLines="0" w:afterLines="0" w:line="440" w:lineRule="exact"/>
              <w:ind w:firstLine="420" w:firstLineChars="200"/>
              <w:jc w:val="left"/>
              <w:outlineLvl w:val="9"/>
            </w:pPr>
            <w:r>
              <w:t>（12）被责令停产停业、暂扣或者吊销许可证、暂扣或者吊销执照；</w:t>
            </w:r>
          </w:p>
          <w:p>
            <w:pPr>
              <w:pStyle w:val="22"/>
              <w:spacing w:beforeLines="0" w:afterLines="0" w:line="440" w:lineRule="exact"/>
              <w:ind w:firstLine="420" w:firstLineChars="200"/>
              <w:jc w:val="left"/>
              <w:outlineLvl w:val="9"/>
            </w:pPr>
            <w:r>
              <w:t>（13）进入清算程序，或被宣告破产，或其他丧失履约能力的情形；</w:t>
            </w:r>
          </w:p>
          <w:p>
            <w:pPr>
              <w:pStyle w:val="22"/>
              <w:spacing w:beforeLines="0" w:afterLines="0" w:line="440" w:lineRule="exact"/>
              <w:ind w:firstLine="420" w:firstLineChars="200"/>
              <w:jc w:val="left"/>
              <w:outlineLvl w:val="9"/>
            </w:pPr>
            <w:r>
              <w:t>（14）在最近三年内发生重大工程质量或安全问题（以相关行业主管部门的行政处罚决定或司法机关出具的有关法律文书为准）；</w:t>
            </w:r>
          </w:p>
          <w:p>
            <w:pPr>
              <w:pStyle w:val="22"/>
              <w:spacing w:beforeLines="0" w:afterLines="0" w:line="440" w:lineRule="exact"/>
              <w:ind w:firstLine="420" w:firstLineChars="200"/>
              <w:jc w:val="left"/>
              <w:outlineLvl w:val="9"/>
            </w:pPr>
            <w:r>
              <w:t>（15）</w:t>
            </w:r>
            <w:r>
              <w:rPr>
                <w:rFonts w:hint="eastAsia"/>
              </w:rPr>
              <w:t>被“信用中国”网站（https://www.creditchina.gov.cn）发布的《法人和非法人组织公共信用信息报告》列为严重失信主体名单的</w:t>
            </w:r>
            <w:r>
              <w:t>。</w:t>
            </w:r>
          </w:p>
          <w:p>
            <w:pPr>
              <w:pStyle w:val="22"/>
              <w:spacing w:beforeLines="0" w:afterLines="0" w:line="440" w:lineRule="exact"/>
              <w:ind w:firstLine="420" w:firstLineChars="200"/>
              <w:jc w:val="left"/>
              <w:outlineLvl w:val="9"/>
            </w:pPr>
            <w:r>
              <w:t>4.2 招标人拒绝以下名单中的单位参加本次投标：</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840"/>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6" w:type="pct"/>
                  <w:noWrap w:val="0"/>
                  <w:vAlign w:val="center"/>
                </w:tcPr>
                <w:p>
                  <w:pPr>
                    <w:pStyle w:val="22"/>
                    <w:spacing w:beforeLines="0" w:afterLines="0" w:line="440" w:lineRule="exact"/>
                    <w:ind w:firstLine="0" w:firstLineChars="0"/>
                    <w:jc w:val="left"/>
                    <w:outlineLvl w:val="9"/>
                  </w:pPr>
                  <w:r>
                    <w:t>序号</w:t>
                  </w:r>
                </w:p>
              </w:tc>
              <w:tc>
                <w:tcPr>
                  <w:tcW w:w="2062" w:type="pct"/>
                  <w:noWrap w:val="0"/>
                  <w:vAlign w:val="center"/>
                </w:tcPr>
                <w:p>
                  <w:pPr>
                    <w:pStyle w:val="22"/>
                    <w:spacing w:beforeLines="0" w:afterLines="0" w:line="440" w:lineRule="exact"/>
                    <w:ind w:firstLine="420" w:firstLineChars="200"/>
                    <w:jc w:val="left"/>
                    <w:outlineLvl w:val="9"/>
                  </w:pPr>
                  <w:r>
                    <w:t>单位名称</w:t>
                  </w:r>
                </w:p>
              </w:tc>
              <w:tc>
                <w:tcPr>
                  <w:tcW w:w="2380" w:type="pct"/>
                  <w:noWrap w:val="0"/>
                  <w:vAlign w:val="center"/>
                </w:tcPr>
                <w:p>
                  <w:pPr>
                    <w:pStyle w:val="22"/>
                    <w:spacing w:beforeLines="0" w:afterLines="0" w:line="440" w:lineRule="exact"/>
                    <w:ind w:firstLine="420" w:firstLineChars="200"/>
                    <w:jc w:val="left"/>
                    <w:outlineLvl w:val="9"/>
                  </w:pPr>
                  <w: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eastAsia="宋体"/>
                      <w:lang w:eastAsia="zh-CN"/>
                    </w:rPr>
                  </w:pPr>
                  <w:r>
                    <w:rPr>
                      <w:rFonts w:hint="eastAsia"/>
                      <w:lang w:val="en-US" w:eastAsia="zh-CN"/>
                    </w:rPr>
                    <w:t>1</w:t>
                  </w:r>
                </w:p>
              </w:tc>
              <w:tc>
                <w:tcPr>
                  <w:tcW w:w="2062" w:type="pct"/>
                  <w:noWrap w:val="0"/>
                  <w:vAlign w:val="center"/>
                </w:tcPr>
                <w:p>
                  <w:pPr>
                    <w:pStyle w:val="22"/>
                    <w:spacing w:beforeLines="0" w:afterLines="0" w:line="440" w:lineRule="exact"/>
                    <w:jc w:val="left"/>
                    <w:outlineLvl w:val="9"/>
                    <w:rPr>
                      <w:rFonts w:hint="default"/>
                      <w:lang w:val="en-US" w:eastAsia="zh-CN"/>
                    </w:rPr>
                  </w:pPr>
                  <w:r>
                    <w:rPr>
                      <w:rFonts w:hint="eastAsia"/>
                      <w:lang w:val="en-US" w:eastAsia="zh-CN"/>
                    </w:rPr>
                    <w:t>华伦中建建设股份有限公司</w:t>
                  </w:r>
                </w:p>
              </w:tc>
              <w:tc>
                <w:tcPr>
                  <w:tcW w:w="2380" w:type="pct"/>
                  <w:noWrap w:val="0"/>
                  <w:vAlign w:val="center"/>
                </w:tcPr>
                <w:p>
                  <w:pPr>
                    <w:pStyle w:val="22"/>
                    <w:wordWrap w:val="0"/>
                    <w:adjustRightInd w:val="0"/>
                    <w:snapToGrid w:val="0"/>
                    <w:spacing w:beforeLines="0" w:afterLines="0" w:line="440" w:lineRule="exact"/>
                    <w:jc w:val="left"/>
                    <w:outlineLvl w:val="9"/>
                    <w:rPr>
                      <w:rFonts w:hint="eastAsia"/>
                    </w:rPr>
                  </w:pPr>
                  <w:r>
                    <w:rPr>
                      <w:rFonts w:hint="eastAsia"/>
                    </w:rPr>
                    <w:t>为本招标项目的可行性研究报告编制单位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eastAsia="宋体"/>
                      <w:lang w:val="en-US" w:eastAsia="zh-CN"/>
                    </w:rPr>
                  </w:pPr>
                  <w:r>
                    <w:rPr>
                      <w:rFonts w:hint="eastAsia"/>
                      <w:lang w:val="en-US" w:eastAsia="zh-CN"/>
                    </w:rPr>
                    <w:t>2</w:t>
                  </w:r>
                </w:p>
              </w:tc>
              <w:tc>
                <w:tcPr>
                  <w:tcW w:w="2062" w:type="pct"/>
                  <w:noWrap w:val="0"/>
                  <w:vAlign w:val="center"/>
                </w:tcPr>
                <w:p>
                  <w:pPr>
                    <w:pStyle w:val="22"/>
                    <w:spacing w:beforeLines="0" w:afterLines="0" w:line="440" w:lineRule="exact"/>
                    <w:jc w:val="left"/>
                    <w:outlineLvl w:val="9"/>
                  </w:pPr>
                  <w:r>
                    <w:rPr>
                      <w:rFonts w:hint="eastAsia"/>
                    </w:rPr>
                    <w:t>中慧力祥项目管理有限公司</w:t>
                  </w:r>
                </w:p>
              </w:tc>
              <w:tc>
                <w:tcPr>
                  <w:tcW w:w="2380" w:type="pct"/>
                  <w:noWrap w:val="0"/>
                  <w:vAlign w:val="center"/>
                </w:tcPr>
                <w:p>
                  <w:pPr>
                    <w:pStyle w:val="22"/>
                    <w:wordWrap w:val="0"/>
                    <w:adjustRightInd w:val="0"/>
                    <w:snapToGrid w:val="0"/>
                    <w:spacing w:beforeLines="0" w:afterLines="0" w:line="440" w:lineRule="exact"/>
                    <w:jc w:val="left"/>
                    <w:outlineLvl w:val="9"/>
                  </w:pPr>
                  <w:r>
                    <w:rPr>
                      <w:rFonts w:hint="eastAsia"/>
                    </w:rPr>
                    <w:t>为本招标项目的</w:t>
                  </w:r>
                  <w:r>
                    <w:rPr>
                      <w:rFonts w:hint="eastAsia"/>
                      <w:lang w:eastAsia="zh-CN"/>
                    </w:rPr>
                    <w:t>造价咨询单位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eastAsia="宋体"/>
                      <w:lang w:eastAsia="zh-CN"/>
                    </w:rPr>
                  </w:pPr>
                  <w:r>
                    <w:rPr>
                      <w:rFonts w:hint="eastAsia"/>
                      <w:lang w:val="en-US" w:eastAsia="zh-CN"/>
                    </w:rPr>
                    <w:t>3</w:t>
                  </w:r>
                </w:p>
              </w:tc>
              <w:tc>
                <w:tcPr>
                  <w:tcW w:w="2062" w:type="pct"/>
                  <w:noWrap w:val="0"/>
                  <w:vAlign w:val="center"/>
                </w:tcPr>
                <w:p>
                  <w:pPr>
                    <w:pStyle w:val="22"/>
                    <w:spacing w:beforeLines="0" w:afterLines="0" w:line="440" w:lineRule="exact"/>
                    <w:jc w:val="left"/>
                    <w:outlineLvl w:val="9"/>
                    <w:rPr>
                      <w:rFonts w:hint="eastAsia"/>
                      <w:lang w:eastAsia="zh-CN"/>
                    </w:rPr>
                  </w:pPr>
                  <w:r>
                    <w:rPr>
                      <w:rFonts w:hint="eastAsia"/>
                      <w:lang w:eastAsia="zh-CN"/>
                    </w:rPr>
                    <w:t>中伦建筑工程设计有限公司</w:t>
                  </w:r>
                </w:p>
              </w:tc>
              <w:tc>
                <w:tcPr>
                  <w:tcW w:w="2380" w:type="pct"/>
                  <w:noWrap w:val="0"/>
                  <w:vAlign w:val="center"/>
                </w:tcPr>
                <w:p>
                  <w:pPr>
                    <w:pStyle w:val="22"/>
                    <w:wordWrap w:val="0"/>
                    <w:adjustRightInd w:val="0"/>
                    <w:snapToGrid w:val="0"/>
                    <w:spacing w:beforeLines="0" w:afterLines="0" w:line="440" w:lineRule="exact"/>
                    <w:jc w:val="left"/>
                    <w:outlineLvl w:val="9"/>
                    <w:rPr>
                      <w:rFonts w:hint="eastAsia"/>
                    </w:rPr>
                  </w:pPr>
                  <w:r>
                    <w:rPr>
                      <w:rFonts w:hint="eastAsia"/>
                    </w:rPr>
                    <w:t>为本招标项目的设计单位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rPr>
                  </w:pPr>
                  <w:r>
                    <w:rPr>
                      <w:rFonts w:hint="eastAsia"/>
                      <w:lang w:val="en-US" w:eastAsia="zh-CN"/>
                    </w:rPr>
                    <w:t>4</w:t>
                  </w:r>
                </w:p>
              </w:tc>
              <w:tc>
                <w:tcPr>
                  <w:tcW w:w="2062" w:type="pct"/>
                  <w:noWrap w:val="0"/>
                  <w:vAlign w:val="center"/>
                </w:tcPr>
                <w:p>
                  <w:pPr>
                    <w:pStyle w:val="22"/>
                    <w:spacing w:beforeLines="0" w:afterLines="0" w:line="440" w:lineRule="exact"/>
                    <w:ind w:firstLine="420" w:firstLineChars="200"/>
                    <w:jc w:val="both"/>
                    <w:outlineLvl w:val="9"/>
                    <w:rPr>
                      <w:rFonts w:hint="default"/>
                      <w:lang w:val="en-US" w:eastAsia="zh-CN"/>
                    </w:rPr>
                  </w:pPr>
                  <w:r>
                    <w:rPr>
                      <w:rFonts w:hAnsi="宋体"/>
                      <w:snapToGrid w:val="0"/>
                      <w:color w:val="auto"/>
                      <w:kern w:val="0"/>
                      <w:szCs w:val="24"/>
                      <w:highlight w:val="none"/>
                    </w:rPr>
                    <w:t>/</w:t>
                  </w:r>
                </w:p>
              </w:tc>
              <w:tc>
                <w:tcPr>
                  <w:tcW w:w="2380" w:type="pct"/>
                  <w:noWrap w:val="0"/>
                  <w:vAlign w:val="center"/>
                </w:tcPr>
                <w:p>
                  <w:pPr>
                    <w:pStyle w:val="22"/>
                    <w:wordWrap w:val="0"/>
                    <w:adjustRightInd w:val="0"/>
                    <w:snapToGrid w:val="0"/>
                    <w:spacing w:beforeLines="0" w:afterLines="0" w:line="440" w:lineRule="exact"/>
                    <w:jc w:val="left"/>
                    <w:outlineLvl w:val="9"/>
                    <w:rPr>
                      <w:rFonts w:hint="eastAsia"/>
                    </w:rPr>
                  </w:pPr>
                  <w:r>
                    <w:rPr>
                      <w:rFonts w:hint="eastAsia"/>
                    </w:rPr>
                    <w:t>为本招标项目的监理单位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rPr>
                  </w:pPr>
                  <w:r>
                    <w:rPr>
                      <w:rFonts w:hint="eastAsia"/>
                      <w:lang w:val="en-US" w:eastAsia="zh-CN"/>
                    </w:rPr>
                    <w:t>5</w:t>
                  </w:r>
                </w:p>
              </w:tc>
              <w:tc>
                <w:tcPr>
                  <w:tcW w:w="2062" w:type="pct"/>
                  <w:noWrap w:val="0"/>
                  <w:vAlign w:val="center"/>
                </w:tcPr>
                <w:p>
                  <w:pPr>
                    <w:pStyle w:val="22"/>
                    <w:spacing w:beforeLines="0" w:afterLines="0" w:line="440" w:lineRule="exact"/>
                    <w:jc w:val="left"/>
                    <w:outlineLvl w:val="9"/>
                  </w:pPr>
                  <w:r>
                    <w:rPr>
                      <w:rFonts w:hint="eastAsia"/>
                      <w:lang w:eastAsia="zh-CN"/>
                    </w:rPr>
                    <w:t>广州穗科建设管理有限公司</w:t>
                  </w:r>
                </w:p>
              </w:tc>
              <w:tc>
                <w:tcPr>
                  <w:tcW w:w="2380" w:type="pct"/>
                  <w:noWrap w:val="0"/>
                  <w:vAlign w:val="center"/>
                </w:tcPr>
                <w:p>
                  <w:pPr>
                    <w:pStyle w:val="22"/>
                    <w:wordWrap w:val="0"/>
                    <w:adjustRightInd w:val="0"/>
                    <w:snapToGrid w:val="0"/>
                    <w:spacing w:beforeLines="0" w:afterLines="0" w:line="440" w:lineRule="exact"/>
                    <w:jc w:val="left"/>
                    <w:outlineLvl w:val="9"/>
                    <w:rPr>
                      <w:rFonts w:hint="eastAsia"/>
                    </w:rPr>
                  </w:pPr>
                  <w:r>
                    <w:rPr>
                      <w:rFonts w:hint="eastAsia"/>
                    </w:rPr>
                    <w:t>为本招标项目的招标代理机构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rPr>
                  </w:pPr>
                  <w:r>
                    <w:rPr>
                      <w:rFonts w:hint="eastAsia"/>
                      <w:lang w:val="en-US" w:eastAsia="zh-CN"/>
                    </w:rPr>
                    <w:t>6</w:t>
                  </w:r>
                </w:p>
              </w:tc>
              <w:tc>
                <w:tcPr>
                  <w:tcW w:w="2062" w:type="pct"/>
                  <w:noWrap w:val="0"/>
                  <w:vAlign w:val="center"/>
                </w:tcPr>
                <w:p>
                  <w:pPr>
                    <w:pStyle w:val="22"/>
                    <w:wordWrap w:val="0"/>
                    <w:adjustRightInd w:val="0"/>
                    <w:snapToGrid w:val="0"/>
                    <w:spacing w:beforeLines="0" w:afterLines="0" w:line="440" w:lineRule="exact"/>
                    <w:jc w:val="left"/>
                    <w:outlineLvl w:val="9"/>
                    <w:rPr>
                      <w:rFonts w:hint="eastAsia"/>
                      <w:lang w:eastAsia="zh-CN"/>
                    </w:rPr>
                  </w:pPr>
                  <w:r>
                    <w:rPr>
                      <w:rFonts w:hint="eastAsia"/>
                      <w:lang w:eastAsia="zh-CN"/>
                    </w:rPr>
                    <w:t>乐昌市沙坪镇人民政府</w:t>
                  </w:r>
                </w:p>
              </w:tc>
              <w:tc>
                <w:tcPr>
                  <w:tcW w:w="2380" w:type="pct"/>
                  <w:noWrap w:val="0"/>
                  <w:vAlign w:val="center"/>
                </w:tcPr>
                <w:p>
                  <w:pPr>
                    <w:pStyle w:val="22"/>
                    <w:wordWrap w:val="0"/>
                    <w:adjustRightInd w:val="0"/>
                    <w:snapToGrid w:val="0"/>
                    <w:spacing w:beforeLines="0" w:afterLines="0" w:line="440" w:lineRule="exact"/>
                    <w:jc w:val="left"/>
                    <w:outlineLvl w:val="9"/>
                    <w:rPr>
                      <w:rFonts w:hint="eastAsia"/>
                    </w:rPr>
                  </w:pPr>
                  <w:r>
                    <w:rPr>
                      <w:rFonts w:hint="eastAsia"/>
                    </w:rPr>
                    <w:t>为本招标项目的业主单位</w:t>
                  </w:r>
                </w:p>
              </w:tc>
            </w:tr>
          </w:tbl>
          <w:p>
            <w:pPr>
              <w:pStyle w:val="22"/>
              <w:spacing w:beforeLines="0" w:afterLines="0" w:line="440" w:lineRule="exact"/>
              <w:ind w:firstLine="420" w:firstLineChars="200"/>
              <w:jc w:val="left"/>
              <w:outlineLvl w:val="9"/>
            </w:pPr>
            <w:r>
              <w:t>5．其他要求</w:t>
            </w:r>
          </w:p>
          <w:p>
            <w:pPr>
              <w:tabs>
                <w:tab w:val="left" w:pos="7020"/>
              </w:tabs>
              <w:wordWrap w:val="0"/>
              <w:adjustRightInd w:val="0"/>
              <w:snapToGrid w:val="0"/>
              <w:spacing w:line="440" w:lineRule="exact"/>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省外企业须按照《广东省住房和城乡建设厅关于取消省外建筑企业和人员进粤信息备案有关工作的通知》（粤建市﹝2015﹞52号）规定在“进粤企业和人员诚信信息登记平台”录入相关信息并通过数据规范检查。</w:t>
            </w:r>
          </w:p>
          <w:p>
            <w:pPr>
              <w:tabs>
                <w:tab w:val="left" w:pos="7020"/>
              </w:tabs>
              <w:wordWrap w:val="0"/>
              <w:adjustRightInd w:val="0"/>
              <w:snapToGrid w:val="0"/>
              <w:spacing w:line="440" w:lineRule="exact"/>
              <w:ind w:firstLine="422" w:firstLineChars="200"/>
            </w:pPr>
            <w:r>
              <w:rPr>
                <w:rFonts w:hint="eastAsia" w:ascii="Times New Roman" w:hAnsi="Times New Roman" w:eastAsia="宋体" w:cs="Times New Roman"/>
                <w:b/>
                <w:bCs/>
                <w:kern w:val="2"/>
                <w:sz w:val="21"/>
                <w:szCs w:val="24"/>
                <w:lang w:val="en-US" w:eastAsia="zh-CN" w:bidi="ar-SA"/>
              </w:rPr>
              <w:t>6.来参加本次开标活动的法定代表人或授权代表人，如果法人代表人或授权代表人通信数据行程卡扫码显示7天内有到过中高风险地区的，需提供本工程开标之日前48小时内的本人《核酸检测证明》。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23</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投标保证</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rPr>
                <w:rFonts w:hAnsi="宋体"/>
                <w:snapToGrid w:val="0"/>
                <w:color w:val="auto"/>
                <w:kern w:val="0"/>
                <w:szCs w:val="24"/>
                <w:highlight w:val="none"/>
              </w:rPr>
            </w:pPr>
            <w:r>
              <w:rPr>
                <w:rFonts w:hAnsi="宋体"/>
                <w:snapToGrid w:val="0"/>
                <w:color w:val="auto"/>
                <w:kern w:val="0"/>
                <w:szCs w:val="24"/>
                <w:highlight w:val="none"/>
              </w:rPr>
              <w:t xml:space="preserve">    1．投标人须缴纳金额为人民币</w:t>
            </w:r>
            <w:r>
              <w:rPr>
                <w:rFonts w:hAnsi="宋体"/>
                <w:snapToGrid w:val="0"/>
                <w:color w:val="auto"/>
                <w:kern w:val="0"/>
                <w:szCs w:val="24"/>
                <w:highlight w:val="none"/>
                <w:u w:val="single"/>
              </w:rPr>
              <w:t xml:space="preserve"> </w:t>
            </w:r>
            <w:r>
              <w:rPr>
                <w:rFonts w:hint="eastAsia" w:hAnsi="宋体"/>
                <w:snapToGrid w:val="0"/>
                <w:color w:val="auto"/>
                <w:kern w:val="0"/>
                <w:szCs w:val="24"/>
                <w:highlight w:val="none"/>
                <w:u w:val="single"/>
                <w:lang w:val="en-US" w:eastAsia="zh-CN"/>
              </w:rPr>
              <w:t>30</w:t>
            </w:r>
            <w:r>
              <w:rPr>
                <w:rFonts w:hAnsi="宋体"/>
                <w:snapToGrid w:val="0"/>
                <w:color w:val="auto"/>
                <w:kern w:val="0"/>
                <w:szCs w:val="24"/>
                <w:highlight w:val="none"/>
                <w:u w:val="single"/>
              </w:rPr>
              <w:t>万元</w:t>
            </w:r>
            <w:r>
              <w:rPr>
                <w:rFonts w:hAnsi="宋体"/>
                <w:snapToGrid w:val="0"/>
                <w:color w:val="auto"/>
                <w:kern w:val="0"/>
                <w:szCs w:val="24"/>
                <w:highlight w:val="none"/>
              </w:rPr>
              <w:t>的投标保证。联合体投标的，由联合体牵头人缴纳。</w:t>
            </w:r>
          </w:p>
          <w:p>
            <w:pPr>
              <w:wordWrap w:val="0"/>
              <w:adjustRightInd w:val="0"/>
              <w:snapToGrid w:val="0"/>
              <w:spacing w:line="400" w:lineRule="exact"/>
              <w:ind w:firstLine="480" w:firstLineChars="200"/>
              <w:rPr>
                <w:rFonts w:hAnsi="宋体"/>
                <w:snapToGrid w:val="0"/>
                <w:color w:val="auto"/>
                <w:kern w:val="0"/>
                <w:szCs w:val="24"/>
                <w:highlight w:val="none"/>
              </w:rPr>
            </w:pPr>
            <w:r>
              <w:rPr>
                <w:rFonts w:hAnsi="宋体"/>
                <w:snapToGrid w:val="0"/>
                <w:color w:val="auto"/>
                <w:kern w:val="0"/>
                <w:szCs w:val="24"/>
                <w:highlight w:val="none"/>
              </w:rPr>
              <w:t>2．投标保证的形式包括投标保证金、投标保证担保、投标保证保险三种，由投标人自主选择。</w:t>
            </w:r>
          </w:p>
          <w:p>
            <w:pPr>
              <w:tabs>
                <w:tab w:val="left" w:pos="7020"/>
              </w:tabs>
              <w:wordWrap w:val="0"/>
              <w:adjustRightInd w:val="0"/>
              <w:snapToGrid w:val="0"/>
              <w:spacing w:line="440" w:lineRule="exact"/>
              <w:ind w:firstLine="480" w:firstLineChars="200"/>
              <w:rPr>
                <w:rFonts w:hAnsi="宋体"/>
                <w:snapToGrid w:val="0"/>
                <w:color w:val="auto"/>
                <w:kern w:val="0"/>
                <w:szCs w:val="24"/>
                <w:highlight w:val="none"/>
              </w:rPr>
            </w:pPr>
            <w:r>
              <w:rPr>
                <w:rFonts w:hAnsi="宋体"/>
                <w:snapToGrid w:val="0"/>
                <w:color w:val="auto"/>
                <w:kern w:val="0"/>
                <w:szCs w:val="24"/>
                <w:highlight w:val="none"/>
              </w:rPr>
              <w:t>（1）采用投标保证金的，投标人在建设工程交易系统报名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pPr>
              <w:tabs>
                <w:tab w:val="left" w:pos="7020"/>
              </w:tabs>
              <w:wordWrap w:val="0"/>
              <w:adjustRightInd w:val="0"/>
              <w:snapToGrid w:val="0"/>
              <w:spacing w:line="440" w:lineRule="exact"/>
              <w:ind w:firstLine="480" w:firstLineChars="200"/>
              <w:rPr>
                <w:rFonts w:hAnsi="宋体"/>
                <w:snapToGrid w:val="0"/>
                <w:color w:val="auto"/>
                <w:kern w:val="0"/>
                <w:szCs w:val="24"/>
                <w:highlight w:val="none"/>
              </w:rPr>
            </w:pPr>
            <w:r>
              <w:rPr>
                <w:rFonts w:hAnsi="宋体"/>
                <w:snapToGrid w:val="0"/>
                <w:color w:val="auto"/>
                <w:kern w:val="0"/>
                <w:szCs w:val="24"/>
                <w:highlight w:val="none"/>
              </w:rPr>
              <w:t>（2）采用投标保证担保的，投标人须提交有效的银行保函，银行保函的有效期不得短于投标有效期。投标人必须于投标保证担保上传截止时间（见本章第二节“重要事项时间地点一览表”）前，按照建设工程交易系统的要求制作和上传银行保函电子文件。银行保函原件连同投标文件一并现场递交。逾期上传的、未递交原件的，其投标无效。</w:t>
            </w:r>
          </w:p>
          <w:p>
            <w:pPr>
              <w:pStyle w:val="22"/>
              <w:wordWrap w:val="0"/>
              <w:adjustRightInd w:val="0"/>
              <w:snapToGrid w:val="0"/>
              <w:spacing w:line="440" w:lineRule="exact"/>
              <w:ind w:firstLine="480"/>
              <w:jc w:val="left"/>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w:t>
            </w:r>
            <w:r>
              <w:rPr>
                <w:rFonts w:hint="eastAsia"/>
                <w:snapToGrid w:val="0"/>
                <w:color w:val="auto"/>
                <w:kern w:val="0"/>
                <w:sz w:val="24"/>
                <w:highlight w:val="none"/>
              </w:rPr>
              <w:t>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w:t>
            </w:r>
            <w:r>
              <w:rPr>
                <w:rFonts w:hint="eastAsia"/>
                <w:snapToGrid w:val="0"/>
                <w:color w:val="auto"/>
                <w:kern w:val="0"/>
                <w:sz w:val="24"/>
                <w:highlight w:val="none"/>
                <w:lang w:eastAsia="zh-CN"/>
              </w:rPr>
              <w:t>广东省公共资源交易平台（韶关市）（https://ygp.gdzwfw.gov.cn/ggzy-portal/#/440200/index）或韶关市公共资源交易一体化平台(http://portal.ythpt.sg.gov.cn)</w:t>
            </w:r>
            <w:r>
              <w:rPr>
                <w:rFonts w:hint="eastAsia"/>
                <w:snapToGrid w:val="0"/>
                <w:color w:val="auto"/>
                <w:kern w:val="0"/>
                <w:sz w:val="24"/>
                <w:highlight w:val="none"/>
              </w:rPr>
              <w:t>，在【交易指引】栏目中下载《建设工程网上交易系统保险保证金缴纳操作指南》，了解网上投保具体操作流程。逾期投保的，其投标无效。</w:t>
            </w:r>
          </w:p>
          <w:p>
            <w:pPr>
              <w:wordWrap w:val="0"/>
              <w:adjustRightInd w:val="0"/>
              <w:snapToGrid w:val="0"/>
              <w:spacing w:line="400" w:lineRule="exact"/>
              <w:ind w:firstLine="480" w:firstLineChars="200"/>
              <w:rPr>
                <w:rFonts w:hAnsi="宋体"/>
                <w:snapToGrid w:val="0"/>
                <w:color w:val="auto"/>
                <w:kern w:val="0"/>
                <w:szCs w:val="24"/>
                <w:highlight w:val="none"/>
              </w:rPr>
            </w:pPr>
            <w:r>
              <w:rPr>
                <w:rFonts w:hAnsi="宋体"/>
                <w:snapToGrid w:val="0"/>
                <w:color w:val="auto"/>
                <w:kern w:val="0"/>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24</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投标有效期</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ind w:firstLine="480" w:firstLineChars="200"/>
              <w:rPr>
                <w:rFonts w:hAnsi="宋体"/>
                <w:snapToGrid w:val="0"/>
                <w:color w:val="auto"/>
                <w:kern w:val="0"/>
                <w:szCs w:val="24"/>
                <w:highlight w:val="none"/>
              </w:rPr>
            </w:pPr>
            <w:r>
              <w:rPr>
                <w:rFonts w:hAnsi="宋体"/>
                <w:snapToGrid w:val="0"/>
                <w:color w:val="auto"/>
                <w:kern w:val="0"/>
                <w:szCs w:val="24"/>
                <w:highlight w:val="none"/>
              </w:rPr>
              <w:t>本次招标的投标有效期为</w:t>
            </w:r>
            <w:r>
              <w:rPr>
                <w:rFonts w:hAnsi="宋体"/>
                <w:snapToGrid w:val="0"/>
                <w:color w:val="auto"/>
                <w:kern w:val="0"/>
                <w:szCs w:val="24"/>
                <w:highlight w:val="none"/>
                <w:u w:val="single"/>
              </w:rPr>
              <w:t xml:space="preserve">  90 </w:t>
            </w:r>
            <w:r>
              <w:rPr>
                <w:rFonts w:hAnsi="宋体"/>
                <w:snapToGrid w:val="0"/>
                <w:color w:val="auto"/>
                <w:kern w:val="0"/>
                <w:szCs w:val="24"/>
                <w:highlight w:val="none"/>
              </w:rPr>
              <w:t>个日历天。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5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25</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投标文件</w:t>
            </w:r>
          </w:p>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组成及份数</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ind w:firstLine="480" w:firstLineChars="200"/>
              <w:rPr>
                <w:rFonts w:hAnsi="宋体"/>
                <w:snapToGrid w:val="0"/>
                <w:color w:val="auto"/>
                <w:kern w:val="0"/>
                <w:szCs w:val="24"/>
                <w:highlight w:val="none"/>
              </w:rPr>
            </w:pPr>
            <w:r>
              <w:rPr>
                <w:rFonts w:hAnsi="宋体"/>
                <w:snapToGrid w:val="0"/>
                <w:color w:val="auto"/>
                <w:kern w:val="0"/>
                <w:szCs w:val="24"/>
                <w:highlight w:val="none"/>
              </w:rPr>
              <w:t>投标文件包括商务标书、经济标书、施工组织设计三个分册，各一份正本、五份副本。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1"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26</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施工组织设计</w:t>
            </w:r>
          </w:p>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评审方式</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ind w:firstLine="480" w:firstLineChars="200"/>
              <w:rPr>
                <w:rFonts w:hAnsi="宋体"/>
                <w:snapToGrid w:val="0"/>
                <w:color w:val="auto"/>
                <w:kern w:val="0"/>
                <w:szCs w:val="24"/>
                <w:highlight w:val="none"/>
              </w:rPr>
            </w:pPr>
            <w:r>
              <w:rPr>
                <w:rFonts w:hAnsi="宋体"/>
                <w:snapToGrid w:val="0"/>
                <w:color w:val="auto"/>
                <w:kern w:val="0"/>
                <w:szCs w:val="24"/>
                <w:highlight w:val="none"/>
              </w:rPr>
              <w:t>本次招标施工组织设计</w:t>
            </w:r>
            <w:r>
              <w:rPr>
                <w:rFonts w:hAnsi="宋体"/>
                <w:snapToGrid w:val="0"/>
                <w:color w:val="auto"/>
                <w:kern w:val="0"/>
                <w:szCs w:val="24"/>
                <w:highlight w:val="none"/>
                <w:u w:val="single"/>
              </w:rPr>
              <w:t xml:space="preserve">不采用 </w:t>
            </w:r>
            <w:r>
              <w:rPr>
                <w:rFonts w:hAnsi="宋体"/>
                <w:snapToGrid w:val="0"/>
                <w:color w:val="auto"/>
                <w:kern w:val="0"/>
                <w:szCs w:val="24"/>
                <w:highlight w:val="none"/>
              </w:rPr>
              <w:t>“暗标”方式进行评审。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27</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评标委员会</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ind w:firstLine="480" w:firstLineChars="200"/>
              <w:rPr>
                <w:rFonts w:hAnsi="宋体"/>
                <w:snapToGrid w:val="0"/>
                <w:color w:val="auto"/>
                <w:kern w:val="0"/>
                <w:szCs w:val="24"/>
                <w:highlight w:val="none"/>
              </w:rPr>
            </w:pPr>
            <w:r>
              <w:rPr>
                <w:rFonts w:hAnsi="宋体"/>
                <w:snapToGrid w:val="0"/>
                <w:color w:val="auto"/>
                <w:kern w:val="0"/>
                <w:szCs w:val="24"/>
                <w:highlight w:val="none"/>
              </w:rPr>
              <w:t>评标委员会由</w:t>
            </w:r>
            <w:r>
              <w:rPr>
                <w:rFonts w:hAnsi="宋体"/>
                <w:snapToGrid w:val="0"/>
                <w:color w:val="auto"/>
                <w:kern w:val="0"/>
                <w:szCs w:val="24"/>
                <w:highlight w:val="none"/>
                <w:u w:val="single"/>
              </w:rPr>
              <w:t xml:space="preserve"> 5</w:t>
            </w:r>
            <w:r>
              <w:rPr>
                <w:rFonts w:hAnsi="宋体"/>
                <w:snapToGrid w:val="0"/>
                <w:color w:val="auto"/>
                <w:kern w:val="0"/>
                <w:szCs w:val="24"/>
                <w:highlight w:val="none"/>
              </w:rPr>
              <w:t>人组成，其中招标人代表</w:t>
            </w:r>
            <w:r>
              <w:rPr>
                <w:rFonts w:hAnsi="宋体"/>
                <w:snapToGrid w:val="0"/>
                <w:color w:val="auto"/>
                <w:kern w:val="0"/>
                <w:szCs w:val="24"/>
                <w:highlight w:val="none"/>
                <w:u w:val="single"/>
              </w:rPr>
              <w:t xml:space="preserve"> 0 </w:t>
            </w:r>
            <w:r>
              <w:rPr>
                <w:rFonts w:hAnsi="宋体"/>
                <w:snapToGrid w:val="0"/>
                <w:color w:val="auto"/>
                <w:kern w:val="0"/>
                <w:szCs w:val="24"/>
                <w:highlight w:val="none"/>
              </w:rPr>
              <w:t>人，专家</w:t>
            </w:r>
            <w:r>
              <w:rPr>
                <w:rFonts w:hAnsi="宋体"/>
                <w:snapToGrid w:val="0"/>
                <w:color w:val="auto"/>
                <w:kern w:val="0"/>
                <w:szCs w:val="24"/>
                <w:highlight w:val="none"/>
                <w:u w:val="single"/>
              </w:rPr>
              <w:t xml:space="preserve"> 5 </w:t>
            </w:r>
            <w:r>
              <w:rPr>
                <w:rFonts w:hAnsi="宋体"/>
                <w:snapToGrid w:val="0"/>
                <w:color w:val="auto"/>
                <w:kern w:val="0"/>
                <w:szCs w:val="24"/>
                <w:highlight w:val="none"/>
              </w:rPr>
              <w:t>人。专家从</w:t>
            </w:r>
            <w:r>
              <w:rPr>
                <w:rFonts w:hAnsi="宋体"/>
                <w:snapToGrid w:val="0"/>
                <w:color w:val="auto"/>
                <w:kern w:val="0"/>
                <w:szCs w:val="24"/>
                <w:highlight w:val="none"/>
                <w:u w:val="single"/>
              </w:rPr>
              <w:t>广东省综合评标评审专家库--韶关区域</w:t>
            </w:r>
            <w:r>
              <w:rPr>
                <w:rFonts w:hAnsi="宋体"/>
                <w:snapToGrid w:val="0"/>
                <w:color w:val="auto"/>
                <w:kern w:val="0"/>
                <w:szCs w:val="24"/>
                <w:highlight w:val="none"/>
              </w:rPr>
              <w:t>中随机抽取，其中技术类专家</w:t>
            </w:r>
            <w:r>
              <w:rPr>
                <w:rFonts w:hAnsi="宋体"/>
                <w:snapToGrid w:val="0"/>
                <w:color w:val="auto"/>
                <w:kern w:val="0"/>
                <w:szCs w:val="24"/>
                <w:highlight w:val="none"/>
                <w:u w:val="single"/>
              </w:rPr>
              <w:t xml:space="preserve"> 3 </w:t>
            </w:r>
            <w:r>
              <w:rPr>
                <w:rFonts w:hAnsi="宋体"/>
                <w:snapToGrid w:val="0"/>
                <w:color w:val="auto"/>
                <w:kern w:val="0"/>
                <w:szCs w:val="24"/>
                <w:highlight w:val="none"/>
              </w:rPr>
              <w:t>人，经济类专家</w:t>
            </w:r>
            <w:r>
              <w:rPr>
                <w:rFonts w:hAnsi="宋体"/>
                <w:snapToGrid w:val="0"/>
                <w:color w:val="auto"/>
                <w:kern w:val="0"/>
                <w:szCs w:val="24"/>
                <w:highlight w:val="none"/>
                <w:u w:val="single"/>
              </w:rPr>
              <w:t xml:space="preserve"> 2 </w:t>
            </w:r>
            <w:r>
              <w:rPr>
                <w:rFonts w:hAnsi="宋体"/>
                <w:snapToGrid w:val="0"/>
                <w:color w:val="auto"/>
                <w:kern w:val="0"/>
                <w:szCs w:val="24"/>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28</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评标方法</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rPr>
                <w:rFonts w:hAnsi="宋体"/>
                <w:snapToGrid w:val="0"/>
                <w:color w:val="auto"/>
                <w:kern w:val="0"/>
                <w:szCs w:val="24"/>
                <w:highlight w:val="none"/>
              </w:rPr>
            </w:pPr>
            <w:r>
              <w:rPr>
                <w:rFonts w:hAnsi="宋体"/>
                <w:snapToGrid w:val="0"/>
                <w:color w:val="auto"/>
                <w:kern w:val="0"/>
                <w:szCs w:val="24"/>
                <w:highlight w:val="none"/>
              </w:rPr>
              <w:t xml:space="preserve">   综合评估法</w:t>
            </w:r>
          </w:p>
        </w:tc>
      </w:tr>
      <w:bookmarkEnd w:id="1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29</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left"/>
              <w:rPr>
                <w:rFonts w:hAnsi="宋体"/>
                <w:snapToGrid w:val="0"/>
                <w:color w:val="auto"/>
                <w:kern w:val="0"/>
                <w:szCs w:val="24"/>
                <w:highlight w:val="none"/>
              </w:rPr>
            </w:pPr>
            <w:r>
              <w:rPr>
                <w:rFonts w:hAnsi="宋体"/>
                <w:snapToGrid w:val="0"/>
                <w:color w:val="auto"/>
                <w:kern w:val="0"/>
                <w:szCs w:val="24"/>
                <w:highlight w:val="none"/>
              </w:rPr>
              <w:t>招标文件要求提交的用于评审的证书、证件、证明原件</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ind w:firstLine="480" w:firstLineChars="200"/>
              <w:rPr>
                <w:rFonts w:hAnsi="宋体"/>
                <w:snapToGrid w:val="0"/>
                <w:color w:val="auto"/>
                <w:kern w:val="0"/>
                <w:szCs w:val="24"/>
                <w:highlight w:val="none"/>
              </w:rPr>
            </w:pPr>
            <w:r>
              <w:rPr>
                <w:rFonts w:hAnsi="宋体"/>
                <w:snapToGrid w:val="0"/>
                <w:color w:val="auto"/>
                <w:kern w:val="0"/>
                <w:szCs w:val="24"/>
                <w:highlight w:val="none"/>
              </w:rPr>
              <w:t>投标人在递交纸质投标文件时须提交用于评审的证书、证件、证明原件的，投标人应自行将所需原件密封于文件袋（箱）中，并自行准备两张“原件一览表”(详见格式十三，投标人须自行填写，表格可扩展)，一张贴于文件袋（箱），一张在递交时由投标人、招标代理机构签字。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1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30</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rPr>
                <w:rFonts w:hAnsi="宋体"/>
                <w:snapToGrid w:val="0"/>
                <w:color w:val="auto"/>
                <w:kern w:val="0"/>
                <w:szCs w:val="24"/>
                <w:highlight w:val="none"/>
              </w:rPr>
            </w:pPr>
            <w:r>
              <w:rPr>
                <w:rFonts w:hAnsi="宋体"/>
                <w:color w:val="auto"/>
                <w:szCs w:val="24"/>
                <w:highlight w:val="none"/>
              </w:rPr>
              <w:t>招标代理服务费</w:t>
            </w:r>
            <w:r>
              <w:rPr>
                <w:rFonts w:hAnsi="宋体"/>
                <w:bCs/>
                <w:snapToGrid w:val="0"/>
                <w:color w:val="auto"/>
                <w:kern w:val="0"/>
                <w:szCs w:val="24"/>
                <w:highlight w:val="none"/>
              </w:rPr>
              <w:t>和评标专家酬劳</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rPr>
                <w:rFonts w:hAnsi="宋体"/>
                <w:color w:val="auto"/>
                <w:szCs w:val="24"/>
                <w:highlight w:val="none"/>
              </w:rPr>
            </w:pPr>
            <w:r>
              <w:rPr>
                <w:rFonts w:hAnsi="宋体"/>
                <w:bCs/>
                <w:snapToGrid w:val="0"/>
                <w:color w:val="auto"/>
                <w:kern w:val="0"/>
                <w:szCs w:val="24"/>
                <w:highlight w:val="none"/>
              </w:rPr>
              <w:t>本工程的招标代理服务费及评标专家酬劳全部由中标人支付，该费用不再另行报价，由投标人在投标报价时综合考虑在内。中标人在领取中标通知书前须向招标代理机构一次性支付招标代理服务费及评标专家酬劳（评标专家酬劳先由招标代理垫付，评标专家酬劳以评标结束当日的评标专家酬劳签收表总额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招标人</w:t>
            </w:r>
          </w:p>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联系方式</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eastAsia" w:hAnsi="宋体" w:eastAsia="宋体"/>
                <w:snapToGrid w:val="0"/>
                <w:color w:val="auto"/>
                <w:kern w:val="0"/>
                <w:szCs w:val="24"/>
                <w:highlight w:val="none"/>
                <w:lang w:eastAsia="zh-CN"/>
              </w:rPr>
            </w:pPr>
            <w:r>
              <w:rPr>
                <w:rFonts w:hAnsi="宋体"/>
                <w:snapToGrid w:val="0"/>
                <w:color w:val="auto"/>
                <w:kern w:val="0"/>
                <w:szCs w:val="24"/>
                <w:highlight w:val="none"/>
              </w:rPr>
              <w:t>单位名称：</w:t>
            </w:r>
            <w:r>
              <w:rPr>
                <w:rFonts w:hint="eastAsia" w:hAnsi="宋体"/>
                <w:snapToGrid w:val="0"/>
                <w:color w:val="auto"/>
                <w:kern w:val="0"/>
                <w:szCs w:val="24"/>
                <w:highlight w:val="none"/>
                <w:lang w:eastAsia="zh-CN"/>
              </w:rPr>
              <w:t>乐昌市沙坪镇人民政府</w:t>
            </w:r>
          </w:p>
          <w:p>
            <w:pPr>
              <w:wordWrap w:val="0"/>
              <w:adjustRightInd w:val="0"/>
              <w:snapToGrid w:val="0"/>
              <w:spacing w:line="400" w:lineRule="exact"/>
              <w:jc w:val="left"/>
              <w:rPr>
                <w:rFonts w:hint="eastAsia" w:hAnsi="宋体" w:eastAsia="宋体"/>
                <w:snapToGrid w:val="0"/>
                <w:color w:val="auto"/>
                <w:kern w:val="0"/>
                <w:szCs w:val="24"/>
                <w:highlight w:val="none"/>
                <w:lang w:val="en-US" w:eastAsia="zh-CN"/>
              </w:rPr>
            </w:pPr>
            <w:r>
              <w:rPr>
                <w:rFonts w:hAnsi="宋体"/>
                <w:snapToGrid w:val="0"/>
                <w:color w:val="auto"/>
                <w:kern w:val="0"/>
                <w:szCs w:val="24"/>
                <w:highlight w:val="none"/>
              </w:rPr>
              <w:t>办公地址：</w:t>
            </w:r>
            <w:r>
              <w:rPr>
                <w:rFonts w:hint="eastAsia" w:hAnsi="宋体"/>
                <w:snapToGrid w:val="0"/>
                <w:color w:val="auto"/>
                <w:kern w:val="0"/>
                <w:szCs w:val="24"/>
                <w:highlight w:val="none"/>
              </w:rPr>
              <w:t>广东省韶关市乐昌市沙坪镇西街7号</w:t>
            </w:r>
          </w:p>
          <w:p>
            <w:pPr>
              <w:wordWrap w:val="0"/>
              <w:adjustRightInd w:val="0"/>
              <w:snapToGrid w:val="0"/>
              <w:spacing w:line="400" w:lineRule="exact"/>
              <w:jc w:val="left"/>
              <w:rPr>
                <w:rFonts w:hint="eastAsia" w:hAnsi="宋体" w:eastAsia="宋体"/>
                <w:snapToGrid w:val="0"/>
                <w:color w:val="auto"/>
                <w:kern w:val="0"/>
                <w:szCs w:val="24"/>
                <w:highlight w:val="none"/>
                <w:lang w:val="en-US" w:eastAsia="zh-CN"/>
              </w:rPr>
            </w:pPr>
            <w:r>
              <w:rPr>
                <w:rFonts w:hAnsi="宋体"/>
                <w:snapToGrid w:val="0"/>
                <w:color w:val="auto"/>
                <w:kern w:val="0"/>
                <w:szCs w:val="24"/>
                <w:highlight w:val="none"/>
              </w:rPr>
              <w:t>联系人：</w:t>
            </w:r>
            <w:r>
              <w:rPr>
                <w:rFonts w:hint="eastAsia" w:hAnsi="宋体"/>
                <w:snapToGrid w:val="0"/>
                <w:color w:val="auto"/>
                <w:kern w:val="0"/>
                <w:szCs w:val="24"/>
                <w:highlight w:val="none"/>
                <w:lang w:val="en-US" w:eastAsia="zh-CN"/>
              </w:rPr>
              <w:t>骆先生</w:t>
            </w:r>
          </w:p>
          <w:p>
            <w:pPr>
              <w:wordWrap w:val="0"/>
              <w:adjustRightInd w:val="0"/>
              <w:snapToGrid w:val="0"/>
              <w:spacing w:line="400" w:lineRule="exact"/>
              <w:jc w:val="left"/>
              <w:rPr>
                <w:rFonts w:hint="default" w:hAnsi="宋体" w:eastAsia="宋体"/>
                <w:snapToGrid w:val="0"/>
                <w:color w:val="auto"/>
                <w:kern w:val="0"/>
                <w:szCs w:val="24"/>
                <w:highlight w:val="none"/>
                <w:lang w:val="en-US" w:eastAsia="zh-CN"/>
              </w:rPr>
            </w:pPr>
            <w:r>
              <w:rPr>
                <w:rFonts w:hAnsi="宋体"/>
                <w:snapToGrid w:val="0"/>
                <w:color w:val="auto"/>
                <w:kern w:val="0"/>
                <w:szCs w:val="24"/>
                <w:highlight w:val="none"/>
              </w:rPr>
              <w:t>联系电话：</w:t>
            </w:r>
            <w:r>
              <w:rPr>
                <w:rFonts w:hint="eastAsia" w:hAnsi="宋体"/>
                <w:snapToGrid w:val="0"/>
                <w:color w:val="auto"/>
                <w:kern w:val="0"/>
                <w:szCs w:val="24"/>
                <w:highlight w:val="none"/>
              </w:rPr>
              <w:t>0751-5890018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32</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招标代理机构</w:t>
            </w:r>
          </w:p>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联系方式</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eastAsia" w:ascii="Times New Roman" w:eastAsia="宋体"/>
                <w:snapToGrid w:val="0"/>
                <w:color w:val="auto"/>
                <w:kern w:val="0"/>
                <w:szCs w:val="24"/>
                <w:highlight w:val="none"/>
                <w:lang w:eastAsia="zh-CN"/>
              </w:rPr>
            </w:pPr>
            <w:r>
              <w:rPr>
                <w:rFonts w:hint="eastAsia" w:ascii="Times New Roman"/>
                <w:snapToGrid w:val="0"/>
                <w:color w:val="auto"/>
                <w:kern w:val="0"/>
                <w:szCs w:val="24"/>
                <w:highlight w:val="none"/>
              </w:rPr>
              <w:t>单位名称：</w:t>
            </w:r>
            <w:r>
              <w:rPr>
                <w:rFonts w:hint="eastAsia" w:ascii="Times New Roman"/>
                <w:snapToGrid w:val="0"/>
                <w:color w:val="auto"/>
                <w:kern w:val="0"/>
                <w:szCs w:val="24"/>
                <w:highlight w:val="none"/>
                <w:lang w:eastAsia="zh-CN"/>
              </w:rPr>
              <w:t>广州穗科建设管理有限公司</w:t>
            </w:r>
          </w:p>
          <w:p>
            <w:pPr>
              <w:wordWrap w:val="0"/>
              <w:adjustRightInd w:val="0"/>
              <w:snapToGrid w:val="0"/>
              <w:spacing w:line="400" w:lineRule="exact"/>
              <w:jc w:val="left"/>
              <w:rPr>
                <w:rFonts w:hint="eastAsia" w:ascii="Times New Roman"/>
                <w:snapToGrid w:val="0"/>
                <w:color w:val="auto"/>
                <w:kern w:val="0"/>
                <w:szCs w:val="24"/>
                <w:highlight w:val="none"/>
              </w:rPr>
            </w:pPr>
            <w:r>
              <w:rPr>
                <w:rFonts w:hint="eastAsia" w:ascii="Times New Roman"/>
                <w:snapToGrid w:val="0"/>
                <w:color w:val="auto"/>
                <w:kern w:val="0"/>
                <w:szCs w:val="24"/>
                <w:highlight w:val="none"/>
              </w:rPr>
              <w:t>办公地址：广东省韶关市武江区百旺大道42号莞韶双创中心研发办公楼5楼03号</w:t>
            </w:r>
          </w:p>
          <w:p>
            <w:pPr>
              <w:wordWrap w:val="0"/>
              <w:adjustRightInd w:val="0"/>
              <w:snapToGrid w:val="0"/>
              <w:spacing w:line="400" w:lineRule="exact"/>
              <w:jc w:val="left"/>
              <w:rPr>
                <w:rFonts w:hint="eastAsia" w:ascii="Times New Roman" w:eastAsia="宋体"/>
                <w:snapToGrid w:val="0"/>
                <w:color w:val="auto"/>
                <w:kern w:val="0"/>
                <w:szCs w:val="24"/>
                <w:highlight w:val="none"/>
                <w:lang w:eastAsia="zh-CN"/>
              </w:rPr>
            </w:pPr>
            <w:r>
              <w:rPr>
                <w:rFonts w:hint="eastAsia" w:ascii="Times New Roman"/>
                <w:snapToGrid w:val="0"/>
                <w:color w:val="auto"/>
                <w:kern w:val="0"/>
                <w:szCs w:val="24"/>
                <w:highlight w:val="none"/>
              </w:rPr>
              <w:t>联系人（部门）：</w:t>
            </w:r>
            <w:r>
              <w:rPr>
                <w:rFonts w:hint="eastAsia" w:ascii="Times New Roman"/>
                <w:snapToGrid w:val="0"/>
                <w:color w:val="auto"/>
                <w:kern w:val="0"/>
                <w:szCs w:val="24"/>
                <w:highlight w:val="none"/>
                <w:lang w:val="en-US" w:eastAsia="zh-CN"/>
              </w:rPr>
              <w:t>李</w:t>
            </w:r>
            <w:r>
              <w:rPr>
                <w:rFonts w:hint="eastAsia" w:ascii="Times New Roman"/>
                <w:snapToGrid w:val="0"/>
                <w:color w:val="auto"/>
                <w:kern w:val="0"/>
                <w:szCs w:val="24"/>
                <w:highlight w:val="none"/>
              </w:rPr>
              <w:t>工</w:t>
            </w:r>
          </w:p>
          <w:p>
            <w:pPr>
              <w:wordWrap w:val="0"/>
              <w:adjustRightInd w:val="0"/>
              <w:snapToGrid w:val="0"/>
              <w:spacing w:line="400" w:lineRule="exact"/>
              <w:jc w:val="left"/>
              <w:rPr>
                <w:rFonts w:hint="eastAsia" w:hAnsi="宋体" w:eastAsia="宋体"/>
                <w:snapToGrid w:val="0"/>
                <w:color w:val="auto"/>
                <w:kern w:val="0"/>
                <w:szCs w:val="24"/>
                <w:highlight w:val="none"/>
                <w:lang w:eastAsia="zh-CN"/>
              </w:rPr>
            </w:pPr>
            <w:r>
              <w:rPr>
                <w:rFonts w:hint="eastAsia" w:ascii="Times New Roman"/>
                <w:snapToGrid w:val="0"/>
                <w:color w:val="auto"/>
                <w:kern w:val="0"/>
                <w:szCs w:val="24"/>
                <w:highlight w:val="none"/>
              </w:rPr>
              <w:t>联系电话：0751-8219991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r>
              <w:rPr>
                <w:rFonts w:hAnsi="宋体"/>
                <w:snapToGrid w:val="0"/>
                <w:color w:val="auto"/>
                <w:kern w:val="0"/>
                <w:szCs w:val="24"/>
                <w:highlight w:val="none"/>
              </w:rPr>
              <w:t>33</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交易场所</w:t>
            </w:r>
          </w:p>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联系方式</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eastAsia" w:ascii="Times New Roman" w:hAnsi="Times New Roman" w:eastAsia="宋体" w:cs="Times New Roman"/>
                <w:snapToGrid w:val="0"/>
                <w:color w:val="auto"/>
                <w:kern w:val="0"/>
                <w:szCs w:val="24"/>
                <w:highlight w:val="none"/>
              </w:rPr>
            </w:pPr>
            <w:r>
              <w:rPr>
                <w:rFonts w:hint="eastAsia" w:ascii="Times New Roman" w:hAnsi="Times New Roman" w:eastAsia="宋体" w:cs="Times New Roman"/>
                <w:snapToGrid w:val="0"/>
                <w:color w:val="auto"/>
                <w:kern w:val="0"/>
                <w:szCs w:val="24"/>
                <w:highlight w:val="none"/>
              </w:rPr>
              <w:t>单位名称：韶关市公共资源交易中心</w:t>
            </w:r>
          </w:p>
          <w:p>
            <w:pPr>
              <w:wordWrap w:val="0"/>
              <w:adjustRightInd w:val="0"/>
              <w:snapToGrid w:val="0"/>
              <w:spacing w:line="400" w:lineRule="exact"/>
              <w:jc w:val="left"/>
              <w:rPr>
                <w:rFonts w:hint="eastAsia" w:ascii="Times New Roman" w:hAnsi="Times New Roman" w:eastAsia="宋体" w:cs="Times New Roman"/>
                <w:snapToGrid w:val="0"/>
                <w:color w:val="auto"/>
                <w:kern w:val="0"/>
                <w:szCs w:val="24"/>
                <w:highlight w:val="none"/>
              </w:rPr>
            </w:pPr>
            <w:r>
              <w:rPr>
                <w:rFonts w:hint="eastAsia" w:ascii="Times New Roman" w:hAnsi="Times New Roman" w:eastAsia="宋体" w:cs="Times New Roman"/>
                <w:snapToGrid w:val="0"/>
                <w:color w:val="auto"/>
                <w:kern w:val="0"/>
                <w:szCs w:val="24"/>
                <w:highlight w:val="none"/>
              </w:rPr>
              <w:t>办公地址：乐昌市昌山北路23号韶关市公共资源交易中心乐昌分中心</w:t>
            </w:r>
          </w:p>
          <w:p>
            <w:pPr>
              <w:wordWrap w:val="0"/>
              <w:adjustRightInd w:val="0"/>
              <w:snapToGrid w:val="0"/>
              <w:spacing w:line="400" w:lineRule="exact"/>
              <w:jc w:val="left"/>
              <w:rPr>
                <w:rFonts w:hint="eastAsia" w:ascii="Times New Roman" w:hAnsi="Times New Roman" w:eastAsia="宋体" w:cs="Times New Roman"/>
                <w:snapToGrid w:val="0"/>
                <w:color w:val="auto"/>
                <w:kern w:val="0"/>
                <w:szCs w:val="24"/>
                <w:highlight w:val="none"/>
              </w:rPr>
            </w:pPr>
            <w:r>
              <w:rPr>
                <w:rFonts w:hint="eastAsia" w:ascii="Times New Roman" w:hAnsi="Times New Roman" w:eastAsia="宋体" w:cs="Times New Roman"/>
                <w:snapToGrid w:val="0"/>
                <w:color w:val="auto"/>
                <w:kern w:val="0"/>
                <w:szCs w:val="24"/>
                <w:highlight w:val="none"/>
              </w:rPr>
              <w:t>联系人（部门）：工程交易股</w:t>
            </w:r>
          </w:p>
          <w:p>
            <w:pPr>
              <w:wordWrap w:val="0"/>
              <w:adjustRightInd w:val="0"/>
              <w:snapToGrid w:val="0"/>
              <w:spacing w:line="400" w:lineRule="exact"/>
              <w:jc w:val="left"/>
              <w:rPr>
                <w:rFonts w:hint="eastAsia" w:hAnsi="宋体" w:eastAsia="宋体"/>
                <w:snapToGrid w:val="0"/>
                <w:color w:val="auto"/>
                <w:kern w:val="0"/>
                <w:szCs w:val="24"/>
                <w:highlight w:val="none"/>
                <w:lang w:eastAsia="zh-CN"/>
              </w:rPr>
            </w:pPr>
            <w:r>
              <w:rPr>
                <w:rFonts w:hint="eastAsia" w:ascii="Times New Roman" w:hAnsi="Times New Roman" w:eastAsia="宋体" w:cs="Times New Roman"/>
                <w:snapToGrid w:val="0"/>
                <w:color w:val="auto"/>
                <w:kern w:val="0"/>
                <w:szCs w:val="24"/>
                <w:highlight w:val="none"/>
              </w:rPr>
              <w:t>联系电话：0751-5570106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8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center"/>
              <w:rPr>
                <w:rFonts w:hAnsi="宋体"/>
                <w:snapToGrid w:val="0"/>
                <w:color w:val="auto"/>
                <w:kern w:val="0"/>
                <w:szCs w:val="24"/>
                <w:highlight w:val="none"/>
              </w:rPr>
            </w:pPr>
            <w:bookmarkStart w:id="13" w:name="_Toc122671103"/>
            <w:bookmarkStart w:id="14" w:name="_Toc122769943"/>
            <w:bookmarkStart w:id="15" w:name="_Toc122859103"/>
            <w:r>
              <w:rPr>
                <w:rFonts w:hAnsi="宋体"/>
                <w:snapToGrid w:val="0"/>
                <w:color w:val="auto"/>
                <w:kern w:val="0"/>
                <w:szCs w:val="24"/>
                <w:highlight w:val="none"/>
              </w:rPr>
              <w:t>34</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行政监督部门</w:t>
            </w:r>
          </w:p>
          <w:p>
            <w:pPr>
              <w:wordWrap w:val="0"/>
              <w:adjustRightInd w:val="0"/>
              <w:snapToGrid w:val="0"/>
              <w:spacing w:line="360" w:lineRule="exact"/>
              <w:jc w:val="center"/>
              <w:rPr>
                <w:rFonts w:hAnsi="宋体"/>
                <w:snapToGrid w:val="0"/>
                <w:color w:val="auto"/>
                <w:kern w:val="0"/>
                <w:szCs w:val="24"/>
                <w:highlight w:val="none"/>
              </w:rPr>
            </w:pPr>
            <w:r>
              <w:rPr>
                <w:rFonts w:hAnsi="宋体"/>
                <w:snapToGrid w:val="0"/>
                <w:color w:val="auto"/>
                <w:kern w:val="0"/>
                <w:szCs w:val="24"/>
                <w:highlight w:val="none"/>
              </w:rPr>
              <w:t>联系方式</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400" w:lineRule="exact"/>
              <w:jc w:val="left"/>
              <w:rPr>
                <w:rFonts w:hint="default" w:ascii="Times New Roman" w:cs="Times New Roman"/>
                <w:snapToGrid w:val="0"/>
                <w:color w:val="auto"/>
                <w:kern w:val="0"/>
                <w:szCs w:val="24"/>
                <w:highlight w:val="none"/>
                <w:lang w:val="en-US" w:eastAsia="zh-CN"/>
              </w:rPr>
            </w:pPr>
            <w:r>
              <w:rPr>
                <w:rFonts w:hint="eastAsia" w:ascii="Times New Roman" w:hAnsi="Times New Roman" w:eastAsia="宋体" w:cs="Times New Roman"/>
                <w:snapToGrid w:val="0"/>
                <w:color w:val="auto"/>
                <w:kern w:val="0"/>
                <w:szCs w:val="24"/>
                <w:highlight w:val="none"/>
              </w:rPr>
              <w:t>单位名称：</w:t>
            </w:r>
            <w:r>
              <w:rPr>
                <w:rFonts w:hint="eastAsia" w:ascii="Times New Roman" w:cs="Times New Roman"/>
                <w:snapToGrid w:val="0"/>
                <w:color w:val="auto"/>
                <w:kern w:val="0"/>
                <w:szCs w:val="24"/>
                <w:highlight w:val="none"/>
                <w:lang w:val="en-US" w:eastAsia="zh-CN"/>
              </w:rPr>
              <w:t>韶关市生态环境局乐昌分局</w:t>
            </w:r>
          </w:p>
          <w:p>
            <w:pPr>
              <w:wordWrap w:val="0"/>
              <w:adjustRightInd w:val="0"/>
              <w:snapToGrid w:val="0"/>
              <w:spacing w:line="400" w:lineRule="exact"/>
              <w:jc w:val="left"/>
              <w:rPr>
                <w:rFonts w:hint="eastAsia" w:ascii="Times New Roman" w:hAnsi="Times New Roman" w:eastAsia="宋体" w:cs="Times New Roman"/>
                <w:snapToGrid w:val="0"/>
                <w:color w:val="auto"/>
                <w:kern w:val="0"/>
                <w:szCs w:val="24"/>
                <w:highlight w:val="none"/>
                <w:lang w:eastAsia="zh-CN"/>
              </w:rPr>
            </w:pPr>
            <w:r>
              <w:rPr>
                <w:rFonts w:hint="eastAsia" w:ascii="Times New Roman" w:hAnsi="Times New Roman" w:eastAsia="宋体" w:cs="Times New Roman"/>
                <w:snapToGrid w:val="0"/>
                <w:color w:val="auto"/>
                <w:kern w:val="0"/>
                <w:szCs w:val="24"/>
                <w:highlight w:val="none"/>
              </w:rPr>
              <w:t>办公地址：乐昌市银滩路67号</w:t>
            </w:r>
          </w:p>
          <w:p>
            <w:pPr>
              <w:wordWrap w:val="0"/>
              <w:adjustRightInd w:val="0"/>
              <w:snapToGrid w:val="0"/>
              <w:spacing w:line="400" w:lineRule="exact"/>
              <w:jc w:val="left"/>
              <w:rPr>
                <w:rFonts w:hint="default" w:ascii="Times New Roman" w:hAnsi="Times New Roman" w:eastAsia="宋体" w:cs="Times New Roman"/>
                <w:snapToGrid w:val="0"/>
                <w:color w:val="auto"/>
                <w:kern w:val="0"/>
                <w:szCs w:val="24"/>
                <w:highlight w:val="none"/>
                <w:lang w:val="en-US" w:eastAsia="zh-CN"/>
              </w:rPr>
            </w:pPr>
            <w:r>
              <w:rPr>
                <w:rFonts w:hint="eastAsia" w:ascii="Times New Roman" w:hAnsi="Times New Roman" w:eastAsia="宋体" w:cs="Times New Roman"/>
                <w:snapToGrid w:val="0"/>
                <w:color w:val="auto"/>
                <w:kern w:val="0"/>
                <w:szCs w:val="24"/>
                <w:highlight w:val="none"/>
              </w:rPr>
              <w:t>联系人（部门）：</w:t>
            </w:r>
            <w:r>
              <w:rPr>
                <w:rFonts w:hint="eastAsia" w:ascii="Times New Roman" w:cs="Times New Roman"/>
                <w:snapToGrid w:val="0"/>
                <w:color w:val="auto"/>
                <w:kern w:val="0"/>
                <w:szCs w:val="24"/>
                <w:highlight w:val="none"/>
                <w:lang w:val="en-US" w:eastAsia="zh-CN"/>
              </w:rPr>
              <w:t>潘先生</w:t>
            </w:r>
          </w:p>
          <w:p>
            <w:pPr>
              <w:wordWrap w:val="0"/>
              <w:adjustRightInd w:val="0"/>
              <w:snapToGrid w:val="0"/>
              <w:spacing w:line="400" w:lineRule="exact"/>
              <w:jc w:val="left"/>
              <w:rPr>
                <w:rFonts w:hAnsi="宋体"/>
                <w:snapToGrid w:val="0"/>
                <w:color w:val="auto"/>
                <w:kern w:val="0"/>
                <w:szCs w:val="24"/>
                <w:highlight w:val="none"/>
              </w:rPr>
            </w:pPr>
            <w:r>
              <w:rPr>
                <w:rFonts w:hint="eastAsia" w:ascii="Times New Roman" w:hAnsi="Times New Roman" w:eastAsia="宋体" w:cs="Times New Roman"/>
                <w:snapToGrid w:val="0"/>
                <w:color w:val="auto"/>
                <w:kern w:val="0"/>
                <w:szCs w:val="24"/>
                <w:highlight w:val="none"/>
              </w:rPr>
              <w:t>联系电话：0751-5562209</w:t>
            </w:r>
          </w:p>
        </w:tc>
      </w:tr>
      <w:bookmarkEnd w:id="13"/>
      <w:bookmarkEnd w:id="14"/>
      <w:bookmarkEnd w:id="15"/>
    </w:tbl>
    <w:p>
      <w:pPr>
        <w:pStyle w:val="4"/>
        <w:wordWrap w:val="0"/>
        <w:autoSpaceDE/>
        <w:autoSpaceDN/>
        <w:snapToGrid w:val="0"/>
        <w:spacing w:before="260" w:after="260" w:line="360" w:lineRule="exact"/>
        <w:jc w:val="both"/>
        <w:rPr>
          <w:rFonts w:ascii="Times New Roman"/>
          <w:b/>
          <w:snapToGrid w:val="0"/>
          <w:color w:val="auto"/>
          <w:highlight w:val="none"/>
        </w:rPr>
        <w:sectPr>
          <w:footerReference r:id="rId6" w:type="default"/>
          <w:endnotePr>
            <w:numFmt w:val="decimal"/>
          </w:endnotePr>
          <w:pgSz w:w="11906" w:h="16838"/>
          <w:pgMar w:top="1701" w:right="1531" w:bottom="1417" w:left="1531" w:header="850" w:footer="992" w:gutter="0"/>
          <w:pgNumType w:start="1"/>
          <w:cols w:space="720" w:num="1"/>
          <w:docGrid w:linePitch="327" w:charSpace="0"/>
        </w:sectPr>
      </w:pPr>
    </w:p>
    <w:p>
      <w:pPr>
        <w:numPr>
          <w:ilvl w:val="0"/>
          <w:numId w:val="1"/>
        </w:numPr>
        <w:rPr>
          <w:rFonts w:hint="eastAsia"/>
          <w:color w:val="auto"/>
          <w:highlight w:val="none"/>
          <w:lang w:val="en-US" w:eastAsia="zh-CN"/>
        </w:rPr>
      </w:pPr>
      <w:r>
        <w:rPr>
          <w:rFonts w:hint="eastAsia"/>
          <w:color w:val="auto"/>
          <w:highlight w:val="none"/>
          <w:lang w:val="en-US" w:eastAsia="zh-CN"/>
        </w:rPr>
        <w:t xml:space="preserve">  重要事项时间地点一览表</w:t>
      </w:r>
    </w:p>
    <w:tbl>
      <w:tblPr>
        <w:tblStyle w:val="18"/>
        <w:tblpPr w:leftFromText="180" w:rightFromText="180" w:vertAnchor="text" w:horzAnchor="page" w:tblpX="1437" w:tblpY="1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2"/>
        <w:gridCol w:w="1304"/>
        <w:gridCol w:w="7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exact"/>
        </w:trPr>
        <w:tc>
          <w:tcPr>
            <w:tcW w:w="42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snapToGrid w:val="0"/>
                <w:color w:val="auto"/>
                <w:kern w:val="0"/>
                <w:sz w:val="24"/>
                <w:highlight w:val="none"/>
                <w:lang w:val="en-US" w:eastAsia="zh-CN"/>
              </w:rPr>
              <w:t>1</w:t>
            </w:r>
          </w:p>
        </w:tc>
        <w:tc>
          <w:tcPr>
            <w:tcW w:w="1304"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发布时间</w:t>
            </w:r>
          </w:p>
        </w:tc>
        <w:tc>
          <w:tcPr>
            <w:tcW w:w="737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7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27 </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18</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分至</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rPr>
              <w:t>24</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rPr>
              <w:t>00</w:t>
            </w:r>
            <w:r>
              <w:rPr>
                <w:rFonts w:hint="eastAsia" w:ascii="宋体" w:hAnsi="宋体" w:eastAsia="宋体" w:cs="宋体"/>
                <w:snapToGrid w:val="0"/>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exact"/>
        </w:trPr>
        <w:tc>
          <w:tcPr>
            <w:tcW w:w="42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304"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网上报名</w:t>
            </w:r>
          </w:p>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截止时间</w:t>
            </w:r>
          </w:p>
        </w:tc>
        <w:tc>
          <w:tcPr>
            <w:tcW w:w="737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rPr>
              <w:t>24</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rPr>
              <w:t>00</w:t>
            </w:r>
            <w:r>
              <w:rPr>
                <w:rFonts w:hint="eastAsia" w:ascii="宋体" w:hAnsi="宋体" w:eastAsia="宋体" w:cs="宋体"/>
                <w:snapToGrid w:val="0"/>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exact"/>
        </w:trPr>
        <w:tc>
          <w:tcPr>
            <w:tcW w:w="42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304"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截止时间</w:t>
            </w:r>
          </w:p>
        </w:tc>
        <w:tc>
          <w:tcPr>
            <w:tcW w:w="737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rPr>
              <w:t>16</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rPr>
              <w:t>00</w:t>
            </w:r>
            <w:r>
              <w:rPr>
                <w:rFonts w:hint="eastAsia" w:ascii="宋体" w:hAnsi="宋体" w:eastAsia="宋体" w:cs="宋体"/>
                <w:snapToGrid w:val="0"/>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exact"/>
        </w:trPr>
        <w:tc>
          <w:tcPr>
            <w:tcW w:w="42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304"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737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8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rPr>
              <w:t>16</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rPr>
              <w:t>30</w:t>
            </w:r>
            <w:r>
              <w:rPr>
                <w:rFonts w:hint="eastAsia" w:ascii="宋体" w:hAnsi="宋体" w:eastAsia="宋体" w:cs="宋体"/>
                <w:snapToGrid w:val="0"/>
                <w:color w:val="auto"/>
                <w:kern w:val="0"/>
                <w:sz w:val="24"/>
                <w:szCs w:val="24"/>
                <w:highlight w:val="none"/>
              </w:rPr>
              <w:t>分至</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11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rPr>
              <w:t>16</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rPr>
              <w:t>00</w:t>
            </w:r>
            <w:r>
              <w:rPr>
                <w:rFonts w:hint="eastAsia" w:ascii="宋体" w:hAnsi="宋体" w:eastAsia="宋体" w:cs="宋体"/>
                <w:snapToGrid w:val="0"/>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7" w:hRule="exact"/>
        </w:trPr>
        <w:tc>
          <w:tcPr>
            <w:tcW w:w="42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304"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37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投标保证金到账截止时间：</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17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p>
            <w:pPr>
              <w:pStyle w:val="22"/>
              <w:keepNext w:val="0"/>
              <w:keepLines w:val="0"/>
              <w:pageBreakBefore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投标保证担保上传截止时间：</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17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p>
            <w:pPr>
              <w:pStyle w:val="22"/>
              <w:keepNext w:val="0"/>
              <w:keepLines w:val="0"/>
              <w:pageBreakBefore w:val="0"/>
              <w:kinsoku/>
              <w:wordWrap w:val="0"/>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投标保证保险投保截止时间：</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17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r>
              <w:rPr>
                <w:rFonts w:hint="eastAsia" w:ascii="宋体" w:hAnsi="宋体" w:eastAsia="宋体" w:cs="宋体"/>
                <w:snapToGrid w:val="0"/>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exact"/>
        </w:trPr>
        <w:tc>
          <w:tcPr>
            <w:tcW w:w="42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304"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截止时间</w:t>
            </w:r>
          </w:p>
        </w:tc>
        <w:tc>
          <w:tcPr>
            <w:tcW w:w="737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18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exact"/>
        </w:trPr>
        <w:tc>
          <w:tcPr>
            <w:tcW w:w="42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304"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递交时间</w:t>
            </w:r>
          </w:p>
        </w:tc>
        <w:tc>
          <w:tcPr>
            <w:tcW w:w="737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18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分至</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18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 w:hRule="exact"/>
        </w:trPr>
        <w:tc>
          <w:tcPr>
            <w:tcW w:w="42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304" w:type="dxa"/>
            <w:noWrap w:val="0"/>
            <w:vAlign w:val="center"/>
          </w:tcPr>
          <w:p>
            <w:pPr>
              <w:pStyle w:val="17"/>
              <w:keepNext w:val="0"/>
              <w:keepLines w:val="0"/>
              <w:widowControl/>
              <w:suppressLineNumbers w:val="0"/>
              <w:spacing w:before="0" w:beforeAutospacing="0" w:after="0" w:afterAutospacing="0" w:line="36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p>
            <w:pPr>
              <w:pStyle w:val="17"/>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递交地点</w:t>
            </w:r>
          </w:p>
        </w:tc>
        <w:tc>
          <w:tcPr>
            <w:tcW w:w="7372" w:type="dxa"/>
            <w:noWrap w:val="0"/>
            <w:vAlign w:val="center"/>
          </w:tcPr>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递交场所：</w:t>
            </w:r>
            <w:r>
              <w:rPr>
                <w:rFonts w:hint="eastAsia" w:ascii="宋体" w:hAnsi="宋体" w:eastAsia="宋体" w:cs="宋体"/>
                <w:color w:val="auto"/>
                <w:spacing w:val="0"/>
                <w:sz w:val="24"/>
                <w:szCs w:val="24"/>
                <w:highlight w:val="none"/>
                <w:u w:val="single"/>
              </w:rPr>
              <w:t>韶关市公共资源交易中心乐昌分中心 </w:t>
            </w:r>
            <w:r>
              <w:rPr>
                <w:rFonts w:hint="eastAsia" w:ascii="宋体" w:hAnsi="宋体" w:eastAsia="宋体" w:cs="宋体"/>
                <w:color w:val="auto"/>
                <w:spacing w:val="0"/>
                <w:sz w:val="24"/>
                <w:szCs w:val="24"/>
                <w:highlight w:val="none"/>
              </w:rPr>
              <w:t>；</w:t>
            </w:r>
          </w:p>
          <w:p>
            <w:pPr>
              <w:pStyle w:val="17"/>
              <w:keepNext w:val="0"/>
              <w:keepLines w:val="0"/>
              <w:widowControl/>
              <w:suppressLineNumbers w:val="0"/>
              <w:spacing w:before="0" w:beforeAutospacing="0" w:after="0" w:afterAutospacing="0" w:line="360" w:lineRule="auto"/>
              <w:ind w:left="0" w:leftChars="0" w:right="0" w:rightChars="0" w:firstLine="0" w:firstLineChars="0"/>
              <w:rPr>
                <w:rFonts w:hint="eastAsia" w:ascii="宋体" w:hAnsi="宋体" w:eastAsia="宋体" w:cs="宋体"/>
                <w:snapToGrid w:val="0"/>
                <w:color w:val="auto"/>
                <w:kern w:val="0"/>
                <w:sz w:val="24"/>
                <w:szCs w:val="24"/>
                <w:highlight w:val="none"/>
                <w:u w:val="single"/>
              </w:rPr>
            </w:pPr>
            <w:r>
              <w:rPr>
                <w:rFonts w:hint="eastAsia" w:ascii="宋体" w:hAnsi="宋体" w:eastAsia="宋体" w:cs="宋体"/>
                <w:color w:val="auto"/>
                <w:spacing w:val="0"/>
                <w:sz w:val="24"/>
                <w:szCs w:val="24"/>
                <w:highlight w:val="none"/>
              </w:rPr>
              <w:t>地址：</w:t>
            </w:r>
            <w:r>
              <w:rPr>
                <w:rFonts w:hint="eastAsia" w:ascii="宋体" w:hAnsi="宋体" w:eastAsia="宋体" w:cs="宋体"/>
                <w:color w:val="auto"/>
                <w:spacing w:val="0"/>
                <w:sz w:val="24"/>
                <w:szCs w:val="24"/>
                <w:highlight w:val="none"/>
                <w:u w:val="single"/>
              </w:rPr>
              <w:t>乐昌市昌山北路23号，具体开标室以当日现场通知为准</w:t>
            </w:r>
            <w:r>
              <w:rPr>
                <w:rFonts w:hint="eastAsia" w:ascii="宋体" w:hAnsi="宋体" w:eastAsia="宋体" w:cs="宋体"/>
                <w:color w:val="auto"/>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exact"/>
        </w:trPr>
        <w:tc>
          <w:tcPr>
            <w:tcW w:w="42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304"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开标时间</w:t>
            </w:r>
          </w:p>
        </w:tc>
        <w:tc>
          <w:tcPr>
            <w:tcW w:w="737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202</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18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 xml:space="preserve"> 30</w:t>
            </w:r>
            <w:r>
              <w:rPr>
                <w:rFonts w:hint="eastAsia" w:ascii="宋体" w:hAnsi="宋体" w:eastAsia="宋体" w:cs="宋体"/>
                <w:snapToGrid w:val="0"/>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8" w:hRule="exact"/>
        </w:trPr>
        <w:tc>
          <w:tcPr>
            <w:tcW w:w="422" w:type="dxa"/>
            <w:noWrap w:val="0"/>
            <w:vAlign w:val="center"/>
          </w:tcPr>
          <w:p>
            <w:pPr>
              <w:pStyle w:val="2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304" w:type="dxa"/>
            <w:noWrap w:val="0"/>
            <w:vAlign w:val="center"/>
          </w:tcPr>
          <w:p>
            <w:pPr>
              <w:pStyle w:val="17"/>
              <w:keepNext w:val="0"/>
              <w:keepLines w:val="0"/>
              <w:widowControl/>
              <w:suppressLineNumbers w:val="0"/>
              <w:spacing w:before="0" w:beforeAutospacing="0" w:after="0" w:afterAutospacing="0" w:line="36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交易场所</w:t>
            </w:r>
          </w:p>
          <w:p>
            <w:pPr>
              <w:pStyle w:val="17"/>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 xml:space="preserve">联系方式 </w:t>
            </w:r>
          </w:p>
        </w:tc>
        <w:tc>
          <w:tcPr>
            <w:tcW w:w="7372" w:type="dxa"/>
            <w:noWrap w:val="0"/>
            <w:vAlign w:val="center"/>
          </w:tcPr>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单位名称：韶关市公共资源交易中心乐昌分中心</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办公地址：乐昌市昌山北路23号</w:t>
            </w:r>
          </w:p>
          <w:p>
            <w:pPr>
              <w:pStyle w:val="17"/>
              <w:keepNext w:val="0"/>
              <w:keepLines w:val="0"/>
              <w:widowControl/>
              <w:suppressLineNumbers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联系人（部门）：</w:t>
            </w:r>
            <w:r>
              <w:rPr>
                <w:rFonts w:hint="eastAsia" w:ascii="宋体" w:hAnsi="宋体" w:eastAsia="宋体" w:cs="宋体"/>
                <w:color w:val="auto"/>
                <w:szCs w:val="22"/>
                <w:highlight w:val="none"/>
              </w:rPr>
              <w:t>工程交易股</w:t>
            </w:r>
          </w:p>
          <w:p>
            <w:pPr>
              <w:pStyle w:val="17"/>
              <w:keepNext w:val="0"/>
              <w:keepLines w:val="0"/>
              <w:widowControl/>
              <w:suppressLineNumbers w:val="0"/>
              <w:spacing w:before="0" w:beforeAutospacing="0" w:after="0" w:afterAutospacing="0" w:line="360" w:lineRule="auto"/>
              <w:ind w:left="0" w:leftChars="0" w:right="0" w:rightChars="0" w:firstLine="0" w:firstLineChars="0"/>
              <w:rPr>
                <w:rFonts w:hint="eastAsia" w:ascii="宋体" w:hAnsi="宋体" w:eastAsia="宋体" w:cs="宋体"/>
                <w:snapToGrid w:val="0"/>
                <w:color w:val="auto"/>
                <w:kern w:val="0"/>
                <w:sz w:val="24"/>
                <w:szCs w:val="24"/>
                <w:highlight w:val="none"/>
                <w:u w:val="single"/>
              </w:rPr>
            </w:pPr>
            <w:r>
              <w:rPr>
                <w:rFonts w:hint="eastAsia" w:ascii="宋体" w:hAnsi="宋体" w:eastAsia="宋体" w:cs="宋体"/>
                <w:color w:val="auto"/>
                <w:sz w:val="24"/>
                <w:szCs w:val="24"/>
                <w:highlight w:val="none"/>
              </w:rPr>
              <w:t>联系电话：0751-5570106</w:t>
            </w:r>
          </w:p>
        </w:tc>
      </w:tr>
    </w:tbl>
    <w:p>
      <w:pPr>
        <w:pStyle w:val="2"/>
        <w:numPr>
          <w:ilvl w:val="0"/>
          <w:numId w:val="0"/>
        </w:numPr>
        <w:rPr>
          <w:rFonts w:hint="eastAsia" w:eastAsia="宋体"/>
          <w:lang w:val="en-US" w:eastAsia="zh-CN"/>
        </w:rPr>
        <w:sectPr>
          <w:endnotePr>
            <w:numFmt w:val="decimal"/>
          </w:endnotePr>
          <w:pgSz w:w="11906" w:h="16838"/>
          <w:pgMar w:top="1701" w:right="1531" w:bottom="1417" w:left="1531" w:header="850" w:footer="992" w:gutter="0"/>
          <w:cols w:space="720" w:num="1"/>
          <w:docGrid w:linePitch="327" w:charSpace="0"/>
        </w:sectPr>
      </w:pPr>
      <w:bookmarkStart w:id="209" w:name="_GoBack"/>
      <w:bookmarkEnd w:id="209"/>
    </w:p>
    <w:p>
      <w:pPr>
        <w:pStyle w:val="4"/>
        <w:wordWrap w:val="0"/>
        <w:autoSpaceDE/>
        <w:autoSpaceDN/>
        <w:snapToGrid w:val="0"/>
        <w:spacing w:after="260" w:line="440" w:lineRule="exact"/>
        <w:jc w:val="both"/>
        <w:rPr>
          <w:rFonts w:ascii="Times New Roman"/>
          <w:b/>
          <w:snapToGrid w:val="0"/>
          <w:color w:val="auto"/>
          <w:highlight w:val="none"/>
        </w:rPr>
      </w:pPr>
      <w:bookmarkStart w:id="16" w:name="_Hlt87793819"/>
      <w:bookmarkEnd w:id="16"/>
      <w:bookmarkStart w:id="17" w:name="_Toc7923"/>
      <w:bookmarkStart w:id="18" w:name="_Hlt69698705"/>
      <w:bookmarkStart w:id="19" w:name="_Hlt69698754"/>
      <w:r>
        <w:rPr>
          <w:rFonts w:ascii="Times New Roman"/>
          <w:b/>
          <w:snapToGrid w:val="0"/>
          <w:color w:val="auto"/>
          <w:highlight w:val="none"/>
        </w:rPr>
        <w:t>第三节 投标人须知</w:t>
      </w:r>
      <w:bookmarkStart w:id="20" w:name="_Hlt69669159"/>
      <w:bookmarkEnd w:id="20"/>
      <w:r>
        <w:rPr>
          <w:rFonts w:ascii="Times New Roman"/>
          <w:b/>
          <w:snapToGrid w:val="0"/>
          <w:color w:val="auto"/>
          <w:highlight w:val="none"/>
        </w:rPr>
        <w:t>正文</w:t>
      </w:r>
      <w:bookmarkEnd w:id="17"/>
    </w:p>
    <w:bookmarkEnd w:id="18"/>
    <w:bookmarkEnd w:id="19"/>
    <w:p>
      <w:pPr>
        <w:wordWrap w:val="0"/>
        <w:adjustRightInd w:val="0"/>
        <w:snapToGrid w:val="0"/>
        <w:spacing w:line="440" w:lineRule="exact"/>
        <w:ind w:firstLine="480" w:firstLineChars="200"/>
        <w:rPr>
          <w:rFonts w:hint="eastAsia"/>
          <w:lang w:val="zh-CN" w:eastAsia="zh-CN"/>
        </w:rPr>
      </w:pPr>
      <w:r>
        <w:rPr>
          <w:rFonts w:hint="eastAsia" w:ascii="Times New Roman"/>
          <w:snapToGrid w:val="0"/>
          <w:color w:val="auto"/>
          <w:kern w:val="0"/>
          <w:highlight w:val="none"/>
          <w:u w:val="single"/>
        </w:rPr>
        <w:t>乐昌市沙坪镇农村生活污水治理项目（新建）施工</w:t>
      </w:r>
      <w:r>
        <w:rPr>
          <w:rFonts w:hint="eastAsia" w:ascii="Times New Roman"/>
          <w:snapToGrid w:val="0"/>
          <w:color w:val="auto"/>
          <w:kern w:val="0"/>
          <w:highlight w:val="none"/>
        </w:rPr>
        <w:t>业经</w:t>
      </w:r>
      <w:r>
        <w:rPr>
          <w:rFonts w:hint="eastAsia" w:ascii="Times New Roman"/>
          <w:snapToGrid w:val="0"/>
          <w:color w:val="auto"/>
          <w:kern w:val="0"/>
          <w:highlight w:val="none"/>
          <w:u w:val="single"/>
        </w:rPr>
        <w:t xml:space="preserve"> 乐昌市发展和改革局</w:t>
      </w:r>
      <w:r>
        <w:rPr>
          <w:rFonts w:hint="eastAsia" w:ascii="Times New Roman"/>
          <w:snapToGrid w:val="0"/>
          <w:color w:val="auto"/>
          <w:kern w:val="0"/>
          <w:highlight w:val="none"/>
        </w:rPr>
        <w:t>核准以</w:t>
      </w:r>
      <w:r>
        <w:rPr>
          <w:rFonts w:hint="eastAsia" w:ascii="Times New Roman"/>
          <w:snapToGrid w:val="0"/>
          <w:color w:val="auto"/>
          <w:kern w:val="0"/>
          <w:highlight w:val="none"/>
          <w:u w:val="single"/>
        </w:rPr>
        <w:t>《乐昌市沙坪镇农村生活污水治理项目（新建）可行性研究报告的批复》（</w:t>
      </w:r>
      <w:r>
        <w:rPr>
          <w:rFonts w:hint="eastAsia" w:ascii="Times New Roman"/>
          <w:snapToGrid w:val="0"/>
          <w:color w:val="auto"/>
          <w:kern w:val="0"/>
          <w:highlight w:val="none"/>
          <w:u w:val="single"/>
          <w:lang w:eastAsia="zh-CN"/>
        </w:rPr>
        <w:t>乐发改投审〔2022〕41号</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（批文名称及编号）批准建设，项目代码为</w:t>
      </w:r>
      <w:r>
        <w:rPr>
          <w:rFonts w:hint="eastAsia" w:ascii="Times New Roman"/>
          <w:snapToGrid w:val="0"/>
          <w:color w:val="auto"/>
          <w:kern w:val="0"/>
          <w:highlight w:val="none"/>
          <w:u w:val="single"/>
          <w:lang w:eastAsia="zh-CN"/>
        </w:rPr>
        <w:t>2207-440281-04-01-206415</w:t>
      </w:r>
      <w:r>
        <w:rPr>
          <w:rFonts w:hint="eastAsia" w:ascii="Times New Roman"/>
          <w:snapToGrid w:val="0"/>
          <w:color w:val="auto"/>
          <w:kern w:val="0"/>
          <w:highlight w:val="none"/>
        </w:rPr>
        <w:t>。本项目业主为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eastAsia="zh-CN"/>
        </w:rPr>
        <w:t>乐昌市沙坪镇人民政府</w:t>
      </w:r>
      <w:r>
        <w:rPr>
          <w:rFonts w:hint="eastAsia" w:ascii="Times New Roman"/>
          <w:snapToGrid w:val="0"/>
          <w:color w:val="auto"/>
          <w:kern w:val="0"/>
          <w:highlight w:val="none"/>
        </w:rPr>
        <w:t>，建设资金来自</w:t>
      </w:r>
      <w:r>
        <w:rPr>
          <w:rFonts w:hint="eastAsia" w:ascii="Times New Roman"/>
          <w:snapToGrid w:val="0"/>
          <w:color w:val="auto"/>
          <w:kern w:val="0"/>
          <w:highlight w:val="none"/>
          <w:u w:val="single"/>
        </w:rPr>
        <w:t>上级财政和自筹资金</w:t>
      </w:r>
      <w:r>
        <w:rPr>
          <w:rFonts w:hint="eastAsia" w:ascii="Times New Roman"/>
          <w:snapToGrid w:val="0"/>
          <w:color w:val="auto"/>
          <w:kern w:val="0"/>
          <w:highlight w:val="none"/>
        </w:rPr>
        <w:t>，出资比例为</w:t>
      </w:r>
      <w:r>
        <w:rPr>
          <w:rFonts w:hint="eastAsia" w:ascii="Times New Roman"/>
          <w:snapToGrid w:val="0"/>
          <w:color w:val="auto"/>
          <w:kern w:val="0"/>
          <w:highlight w:val="none"/>
          <w:u w:val="single"/>
        </w:rPr>
        <w:t xml:space="preserve"> </w:t>
      </w:r>
      <w:r>
        <w:rPr>
          <w:rFonts w:ascii="Times New Roman"/>
          <w:snapToGrid w:val="0"/>
          <w:color w:val="auto"/>
          <w:kern w:val="0"/>
          <w:highlight w:val="none"/>
          <w:u w:val="single"/>
        </w:rPr>
        <w:t>100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eastAsia="zh-CN"/>
        </w:rPr>
        <w:t>乐昌市沙坪镇人民政府</w:t>
      </w:r>
      <w:r>
        <w:rPr>
          <w:rFonts w:hint="eastAsia" w:ascii="Times New Roman"/>
          <w:snapToGrid w:val="0"/>
          <w:color w:val="auto"/>
          <w:kern w:val="0"/>
          <w:highlight w:val="none"/>
        </w:rPr>
        <w:t>，招标代理机构为</w:t>
      </w:r>
      <w:r>
        <w:rPr>
          <w:rFonts w:hint="eastAsia" w:ascii="Times New Roman"/>
          <w:snapToGrid w:val="0"/>
          <w:color w:val="auto"/>
          <w:kern w:val="0"/>
          <w:highlight w:val="none"/>
          <w:u w:val="single"/>
          <w:lang w:eastAsia="zh-CN"/>
        </w:rPr>
        <w:t>广州穗科建设管理有限公司</w:t>
      </w:r>
      <w:r>
        <w:rPr>
          <w:rFonts w:hint="eastAsia" w:ascii="Times New Roman"/>
          <w:snapToGrid w:val="0"/>
          <w:color w:val="auto"/>
          <w:kern w:val="0"/>
          <w:highlight w:val="none"/>
        </w:rPr>
        <w:t>。项目已具备招标条件，现对该项目的施工进行公开招标。</w:t>
      </w:r>
    </w:p>
    <w:p>
      <w:pPr>
        <w:pStyle w:val="5"/>
        <w:wordWrap w:val="0"/>
        <w:snapToGrid w:val="0"/>
        <w:spacing w:line="440" w:lineRule="exact"/>
        <w:ind w:firstLine="480"/>
        <w:jc w:val="both"/>
        <w:rPr>
          <w:rFonts w:ascii="Times New Roman"/>
          <w:b/>
          <w:snapToGrid w:val="0"/>
          <w:color w:val="auto"/>
          <w:highlight w:val="none"/>
        </w:rPr>
      </w:pPr>
      <w:bookmarkStart w:id="21" w:name="_Toc30394"/>
      <w:r>
        <w:rPr>
          <w:rFonts w:ascii="Times New Roman"/>
          <w:b/>
          <w:snapToGrid w:val="0"/>
          <w:color w:val="auto"/>
          <w:highlight w:val="none"/>
        </w:rPr>
        <w:t>1．项目概况、招标范围和标段划分、投标费用</w:t>
      </w:r>
      <w:bookmarkEnd w:id="21"/>
    </w:p>
    <w:p>
      <w:pPr>
        <w:pStyle w:val="22"/>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1.1</w:t>
      </w:r>
      <w:r>
        <w:rPr>
          <w:rFonts w:hint="eastAsia"/>
          <w:snapToGrid w:val="0"/>
          <w:color w:val="auto"/>
          <w:kern w:val="0"/>
          <w:sz w:val="24"/>
          <w:highlight w:val="none"/>
        </w:rPr>
        <w:t xml:space="preserve"> 项目概况</w:t>
      </w:r>
    </w:p>
    <w:p>
      <w:pPr>
        <w:pStyle w:val="22"/>
        <w:wordWrap w:val="0"/>
        <w:adjustRightInd w:val="0"/>
        <w:snapToGrid w:val="0"/>
        <w:spacing w:line="440" w:lineRule="atLeast"/>
        <w:ind w:firstLine="480"/>
        <w:jc w:val="left"/>
        <w:rPr>
          <w:rFonts w:hint="eastAsia"/>
          <w:snapToGrid w:val="0"/>
          <w:color w:val="auto"/>
          <w:kern w:val="0"/>
          <w:sz w:val="24"/>
          <w:highlight w:val="none"/>
          <w:u w:val="single"/>
        </w:rPr>
      </w:pPr>
      <w:r>
        <w:rPr>
          <w:rFonts w:hint="eastAsia"/>
          <w:b/>
          <w:bCs/>
          <w:snapToGrid w:val="0"/>
          <w:color w:val="auto"/>
          <w:kern w:val="0"/>
          <w:sz w:val="24"/>
          <w:highlight w:val="none"/>
        </w:rPr>
        <w:t>1.1.1</w:t>
      </w:r>
      <w:r>
        <w:rPr>
          <w:rFonts w:hint="eastAsia"/>
          <w:snapToGrid w:val="0"/>
          <w:color w:val="auto"/>
          <w:kern w:val="0"/>
          <w:sz w:val="24"/>
          <w:highlight w:val="none"/>
        </w:rPr>
        <w:t xml:space="preserve"> 建设地点</w:t>
      </w:r>
      <w:r>
        <w:rPr>
          <w:snapToGrid w:val="0"/>
          <w:color w:val="auto"/>
          <w:kern w:val="0"/>
          <w:sz w:val="24"/>
          <w:highlight w:val="none"/>
        </w:rPr>
        <w:t>：</w:t>
      </w:r>
      <w:r>
        <w:rPr>
          <w:rFonts w:hint="eastAsia" w:ascii="宋体" w:hAnsi="宋体" w:cs="Tahoma"/>
          <w:color w:val="auto"/>
          <w:kern w:val="0"/>
          <w:sz w:val="24"/>
          <w:highlight w:val="none"/>
          <w:u w:val="single"/>
          <w:lang w:eastAsia="zh-CN"/>
        </w:rPr>
        <w:t>乐昌市沙坪镇关山、柘洞、雷家窝、马子坪、沙坪和山坪等 6 个行政村 20 个自然村。</w:t>
      </w:r>
    </w:p>
    <w:p>
      <w:pPr>
        <w:pStyle w:val="22"/>
        <w:wordWrap w:val="0"/>
        <w:adjustRightInd w:val="0"/>
        <w:snapToGrid w:val="0"/>
        <w:spacing w:line="440" w:lineRule="atLeast"/>
        <w:ind w:firstLine="480"/>
        <w:jc w:val="left"/>
        <w:rPr>
          <w:rFonts w:hint="eastAsia"/>
          <w:snapToGrid w:val="0"/>
          <w:color w:val="auto"/>
          <w:kern w:val="0"/>
          <w:sz w:val="24"/>
          <w:highlight w:val="none"/>
          <w:u w:val="single"/>
        </w:rPr>
      </w:pPr>
      <w:r>
        <w:rPr>
          <w:rFonts w:hint="eastAsia"/>
          <w:b/>
          <w:bCs/>
          <w:snapToGrid w:val="0"/>
          <w:color w:val="auto"/>
          <w:kern w:val="0"/>
          <w:sz w:val="24"/>
          <w:highlight w:val="none"/>
        </w:rPr>
        <w:t>1.1.2</w:t>
      </w:r>
      <w:r>
        <w:rPr>
          <w:rFonts w:hint="eastAsia"/>
          <w:snapToGrid w:val="0"/>
          <w:color w:val="auto"/>
          <w:kern w:val="0"/>
          <w:sz w:val="24"/>
          <w:highlight w:val="none"/>
        </w:rPr>
        <w:t xml:space="preserve"> 建设内容和规模：</w:t>
      </w:r>
      <w:r>
        <w:rPr>
          <w:rFonts w:hint="eastAsia" w:ascii="宋体" w:hAnsi="宋体" w:cs="Tahoma"/>
          <w:color w:val="auto"/>
          <w:kern w:val="0"/>
          <w:sz w:val="24"/>
          <w:highlight w:val="none"/>
          <w:u w:val="single"/>
          <w:lang w:eastAsia="zh-CN"/>
        </w:rPr>
        <w:t>在沙坪镇关山、柘洞、雷家窝等6个行政村20个自然村内新建农村生活污水治理设施。</w:t>
      </w:r>
    </w:p>
    <w:p>
      <w:pPr>
        <w:pStyle w:val="22"/>
        <w:wordWrap w:val="0"/>
        <w:adjustRightInd w:val="0"/>
        <w:snapToGrid w:val="0"/>
        <w:spacing w:line="440" w:lineRule="atLeast"/>
        <w:ind w:firstLine="480"/>
        <w:jc w:val="left"/>
        <w:rPr>
          <w:rFonts w:hint="eastAsia" w:eastAsia="宋体"/>
          <w:snapToGrid w:val="0"/>
          <w:color w:val="auto"/>
          <w:kern w:val="0"/>
          <w:sz w:val="24"/>
          <w:highlight w:val="none"/>
          <w:u w:val="single"/>
          <w:lang w:eastAsia="zh-CN"/>
        </w:rPr>
      </w:pPr>
      <w:r>
        <w:rPr>
          <w:rFonts w:hint="eastAsia"/>
          <w:b/>
          <w:bCs/>
          <w:snapToGrid w:val="0"/>
          <w:color w:val="auto"/>
          <w:kern w:val="0"/>
          <w:sz w:val="24"/>
          <w:highlight w:val="none"/>
        </w:rPr>
        <w:t>1.1.3</w:t>
      </w:r>
      <w:r>
        <w:rPr>
          <w:rFonts w:hint="eastAsia"/>
          <w:snapToGrid w:val="0"/>
          <w:color w:val="auto"/>
          <w:kern w:val="0"/>
          <w:sz w:val="24"/>
          <w:highlight w:val="none"/>
        </w:rPr>
        <w:t xml:space="preserve"> 项目总投资</w:t>
      </w:r>
      <w:r>
        <w:rPr>
          <w:snapToGrid w:val="0"/>
          <w:color w:val="auto"/>
          <w:kern w:val="0"/>
          <w:sz w:val="24"/>
          <w:highlight w:val="none"/>
        </w:rPr>
        <w:t>：</w:t>
      </w:r>
      <w:r>
        <w:rPr>
          <w:rFonts w:hint="eastAsia" w:ascii="宋体" w:hAnsi="宋体" w:cs="Tahoma"/>
          <w:color w:val="auto"/>
          <w:kern w:val="0"/>
          <w:sz w:val="24"/>
          <w:highlight w:val="none"/>
          <w:u w:val="single"/>
          <w:lang w:eastAsia="zh-CN"/>
        </w:rPr>
        <w:t>项目估算总投资1853.51万元，本次招标建安工程费约为1613.15万元。</w:t>
      </w:r>
    </w:p>
    <w:p>
      <w:pPr>
        <w:pStyle w:val="22"/>
        <w:wordWrap w:val="0"/>
        <w:adjustRightInd w:val="0"/>
        <w:snapToGrid w:val="0"/>
        <w:spacing w:line="440" w:lineRule="atLeast"/>
        <w:ind w:firstLine="480"/>
        <w:jc w:val="left"/>
        <w:rPr>
          <w:rFonts w:hint="eastAsia"/>
          <w:b/>
          <w:bCs/>
          <w:snapToGrid w:val="0"/>
          <w:color w:val="auto"/>
          <w:kern w:val="0"/>
          <w:sz w:val="24"/>
          <w:highlight w:val="none"/>
        </w:rPr>
      </w:pPr>
      <w:r>
        <w:rPr>
          <w:rFonts w:hint="eastAsia"/>
          <w:b/>
          <w:bCs/>
          <w:snapToGrid w:val="0"/>
          <w:color w:val="auto"/>
          <w:kern w:val="0"/>
          <w:sz w:val="24"/>
          <w:highlight w:val="none"/>
        </w:rPr>
        <w:t xml:space="preserve">1.2 </w:t>
      </w:r>
      <w:r>
        <w:rPr>
          <w:rFonts w:hint="eastAsia"/>
          <w:snapToGrid w:val="0"/>
          <w:color w:val="auto"/>
          <w:kern w:val="0"/>
          <w:sz w:val="24"/>
          <w:highlight w:val="none"/>
        </w:rPr>
        <w:t>招标范围和标段划分</w:t>
      </w:r>
    </w:p>
    <w:p>
      <w:pPr>
        <w:pStyle w:val="22"/>
        <w:wordWrap w:val="0"/>
        <w:adjustRightInd w:val="0"/>
        <w:snapToGrid w:val="0"/>
        <w:spacing w:line="440" w:lineRule="atLeast"/>
        <w:ind w:firstLine="480"/>
        <w:jc w:val="left"/>
        <w:rPr>
          <w:rFonts w:hint="eastAsia"/>
          <w:snapToGrid w:val="0"/>
          <w:color w:val="auto"/>
          <w:kern w:val="0"/>
          <w:sz w:val="24"/>
          <w:highlight w:val="none"/>
          <w:u w:val="single"/>
        </w:rPr>
      </w:pPr>
      <w:r>
        <w:rPr>
          <w:rFonts w:hint="eastAsia"/>
          <w:b/>
          <w:bCs/>
          <w:snapToGrid w:val="0"/>
          <w:color w:val="auto"/>
          <w:kern w:val="0"/>
          <w:sz w:val="24"/>
          <w:highlight w:val="none"/>
        </w:rPr>
        <w:t>1.2.1</w:t>
      </w:r>
      <w:r>
        <w:rPr>
          <w:rFonts w:hint="eastAsia"/>
          <w:snapToGrid w:val="0"/>
          <w:color w:val="auto"/>
          <w:kern w:val="0"/>
          <w:sz w:val="24"/>
          <w:highlight w:val="none"/>
        </w:rPr>
        <w:t xml:space="preserve"> 招标范围：</w:t>
      </w:r>
      <w:r>
        <w:rPr>
          <w:rFonts w:hint="eastAsia"/>
          <w:snapToGrid w:val="0"/>
          <w:color w:val="auto"/>
          <w:kern w:val="0"/>
          <w:sz w:val="24"/>
          <w:highlight w:val="none"/>
          <w:u w:val="single"/>
        </w:rPr>
        <w:t>施工图纸及工程量清单范围内的工程等施工。</w:t>
      </w:r>
    </w:p>
    <w:p>
      <w:pPr>
        <w:pStyle w:val="22"/>
        <w:wordWrap w:val="0"/>
        <w:adjustRightInd w:val="0"/>
        <w:snapToGrid w:val="0"/>
        <w:spacing w:line="440" w:lineRule="atLeast"/>
        <w:ind w:firstLine="480"/>
        <w:jc w:val="left"/>
        <w:rPr>
          <w:snapToGrid w:val="0"/>
          <w:color w:val="auto"/>
          <w:kern w:val="0"/>
          <w:sz w:val="24"/>
          <w:highlight w:val="none"/>
        </w:rPr>
      </w:pPr>
      <w:r>
        <w:rPr>
          <w:rFonts w:hint="eastAsia"/>
          <w:b/>
          <w:snapToGrid w:val="0"/>
          <w:color w:val="auto"/>
          <w:kern w:val="0"/>
          <w:sz w:val="24"/>
          <w:highlight w:val="none"/>
        </w:rPr>
        <w:t xml:space="preserve">1.2.2 </w:t>
      </w:r>
      <w:r>
        <w:rPr>
          <w:rFonts w:hint="eastAsia"/>
          <w:snapToGrid w:val="0"/>
          <w:color w:val="auto"/>
          <w:kern w:val="0"/>
          <w:sz w:val="24"/>
          <w:highlight w:val="none"/>
        </w:rPr>
        <w:t>标段划分：本招标项目不划分标段。</w:t>
      </w:r>
    </w:p>
    <w:p>
      <w:pPr>
        <w:tabs>
          <w:tab w:val="left" w:pos="7020"/>
        </w:tabs>
        <w:wordWrap w:val="0"/>
        <w:adjustRightInd w:val="0"/>
        <w:snapToGrid w:val="0"/>
        <w:spacing w:line="440" w:lineRule="exact"/>
        <w:ind w:firstLine="532" w:firstLineChars="221"/>
        <w:rPr>
          <w:rFonts w:ascii="Times New Roman"/>
          <w:snapToGrid w:val="0"/>
          <w:color w:val="auto"/>
          <w:kern w:val="0"/>
          <w:highlight w:val="none"/>
        </w:rPr>
      </w:pPr>
      <w:r>
        <w:rPr>
          <w:rFonts w:ascii="Times New Roman"/>
          <w:b/>
          <w:bCs/>
          <w:snapToGrid w:val="0"/>
          <w:color w:val="auto"/>
          <w:kern w:val="0"/>
          <w:szCs w:val="24"/>
          <w:highlight w:val="none"/>
        </w:rPr>
        <w:t>1.3</w:t>
      </w:r>
      <w:r>
        <w:rPr>
          <w:rFonts w:ascii="Times New Roman"/>
          <w:snapToGrid w:val="0"/>
          <w:color w:val="auto"/>
          <w:kern w:val="0"/>
          <w:szCs w:val="24"/>
          <w:highlight w:val="none"/>
        </w:rPr>
        <w:t xml:space="preserve"> 投标费用</w:t>
      </w:r>
      <w:r>
        <w:rPr>
          <w:rFonts w:ascii="Times New Roman"/>
          <w:snapToGrid w:val="0"/>
          <w:color w:val="auto"/>
          <w:kern w:val="0"/>
          <w:highlight w:val="none"/>
        </w:rPr>
        <w:t>：投标人应承担所有准备和参加投标的相关费用，不论投标结果如何，招标人均无义务和责任承担这些费用。</w:t>
      </w:r>
    </w:p>
    <w:p>
      <w:pPr>
        <w:pStyle w:val="5"/>
        <w:wordWrap w:val="0"/>
        <w:snapToGrid w:val="0"/>
        <w:spacing w:line="440" w:lineRule="exact"/>
        <w:ind w:firstLine="480"/>
        <w:jc w:val="both"/>
        <w:rPr>
          <w:rFonts w:ascii="Times New Roman"/>
          <w:b/>
          <w:snapToGrid w:val="0"/>
          <w:color w:val="auto"/>
          <w:highlight w:val="none"/>
        </w:rPr>
      </w:pPr>
      <w:bookmarkStart w:id="22" w:name="_Toc11361"/>
      <w:r>
        <w:rPr>
          <w:rFonts w:ascii="Times New Roman"/>
          <w:b/>
          <w:snapToGrid w:val="0"/>
          <w:color w:val="auto"/>
          <w:highlight w:val="none"/>
        </w:rPr>
        <w:t>2．投标人资格要求</w:t>
      </w:r>
      <w:bookmarkEnd w:id="22"/>
      <w:bookmarkStart w:id="23" w:name="_Hlt74496495"/>
      <w:bookmarkEnd w:id="23"/>
    </w:p>
    <w:p>
      <w:pPr>
        <w:wordWrap w:val="0"/>
        <w:adjustRightInd w:val="0"/>
        <w:snapToGrid w:val="0"/>
        <w:spacing w:line="440" w:lineRule="exact"/>
        <w:ind w:firstLine="482" w:firstLineChars="200"/>
        <w:jc w:val="left"/>
        <w:rPr>
          <w:rFonts w:ascii="Times New Roman"/>
          <w:snapToGrid w:val="0"/>
          <w:color w:val="auto"/>
          <w:kern w:val="0"/>
          <w:szCs w:val="22"/>
          <w:highlight w:val="none"/>
        </w:rPr>
      </w:pPr>
      <w:r>
        <w:rPr>
          <w:rFonts w:ascii="Times New Roman"/>
          <w:b/>
          <w:bCs/>
          <w:snapToGrid w:val="0"/>
          <w:color w:val="auto"/>
          <w:kern w:val="0"/>
          <w:szCs w:val="24"/>
          <w:highlight w:val="none"/>
        </w:rPr>
        <w:t>2.1</w:t>
      </w:r>
      <w:r>
        <w:rPr>
          <w:rFonts w:ascii="Times New Roman"/>
          <w:snapToGrid w:val="0"/>
          <w:color w:val="auto"/>
          <w:kern w:val="0"/>
          <w:highlight w:val="none"/>
        </w:rPr>
        <w:t>本工程不接受联合体投标</w:t>
      </w:r>
      <w:r>
        <w:rPr>
          <w:rFonts w:ascii="Times New Roman"/>
          <w:snapToGrid w:val="0"/>
          <w:color w:val="auto"/>
          <w:kern w:val="0"/>
          <w:szCs w:val="22"/>
          <w:highlight w:val="none"/>
        </w:rPr>
        <w:t>。</w:t>
      </w:r>
    </w:p>
    <w:p>
      <w:pPr>
        <w:wordWrap w:val="0"/>
        <w:adjustRightInd w:val="0"/>
        <w:snapToGrid w:val="0"/>
        <w:spacing w:line="440" w:lineRule="exact"/>
        <w:ind w:firstLine="482" w:firstLineChars="200"/>
        <w:jc w:val="left"/>
        <w:rPr>
          <w:rFonts w:ascii="Times New Roman"/>
          <w:snapToGrid w:val="0"/>
          <w:color w:val="auto"/>
          <w:kern w:val="0"/>
          <w:highlight w:val="none"/>
        </w:rPr>
      </w:pPr>
      <w:r>
        <w:rPr>
          <w:rFonts w:ascii="Times New Roman"/>
          <w:b/>
          <w:bCs/>
          <w:snapToGrid w:val="0"/>
          <w:color w:val="auto"/>
          <w:kern w:val="0"/>
          <w:szCs w:val="24"/>
          <w:highlight w:val="none"/>
        </w:rPr>
        <w:t>2.2</w:t>
      </w:r>
      <w:r>
        <w:rPr>
          <w:rFonts w:ascii="Times New Roman"/>
          <w:snapToGrid w:val="0"/>
          <w:color w:val="auto"/>
          <w:kern w:val="0"/>
          <w:highlight w:val="none"/>
        </w:rPr>
        <w:t xml:space="preserve"> 资格资质要求</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2.2.1</w:t>
      </w:r>
      <w:r>
        <w:rPr>
          <w:rFonts w:hint="eastAsia"/>
          <w:snapToGrid w:val="0"/>
          <w:color w:val="auto"/>
          <w:kern w:val="0"/>
          <w:sz w:val="24"/>
          <w:highlight w:val="none"/>
        </w:rPr>
        <w:t xml:space="preserve"> 投标人须具备独立法人资格，按国家法律经营。</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2.2.2</w:t>
      </w:r>
      <w:r>
        <w:rPr>
          <w:rFonts w:hint="eastAsia"/>
          <w:snapToGrid w:val="0"/>
          <w:color w:val="auto"/>
          <w:kern w:val="0"/>
          <w:sz w:val="24"/>
          <w:highlight w:val="none"/>
        </w:rPr>
        <w:t xml:space="preserve"> 投标人须持有建设行政主管部门颁发的企业资质证书及安全生产许可证。</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2.2.3</w:t>
      </w:r>
      <w:r>
        <w:rPr>
          <w:rFonts w:hint="eastAsia"/>
          <w:snapToGrid w:val="0"/>
          <w:color w:val="auto"/>
          <w:kern w:val="0"/>
          <w:sz w:val="24"/>
          <w:highlight w:val="none"/>
        </w:rPr>
        <w:t xml:space="preserve"> 投标人须具备以下资质：</w:t>
      </w:r>
      <w:r>
        <w:rPr>
          <w:rFonts w:hint="eastAsia"/>
          <w:snapToGrid w:val="0"/>
          <w:color w:val="auto"/>
          <w:kern w:val="0"/>
          <w:sz w:val="24"/>
          <w:highlight w:val="none"/>
          <w:u w:val="single"/>
          <w:lang w:eastAsia="zh-CN"/>
        </w:rPr>
        <w:t>具有建设行政主管部门颁发的市政公用工程施工总承包叁级以上（含叁级）资质。</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2.2.4</w:t>
      </w:r>
      <w:r>
        <w:rPr>
          <w:rFonts w:hint="eastAsia"/>
          <w:snapToGrid w:val="0"/>
          <w:color w:val="auto"/>
          <w:kern w:val="0"/>
          <w:sz w:val="24"/>
          <w:highlight w:val="none"/>
        </w:rPr>
        <w:t xml:space="preserve"> 根据有关文件精神，在新冠肺炎疫情防控期间，投标人的企业相关证书到期的，均按该证书的发证机构相关行业主管部门最新文件执行（如自动顺延或推迟办理延期业务的通知），投标人必须将相关文件附在该证书后面中，证明在开标日继续有效。</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2.3</w:t>
      </w:r>
      <w:r>
        <w:rPr>
          <w:rFonts w:hint="eastAsia"/>
          <w:snapToGrid w:val="0"/>
          <w:color w:val="auto"/>
          <w:kern w:val="0"/>
          <w:sz w:val="24"/>
          <w:highlight w:val="none"/>
        </w:rPr>
        <w:t xml:space="preserve"> 相关人员要求</w:t>
      </w:r>
    </w:p>
    <w:p>
      <w:pPr>
        <w:wordWrap w:val="0"/>
        <w:adjustRightInd w:val="0"/>
        <w:snapToGrid w:val="0"/>
        <w:spacing w:line="400" w:lineRule="exact"/>
        <w:ind w:firstLine="482" w:firstLineChars="200"/>
        <w:rPr>
          <w:snapToGrid w:val="0"/>
          <w:color w:val="auto"/>
          <w:kern w:val="0"/>
          <w:highlight w:val="none"/>
        </w:rPr>
      </w:pPr>
      <w:r>
        <w:rPr>
          <w:rFonts w:ascii="Times New Roman"/>
          <w:b/>
          <w:bCs/>
          <w:snapToGrid w:val="0"/>
          <w:color w:val="auto"/>
          <w:kern w:val="0"/>
          <w:szCs w:val="24"/>
          <w:highlight w:val="none"/>
        </w:rPr>
        <w:t>2.3.1</w:t>
      </w:r>
      <w:r>
        <w:rPr>
          <w:rFonts w:ascii="Times New Roman"/>
          <w:snapToGrid w:val="0"/>
          <w:color w:val="auto"/>
          <w:kern w:val="0"/>
          <w:szCs w:val="24"/>
          <w:highlight w:val="none"/>
        </w:rPr>
        <w:t xml:space="preserve"> </w:t>
      </w:r>
      <w:r>
        <w:rPr>
          <w:snapToGrid w:val="0"/>
          <w:color w:val="auto"/>
          <w:kern w:val="0"/>
          <w:highlight w:val="none"/>
        </w:rPr>
        <w:t>拟派项目经理为具有</w:t>
      </w:r>
      <w:r>
        <w:rPr>
          <w:rFonts w:hint="eastAsia"/>
          <w:snapToGrid w:val="0"/>
          <w:color w:val="auto"/>
          <w:kern w:val="0"/>
          <w:highlight w:val="none"/>
          <w:lang w:val="en-US" w:eastAsia="zh-CN"/>
        </w:rPr>
        <w:t xml:space="preserve"> </w:t>
      </w:r>
      <w:r>
        <w:rPr>
          <w:rFonts w:hAnsi="宋体"/>
          <w:snapToGrid w:val="0"/>
          <w:color w:val="auto"/>
          <w:kern w:val="0"/>
          <w:szCs w:val="24"/>
          <w:highlight w:val="none"/>
          <w:u w:val="single"/>
        </w:rPr>
        <w:t>市政公用工程</w:t>
      </w:r>
      <w:r>
        <w:rPr>
          <w:rFonts w:hint="eastAsia"/>
          <w:snapToGrid w:val="0"/>
          <w:color w:val="auto"/>
          <w:kern w:val="0"/>
          <w:highlight w:val="none"/>
          <w:u w:val="single"/>
          <w:lang w:val="en-US" w:eastAsia="zh-CN"/>
        </w:rPr>
        <w:t xml:space="preserve"> </w:t>
      </w:r>
      <w:r>
        <w:rPr>
          <w:snapToGrid w:val="0"/>
          <w:color w:val="auto"/>
          <w:kern w:val="0"/>
          <w:highlight w:val="none"/>
        </w:rPr>
        <w:t>专业一级或二级注册建造师，</w:t>
      </w:r>
      <w:r>
        <w:rPr>
          <w:rFonts w:ascii="Times New Roman"/>
          <w:snapToGrid w:val="0"/>
          <w:color w:val="auto"/>
          <w:kern w:val="0"/>
          <w:highlight w:val="none"/>
        </w:rPr>
        <w:t>其中一级注册建造师应持有国家住建部核准的在使用有效期内的有效电子注册证书，二级注册建造师应持有广东省住建厅核准的有效电子注册证书（在“广东省二级注册建造师、二级注册结构工程师、二级注册建筑师注册管理信息系统”中打印，二级注册建造师应持有广东省住建厅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r>
        <w:rPr>
          <w:snapToGrid w:val="0"/>
          <w:color w:val="auto"/>
          <w:kern w:val="0"/>
          <w:highlight w:val="none"/>
        </w:rPr>
        <w:t>。</w:t>
      </w:r>
      <w:r>
        <w:rPr>
          <w:rFonts w:ascii="Times New Roman"/>
          <w:snapToGrid w:val="0"/>
          <w:color w:val="auto"/>
          <w:kern w:val="0"/>
          <w:szCs w:val="24"/>
          <w:highlight w:val="none"/>
        </w:rPr>
        <w:t xml:space="preserve">  </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2.3.2</w:t>
      </w:r>
      <w:r>
        <w:rPr>
          <w:rFonts w:hint="eastAsia"/>
          <w:snapToGrid w:val="0"/>
          <w:color w:val="auto"/>
          <w:kern w:val="0"/>
          <w:sz w:val="24"/>
          <w:highlight w:val="none"/>
        </w:rPr>
        <w:t>投标人拟派项目技术负责人须具备</w:t>
      </w:r>
      <w:r>
        <w:rPr>
          <w:rFonts w:hint="eastAsia"/>
          <w:snapToGrid w:val="0"/>
          <w:color w:val="auto"/>
          <w:kern w:val="0"/>
          <w:sz w:val="24"/>
          <w:highlight w:val="none"/>
          <w:u w:val="single"/>
        </w:rPr>
        <w:t>中</w:t>
      </w:r>
      <w:r>
        <w:rPr>
          <w:rFonts w:hint="eastAsia"/>
          <w:snapToGrid w:val="0"/>
          <w:color w:val="auto"/>
          <w:kern w:val="0"/>
          <w:sz w:val="24"/>
          <w:highlight w:val="none"/>
        </w:rPr>
        <w:t>级或以上技术职称。</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2.3.3</w:t>
      </w:r>
      <w:r>
        <w:rPr>
          <w:rFonts w:hint="eastAsia"/>
          <w:snapToGrid w:val="0"/>
          <w:color w:val="auto"/>
          <w:kern w:val="0"/>
          <w:sz w:val="24"/>
          <w:highlight w:val="none"/>
        </w:rPr>
        <w:t xml:space="preserve"> 拟派专职安全生产管理人员须具备有效安全生产考核合格证明（C证，安全生产考核合格证书或“广东省建筑施工企业管理人员安全生产考核信息系统”考核合格信息打印页），</w:t>
      </w:r>
      <w:r>
        <w:rPr>
          <w:rFonts w:hint="eastAsia" w:hAnsi="宋体" w:cs="宋体"/>
          <w:color w:val="auto"/>
          <w:sz w:val="24"/>
          <w:highlight w:val="none"/>
        </w:rPr>
        <w:t>且不少于1人。</w:t>
      </w:r>
      <w:r>
        <w:rPr>
          <w:rFonts w:hint="eastAsia"/>
          <w:snapToGrid w:val="0"/>
          <w:color w:val="auto"/>
          <w:kern w:val="0"/>
          <w:sz w:val="24"/>
          <w:highlight w:val="none"/>
        </w:rPr>
        <w:t xml:space="preserve"> </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2.3.4</w:t>
      </w:r>
      <w:r>
        <w:rPr>
          <w:rFonts w:hint="eastAsia"/>
          <w:snapToGrid w:val="0"/>
          <w:color w:val="auto"/>
          <w:kern w:val="0"/>
          <w:sz w:val="24"/>
          <w:highlight w:val="none"/>
        </w:rPr>
        <w:t xml:space="preserve"> 投标人（包括组成联合体的所有成员单位）与其拟派往本项目管理机构的所有人员之间必须具备合法、唯一的劳动聘用关系。拟派人员中具备注册执业资格的，其注册单位须与投标人保持一致。</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2.4</w:t>
      </w:r>
      <w:r>
        <w:rPr>
          <w:rFonts w:hint="eastAsia"/>
          <w:snapToGrid w:val="0"/>
          <w:color w:val="auto"/>
          <w:kern w:val="0"/>
          <w:sz w:val="24"/>
          <w:highlight w:val="none"/>
        </w:rPr>
        <w:t xml:space="preserve"> 禁止投标条款</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2.4.1</w:t>
      </w:r>
      <w:r>
        <w:rPr>
          <w:rFonts w:hint="eastAsia"/>
          <w:snapToGrid w:val="0"/>
          <w:color w:val="auto"/>
          <w:kern w:val="0"/>
          <w:sz w:val="24"/>
          <w:highlight w:val="none"/>
        </w:rPr>
        <w:t xml:space="preserve"> 投标人不得存在下列情形之一：</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（1）为招标人不具有独立法人资格的附属机构（单位）；</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（2）为本招标项目前期准备提供设计或咨询服务的；</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（3）与本招标项目的其他投标人为同一个单位负责人；</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（4）与本招标项目的其他投标人存在控股、管理关系；</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（5）为本招标项目的监理人；</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（6）为本招标项目的代建人；</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（7）为本招标项目的招标代理机构；</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（8）与本招标项目的监理人或代建人或招标代理机构同为一个法定代表人；</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（9）与本招标项目的监理人或代建人或招标代理机构存在控股或参股关系；</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（10）与本招标项目的监理人或代建人或招标代理机构存在相互任职或工作关系；</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（11）被依法暂停或者取消投标资格；</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（12）被责令停产停业、暂扣或者吊销许可证、暂扣或者吊销执照；</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（13）进入清算程序，或被宣告破产，或其他丧失履约能力的情形；</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（14）在最近三年内发生重大工程质量或安全问题（以相关行业主管部门的行政处罚决定或司法机关出具的有关法律文书为准）；</w:t>
      </w:r>
    </w:p>
    <w:p>
      <w:pPr>
        <w:pStyle w:val="22"/>
        <w:wordWrap w:val="0"/>
        <w:adjustRightInd w:val="0"/>
        <w:snapToGrid w:val="0"/>
        <w:spacing w:line="440" w:lineRule="exact"/>
        <w:jc w:val="left"/>
        <w:rPr>
          <w:rFonts w:hint="eastAsia"/>
          <w:snapToGrid w:val="0"/>
          <w:color w:val="auto"/>
          <w:kern w:val="0"/>
          <w:sz w:val="24"/>
          <w:highlight w:val="none"/>
        </w:rPr>
      </w:pPr>
      <w:r>
        <w:rPr>
          <w:rFonts w:hint="eastAsia"/>
          <w:snapToGrid w:val="0"/>
          <w:color w:val="auto"/>
          <w:kern w:val="0"/>
          <w:sz w:val="24"/>
          <w:highlight w:val="none"/>
        </w:rPr>
        <w:t xml:space="preserve">   （15）被“信用中国”网站（https://www.creditchina.gov.cn）发布的《法人和非法人组织公共信用信息报告》列为严重失信主体名单的。</w:t>
      </w:r>
    </w:p>
    <w:p>
      <w:pPr>
        <w:pStyle w:val="22"/>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highlight w:val="none"/>
        </w:rPr>
        <w:t>2.4.2</w:t>
      </w:r>
      <w:r>
        <w:rPr>
          <w:rFonts w:hint="eastAsia"/>
          <w:snapToGrid w:val="0"/>
          <w:color w:val="auto"/>
          <w:kern w:val="0"/>
          <w:sz w:val="24"/>
          <w:highlight w:val="none"/>
        </w:rPr>
        <w:t xml:space="preserve"> 招标人拒绝以下名单中的单位参加本次投标：</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3737"/>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6" w:type="pct"/>
            <w:noWrap w:val="0"/>
            <w:vAlign w:val="center"/>
          </w:tcPr>
          <w:p>
            <w:pPr>
              <w:pStyle w:val="22"/>
              <w:spacing w:beforeLines="0" w:afterLines="0" w:line="440" w:lineRule="exact"/>
              <w:ind w:firstLine="0" w:firstLineChars="0"/>
              <w:jc w:val="left"/>
              <w:outlineLvl w:val="9"/>
            </w:pPr>
            <w:r>
              <w:t>序号</w:t>
            </w:r>
          </w:p>
        </w:tc>
        <w:tc>
          <w:tcPr>
            <w:tcW w:w="2062" w:type="pct"/>
            <w:noWrap w:val="0"/>
            <w:vAlign w:val="center"/>
          </w:tcPr>
          <w:p>
            <w:pPr>
              <w:pStyle w:val="22"/>
              <w:spacing w:beforeLines="0" w:afterLines="0" w:line="440" w:lineRule="exact"/>
              <w:ind w:firstLine="420" w:firstLineChars="200"/>
              <w:jc w:val="left"/>
              <w:outlineLvl w:val="9"/>
            </w:pPr>
            <w:r>
              <w:t>单位名称</w:t>
            </w:r>
          </w:p>
        </w:tc>
        <w:tc>
          <w:tcPr>
            <w:tcW w:w="2380" w:type="pct"/>
            <w:noWrap w:val="0"/>
            <w:vAlign w:val="center"/>
          </w:tcPr>
          <w:p>
            <w:pPr>
              <w:pStyle w:val="22"/>
              <w:spacing w:beforeLines="0" w:afterLines="0" w:line="440" w:lineRule="exact"/>
              <w:ind w:firstLine="420" w:firstLineChars="200"/>
              <w:jc w:val="left"/>
              <w:outlineLvl w:val="9"/>
            </w:pPr>
            <w: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eastAsia="宋体"/>
                <w:lang w:eastAsia="zh-CN"/>
              </w:rPr>
            </w:pPr>
            <w:r>
              <w:rPr>
                <w:rFonts w:hint="eastAsia"/>
                <w:lang w:val="en-US" w:eastAsia="zh-CN"/>
              </w:rPr>
              <w:t>1</w:t>
            </w:r>
          </w:p>
        </w:tc>
        <w:tc>
          <w:tcPr>
            <w:tcW w:w="2062" w:type="pct"/>
            <w:noWrap w:val="0"/>
            <w:vAlign w:val="center"/>
          </w:tcPr>
          <w:p>
            <w:pPr>
              <w:pStyle w:val="22"/>
              <w:spacing w:beforeLines="0" w:afterLines="0" w:line="440" w:lineRule="exact"/>
              <w:jc w:val="left"/>
              <w:outlineLvl w:val="9"/>
              <w:rPr>
                <w:rFonts w:hint="default"/>
                <w:lang w:val="en-US" w:eastAsia="zh-CN"/>
              </w:rPr>
            </w:pPr>
            <w:r>
              <w:rPr>
                <w:rFonts w:hint="eastAsia"/>
                <w:lang w:val="en-US" w:eastAsia="zh-CN"/>
              </w:rPr>
              <w:t>华伦中建建设股份有限公司</w:t>
            </w:r>
          </w:p>
        </w:tc>
        <w:tc>
          <w:tcPr>
            <w:tcW w:w="2380" w:type="pct"/>
            <w:noWrap w:val="0"/>
            <w:vAlign w:val="center"/>
          </w:tcPr>
          <w:p>
            <w:pPr>
              <w:pStyle w:val="22"/>
              <w:wordWrap w:val="0"/>
              <w:adjustRightInd w:val="0"/>
              <w:snapToGrid w:val="0"/>
              <w:spacing w:beforeLines="0" w:afterLines="0" w:line="440" w:lineRule="exact"/>
              <w:jc w:val="left"/>
              <w:outlineLvl w:val="9"/>
              <w:rPr>
                <w:rFonts w:hint="eastAsia"/>
              </w:rPr>
            </w:pPr>
            <w:r>
              <w:rPr>
                <w:rFonts w:hint="eastAsia"/>
              </w:rPr>
              <w:t>为本招标项目的可行性研究报告编制单位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eastAsia="宋体"/>
                <w:lang w:val="en-US" w:eastAsia="zh-CN"/>
              </w:rPr>
            </w:pPr>
            <w:r>
              <w:rPr>
                <w:rFonts w:hint="eastAsia"/>
                <w:lang w:val="en-US" w:eastAsia="zh-CN"/>
              </w:rPr>
              <w:t>2</w:t>
            </w:r>
          </w:p>
        </w:tc>
        <w:tc>
          <w:tcPr>
            <w:tcW w:w="2062" w:type="pct"/>
            <w:noWrap w:val="0"/>
            <w:vAlign w:val="center"/>
          </w:tcPr>
          <w:p>
            <w:pPr>
              <w:pStyle w:val="22"/>
              <w:spacing w:beforeLines="0" w:afterLines="0" w:line="440" w:lineRule="exact"/>
              <w:jc w:val="left"/>
              <w:outlineLvl w:val="9"/>
            </w:pPr>
            <w:r>
              <w:rPr>
                <w:rFonts w:hint="eastAsia"/>
              </w:rPr>
              <w:t>中慧力祥项目管理有限公司</w:t>
            </w:r>
          </w:p>
        </w:tc>
        <w:tc>
          <w:tcPr>
            <w:tcW w:w="2380" w:type="pct"/>
            <w:noWrap w:val="0"/>
            <w:vAlign w:val="center"/>
          </w:tcPr>
          <w:p>
            <w:pPr>
              <w:pStyle w:val="22"/>
              <w:wordWrap w:val="0"/>
              <w:adjustRightInd w:val="0"/>
              <w:snapToGrid w:val="0"/>
              <w:spacing w:beforeLines="0" w:afterLines="0" w:line="440" w:lineRule="exact"/>
              <w:jc w:val="left"/>
              <w:outlineLvl w:val="9"/>
            </w:pPr>
            <w:r>
              <w:rPr>
                <w:rFonts w:hint="eastAsia"/>
              </w:rPr>
              <w:t>为本招标项目的</w:t>
            </w:r>
            <w:r>
              <w:rPr>
                <w:rFonts w:hint="eastAsia"/>
                <w:lang w:eastAsia="zh-CN"/>
              </w:rPr>
              <w:t>造价咨询单位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eastAsia="宋体"/>
                <w:lang w:eastAsia="zh-CN"/>
              </w:rPr>
            </w:pPr>
            <w:r>
              <w:rPr>
                <w:rFonts w:hint="eastAsia"/>
                <w:lang w:val="en-US" w:eastAsia="zh-CN"/>
              </w:rPr>
              <w:t>3</w:t>
            </w:r>
          </w:p>
        </w:tc>
        <w:tc>
          <w:tcPr>
            <w:tcW w:w="2062" w:type="pct"/>
            <w:noWrap w:val="0"/>
            <w:vAlign w:val="center"/>
          </w:tcPr>
          <w:p>
            <w:pPr>
              <w:pStyle w:val="22"/>
              <w:spacing w:beforeLines="0" w:afterLines="0" w:line="440" w:lineRule="exact"/>
              <w:jc w:val="left"/>
              <w:outlineLvl w:val="9"/>
              <w:rPr>
                <w:rFonts w:hint="eastAsia"/>
                <w:lang w:eastAsia="zh-CN"/>
              </w:rPr>
            </w:pPr>
            <w:r>
              <w:rPr>
                <w:rFonts w:hint="eastAsia"/>
                <w:lang w:eastAsia="zh-CN"/>
              </w:rPr>
              <w:t>中伦建筑工程设计有限公司</w:t>
            </w:r>
          </w:p>
        </w:tc>
        <w:tc>
          <w:tcPr>
            <w:tcW w:w="2380" w:type="pct"/>
            <w:noWrap w:val="0"/>
            <w:vAlign w:val="center"/>
          </w:tcPr>
          <w:p>
            <w:pPr>
              <w:pStyle w:val="22"/>
              <w:wordWrap w:val="0"/>
              <w:adjustRightInd w:val="0"/>
              <w:snapToGrid w:val="0"/>
              <w:spacing w:beforeLines="0" w:afterLines="0" w:line="440" w:lineRule="exact"/>
              <w:jc w:val="left"/>
              <w:outlineLvl w:val="9"/>
              <w:rPr>
                <w:rFonts w:hint="eastAsia"/>
              </w:rPr>
            </w:pPr>
            <w:r>
              <w:rPr>
                <w:rFonts w:hint="eastAsia"/>
              </w:rPr>
              <w:t>为本招标项目的设计单位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rPr>
            </w:pPr>
            <w:r>
              <w:rPr>
                <w:rFonts w:hint="eastAsia"/>
                <w:lang w:val="en-US" w:eastAsia="zh-CN"/>
              </w:rPr>
              <w:t>4</w:t>
            </w:r>
          </w:p>
        </w:tc>
        <w:tc>
          <w:tcPr>
            <w:tcW w:w="2062" w:type="pct"/>
            <w:noWrap w:val="0"/>
            <w:vAlign w:val="center"/>
          </w:tcPr>
          <w:p>
            <w:pPr>
              <w:pStyle w:val="22"/>
              <w:spacing w:beforeLines="0" w:afterLines="0" w:line="440" w:lineRule="exact"/>
              <w:ind w:firstLine="420" w:firstLineChars="200"/>
              <w:jc w:val="both"/>
              <w:outlineLvl w:val="9"/>
              <w:rPr>
                <w:rFonts w:hint="default"/>
                <w:lang w:val="en-US" w:eastAsia="zh-CN"/>
              </w:rPr>
            </w:pPr>
            <w:r>
              <w:rPr>
                <w:rFonts w:hAnsi="宋体"/>
                <w:snapToGrid w:val="0"/>
                <w:color w:val="auto"/>
                <w:kern w:val="0"/>
                <w:szCs w:val="24"/>
                <w:highlight w:val="none"/>
              </w:rPr>
              <w:t>/</w:t>
            </w:r>
          </w:p>
        </w:tc>
        <w:tc>
          <w:tcPr>
            <w:tcW w:w="2380" w:type="pct"/>
            <w:noWrap w:val="0"/>
            <w:vAlign w:val="center"/>
          </w:tcPr>
          <w:p>
            <w:pPr>
              <w:pStyle w:val="22"/>
              <w:wordWrap w:val="0"/>
              <w:adjustRightInd w:val="0"/>
              <w:snapToGrid w:val="0"/>
              <w:spacing w:beforeLines="0" w:afterLines="0" w:line="440" w:lineRule="exact"/>
              <w:jc w:val="left"/>
              <w:outlineLvl w:val="9"/>
              <w:rPr>
                <w:rFonts w:hint="eastAsia"/>
              </w:rPr>
            </w:pPr>
            <w:r>
              <w:rPr>
                <w:rFonts w:hint="eastAsia"/>
              </w:rPr>
              <w:t>为本招标项目的监理单位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rPr>
            </w:pPr>
            <w:r>
              <w:rPr>
                <w:rFonts w:hint="eastAsia"/>
                <w:lang w:val="en-US" w:eastAsia="zh-CN"/>
              </w:rPr>
              <w:t>5</w:t>
            </w:r>
          </w:p>
        </w:tc>
        <w:tc>
          <w:tcPr>
            <w:tcW w:w="2062" w:type="pct"/>
            <w:noWrap w:val="0"/>
            <w:vAlign w:val="center"/>
          </w:tcPr>
          <w:p>
            <w:pPr>
              <w:pStyle w:val="22"/>
              <w:spacing w:beforeLines="0" w:afterLines="0" w:line="440" w:lineRule="exact"/>
              <w:jc w:val="left"/>
              <w:outlineLvl w:val="9"/>
            </w:pPr>
            <w:r>
              <w:rPr>
                <w:rFonts w:hint="eastAsia"/>
                <w:lang w:eastAsia="zh-CN"/>
              </w:rPr>
              <w:t>广州穗科建设管理有限公司</w:t>
            </w:r>
          </w:p>
        </w:tc>
        <w:tc>
          <w:tcPr>
            <w:tcW w:w="2380" w:type="pct"/>
            <w:noWrap w:val="0"/>
            <w:vAlign w:val="center"/>
          </w:tcPr>
          <w:p>
            <w:pPr>
              <w:pStyle w:val="22"/>
              <w:wordWrap w:val="0"/>
              <w:adjustRightInd w:val="0"/>
              <w:snapToGrid w:val="0"/>
              <w:spacing w:beforeLines="0" w:afterLines="0" w:line="440" w:lineRule="exact"/>
              <w:jc w:val="left"/>
              <w:outlineLvl w:val="9"/>
              <w:rPr>
                <w:rFonts w:hint="eastAsia"/>
              </w:rPr>
            </w:pPr>
            <w:r>
              <w:rPr>
                <w:rFonts w:hint="eastAsia"/>
              </w:rPr>
              <w:t>为本招标项目的招标代理机构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56" w:type="pct"/>
            <w:noWrap w:val="0"/>
            <w:vAlign w:val="center"/>
          </w:tcPr>
          <w:p>
            <w:pPr>
              <w:pStyle w:val="22"/>
              <w:wordWrap w:val="0"/>
              <w:adjustRightInd w:val="0"/>
              <w:snapToGrid w:val="0"/>
              <w:spacing w:beforeLines="0" w:afterLines="0" w:line="440" w:lineRule="exact"/>
              <w:ind w:firstLine="210" w:firstLineChars="100"/>
              <w:jc w:val="both"/>
              <w:outlineLvl w:val="9"/>
              <w:rPr>
                <w:rFonts w:hint="eastAsia"/>
              </w:rPr>
            </w:pPr>
            <w:r>
              <w:rPr>
                <w:rFonts w:hint="eastAsia"/>
                <w:lang w:val="en-US" w:eastAsia="zh-CN"/>
              </w:rPr>
              <w:t>6</w:t>
            </w:r>
          </w:p>
        </w:tc>
        <w:tc>
          <w:tcPr>
            <w:tcW w:w="2062" w:type="pct"/>
            <w:noWrap w:val="0"/>
            <w:vAlign w:val="center"/>
          </w:tcPr>
          <w:p>
            <w:pPr>
              <w:pStyle w:val="22"/>
              <w:wordWrap w:val="0"/>
              <w:adjustRightInd w:val="0"/>
              <w:snapToGrid w:val="0"/>
              <w:spacing w:beforeLines="0" w:afterLines="0" w:line="440" w:lineRule="exact"/>
              <w:jc w:val="left"/>
              <w:outlineLvl w:val="9"/>
              <w:rPr>
                <w:rFonts w:hint="eastAsia"/>
                <w:lang w:eastAsia="zh-CN"/>
              </w:rPr>
            </w:pPr>
            <w:r>
              <w:rPr>
                <w:rFonts w:hint="eastAsia"/>
                <w:lang w:eastAsia="zh-CN"/>
              </w:rPr>
              <w:t>乐昌市沙坪镇人民政府</w:t>
            </w:r>
          </w:p>
        </w:tc>
        <w:tc>
          <w:tcPr>
            <w:tcW w:w="2380" w:type="pct"/>
            <w:noWrap w:val="0"/>
            <w:vAlign w:val="center"/>
          </w:tcPr>
          <w:p>
            <w:pPr>
              <w:pStyle w:val="22"/>
              <w:wordWrap w:val="0"/>
              <w:adjustRightInd w:val="0"/>
              <w:snapToGrid w:val="0"/>
              <w:spacing w:beforeLines="0" w:afterLines="0" w:line="440" w:lineRule="exact"/>
              <w:jc w:val="left"/>
              <w:outlineLvl w:val="9"/>
              <w:rPr>
                <w:rFonts w:hint="eastAsia"/>
              </w:rPr>
            </w:pPr>
            <w:r>
              <w:rPr>
                <w:rFonts w:hint="eastAsia"/>
              </w:rPr>
              <w:t>为本招标项目的业主单位</w:t>
            </w:r>
          </w:p>
        </w:tc>
      </w:tr>
    </w:tbl>
    <w:p>
      <w:pPr>
        <w:tabs>
          <w:tab w:val="left" w:pos="7020"/>
        </w:tabs>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2.5</w:t>
      </w:r>
      <w:r>
        <w:rPr>
          <w:rFonts w:ascii="Times New Roman"/>
          <w:snapToGrid w:val="0"/>
          <w:color w:val="auto"/>
          <w:kern w:val="0"/>
          <w:highlight w:val="none"/>
        </w:rPr>
        <w:t xml:space="preserve"> 其他要求</w:t>
      </w:r>
      <w:bookmarkStart w:id="24" w:name="_Toc3494"/>
    </w:p>
    <w:p>
      <w:pPr>
        <w:tabs>
          <w:tab w:val="left" w:pos="7020"/>
        </w:tabs>
        <w:wordWrap w:val="0"/>
        <w:adjustRightInd w:val="0"/>
        <w:snapToGrid w:val="0"/>
        <w:spacing w:line="440" w:lineRule="exact"/>
        <w:ind w:firstLine="480" w:firstLineChars="200"/>
        <w:rPr>
          <w:rFonts w:hint="eastAsia" w:ascii="Times New Roman" w:hAnsi="Times New Roman" w:cs="Times New Roman"/>
          <w:caps w:val="0"/>
          <w:smallCaps w:val="0"/>
          <w:snapToGrid w:val="0"/>
          <w:color w:val="auto"/>
          <w:spacing w:val="0"/>
          <w:kern w:val="0"/>
          <w:sz w:val="24"/>
          <w:highlight w:val="none"/>
          <w:lang w:val="en-US" w:eastAsia="zh-CN"/>
        </w:rPr>
      </w:pPr>
      <w:r>
        <w:rPr>
          <w:rFonts w:hint="eastAsia" w:ascii="Times New Roman" w:hAnsi="Times New Roman" w:cs="Times New Roman"/>
          <w:caps w:val="0"/>
          <w:smallCaps w:val="0"/>
          <w:snapToGrid w:val="0"/>
          <w:color w:val="auto"/>
          <w:spacing w:val="0"/>
          <w:kern w:val="0"/>
          <w:sz w:val="24"/>
          <w:highlight w:val="none"/>
          <w:lang w:val="en-US" w:eastAsia="zh-CN"/>
        </w:rPr>
        <w:t>省外企业须按照《广东省住房和城乡建设厅关于取消省外建筑企业和人员进粤信息备案有关工作的通知》（粤建市﹝2015﹞52号）规定在“进粤企业和人员诚信信息登记平台”录入相关信息并通过数据规范检查。</w:t>
      </w:r>
    </w:p>
    <w:p>
      <w:pPr>
        <w:tabs>
          <w:tab w:val="left" w:pos="7020"/>
        </w:tabs>
        <w:wordWrap w:val="0"/>
        <w:adjustRightInd w:val="0"/>
        <w:snapToGrid w:val="0"/>
        <w:spacing w:line="440" w:lineRule="exact"/>
        <w:ind w:firstLine="482" w:firstLineChars="200"/>
        <w:rPr>
          <w:rFonts w:hint="eastAsia" w:ascii="Times New Roman" w:hAnsi="Times New Roman" w:eastAsia="宋体" w:cs="Times New Roman"/>
          <w:b/>
          <w:bCs/>
          <w:caps w:val="0"/>
          <w:smallCaps w:val="0"/>
          <w:snapToGrid w:val="0"/>
          <w:color w:val="auto"/>
          <w:spacing w:val="0"/>
          <w:kern w:val="0"/>
          <w:sz w:val="24"/>
          <w:highlight w:val="none"/>
          <w:lang w:val="en-US" w:eastAsia="zh-CN"/>
        </w:rPr>
      </w:pPr>
      <w:r>
        <w:rPr>
          <w:rFonts w:hint="eastAsia" w:ascii="Times New Roman" w:hAnsi="Times New Roman" w:eastAsia="宋体" w:cs="Times New Roman"/>
          <w:b/>
          <w:bCs/>
          <w:caps w:val="0"/>
          <w:smallCaps w:val="0"/>
          <w:snapToGrid w:val="0"/>
          <w:color w:val="auto"/>
          <w:spacing w:val="0"/>
          <w:kern w:val="0"/>
          <w:sz w:val="24"/>
          <w:highlight w:val="none"/>
          <w:lang w:val="en-US" w:eastAsia="zh-CN"/>
        </w:rPr>
        <w:t>6.来参加本次开标活动的法定代表人或授权代表人，如果法人代表人或授权代表人通信数据行程卡扫码显示7天内有到过中高风险地区的，需提供本工程开标之日前48小时内的本人《核酸检测证明》。</w:t>
      </w:r>
    </w:p>
    <w:p>
      <w:pPr>
        <w:pStyle w:val="5"/>
        <w:wordWrap w:val="0"/>
        <w:snapToGrid w:val="0"/>
        <w:spacing w:line="440" w:lineRule="exact"/>
        <w:ind w:firstLine="480"/>
        <w:jc w:val="both"/>
        <w:rPr>
          <w:rFonts w:ascii="Times New Roman"/>
          <w:b/>
          <w:snapToGrid w:val="0"/>
          <w:color w:val="auto"/>
          <w:highlight w:val="none"/>
        </w:rPr>
      </w:pPr>
      <w:r>
        <w:rPr>
          <w:rFonts w:ascii="Times New Roman"/>
          <w:b/>
          <w:snapToGrid w:val="0"/>
          <w:color w:val="auto"/>
          <w:highlight w:val="none"/>
        </w:rPr>
        <w:t>3．投标报名</w:t>
      </w:r>
      <w:bookmarkEnd w:id="24"/>
    </w:p>
    <w:p>
      <w:pPr>
        <w:pStyle w:val="17"/>
        <w:widowControl w:val="0"/>
        <w:wordWrap w:val="0"/>
        <w:adjustRightInd w:val="0"/>
        <w:snapToGrid w:val="0"/>
        <w:spacing w:before="0" w:beforeAutospacing="0" w:after="0" w:afterAutospacing="0" w:line="440" w:lineRule="exact"/>
        <w:ind w:firstLine="482" w:firstLineChars="200"/>
        <w:rPr>
          <w:color w:val="auto"/>
          <w:kern w:val="2"/>
          <w:highlight w:val="none"/>
          <w:lang w:bidi="ar"/>
        </w:rPr>
      </w:pPr>
      <w:r>
        <w:rPr>
          <w:rFonts w:hint="default"/>
          <w:b/>
          <w:bCs/>
          <w:snapToGrid w:val="0"/>
          <w:color w:val="auto"/>
          <w:highlight w:val="none"/>
          <w:lang w:bidi="ar"/>
        </w:rPr>
        <w:t>3.1</w:t>
      </w:r>
      <w:r>
        <w:rPr>
          <w:rFonts w:hint="default"/>
          <w:snapToGrid w:val="0"/>
          <w:color w:val="auto"/>
          <w:highlight w:val="none"/>
          <w:lang w:bidi="ar"/>
        </w:rPr>
        <w:t xml:space="preserve"> </w:t>
      </w:r>
      <w:r>
        <w:rPr>
          <w:rFonts w:hint="eastAsia"/>
          <w:snapToGrid w:val="0"/>
          <w:color w:val="auto"/>
          <w:highlight w:val="none"/>
          <w:lang w:bidi="ar"/>
        </w:rPr>
        <w:t>本次招标实行网上报名和电子投标。自招标公告发布之日起至网上报名截止时间（见本章第二节“重要事项时间地点一览表”），投标人须登录广东省公共资源交易平台（韶关市）（https://ygp.gdzwfw.gov.cn/ggzy-portal/#/440200/index）或韶关市公共资源交易一体化平台(http://portal.ythpt.sg.gov.cn)，使用新建设工程交易系统进行网上报名，并于电子投标截止时间（见本章第二节“重要事项时间地点一览表”）前完成电子投标 ，电子投标文件与纸质投标文件不相符的，以纸质投标文件为准。投标人可登录广东省公共资源交易平台（韶关市）（https://ygp.gdzwfw.gov.cn/ggzy-portal/#/440200/index）或韶关市公共资源交易一体化平台(http://portal.ythpt.sg.gov.cn)，在【交易指引】栏目中建设工程交易中下载《韶关市公共资源交易一体化平台整合建设项目建设工程交易（投标人）用户手册》（附件2），了解网上报名操作流程。技术咨询电话：18819797080/0751-8379671 叶先生，业务咨询电话：0751-8633211、8633071。</w:t>
      </w:r>
    </w:p>
    <w:p>
      <w:pPr>
        <w:pStyle w:val="17"/>
        <w:widowControl w:val="0"/>
        <w:wordWrap w:val="0"/>
        <w:adjustRightInd w:val="0"/>
        <w:snapToGrid w:val="0"/>
        <w:spacing w:before="0" w:beforeAutospacing="0" w:after="0" w:afterAutospacing="0" w:line="440" w:lineRule="exact"/>
        <w:ind w:firstLine="480"/>
        <w:rPr>
          <w:rFonts w:hint="eastAsia" w:ascii="Times New Roman" w:hAnsi="Times New Roman"/>
          <w:snapToGrid w:val="0"/>
          <w:color w:val="auto"/>
          <w:highlight w:val="none"/>
          <w:lang w:bidi="ar"/>
        </w:rPr>
      </w:pPr>
      <w:r>
        <w:rPr>
          <w:rFonts w:hint="default" w:ascii="Times New Roman" w:hAnsi="Times New Roman" w:cs="Times New Roman"/>
          <w:b/>
          <w:bCs/>
          <w:snapToGrid w:val="0"/>
          <w:color w:val="auto"/>
          <w:highlight w:val="none"/>
          <w:lang w:bidi="ar"/>
        </w:rPr>
        <w:t>3.2</w:t>
      </w:r>
      <w:r>
        <w:rPr>
          <w:rFonts w:hint="default" w:ascii="Times New Roman" w:hAnsi="Times New Roman" w:cs="Times New Roman"/>
          <w:snapToGrid w:val="0"/>
          <w:color w:val="auto"/>
          <w:highlight w:val="none"/>
          <w:lang w:bidi="ar"/>
        </w:rPr>
        <w:t xml:space="preserve"> </w:t>
      </w:r>
      <w:r>
        <w:rPr>
          <w:rFonts w:hint="eastAsia" w:ascii="Times New Roman" w:hAnsi="Times New Roman"/>
          <w:snapToGrid w:val="0"/>
          <w:color w:val="auto"/>
          <w:highlight w:val="none"/>
          <w:lang w:bidi="ar"/>
        </w:rPr>
        <w:t>只有申领了数字证书（CA）并在建设工程交易系统中完成企业信息数据入库的投标人，方可使用建设工程交易系统进行网上报名和电子投标。</w:t>
      </w:r>
    </w:p>
    <w:p>
      <w:pPr>
        <w:pStyle w:val="17"/>
        <w:widowControl w:val="0"/>
        <w:wordWrap w:val="0"/>
        <w:adjustRightInd w:val="0"/>
        <w:snapToGrid w:val="0"/>
        <w:spacing w:before="0" w:beforeAutospacing="0" w:after="0" w:afterAutospacing="0" w:line="440" w:lineRule="exact"/>
        <w:ind w:firstLine="480"/>
        <w:rPr>
          <w:rFonts w:hint="eastAsia" w:ascii="Times New Roman" w:hAnsi="Times New Roman"/>
          <w:snapToGrid w:val="0"/>
          <w:color w:val="auto"/>
          <w:highlight w:val="none"/>
          <w:lang w:bidi="ar"/>
        </w:rPr>
      </w:pPr>
      <w:r>
        <w:rPr>
          <w:rFonts w:hint="eastAsia" w:ascii="Times New Roman" w:hAnsi="Times New Roman"/>
          <w:snapToGrid w:val="0"/>
          <w:color w:val="auto"/>
          <w:highlight w:val="none"/>
          <w:lang w:bidi="ar"/>
        </w:rPr>
        <w:t>首次在韶关市参与建设工程招标投标活动的投标人，必须在平台系统上传企业相关资料办理企业入库事宜和持企业相关资料到韶关市公共资源交易中心办事大厅办理数字证书（CA）。投标人可登录广东省公共资源交易平台（韶关市）（https://ygp.gdzwfw.gov.cn/ggzy-portal/#/440200/index）或韶关市公共资源交易一体化平台(http://portal.ythpt.sg.gov.cn)，在【通知公告】栏目中下载《深圳数字证书（CA)业务办理指南》或《广东数字证书（CA）业务办理指南》，了解办理数字证书（CA）所需资料；在【交易指引】栏目下载《建设工程交易系统投标企业办理入库公告》、《建设工程交易系统投标企业注册及企业信息变更操作指南》了解入库操作指引。</w:t>
      </w:r>
    </w:p>
    <w:p>
      <w:pPr>
        <w:pStyle w:val="17"/>
        <w:widowControl w:val="0"/>
        <w:wordWrap w:val="0"/>
        <w:adjustRightInd w:val="0"/>
        <w:snapToGrid w:val="0"/>
        <w:spacing w:before="0" w:beforeAutospacing="0" w:after="0" w:afterAutospacing="0" w:line="440" w:lineRule="exact"/>
        <w:ind w:firstLine="480"/>
        <w:rPr>
          <w:rFonts w:ascii="Times New Roman" w:hAnsi="Times New Roman"/>
          <w:snapToGrid w:val="0"/>
          <w:color w:val="auto"/>
          <w:highlight w:val="none"/>
          <w:lang w:bidi="ar"/>
        </w:rPr>
      </w:pPr>
      <w:r>
        <w:rPr>
          <w:rFonts w:hint="eastAsia" w:ascii="Times New Roman" w:hAnsi="Times New Roman"/>
          <w:snapToGrid w:val="0"/>
          <w:color w:val="auto"/>
          <w:highlight w:val="none"/>
          <w:lang w:bidi="ar"/>
        </w:rPr>
        <w:t>已入库企业的有关信息（如单位名称、基本账号、资质、人员等）发生变化的，须及时在建设工程交易系统进行相应变更。投标人未及时变更而造成的损失和后果，由投标人自行承担。</w:t>
      </w:r>
    </w:p>
    <w:p>
      <w:pPr>
        <w:tabs>
          <w:tab w:val="left" w:pos="7020"/>
        </w:tabs>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3.3</w:t>
      </w:r>
      <w:r>
        <w:rPr>
          <w:rFonts w:ascii="Times New Roman"/>
          <w:snapToGrid w:val="0"/>
          <w:color w:val="auto"/>
          <w:kern w:val="0"/>
          <w:highlight w:val="none"/>
        </w:rPr>
        <w:t xml:space="preserve"> 投标保证</w:t>
      </w:r>
    </w:p>
    <w:p>
      <w:pPr>
        <w:tabs>
          <w:tab w:val="left" w:pos="7020"/>
        </w:tabs>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3.3.1</w:t>
      </w:r>
      <w:r>
        <w:rPr>
          <w:rFonts w:ascii="Times New Roman"/>
          <w:snapToGrid w:val="0"/>
          <w:color w:val="auto"/>
          <w:kern w:val="0"/>
          <w:highlight w:val="none"/>
        </w:rPr>
        <w:t xml:space="preserve"> 投标人须缴纳金额为人民币</w:t>
      </w:r>
      <w:r>
        <w:rPr>
          <w:rFonts w:hint="eastAsia" w:ascii="Times New Roman"/>
          <w:snapToGrid w:val="0"/>
          <w:color w:val="auto"/>
          <w:kern w:val="0"/>
          <w:highlight w:val="none"/>
          <w:u w:val="single"/>
          <w:lang w:val="en-US" w:eastAsia="zh-CN"/>
        </w:rPr>
        <w:t>30</w:t>
      </w:r>
      <w:r>
        <w:rPr>
          <w:rFonts w:ascii="Times New Roman"/>
          <w:snapToGrid w:val="0"/>
          <w:color w:val="auto"/>
          <w:kern w:val="0"/>
          <w:highlight w:val="none"/>
          <w:u w:val="single"/>
        </w:rPr>
        <w:t>万元</w:t>
      </w:r>
      <w:r>
        <w:rPr>
          <w:rFonts w:ascii="Times New Roman"/>
          <w:snapToGrid w:val="0"/>
          <w:color w:val="auto"/>
          <w:kern w:val="0"/>
          <w:highlight w:val="none"/>
        </w:rPr>
        <w:t>的投标保证。联合体投标的，由联合体牵头人缴纳。</w:t>
      </w:r>
    </w:p>
    <w:p>
      <w:pPr>
        <w:tabs>
          <w:tab w:val="left" w:pos="7020"/>
        </w:tabs>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3.3.2</w:t>
      </w:r>
      <w:r>
        <w:rPr>
          <w:rFonts w:ascii="Times New Roman"/>
          <w:snapToGrid w:val="0"/>
          <w:color w:val="auto"/>
          <w:kern w:val="0"/>
          <w:highlight w:val="none"/>
        </w:rPr>
        <w:t xml:space="preserve"> 投标保证的形式包括投标保证金、投标保证担保、投标保证保险三种，由投标人自主选择。</w:t>
      </w:r>
    </w:p>
    <w:p>
      <w:pPr>
        <w:tabs>
          <w:tab w:val="left" w:pos="7020"/>
        </w:tabs>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采用投标保证金的，投标人在建设工程交易系统报名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pPr>
        <w:tabs>
          <w:tab w:val="left" w:pos="7020"/>
        </w:tabs>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采用投标保证担保的，投标人须提交有效的银行保函，银行保函的有效期不得短于投标有效期。投标人必须于投标保证担保上传截止时间（见本章第二节“重要事项时间地点一览表”）前，按照建设工程交易系统的要求制作和上传银行保函电子文件。银行保函原件连同投标文件一并现场递交。逾期上传的、未递交原件的，其投标无效。</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广东省公共资源交易平台（韶关市）（https://ygp.gdzwfw.gov.cn/ggzy-portal/#/440200/index）或韶关市公共资源交易一体化平台(http://portal.ythpt.sg.gov.cn)，在【交易指引】栏目中下载《建设工程网上交易系统保险保证金缴纳操作指南》，了解网上投保具体操作流程。逾期投保的，其投标无效。</w:t>
      </w:r>
    </w:p>
    <w:p>
      <w:pPr>
        <w:tabs>
          <w:tab w:val="left" w:pos="7020"/>
        </w:tabs>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pPr>
        <w:tabs>
          <w:tab w:val="left" w:pos="7020"/>
        </w:tabs>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3.4</w:t>
      </w:r>
      <w:r>
        <w:rPr>
          <w:rFonts w:ascii="Times New Roman"/>
          <w:snapToGrid w:val="0"/>
          <w:color w:val="auto"/>
          <w:kern w:val="0"/>
          <w:highlight w:val="none"/>
        </w:rPr>
        <w:t xml:space="preserve"> 若投标人因自身原因未能正确完成网上报名、电子投标、缴纳投标保证的，其投标无效。</w:t>
      </w:r>
    </w:p>
    <w:p>
      <w:pPr>
        <w:tabs>
          <w:tab w:val="left" w:pos="7020"/>
        </w:tabs>
        <w:wordWrap w:val="0"/>
        <w:adjustRightInd w:val="0"/>
        <w:snapToGrid w:val="0"/>
        <w:spacing w:line="440" w:lineRule="exact"/>
        <w:ind w:firstLine="480" w:firstLineChars="200"/>
        <w:rPr>
          <w:rFonts w:ascii="Times New Roman"/>
          <w:snapToGrid w:val="0"/>
          <w:color w:val="auto"/>
          <w:kern w:val="0"/>
          <w:highlight w:val="none"/>
        </w:rPr>
      </w:pPr>
    </w:p>
    <w:p>
      <w:pPr>
        <w:pStyle w:val="5"/>
        <w:wordWrap w:val="0"/>
        <w:snapToGrid w:val="0"/>
        <w:spacing w:line="440" w:lineRule="exact"/>
        <w:ind w:firstLine="480"/>
        <w:jc w:val="both"/>
        <w:rPr>
          <w:rFonts w:ascii="Times New Roman"/>
          <w:b/>
          <w:snapToGrid w:val="0"/>
          <w:color w:val="auto"/>
          <w:highlight w:val="none"/>
        </w:rPr>
      </w:pPr>
      <w:bookmarkStart w:id="25" w:name="_Toc30617"/>
      <w:r>
        <w:rPr>
          <w:rFonts w:ascii="Times New Roman"/>
          <w:b/>
          <w:snapToGrid w:val="0"/>
          <w:color w:val="auto"/>
          <w:highlight w:val="none"/>
        </w:rPr>
        <w:t>4．工期要求</w:t>
      </w:r>
      <w:bookmarkEnd w:id="25"/>
    </w:p>
    <w:p>
      <w:pPr>
        <w:tabs>
          <w:tab w:val="left" w:pos="7020"/>
        </w:tabs>
        <w:wordWrap w:val="0"/>
        <w:adjustRightInd w:val="0"/>
        <w:snapToGrid w:val="0"/>
        <w:spacing w:line="440" w:lineRule="exact"/>
        <w:ind w:firstLine="480" w:firstLineChars="200"/>
        <w:rPr>
          <w:rFonts w:hint="eastAsia"/>
          <w:lang w:eastAsia="zh-CN"/>
        </w:rPr>
      </w:pPr>
      <w:r>
        <w:rPr>
          <w:rFonts w:ascii="Times New Roman"/>
          <w:bCs/>
          <w:snapToGrid w:val="0"/>
          <w:color w:val="auto"/>
          <w:kern w:val="0"/>
          <w:szCs w:val="24"/>
          <w:highlight w:val="none"/>
        </w:rPr>
        <w:t>本招标项目施工工期为</w:t>
      </w:r>
      <w:r>
        <w:rPr>
          <w:rFonts w:hint="eastAsia" w:ascii="Times New Roman"/>
          <w:bCs/>
          <w:snapToGrid w:val="0"/>
          <w:color w:val="auto"/>
          <w:kern w:val="0"/>
          <w:szCs w:val="24"/>
          <w:highlight w:val="none"/>
          <w:lang w:val="en-US" w:eastAsia="zh-CN"/>
        </w:rPr>
        <w:t>180日历天</w:t>
      </w:r>
      <w:r>
        <w:rPr>
          <w:rFonts w:ascii="Times New Roman"/>
          <w:snapToGrid w:val="0"/>
          <w:color w:val="auto"/>
          <w:kern w:val="0"/>
          <w:highlight w:val="none"/>
        </w:rPr>
        <w:t>。中标人必须在招标工期内完成招标范围内的全部内容。</w:t>
      </w:r>
    </w:p>
    <w:p>
      <w:pPr>
        <w:pStyle w:val="5"/>
        <w:wordWrap w:val="0"/>
        <w:snapToGrid w:val="0"/>
        <w:spacing w:line="440" w:lineRule="exact"/>
        <w:ind w:firstLine="480"/>
        <w:jc w:val="both"/>
        <w:rPr>
          <w:rFonts w:ascii="Times New Roman"/>
          <w:b/>
          <w:snapToGrid w:val="0"/>
          <w:color w:val="auto"/>
          <w:highlight w:val="none"/>
        </w:rPr>
      </w:pPr>
      <w:bookmarkStart w:id="26" w:name="_Toc4910"/>
      <w:r>
        <w:rPr>
          <w:rFonts w:ascii="Times New Roman"/>
          <w:b/>
          <w:snapToGrid w:val="0"/>
          <w:color w:val="auto"/>
          <w:highlight w:val="none"/>
        </w:rPr>
        <w:t>5．质量标准和材料、机械要求</w:t>
      </w:r>
      <w:bookmarkEnd w:id="26"/>
    </w:p>
    <w:p>
      <w:pPr>
        <w:wordWrap w:val="0"/>
        <w:adjustRightInd w:val="0"/>
        <w:snapToGrid w:val="0"/>
        <w:spacing w:line="440" w:lineRule="exact"/>
        <w:rPr>
          <w:rFonts w:ascii="Times New Roman"/>
          <w:snapToGrid w:val="0"/>
          <w:color w:val="auto"/>
          <w:kern w:val="0"/>
          <w:highlight w:val="none"/>
        </w:rPr>
      </w:pPr>
      <w:r>
        <w:rPr>
          <w:rFonts w:ascii="Times New Roman"/>
          <w:b/>
          <w:bCs/>
          <w:snapToGrid w:val="0"/>
          <w:color w:val="auto"/>
          <w:kern w:val="0"/>
          <w:highlight w:val="none"/>
        </w:rPr>
        <w:t xml:space="preserve">    5.1</w:t>
      </w:r>
      <w:r>
        <w:rPr>
          <w:rFonts w:ascii="Times New Roman"/>
          <w:snapToGrid w:val="0"/>
          <w:color w:val="auto"/>
          <w:kern w:val="0"/>
          <w:highlight w:val="none"/>
        </w:rPr>
        <w:t xml:space="preserve"> 施工工艺严格按照国家和广东省的有关现行施工技术规范及标准执行，工程质量标准须达到</w:t>
      </w:r>
      <w:r>
        <w:rPr>
          <w:rFonts w:ascii="Times New Roman"/>
          <w:snapToGrid w:val="0"/>
          <w:color w:val="auto"/>
          <w:kern w:val="0"/>
          <w:highlight w:val="none"/>
          <w:u w:val="single"/>
        </w:rPr>
        <w:t xml:space="preserve"> 合格标准 </w:t>
      </w:r>
      <w:r>
        <w:rPr>
          <w:rFonts w:ascii="Arial" w:hAnsi="Arial" w:cs="Arial"/>
          <w:color w:val="auto"/>
          <w:szCs w:val="24"/>
          <w:highlight w:val="none"/>
        </w:rPr>
        <w:t>，</w:t>
      </w:r>
      <w:r>
        <w:rPr>
          <w:rFonts w:hAnsi="宋体"/>
          <w:color w:val="auto"/>
          <w:highlight w:val="none"/>
        </w:rPr>
        <w:t>如未达到合格标准，则按合同价款的</w:t>
      </w:r>
      <w:r>
        <w:rPr>
          <w:rFonts w:hAnsi="宋体"/>
          <w:color w:val="auto"/>
          <w:highlight w:val="none"/>
          <w:u w:val="single"/>
        </w:rPr>
        <w:t xml:space="preserve"> 1 </w:t>
      </w:r>
      <w:r>
        <w:rPr>
          <w:rFonts w:hAnsi="宋体"/>
          <w:color w:val="auto"/>
          <w:highlight w:val="none"/>
        </w:rPr>
        <w:t>%向招标人返纳质量违约金，</w:t>
      </w:r>
      <w:r>
        <w:rPr>
          <w:rFonts w:ascii="Arial" w:hAnsi="Arial"/>
          <w:color w:val="auto"/>
          <w:highlight w:val="none"/>
        </w:rPr>
        <w:t>并由中标人负责返修至达到</w:t>
      </w:r>
      <w:r>
        <w:rPr>
          <w:rFonts w:hAnsi="宋体" w:cs="Arial"/>
          <w:b/>
          <w:bCs/>
          <w:color w:val="auto"/>
          <w:szCs w:val="24"/>
          <w:highlight w:val="none"/>
          <w:u w:val="single"/>
        </w:rPr>
        <w:t>合格标准</w:t>
      </w:r>
      <w:r>
        <w:rPr>
          <w:rFonts w:ascii="Arial" w:hAnsi="Arial"/>
          <w:color w:val="auto"/>
          <w:highlight w:val="none"/>
        </w:rPr>
        <w:t>，返修费用由中标人承担，</w:t>
      </w:r>
      <w:r>
        <w:rPr>
          <w:color w:val="auto"/>
          <w:szCs w:val="24"/>
          <w:highlight w:val="none"/>
        </w:rPr>
        <w:t>同时承担所有的责任及经济损失。</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5.2</w:t>
      </w:r>
      <w:r>
        <w:rPr>
          <w:rFonts w:ascii="Times New Roman"/>
          <w:snapToGrid w:val="0"/>
          <w:color w:val="auto"/>
          <w:kern w:val="0"/>
          <w:highlight w:val="none"/>
        </w:rPr>
        <w:t xml:space="preserve"> 中标人在施工中如果工程质量不符合设计要求和有关规定，招标人或监理单位要求停工和返工的必须立即执行，并承担由此产生的各种费用，工期不予顺延。</w:t>
      </w:r>
    </w:p>
    <w:p>
      <w:pPr>
        <w:wordWrap w:val="0"/>
        <w:adjustRightInd w:val="0"/>
        <w:snapToGrid w:val="0"/>
        <w:spacing w:line="440" w:lineRule="exact"/>
        <w:ind w:firstLine="570"/>
        <w:rPr>
          <w:rFonts w:ascii="Times New Roman"/>
          <w:snapToGrid w:val="0"/>
          <w:color w:val="auto"/>
          <w:kern w:val="0"/>
          <w:highlight w:val="none"/>
        </w:rPr>
      </w:pPr>
      <w:r>
        <w:rPr>
          <w:rFonts w:ascii="Times New Roman"/>
          <w:b/>
          <w:bCs/>
          <w:snapToGrid w:val="0"/>
          <w:color w:val="auto"/>
          <w:kern w:val="0"/>
          <w:highlight w:val="none"/>
        </w:rPr>
        <w:t>5.3</w:t>
      </w:r>
      <w:r>
        <w:rPr>
          <w:rFonts w:ascii="Times New Roman"/>
          <w:snapToGrid w:val="0"/>
          <w:color w:val="auto"/>
          <w:kern w:val="0"/>
          <w:highlight w:val="none"/>
        </w:rPr>
        <w:t xml:space="preserve"> 保修期限按《建设工程质量管理条例》（中华人民共和国国务院令第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5.4</w:t>
      </w:r>
      <w:r>
        <w:rPr>
          <w:rFonts w:ascii="Times New Roman"/>
          <w:snapToGrid w:val="0"/>
          <w:color w:val="auto"/>
          <w:kern w:val="0"/>
          <w:highlight w:val="none"/>
        </w:rPr>
        <w:t xml:space="preserve"> 工程使用的主要材料质量要求不低于招标工程量清单所列的要求。主要材料必须先提供样板给招标人确定其颜色、等级等，</w:t>
      </w:r>
      <w:r>
        <w:rPr>
          <w:rFonts w:ascii="Times New Roman"/>
          <w:snapToGrid w:val="0"/>
          <w:color w:val="auto"/>
          <w:kern w:val="0"/>
          <w:highlight w:val="none"/>
          <w:lang w:val="zh-CN"/>
        </w:rPr>
        <w:t>并经检测部门检测合格</w:t>
      </w:r>
      <w:r>
        <w:rPr>
          <w:rFonts w:ascii="Times New Roman"/>
          <w:snapToGrid w:val="0"/>
          <w:color w:val="auto"/>
          <w:kern w:val="0"/>
          <w:highlight w:val="none"/>
        </w:rPr>
        <w:t>方可使用，所有材料必须使用合格产品。</w:t>
      </w:r>
    </w:p>
    <w:p>
      <w:pPr>
        <w:wordWrap w:val="0"/>
        <w:adjustRightInd w:val="0"/>
        <w:snapToGrid w:val="0"/>
        <w:spacing w:line="440" w:lineRule="exact"/>
        <w:ind w:firstLine="560"/>
        <w:rPr>
          <w:rFonts w:ascii="Times New Roman"/>
          <w:b/>
          <w:bCs/>
          <w:snapToGrid w:val="0"/>
          <w:color w:val="auto"/>
          <w:kern w:val="0"/>
          <w:highlight w:val="none"/>
        </w:rPr>
      </w:pPr>
      <w:r>
        <w:rPr>
          <w:rFonts w:ascii="Times New Roman"/>
          <w:b/>
          <w:bCs/>
          <w:snapToGrid w:val="0"/>
          <w:color w:val="auto"/>
          <w:kern w:val="0"/>
          <w:highlight w:val="none"/>
        </w:rPr>
        <w:t>5.5</w:t>
      </w:r>
      <w:r>
        <w:rPr>
          <w:rFonts w:ascii="Times New Roman"/>
          <w:snapToGrid w:val="0"/>
          <w:color w:val="auto"/>
          <w:kern w:val="0"/>
          <w:highlight w:val="none"/>
        </w:rPr>
        <w:t xml:space="preserve"> 根据韶关市人民政府《关于加快推进全市绿色建筑发展工作的通知》（韶府办明电〔2013〕277号）有关规定，本招标项目不纳入绿色建筑实施范围。</w:t>
      </w:r>
    </w:p>
    <w:p>
      <w:pPr>
        <w:wordWrap w:val="0"/>
        <w:adjustRightInd w:val="0"/>
        <w:snapToGrid w:val="0"/>
        <w:spacing w:line="440" w:lineRule="exact"/>
        <w:ind w:firstLine="560"/>
        <w:rPr>
          <w:rFonts w:hint="eastAsia" w:eastAsia="宋体"/>
          <w:snapToGrid w:val="0"/>
          <w:color w:val="auto"/>
          <w:kern w:val="0"/>
          <w:highlight w:val="none"/>
          <w:lang w:eastAsia="zh-CN"/>
        </w:rPr>
      </w:pPr>
      <w:r>
        <w:rPr>
          <w:rFonts w:ascii="Times New Roman"/>
          <w:b/>
          <w:bCs/>
          <w:snapToGrid w:val="0"/>
          <w:color w:val="auto"/>
          <w:kern w:val="0"/>
          <w:highlight w:val="none"/>
        </w:rPr>
        <w:t>5.6</w:t>
      </w:r>
      <w:r>
        <w:rPr>
          <w:rFonts w:ascii="Times New Roman"/>
          <w:snapToGrid w:val="0"/>
          <w:color w:val="auto"/>
          <w:kern w:val="0"/>
          <w:highlight w:val="none"/>
        </w:rPr>
        <w:t xml:space="preserve"> 其它：</w:t>
      </w:r>
      <w:r>
        <w:rPr>
          <w:snapToGrid w:val="0"/>
          <w:color w:val="auto"/>
          <w:kern w:val="0"/>
          <w:highlight w:val="none"/>
        </w:rPr>
        <w:t>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主要材料和设备在使用之前通知监理工程师验收，经验收合格后方可使用。</w:t>
      </w:r>
    </w:p>
    <w:p>
      <w:pPr>
        <w:pStyle w:val="2"/>
        <w:rPr>
          <w:rFonts w:hint="eastAsia"/>
          <w:lang w:eastAsia="zh-CN"/>
        </w:rPr>
      </w:pPr>
    </w:p>
    <w:p>
      <w:pPr>
        <w:pStyle w:val="5"/>
        <w:wordWrap w:val="0"/>
        <w:snapToGrid w:val="0"/>
        <w:spacing w:line="440" w:lineRule="exact"/>
        <w:ind w:firstLine="480"/>
        <w:jc w:val="both"/>
        <w:rPr>
          <w:rFonts w:ascii="Times New Roman"/>
          <w:b/>
          <w:snapToGrid w:val="0"/>
          <w:color w:val="auto"/>
          <w:highlight w:val="none"/>
        </w:rPr>
      </w:pPr>
      <w:bookmarkStart w:id="27" w:name="_Toc27670"/>
      <w:r>
        <w:rPr>
          <w:rFonts w:ascii="Times New Roman"/>
          <w:b/>
          <w:snapToGrid w:val="0"/>
          <w:color w:val="auto"/>
          <w:highlight w:val="none"/>
        </w:rPr>
        <w:t>6．施工条件及现场踏勘</w:t>
      </w:r>
      <w:bookmarkEnd w:id="27"/>
    </w:p>
    <w:p>
      <w:pPr>
        <w:pStyle w:val="10"/>
        <w:wordWrap w:val="0"/>
        <w:adjustRightInd w:val="0"/>
        <w:snapToGrid w:val="0"/>
        <w:spacing w:line="440" w:lineRule="exact"/>
        <w:ind w:firstLineChars="0"/>
        <w:rPr>
          <w:rFonts w:hint="eastAsia" w:ascii="Times New Roman"/>
          <w:snapToGrid w:val="0"/>
          <w:color w:val="auto"/>
          <w:kern w:val="0"/>
          <w:highlight w:val="none"/>
        </w:rPr>
      </w:pPr>
      <w:r>
        <w:rPr>
          <w:rFonts w:hint="eastAsia" w:ascii="Times New Roman"/>
          <w:b/>
          <w:bCs/>
          <w:snapToGrid w:val="0"/>
          <w:color w:val="auto"/>
          <w:kern w:val="0"/>
          <w:highlight w:val="none"/>
        </w:rPr>
        <w:t>6.1</w:t>
      </w:r>
      <w:r>
        <w:rPr>
          <w:rFonts w:hint="eastAsia" w:ascii="Times New Roman"/>
          <w:snapToGrid w:val="0"/>
          <w:color w:val="auto"/>
          <w:kern w:val="0"/>
          <w:highlight w:val="none"/>
        </w:rPr>
        <w:t xml:space="preserve"> 招标人仅在本招标项目征地红线范围内提供场地，其他一切场地费用由中标人自行负责（含临时道路）。</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6.2</w:t>
      </w:r>
      <w:r>
        <w:rPr>
          <w:rFonts w:ascii="Times New Roman"/>
          <w:snapToGrid w:val="0"/>
          <w:color w:val="auto"/>
          <w:kern w:val="0"/>
          <w:highlight w:val="none"/>
        </w:rPr>
        <w:t xml:space="preserve"> 施工用水：</w:t>
      </w:r>
      <w:r>
        <w:rPr>
          <w:rFonts w:ascii="Times New Roman"/>
          <w:snapToGrid w:val="0"/>
          <w:color w:val="auto"/>
          <w:kern w:val="0"/>
          <w:highlight w:val="none"/>
          <w:u w:val="single"/>
        </w:rPr>
        <w:t>施工用水及水源由中标人自行解决，费用含在投标报价中，不另计</w:t>
      </w:r>
      <w:r>
        <w:rPr>
          <w:rFonts w:hAnsi="宋体" w:cs="Tahoma"/>
          <w:color w:val="auto"/>
          <w:kern w:val="0"/>
          <w:szCs w:val="22"/>
          <w:highlight w:val="none"/>
          <w:u w:val="single"/>
        </w:rPr>
        <w:t>。</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6.3</w:t>
      </w:r>
      <w:r>
        <w:rPr>
          <w:rFonts w:ascii="Times New Roman"/>
          <w:snapToGrid w:val="0"/>
          <w:color w:val="auto"/>
          <w:kern w:val="0"/>
          <w:highlight w:val="none"/>
        </w:rPr>
        <w:t xml:space="preserve"> 施工用电：</w:t>
      </w:r>
      <w:r>
        <w:rPr>
          <w:rFonts w:ascii="Times New Roman"/>
          <w:snapToGrid w:val="0"/>
          <w:color w:val="auto"/>
          <w:kern w:val="0"/>
          <w:highlight w:val="none"/>
          <w:u w:val="single"/>
        </w:rPr>
        <w:t>施工用电及电源由中标人自行解决，费用含在投标报价中，不另计</w:t>
      </w:r>
      <w:r>
        <w:rPr>
          <w:rFonts w:hAnsi="宋体" w:cs="Tahoma"/>
          <w:color w:val="auto"/>
          <w:kern w:val="0"/>
          <w:szCs w:val="22"/>
          <w:highlight w:val="none"/>
          <w:u w:val="single"/>
        </w:rPr>
        <w:t>。</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6.4</w:t>
      </w:r>
      <w:r>
        <w:rPr>
          <w:rFonts w:ascii="Times New Roman"/>
          <w:snapToGrid w:val="0"/>
          <w:color w:val="auto"/>
          <w:kern w:val="0"/>
          <w:highlight w:val="none"/>
        </w:rPr>
        <w:t xml:space="preserve"> 施工用水、用电由中标人自行安排驳接点到现场边缘。同时要求中标人单独安装水表、电表，其水、电费按项目所在地</w:t>
      </w:r>
      <w:r>
        <w:rPr>
          <w:rFonts w:ascii="Times New Roman"/>
          <w:snapToGrid w:val="0"/>
          <w:color w:val="auto"/>
          <w:kern w:val="0"/>
          <w:highlight w:val="none"/>
          <w:u w:val="single"/>
        </w:rPr>
        <w:t xml:space="preserve"> </w:t>
      </w:r>
      <w:r>
        <w:rPr>
          <w:rFonts w:hint="eastAsia" w:ascii="Times New Roman"/>
          <w:snapToGrid w:val="0"/>
          <w:color w:val="auto"/>
          <w:kern w:val="0"/>
          <w:highlight w:val="none"/>
          <w:u w:val="single"/>
          <w:lang w:eastAsia="zh-CN"/>
        </w:rPr>
        <w:t>乐昌市</w:t>
      </w:r>
      <w:r>
        <w:rPr>
          <w:rFonts w:ascii="Times New Roman"/>
          <w:snapToGrid w:val="0"/>
          <w:color w:val="auto"/>
          <w:kern w:val="0"/>
          <w:highlight w:val="none"/>
          <w:u w:val="single"/>
        </w:rPr>
        <w:t xml:space="preserve"> </w:t>
      </w:r>
      <w:r>
        <w:rPr>
          <w:rFonts w:ascii="Times New Roman"/>
          <w:snapToGrid w:val="0"/>
          <w:color w:val="auto"/>
          <w:kern w:val="0"/>
          <w:highlight w:val="none"/>
        </w:rPr>
        <w:t>基建工程水、电计费标准计算并由中标人缴纳。</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6.5</w:t>
      </w:r>
      <w:r>
        <w:rPr>
          <w:rFonts w:ascii="Times New Roman"/>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6.6</w:t>
      </w:r>
      <w:r>
        <w:rPr>
          <w:rFonts w:ascii="Times New Roman"/>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pPr>
        <w:wordWrap w:val="0"/>
        <w:adjustRightInd w:val="0"/>
        <w:snapToGrid w:val="0"/>
        <w:spacing w:line="440" w:lineRule="exact"/>
        <w:ind w:firstLine="560"/>
        <w:rPr>
          <w:rFonts w:hint="eastAsia" w:ascii="Times New Roman" w:eastAsia="宋体"/>
          <w:snapToGrid w:val="0"/>
          <w:color w:val="auto"/>
          <w:kern w:val="0"/>
          <w:highlight w:val="none"/>
          <w:lang w:eastAsia="zh-CN"/>
        </w:rPr>
      </w:pPr>
      <w:r>
        <w:rPr>
          <w:rFonts w:ascii="Times New Roman"/>
          <w:b/>
          <w:bCs/>
          <w:snapToGrid w:val="0"/>
          <w:color w:val="auto"/>
          <w:kern w:val="0"/>
          <w:highlight w:val="none"/>
        </w:rPr>
        <w:t>6.7</w:t>
      </w:r>
      <w:r>
        <w:rPr>
          <w:rFonts w:ascii="Times New Roman"/>
          <w:snapToGrid w:val="0"/>
          <w:color w:val="auto"/>
          <w:kern w:val="0"/>
          <w:highlight w:val="none"/>
        </w:rPr>
        <w:t xml:space="preserve"> 现场踏勘期间的交通、食宿由投标人自行安排，费用自理。</w:t>
      </w:r>
    </w:p>
    <w:p>
      <w:pPr>
        <w:pStyle w:val="2"/>
        <w:rPr>
          <w:rFonts w:hint="eastAsia"/>
          <w:lang w:eastAsia="zh-CN"/>
        </w:rPr>
      </w:pPr>
    </w:p>
    <w:p>
      <w:pPr>
        <w:pStyle w:val="5"/>
        <w:wordWrap w:val="0"/>
        <w:snapToGrid w:val="0"/>
        <w:spacing w:line="440" w:lineRule="exact"/>
        <w:ind w:firstLine="482" w:firstLineChars="200"/>
        <w:jc w:val="both"/>
        <w:rPr>
          <w:rFonts w:ascii="Times New Roman"/>
          <w:b/>
          <w:snapToGrid w:val="0"/>
          <w:color w:val="auto"/>
          <w:highlight w:val="none"/>
        </w:rPr>
      </w:pPr>
      <w:bookmarkStart w:id="28" w:name="_Toc30356"/>
      <w:r>
        <w:rPr>
          <w:rFonts w:ascii="Times New Roman"/>
          <w:b/>
          <w:snapToGrid w:val="0"/>
          <w:color w:val="auto"/>
          <w:highlight w:val="none"/>
        </w:rPr>
        <w:t>7．招标文件的提问和答疑</w:t>
      </w:r>
      <w:bookmarkEnd w:id="28"/>
      <w:bookmarkStart w:id="29" w:name="_Hlt74496410"/>
      <w:bookmarkEnd w:id="29"/>
    </w:p>
    <w:p>
      <w:pPr>
        <w:wordWrap w:val="0"/>
        <w:adjustRightInd w:val="0"/>
        <w:snapToGrid w:val="0"/>
        <w:spacing w:line="440" w:lineRule="exact"/>
        <w:ind w:firstLine="482" w:firstLineChars="200"/>
        <w:rPr>
          <w:rFonts w:ascii="Times New Roman"/>
          <w:snapToGrid w:val="0"/>
          <w:color w:val="auto"/>
          <w:kern w:val="0"/>
          <w:szCs w:val="24"/>
          <w:highlight w:val="none"/>
          <w:lang w:bidi="ar"/>
        </w:rPr>
      </w:pPr>
      <w:r>
        <w:rPr>
          <w:rFonts w:ascii="Times New Roman"/>
          <w:b/>
          <w:bCs/>
          <w:snapToGrid w:val="0"/>
          <w:color w:val="auto"/>
          <w:kern w:val="0"/>
          <w:highlight w:val="none"/>
        </w:rPr>
        <w:t>7.1</w:t>
      </w:r>
      <w:r>
        <w:rPr>
          <w:rFonts w:ascii="Times New Roman"/>
          <w:snapToGrid w:val="0"/>
          <w:color w:val="auto"/>
          <w:kern w:val="0"/>
          <w:highlight w:val="none"/>
        </w:rPr>
        <w:t xml:space="preserve"> 投标人若对招标文件（含施工图、招标工程量清单）有疑问，应在提问截止时间（见本章第二节“重要事项时间地点一览表”）前使用建设工程交易系统提出问题。未在指定时间前、未采用指定方式提出的，招标人不予受理</w:t>
      </w:r>
      <w:r>
        <w:rPr>
          <w:rFonts w:ascii="Times New Roman"/>
          <w:snapToGrid w:val="0"/>
          <w:color w:val="auto"/>
          <w:kern w:val="0"/>
          <w:szCs w:val="24"/>
          <w:highlight w:val="none"/>
          <w:lang w:bidi="ar"/>
        </w:rPr>
        <w:t>。</w:t>
      </w:r>
    </w:p>
    <w:p>
      <w:pPr>
        <w:wordWrap w:val="0"/>
        <w:adjustRightInd w:val="0"/>
        <w:snapToGrid w:val="0"/>
        <w:spacing w:line="440" w:lineRule="exact"/>
        <w:ind w:firstLine="560"/>
        <w:rPr>
          <w:rFonts w:ascii="Times New Roman"/>
          <w:strike/>
          <w:snapToGrid w:val="0"/>
          <w:color w:val="auto"/>
          <w:kern w:val="0"/>
          <w:highlight w:val="none"/>
        </w:rPr>
      </w:pPr>
      <w:r>
        <w:rPr>
          <w:rFonts w:ascii="Times New Roman"/>
          <w:b/>
          <w:bCs/>
          <w:snapToGrid w:val="0"/>
          <w:color w:val="auto"/>
          <w:kern w:val="0"/>
          <w:highlight w:val="none"/>
        </w:rPr>
        <w:t xml:space="preserve">7.2 </w:t>
      </w:r>
      <w:r>
        <w:rPr>
          <w:rFonts w:ascii="Times New Roman"/>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7.3</w:t>
      </w:r>
      <w:r>
        <w:rPr>
          <w:rFonts w:ascii="Times New Roman"/>
          <w:snapToGrid w:val="0"/>
          <w:color w:val="auto"/>
          <w:kern w:val="0"/>
          <w:highlight w:val="none"/>
        </w:rPr>
        <w:t xml:space="preserve"> 招标人对招标文件所作的答疑（或修改）公告，构成招标文件的组成部分。</w:t>
      </w:r>
    </w:p>
    <w:p>
      <w:pPr>
        <w:wordWrap w:val="0"/>
        <w:adjustRightInd w:val="0"/>
        <w:snapToGrid w:val="0"/>
        <w:spacing w:line="440" w:lineRule="exact"/>
        <w:ind w:firstLine="560"/>
        <w:rPr>
          <w:rFonts w:ascii="Times New Roman"/>
          <w:snapToGrid w:val="0"/>
          <w:color w:val="auto"/>
          <w:kern w:val="0"/>
          <w:highlight w:val="none"/>
        </w:rPr>
      </w:pPr>
    </w:p>
    <w:p>
      <w:pPr>
        <w:pStyle w:val="5"/>
        <w:wordWrap w:val="0"/>
        <w:snapToGrid w:val="0"/>
        <w:spacing w:line="440" w:lineRule="exact"/>
        <w:ind w:firstLine="480"/>
        <w:jc w:val="both"/>
        <w:rPr>
          <w:rFonts w:ascii="Times New Roman"/>
          <w:b/>
          <w:snapToGrid w:val="0"/>
          <w:color w:val="auto"/>
          <w:highlight w:val="none"/>
        </w:rPr>
      </w:pPr>
      <w:bookmarkStart w:id="30" w:name="_Hlt69699188"/>
      <w:bookmarkEnd w:id="30"/>
      <w:bookmarkStart w:id="31" w:name="_Hlt92513715"/>
      <w:bookmarkEnd w:id="31"/>
      <w:bookmarkStart w:id="32" w:name="_Hlt92513711"/>
      <w:bookmarkEnd w:id="32"/>
      <w:bookmarkStart w:id="33" w:name="_Toc3812"/>
      <w:r>
        <w:rPr>
          <w:rFonts w:ascii="Times New Roman"/>
          <w:b/>
          <w:snapToGrid w:val="0"/>
          <w:color w:val="auto"/>
          <w:highlight w:val="none"/>
        </w:rPr>
        <w:t>8．招标控制价</w:t>
      </w:r>
      <w:bookmarkEnd w:id="33"/>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8.1</w:t>
      </w:r>
      <w:r>
        <w:rPr>
          <w:rFonts w:ascii="Times New Roman"/>
          <w:snapToGrid w:val="0"/>
          <w:color w:val="auto"/>
          <w:kern w:val="0"/>
          <w:highlight w:val="none"/>
        </w:rPr>
        <w:t xml:space="preserve"> 本招标项目按照以下依据编制招标控制价：</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（1）《建设工程工程量清单计价规范》（GB50500—2013）；</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（3）施工图及相关资料；</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（4）招标文件及招标工程量清单；</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（5）施工现场情况、工程特点及常规施工方案；</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（6）项目所在地工程造价管理机构发布的工程造价信息，工程造价信息缺项的，参照市场价格；</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（7）与建设项目相关的标准、规范、技术资料。</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8.2</w:t>
      </w:r>
      <w:r>
        <w:rPr>
          <w:rFonts w:ascii="Times New Roman"/>
          <w:snapToGrid w:val="0"/>
          <w:color w:val="auto"/>
          <w:kern w:val="0"/>
          <w:highlight w:val="none"/>
        </w:rPr>
        <w:t xml:space="preserve"> </w:t>
      </w:r>
      <w:r>
        <w:rPr>
          <w:rFonts w:hint="eastAsia" w:ascii="Times New Roman"/>
          <w:snapToGrid w:val="0"/>
          <w:color w:val="auto"/>
          <w:kern w:val="0"/>
          <w:highlight w:val="none"/>
        </w:rPr>
        <w:t>本招标项目招标控制价、工程量清单在开标前15天另行发布于广东省公共资源交易平台（韶关市）（https://ygp.gdzwfw.gov.cn/ggzy-portal/#/440200/index）</w:t>
      </w:r>
      <w:r>
        <w:rPr>
          <w:rFonts w:hint="eastAsia" w:ascii="Times New Roman"/>
          <w:snapToGrid w:val="0"/>
          <w:color w:val="auto"/>
          <w:kern w:val="0"/>
          <w:highlight w:val="none"/>
          <w:lang w:eastAsia="zh-CN"/>
        </w:rPr>
        <w:t>、</w:t>
      </w:r>
      <w:r>
        <w:rPr>
          <w:rFonts w:hint="eastAsia" w:ascii="Times New Roman"/>
          <w:snapToGrid w:val="0"/>
          <w:color w:val="auto"/>
          <w:kern w:val="0"/>
          <w:highlight w:val="none"/>
        </w:rPr>
        <w:t>韶关市公共资源交易一体化平台（https://portal.ythpt.sg.gov.cn/）网站，各投标人可在网站上自行下载。</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8.3</w:t>
      </w:r>
      <w:r>
        <w:rPr>
          <w:rFonts w:ascii="Times New Roman"/>
          <w:snapToGrid w:val="0"/>
          <w:color w:val="auto"/>
          <w:kern w:val="0"/>
          <w:highlight w:val="none"/>
        </w:rPr>
        <w:t xml:space="preserve"> 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8.4</w:t>
      </w:r>
      <w:r>
        <w:rPr>
          <w:rFonts w:ascii="Times New Roman"/>
          <w:snapToGrid w:val="0"/>
          <w:color w:val="auto"/>
          <w:kern w:val="0"/>
          <w:highlight w:val="none"/>
        </w:rPr>
        <w:t xml:space="preserve"> 本招标项目以暂估价形式列入招标工程量清单中的材料、工程设备、专业工程（以下统称“暂估价项目”）包括：（</w:t>
      </w:r>
      <w:r>
        <w:rPr>
          <w:rFonts w:ascii="Times New Roman"/>
          <w:snapToGrid w:val="0"/>
          <w:color w:val="auto"/>
          <w:kern w:val="0"/>
          <w:highlight w:val="none"/>
          <w:u w:val="single"/>
        </w:rPr>
        <w:t>若有，具体详见工程清单）暂估价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r>
        <w:rPr>
          <w:rFonts w:ascii="Times New Roman"/>
          <w:snapToGrid w:val="0"/>
          <w:color w:val="auto"/>
          <w:kern w:val="0"/>
          <w:highlight w:val="none"/>
        </w:rPr>
        <w:t>。</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8.5</w:t>
      </w:r>
      <w:r>
        <w:rPr>
          <w:rFonts w:ascii="Times New Roman"/>
          <w:snapToGrid w:val="0"/>
          <w:color w:val="auto"/>
          <w:kern w:val="0"/>
          <w:highlight w:val="none"/>
        </w:rPr>
        <w:t xml:space="preserve"> 当暂估价项目的内容、标准、要求在项目实施过程中得以深化、明确、固定后，按以下原则发包：</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（1）暂估价项目按工程、货物（指材料或工程设备，下同）的类别分类汇总的金额，达到必须招标规模标准的，由</w:t>
      </w:r>
      <w:r>
        <w:rPr>
          <w:rFonts w:ascii="Times New Roman"/>
          <w:snapToGrid w:val="0"/>
          <w:color w:val="auto"/>
          <w:kern w:val="0"/>
          <w:szCs w:val="22"/>
          <w:highlight w:val="none"/>
          <w:u w:val="single"/>
        </w:rPr>
        <w:t>中标人招标，招标人参与管理</w:t>
      </w:r>
      <w:r>
        <w:rPr>
          <w:rFonts w:ascii="Times New Roman"/>
          <w:snapToGrid w:val="0"/>
          <w:color w:val="auto"/>
          <w:kern w:val="0"/>
          <w:highlight w:val="none"/>
          <w:u w:val="single"/>
        </w:rPr>
        <w:t xml:space="preserve"> </w:t>
      </w:r>
      <w:r>
        <w:rPr>
          <w:rFonts w:ascii="Times New Roman"/>
          <w:snapToGrid w:val="0"/>
          <w:color w:val="auto"/>
          <w:kern w:val="0"/>
          <w:highlight w:val="none"/>
        </w:rPr>
        <w:t>，确定专业工程承包人（或材料、工程设备供应商）和合同价格。</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（2）暂估价项目按工程、货物的类别分类汇总的金额，未达到必须招标规模标准但适用政府采购规定的，按照政府采购规定确定专业工程承包人（或材料、工程设备供应商）和合同价格。</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（4）暂估价项目按工程、货物的类别分类汇总的金额，未达到必须招标规模标准也不适用政府采购规定，中标人既不具备相应资格条件又不具备分包权的，由招标人另行发包。</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（5）暂估价项目由其他承包人承包的，纳入中标人的管理和协调范围，由其他承包人向中标人承担质量、安全、文明施工、工期责任，中标人向招标人承担责任。</w:t>
      </w:r>
    </w:p>
    <w:p>
      <w:pPr>
        <w:wordWrap w:val="0"/>
        <w:adjustRightInd w:val="0"/>
        <w:snapToGrid w:val="0"/>
        <w:spacing w:line="440" w:lineRule="exact"/>
        <w:ind w:firstLine="482" w:firstLineChars="200"/>
        <w:rPr>
          <w:snapToGrid w:val="0"/>
          <w:color w:val="auto"/>
          <w:highlight w:val="none"/>
        </w:rPr>
      </w:pPr>
      <w:r>
        <w:rPr>
          <w:rFonts w:ascii="Times New Roman"/>
          <w:b/>
          <w:bCs/>
          <w:snapToGrid w:val="0"/>
          <w:color w:val="auto"/>
          <w:kern w:val="0"/>
          <w:highlight w:val="none"/>
        </w:rPr>
        <w:t>8.6</w:t>
      </w:r>
      <w:r>
        <w:rPr>
          <w:rFonts w:ascii="Times New Roman"/>
          <w:snapToGrid w:val="0"/>
          <w:color w:val="auto"/>
          <w:kern w:val="0"/>
          <w:highlight w:val="none"/>
        </w:rPr>
        <w:t xml:space="preserve"> 本招标项目以</w:t>
      </w:r>
      <w:r>
        <w:rPr>
          <w:snapToGrid w:val="0"/>
          <w:color w:val="auto"/>
          <w:highlight w:val="none"/>
        </w:rPr>
        <w:t>暂列金额</w:t>
      </w:r>
      <w:r>
        <w:rPr>
          <w:rFonts w:ascii="Times New Roman"/>
          <w:snapToGrid w:val="0"/>
          <w:color w:val="auto"/>
          <w:kern w:val="0"/>
          <w:highlight w:val="none"/>
        </w:rPr>
        <w:t>形式列入招标工程量清单中的</w:t>
      </w:r>
      <w:r>
        <w:rPr>
          <w:snapToGrid w:val="0"/>
          <w:color w:val="auto"/>
          <w:highlight w:val="none"/>
        </w:rPr>
        <w:t>所需货物和服务的采购</w:t>
      </w:r>
      <w:r>
        <w:rPr>
          <w:rFonts w:ascii="Times New Roman"/>
          <w:snapToGrid w:val="0"/>
          <w:color w:val="auto"/>
          <w:kern w:val="0"/>
          <w:highlight w:val="none"/>
        </w:rPr>
        <w:t>（以下统称“暂列金额项目”）若有</w:t>
      </w:r>
      <w:r>
        <w:rPr>
          <w:snapToGrid w:val="0"/>
          <w:color w:val="auto"/>
          <w:highlight w:val="none"/>
        </w:rPr>
        <w:t>发生，按照本节第</w:t>
      </w:r>
      <w:r>
        <w:rPr>
          <w:rFonts w:ascii="Times New Roman"/>
          <w:b/>
          <w:bCs/>
          <w:snapToGrid w:val="0"/>
          <w:color w:val="auto"/>
          <w:kern w:val="0"/>
          <w:highlight w:val="none"/>
        </w:rPr>
        <w:t>8.5</w:t>
      </w:r>
      <w:r>
        <w:rPr>
          <w:snapToGrid w:val="0"/>
          <w:color w:val="auto"/>
          <w:highlight w:val="none"/>
        </w:rPr>
        <w:t>条的规定确定货物（或服务）供应商和合同价格。暂列金额项目由其他承包人承包的，纳入中标人的管理和协调范围，由其他承包人向中标人承担质量、安全、文明施工、工期责任，中标人向招标人承担责任。</w:t>
      </w:r>
    </w:p>
    <w:p>
      <w:pPr>
        <w:wordWrap w:val="0"/>
        <w:adjustRightInd w:val="0"/>
        <w:snapToGrid w:val="0"/>
        <w:spacing w:line="440" w:lineRule="exact"/>
        <w:ind w:firstLine="480" w:firstLineChars="200"/>
        <w:rPr>
          <w:snapToGrid w:val="0"/>
          <w:color w:val="auto"/>
          <w:highlight w:val="none"/>
        </w:rPr>
      </w:pPr>
    </w:p>
    <w:p>
      <w:pPr>
        <w:pStyle w:val="5"/>
        <w:wordWrap w:val="0"/>
        <w:snapToGrid w:val="0"/>
        <w:spacing w:line="440" w:lineRule="exact"/>
        <w:ind w:firstLine="482" w:firstLineChars="200"/>
        <w:jc w:val="both"/>
        <w:rPr>
          <w:rFonts w:ascii="Times New Roman"/>
          <w:b/>
          <w:snapToGrid w:val="0"/>
          <w:color w:val="auto"/>
          <w:highlight w:val="none"/>
        </w:rPr>
      </w:pPr>
      <w:bookmarkStart w:id="34" w:name="_Toc30788"/>
      <w:r>
        <w:rPr>
          <w:rFonts w:ascii="Times New Roman"/>
          <w:b/>
          <w:snapToGrid w:val="0"/>
          <w:color w:val="auto"/>
          <w:highlight w:val="none"/>
        </w:rPr>
        <w:t>9．投标报价</w:t>
      </w:r>
      <w:bookmarkEnd w:id="34"/>
      <w:bookmarkStart w:id="35" w:name="_Hlt74498519"/>
      <w:bookmarkEnd w:id="35"/>
    </w:p>
    <w:p>
      <w:pPr>
        <w:wordWrap w:val="0"/>
        <w:adjustRightInd w:val="0"/>
        <w:snapToGrid w:val="0"/>
        <w:spacing w:line="40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9.1</w:t>
      </w:r>
      <w:r>
        <w:rPr>
          <w:rFonts w:ascii="Times New Roman"/>
          <w:snapToGrid w:val="0"/>
          <w:color w:val="auto"/>
          <w:kern w:val="0"/>
          <w:highlight w:val="none"/>
        </w:rPr>
        <w:t xml:space="preserve"> 投标人应按照以下依据编制投标报价：</w:t>
      </w:r>
    </w:p>
    <w:p>
      <w:pPr>
        <w:wordWrap w:val="0"/>
        <w:adjustRightInd w:val="0"/>
        <w:snapToGrid w:val="0"/>
        <w:spacing w:line="400" w:lineRule="exact"/>
        <w:ind w:firstLine="480" w:firstLineChars="200"/>
        <w:rPr>
          <w:rFonts w:ascii="Times New Roman"/>
          <w:snapToGrid w:val="0"/>
          <w:color w:val="auto"/>
          <w:kern w:val="0"/>
          <w:highlight w:val="none"/>
        </w:rPr>
      </w:pPr>
      <w:r>
        <w:rPr>
          <w:rFonts w:ascii="Times New Roman"/>
          <w:snapToGrid w:val="0"/>
          <w:color w:val="auto"/>
          <w:kern w:val="0"/>
          <w:highlight w:val="none"/>
        </w:rPr>
        <w:t>（1）《建设工程工程量清单计价规范》（GB50500—2013）；</w:t>
      </w:r>
    </w:p>
    <w:p>
      <w:pPr>
        <w:wordWrap w:val="0"/>
        <w:adjustRightInd w:val="0"/>
        <w:snapToGrid w:val="0"/>
        <w:spacing w:line="400" w:lineRule="exact"/>
        <w:ind w:firstLine="480" w:firstLineChars="200"/>
        <w:rPr>
          <w:rFonts w:ascii="Times New Roman"/>
          <w:snapToGrid w:val="0"/>
          <w:color w:val="auto"/>
          <w:kern w:val="0"/>
          <w:highlight w:val="none"/>
        </w:rPr>
      </w:pPr>
      <w:r>
        <w:rPr>
          <w:rFonts w:ascii="Times New Roman"/>
          <w:snapToGrid w:val="0"/>
          <w:color w:val="auto"/>
          <w:kern w:val="0"/>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pPr>
        <w:wordWrap w:val="0"/>
        <w:adjustRightInd w:val="0"/>
        <w:snapToGrid w:val="0"/>
        <w:spacing w:line="400" w:lineRule="exact"/>
        <w:ind w:firstLine="480" w:firstLineChars="200"/>
        <w:rPr>
          <w:rFonts w:ascii="Times New Roman"/>
          <w:snapToGrid w:val="0"/>
          <w:color w:val="auto"/>
          <w:kern w:val="0"/>
          <w:highlight w:val="none"/>
        </w:rPr>
      </w:pPr>
      <w:r>
        <w:rPr>
          <w:rFonts w:ascii="Times New Roman"/>
          <w:snapToGrid w:val="0"/>
          <w:color w:val="auto"/>
          <w:kern w:val="0"/>
          <w:highlight w:val="none"/>
        </w:rPr>
        <w:t>（3）企业定额；</w:t>
      </w:r>
    </w:p>
    <w:p>
      <w:pPr>
        <w:wordWrap w:val="0"/>
        <w:adjustRightInd w:val="0"/>
        <w:snapToGrid w:val="0"/>
        <w:spacing w:line="400" w:lineRule="exact"/>
        <w:ind w:firstLine="480" w:firstLineChars="200"/>
        <w:rPr>
          <w:rFonts w:ascii="Times New Roman"/>
          <w:snapToGrid w:val="0"/>
          <w:color w:val="auto"/>
          <w:kern w:val="0"/>
          <w:highlight w:val="none"/>
        </w:rPr>
      </w:pPr>
      <w:r>
        <w:rPr>
          <w:rFonts w:ascii="Times New Roman"/>
          <w:snapToGrid w:val="0"/>
          <w:color w:val="auto"/>
          <w:kern w:val="0"/>
          <w:highlight w:val="none"/>
        </w:rPr>
        <w:t>（4）招标文件及其答疑（或修改）公告、招标工程量清单；</w:t>
      </w:r>
    </w:p>
    <w:p>
      <w:pPr>
        <w:wordWrap w:val="0"/>
        <w:adjustRightInd w:val="0"/>
        <w:snapToGrid w:val="0"/>
        <w:spacing w:line="400" w:lineRule="exact"/>
        <w:ind w:firstLine="480" w:firstLineChars="200"/>
        <w:rPr>
          <w:rFonts w:ascii="Times New Roman"/>
          <w:snapToGrid w:val="0"/>
          <w:color w:val="auto"/>
          <w:kern w:val="0"/>
          <w:highlight w:val="none"/>
        </w:rPr>
      </w:pPr>
      <w:r>
        <w:rPr>
          <w:rFonts w:ascii="Times New Roman"/>
          <w:snapToGrid w:val="0"/>
          <w:color w:val="auto"/>
          <w:kern w:val="0"/>
          <w:highlight w:val="none"/>
        </w:rPr>
        <w:t>（5）施工图及相关资料；</w:t>
      </w:r>
    </w:p>
    <w:p>
      <w:pPr>
        <w:wordWrap w:val="0"/>
        <w:adjustRightInd w:val="0"/>
        <w:snapToGrid w:val="0"/>
        <w:spacing w:line="400" w:lineRule="exact"/>
        <w:ind w:firstLine="480" w:firstLineChars="200"/>
        <w:rPr>
          <w:rFonts w:ascii="Times New Roman"/>
          <w:snapToGrid w:val="0"/>
          <w:color w:val="auto"/>
          <w:kern w:val="0"/>
          <w:highlight w:val="none"/>
        </w:rPr>
      </w:pPr>
      <w:r>
        <w:rPr>
          <w:rFonts w:ascii="Times New Roman"/>
          <w:snapToGrid w:val="0"/>
          <w:color w:val="auto"/>
          <w:kern w:val="0"/>
          <w:highlight w:val="none"/>
        </w:rPr>
        <w:t>（6）施工现场情况、工程特点及投标时拟定的施工组织设计或施工方案；</w:t>
      </w:r>
    </w:p>
    <w:p>
      <w:pPr>
        <w:wordWrap w:val="0"/>
        <w:adjustRightInd w:val="0"/>
        <w:snapToGrid w:val="0"/>
        <w:spacing w:line="400" w:lineRule="exact"/>
        <w:ind w:firstLine="480" w:firstLineChars="200"/>
        <w:rPr>
          <w:rFonts w:ascii="Times New Roman"/>
          <w:snapToGrid w:val="0"/>
          <w:color w:val="auto"/>
          <w:kern w:val="0"/>
          <w:highlight w:val="none"/>
        </w:rPr>
      </w:pPr>
      <w:r>
        <w:rPr>
          <w:rFonts w:ascii="Times New Roman"/>
          <w:snapToGrid w:val="0"/>
          <w:color w:val="auto"/>
          <w:kern w:val="0"/>
          <w:highlight w:val="none"/>
        </w:rPr>
        <w:t>（7）市场价格信息或项目所在地工程造价管理机构发布的工程造价信息；</w:t>
      </w:r>
    </w:p>
    <w:p>
      <w:pPr>
        <w:wordWrap w:val="0"/>
        <w:adjustRightInd w:val="0"/>
        <w:snapToGrid w:val="0"/>
        <w:spacing w:line="400" w:lineRule="exact"/>
        <w:ind w:firstLine="480" w:firstLineChars="200"/>
        <w:rPr>
          <w:rFonts w:ascii="Times New Roman"/>
          <w:snapToGrid w:val="0"/>
          <w:color w:val="auto"/>
          <w:kern w:val="0"/>
          <w:highlight w:val="none"/>
        </w:rPr>
      </w:pPr>
      <w:r>
        <w:rPr>
          <w:rFonts w:ascii="Times New Roman"/>
          <w:snapToGrid w:val="0"/>
          <w:color w:val="auto"/>
          <w:kern w:val="0"/>
          <w:highlight w:val="none"/>
        </w:rPr>
        <w:t>（8）与建设项目相关的标准、规范、技术资料。</w:t>
      </w:r>
    </w:p>
    <w:p>
      <w:pPr>
        <w:wordWrap w:val="0"/>
        <w:adjustRightInd w:val="0"/>
        <w:snapToGrid w:val="0"/>
        <w:spacing w:line="400" w:lineRule="exact"/>
        <w:ind w:firstLine="560"/>
        <w:rPr>
          <w:rFonts w:ascii="Times New Roman"/>
          <w:snapToGrid w:val="0"/>
          <w:color w:val="auto"/>
          <w:kern w:val="0"/>
          <w:highlight w:val="none"/>
        </w:rPr>
      </w:pPr>
      <w:r>
        <w:rPr>
          <w:rFonts w:ascii="Times New Roman"/>
          <w:b/>
          <w:bCs/>
          <w:snapToGrid w:val="0"/>
          <w:color w:val="auto"/>
          <w:kern w:val="0"/>
          <w:highlight w:val="none"/>
        </w:rPr>
        <w:t>9.2</w:t>
      </w:r>
      <w:r>
        <w:rPr>
          <w:rFonts w:ascii="Times New Roman"/>
          <w:snapToGrid w:val="0"/>
          <w:color w:val="auto"/>
          <w:kern w:val="0"/>
          <w:highlight w:val="none"/>
        </w:rPr>
        <w:t xml:space="preserve"> 投标人应根据招标工程量清单、工程量清单计价规范中的工作内容、设计文件和有关要求、施工现场实际情况、投标人拟定的施工组织设计、本单位的企业定额和市场价格进行编制，自行报价，并承担一定范围内的风险费用。</w:t>
      </w:r>
      <w:bookmarkStart w:id="36" w:name="_Hlt66594003"/>
      <w:bookmarkEnd w:id="36"/>
      <w:r>
        <w:rPr>
          <w:rFonts w:ascii="Times New Roman"/>
          <w:snapToGrid w:val="0"/>
          <w:color w:val="auto"/>
          <w:kern w:val="0"/>
          <w:highlight w:val="none"/>
        </w:rPr>
        <w:t>所谓“一定范围内的风险”是指合同约定的风险。</w:t>
      </w:r>
    </w:p>
    <w:p>
      <w:pPr>
        <w:wordWrap w:val="0"/>
        <w:adjustRightInd w:val="0"/>
        <w:snapToGrid w:val="0"/>
        <w:spacing w:line="400" w:lineRule="exact"/>
        <w:ind w:firstLine="560"/>
        <w:rPr>
          <w:rFonts w:ascii="Times New Roman"/>
          <w:snapToGrid w:val="0"/>
          <w:color w:val="auto"/>
          <w:kern w:val="0"/>
          <w:highlight w:val="none"/>
        </w:rPr>
      </w:pPr>
      <w:bookmarkStart w:id="37" w:name="_Hlt69335755"/>
      <w:bookmarkEnd w:id="37"/>
      <w:r>
        <w:rPr>
          <w:rFonts w:ascii="Times New Roman"/>
          <w:b/>
          <w:bCs/>
          <w:snapToGrid w:val="0"/>
          <w:color w:val="auto"/>
          <w:kern w:val="0"/>
          <w:highlight w:val="none"/>
        </w:rPr>
        <w:t>9.3</w:t>
      </w:r>
      <w:r>
        <w:rPr>
          <w:rFonts w:ascii="Times New Roman"/>
          <w:snapToGrid w:val="0"/>
          <w:color w:val="auto"/>
          <w:kern w:val="0"/>
          <w:highlight w:val="none"/>
        </w:rPr>
        <w:t xml:space="preserve"> 招标人及招标代理机构不集中组织现场踏勘，投标人需要了解现场情况的，可自行进行现场踏勘。各投标人应勘察施工现场及周围环境、地形、地貌、水文、交通等情况，以获得一切可能影响到投标的直</w:t>
      </w:r>
      <w:bookmarkStart w:id="38" w:name="_Hlt66509056"/>
      <w:bookmarkEnd w:id="38"/>
      <w:r>
        <w:rPr>
          <w:rFonts w:ascii="Times New Roman"/>
          <w:snapToGrid w:val="0"/>
          <w:color w:val="auto"/>
          <w:kern w:val="0"/>
          <w:highlight w:val="none"/>
        </w:rPr>
        <w:t>接资料。投标人应针对现场情况编制施工组织设计，并在编制投标报价时考虑现场情况的影响。</w:t>
      </w:r>
    </w:p>
    <w:p>
      <w:pPr>
        <w:wordWrap w:val="0"/>
        <w:adjustRightInd w:val="0"/>
        <w:snapToGrid w:val="0"/>
        <w:spacing w:line="400" w:lineRule="exact"/>
        <w:ind w:firstLine="560"/>
        <w:rPr>
          <w:rFonts w:ascii="Times New Roman"/>
          <w:snapToGrid w:val="0"/>
          <w:color w:val="auto"/>
          <w:kern w:val="0"/>
          <w:highlight w:val="none"/>
        </w:rPr>
      </w:pPr>
      <w:r>
        <w:rPr>
          <w:rFonts w:ascii="Times New Roman"/>
          <w:b/>
          <w:bCs/>
          <w:snapToGrid w:val="0"/>
          <w:color w:val="auto"/>
          <w:kern w:val="0"/>
          <w:highlight w:val="none"/>
        </w:rPr>
        <w:t>9.4</w:t>
      </w:r>
      <w:r>
        <w:rPr>
          <w:rFonts w:ascii="Times New Roman"/>
          <w:snapToGrid w:val="0"/>
          <w:color w:val="auto"/>
          <w:kern w:val="0"/>
          <w:highlight w:val="none"/>
        </w:rPr>
        <w:t xml:space="preserve"> 招标人向投标人提供的有关现场的数据和资料，是招标人现有的能被投标人利用的资料，招标人对投标人做出的任何推论、理解和结论均不负责任。</w:t>
      </w:r>
    </w:p>
    <w:p>
      <w:pPr>
        <w:wordWrap w:val="0"/>
        <w:adjustRightInd w:val="0"/>
        <w:snapToGrid w:val="0"/>
        <w:spacing w:line="400" w:lineRule="exact"/>
        <w:ind w:firstLine="560"/>
        <w:rPr>
          <w:rFonts w:ascii="Times New Roman"/>
          <w:snapToGrid w:val="0"/>
          <w:color w:val="auto"/>
          <w:kern w:val="0"/>
          <w:highlight w:val="none"/>
        </w:rPr>
      </w:pPr>
      <w:r>
        <w:rPr>
          <w:rFonts w:ascii="Times New Roman"/>
          <w:b/>
          <w:bCs/>
          <w:snapToGrid w:val="0"/>
          <w:color w:val="auto"/>
          <w:kern w:val="0"/>
          <w:highlight w:val="none"/>
        </w:rPr>
        <w:t>9.5</w:t>
      </w:r>
      <w:r>
        <w:rPr>
          <w:rFonts w:ascii="Times New Roman"/>
          <w:snapToGrid w:val="0"/>
          <w:color w:val="auto"/>
          <w:kern w:val="0"/>
          <w:highlight w:val="none"/>
        </w:rPr>
        <w:t xml:space="preserve"> 投标人必须按照招标工程量清单及表格填报价格。项目编码、项目名称、项目特征、计量单位、工程量必须与招标工程量清单一致。所有报价均以人民币“元”为单位，并保留小数点后两位。</w:t>
      </w:r>
    </w:p>
    <w:p>
      <w:pPr>
        <w:wordWrap w:val="0"/>
        <w:adjustRightInd w:val="0"/>
        <w:snapToGrid w:val="0"/>
        <w:spacing w:line="400" w:lineRule="exact"/>
        <w:ind w:firstLine="560"/>
        <w:rPr>
          <w:rFonts w:ascii="Times New Roman"/>
          <w:snapToGrid w:val="0"/>
          <w:color w:val="auto"/>
          <w:kern w:val="0"/>
          <w:highlight w:val="none"/>
        </w:rPr>
      </w:pPr>
      <w:r>
        <w:rPr>
          <w:rFonts w:ascii="Times New Roman"/>
          <w:b/>
          <w:bCs/>
          <w:snapToGrid w:val="0"/>
          <w:color w:val="auto"/>
          <w:kern w:val="0"/>
          <w:highlight w:val="none"/>
        </w:rPr>
        <w:t>9.6</w:t>
      </w:r>
      <w:r>
        <w:rPr>
          <w:rFonts w:ascii="Times New Roman"/>
          <w:snapToGrid w:val="0"/>
          <w:color w:val="auto"/>
          <w:kern w:val="0"/>
          <w:highlight w:val="none"/>
        </w:rPr>
        <w:t xml:space="preserve"> 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pPr>
        <w:wordWrap w:val="0"/>
        <w:adjustRightInd w:val="0"/>
        <w:snapToGrid w:val="0"/>
        <w:spacing w:line="400" w:lineRule="exact"/>
        <w:ind w:firstLine="560"/>
        <w:rPr>
          <w:rFonts w:ascii="Times New Roman"/>
          <w:strike/>
          <w:snapToGrid w:val="0"/>
          <w:color w:val="auto"/>
          <w:kern w:val="0"/>
          <w:highlight w:val="none"/>
        </w:rPr>
      </w:pPr>
      <w:r>
        <w:rPr>
          <w:rFonts w:ascii="Times New Roman"/>
          <w:b/>
          <w:bCs/>
          <w:snapToGrid w:val="0"/>
          <w:color w:val="auto"/>
          <w:kern w:val="0"/>
          <w:highlight w:val="none"/>
        </w:rPr>
        <w:t>9.7</w:t>
      </w:r>
      <w:r>
        <w:rPr>
          <w:rFonts w:ascii="Times New Roman"/>
          <w:snapToGrid w:val="0"/>
          <w:color w:val="auto"/>
          <w:kern w:val="0"/>
          <w:highlight w:val="none"/>
        </w:rPr>
        <w:t xml:space="preserve"> 投标人的投标总价不得高于招标控制价，也不得低于工程成本。投标人对投标总价的所有优惠（降价、让利等），均应当反映在具体清单项目或其综合单价的报价上。</w:t>
      </w:r>
      <w:r>
        <w:rPr>
          <w:rFonts w:ascii="Times New Roman"/>
          <w:b/>
          <w:snapToGrid w:val="0"/>
          <w:color w:val="auto"/>
          <w:kern w:val="0"/>
          <w:highlight w:val="none"/>
        </w:rPr>
        <w:t>如果投标人的投标总价下浮率（投标总价下浮率＝100%－投标总价÷招标控制价×100%）高于15%时，投标人必须在投标文件中专项作出详细合理的书面说明并提供以往类似工程详细成本分析报告供评标委员会审查。</w:t>
      </w:r>
    </w:p>
    <w:p>
      <w:pPr>
        <w:wordWrap w:val="0"/>
        <w:adjustRightInd w:val="0"/>
        <w:snapToGrid w:val="0"/>
        <w:spacing w:line="40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9.8</w:t>
      </w:r>
      <w:r>
        <w:rPr>
          <w:rFonts w:ascii="Times New Roman"/>
          <w:snapToGrid w:val="0"/>
          <w:color w:val="auto"/>
          <w:kern w:val="0"/>
          <w:highlight w:val="none"/>
        </w:rPr>
        <w:t xml:space="preserve"> 投标人的绿色施工安全防护措施费报价必须达到或超过</w:t>
      </w:r>
      <w:r>
        <w:rPr>
          <w:color w:val="auto"/>
          <w:highlight w:val="none"/>
        </w:rPr>
        <w:t>本节第8.2条中</w:t>
      </w:r>
      <w:r>
        <w:rPr>
          <w:rFonts w:ascii="Times New Roman"/>
          <w:snapToGrid w:val="0"/>
          <w:color w:val="auto"/>
          <w:kern w:val="0"/>
          <w:highlight w:val="none"/>
        </w:rPr>
        <w:t>提供的绿色施工安全防护措施费。</w:t>
      </w:r>
    </w:p>
    <w:p>
      <w:pPr>
        <w:wordWrap w:val="0"/>
        <w:adjustRightInd w:val="0"/>
        <w:snapToGrid w:val="0"/>
        <w:spacing w:line="40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9.9</w:t>
      </w:r>
      <w:r>
        <w:rPr>
          <w:rFonts w:ascii="Times New Roman"/>
          <w:snapToGrid w:val="0"/>
          <w:color w:val="auto"/>
          <w:kern w:val="0"/>
          <w:highlight w:val="none"/>
        </w:rPr>
        <w:t xml:space="preserve"> 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pPr>
        <w:wordWrap w:val="0"/>
        <w:adjustRightInd w:val="0"/>
        <w:snapToGrid w:val="0"/>
        <w:spacing w:line="400" w:lineRule="exact"/>
        <w:ind w:firstLine="480" w:firstLineChars="200"/>
        <w:rPr>
          <w:rFonts w:hAnsi="宋体" w:cs="宋体"/>
          <w:color w:val="auto"/>
          <w:highlight w:val="none"/>
        </w:rPr>
      </w:pPr>
    </w:p>
    <w:p>
      <w:pPr>
        <w:pStyle w:val="5"/>
        <w:wordWrap w:val="0"/>
        <w:snapToGrid w:val="0"/>
        <w:spacing w:line="440" w:lineRule="exact"/>
        <w:ind w:firstLine="480"/>
        <w:jc w:val="both"/>
        <w:rPr>
          <w:rFonts w:ascii="Times New Roman"/>
          <w:b/>
          <w:strike/>
          <w:snapToGrid w:val="0"/>
          <w:color w:val="auto"/>
          <w:highlight w:val="none"/>
        </w:rPr>
      </w:pPr>
      <w:bookmarkStart w:id="39" w:name="_Toc22564"/>
      <w:r>
        <w:rPr>
          <w:rFonts w:ascii="Times New Roman"/>
          <w:b/>
          <w:snapToGrid w:val="0"/>
          <w:color w:val="auto"/>
          <w:highlight w:val="none"/>
        </w:rPr>
        <w:t>10．投标文件的编制</w:t>
      </w:r>
      <w:bookmarkStart w:id="40" w:name="_Hlt69208262"/>
      <w:bookmarkEnd w:id="40"/>
      <w:bookmarkStart w:id="41" w:name="_Hlt69332370"/>
      <w:bookmarkEnd w:id="41"/>
      <w:r>
        <w:rPr>
          <w:rFonts w:ascii="Times New Roman"/>
          <w:b/>
          <w:snapToGrid w:val="0"/>
          <w:color w:val="auto"/>
          <w:highlight w:val="none"/>
        </w:rPr>
        <w:t>要求</w:t>
      </w:r>
      <w:bookmarkEnd w:id="39"/>
      <w:bookmarkStart w:id="42" w:name="_Hlt74497202"/>
      <w:bookmarkEnd w:id="42"/>
      <w:bookmarkStart w:id="43" w:name="_Hlt74495594"/>
      <w:bookmarkEnd w:id="43"/>
      <w:bookmarkStart w:id="44" w:name="_Hlt78768224"/>
      <w:bookmarkEnd w:id="44"/>
    </w:p>
    <w:p>
      <w:pPr>
        <w:pStyle w:val="2"/>
        <w:keepNext w:val="0"/>
        <w:keepLines w:val="0"/>
        <w:wordWrap w:val="0"/>
        <w:adjustRightInd w:val="0"/>
        <w:snapToGrid w:val="0"/>
        <w:spacing w:before="0" w:after="0" w:line="394" w:lineRule="exact"/>
        <w:ind w:firstLine="482" w:firstLineChars="200"/>
        <w:rPr>
          <w:rFonts w:ascii="Times New Roman"/>
          <w:b/>
          <w:snapToGrid w:val="0"/>
          <w:color w:val="auto"/>
          <w:highlight w:val="none"/>
        </w:rPr>
      </w:pPr>
      <w:bookmarkStart w:id="45" w:name="_Toc2996"/>
      <w:r>
        <w:rPr>
          <w:rFonts w:ascii="Times New Roman"/>
          <w:b/>
          <w:bCs/>
          <w:snapToGrid w:val="0"/>
          <w:color w:val="auto"/>
          <w:highlight w:val="none"/>
        </w:rPr>
        <w:t>10.1</w:t>
      </w:r>
      <w:r>
        <w:rPr>
          <w:rFonts w:ascii="Times New Roman"/>
          <w:bCs/>
          <w:snapToGrid w:val="0"/>
          <w:color w:val="auto"/>
          <w:highlight w:val="none"/>
        </w:rPr>
        <w:t xml:space="preserve"> 一般要求</w:t>
      </w:r>
      <w:bookmarkEnd w:id="45"/>
    </w:p>
    <w:p>
      <w:pPr>
        <w:pStyle w:val="10"/>
        <w:wordWrap w:val="0"/>
        <w:adjustRightInd w:val="0"/>
        <w:snapToGrid w:val="0"/>
        <w:spacing w:line="394"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投标人除在建设工程交易系统进行电子投标外，还须编制纸质投标文件（以下简称“投标文件”）供评标委员会评审。</w:t>
      </w:r>
    </w:p>
    <w:p>
      <w:pPr>
        <w:pStyle w:val="10"/>
        <w:wordWrap w:val="0"/>
        <w:adjustRightInd w:val="0"/>
        <w:snapToGrid w:val="0"/>
        <w:spacing w:line="394" w:lineRule="exact"/>
        <w:ind w:firstLineChars="0"/>
        <w:rPr>
          <w:rFonts w:hint="eastAsia" w:ascii="Times New Roman"/>
          <w:snapToGrid w:val="0"/>
          <w:color w:val="auto"/>
          <w:kern w:val="0"/>
          <w:highlight w:val="none"/>
        </w:rPr>
      </w:pPr>
      <w:r>
        <w:rPr>
          <w:rFonts w:hint="eastAsia" w:ascii="Times New Roman"/>
          <w:b/>
          <w:bCs/>
          <w:snapToGrid w:val="0"/>
          <w:color w:val="auto"/>
          <w:kern w:val="0"/>
          <w:highlight w:val="none"/>
        </w:rPr>
        <w:t>10.1.1</w:t>
      </w:r>
      <w:r>
        <w:rPr>
          <w:rFonts w:hint="eastAsia" w:ascii="Times New Roman"/>
          <w:snapToGrid w:val="0"/>
          <w:color w:val="auto"/>
          <w:kern w:val="0"/>
          <w:highlight w:val="none"/>
        </w:rPr>
        <w:t xml:space="preserve"> 投标人必须响应招标文件，并在充分理解招标人提供的全部文件、设计图纸、资料及现场条件的基础</w:t>
      </w:r>
      <w:bookmarkStart w:id="46" w:name="_Hlt78709790"/>
      <w:bookmarkEnd w:id="46"/>
      <w:r>
        <w:rPr>
          <w:rFonts w:hint="eastAsia" w:ascii="Times New Roman"/>
          <w:snapToGrid w:val="0"/>
          <w:color w:val="auto"/>
          <w:kern w:val="0"/>
          <w:highlight w:val="none"/>
        </w:rPr>
        <w:t>上编制投标文件。因投标文件不符合招标文件的要求而造成的损失和后果，由投标人自行承担。</w:t>
      </w:r>
      <w:bookmarkStart w:id="47" w:name="_Hlt74496890"/>
      <w:bookmarkEnd w:id="47"/>
    </w:p>
    <w:p>
      <w:pPr>
        <w:pStyle w:val="10"/>
        <w:wordWrap w:val="0"/>
        <w:adjustRightInd w:val="0"/>
        <w:snapToGrid w:val="0"/>
        <w:spacing w:line="394" w:lineRule="exact"/>
        <w:ind w:firstLineChars="0"/>
        <w:rPr>
          <w:rFonts w:hint="eastAsia" w:ascii="Times New Roman"/>
          <w:snapToGrid w:val="0"/>
          <w:color w:val="auto"/>
          <w:kern w:val="0"/>
          <w:highlight w:val="none"/>
        </w:rPr>
      </w:pPr>
      <w:r>
        <w:rPr>
          <w:rFonts w:hint="eastAsia" w:ascii="Times New Roman"/>
          <w:b/>
          <w:bCs/>
          <w:snapToGrid w:val="0"/>
          <w:color w:val="auto"/>
          <w:kern w:val="0"/>
          <w:highlight w:val="none"/>
        </w:rPr>
        <w:t>10.1.2</w:t>
      </w:r>
      <w:r>
        <w:rPr>
          <w:rFonts w:hint="eastAsia" w:ascii="Times New Roman"/>
          <w:snapToGrid w:val="0"/>
          <w:color w:val="auto"/>
          <w:kern w:val="0"/>
          <w:highlight w:val="none"/>
        </w:rPr>
        <w:t xml:space="preserve"> 投标文件包括商务标书、经济标书、施工组织设计三个分册。各分册均为一份正本、</w:t>
      </w:r>
      <w:r>
        <w:rPr>
          <w:rFonts w:hint="eastAsia" w:ascii="Times New Roman"/>
          <w:snapToGrid w:val="0"/>
          <w:color w:val="auto"/>
          <w:kern w:val="0"/>
          <w:highlight w:val="none"/>
          <w:u w:val="single"/>
        </w:rPr>
        <w:t>伍</w:t>
      </w:r>
      <w:r>
        <w:rPr>
          <w:rFonts w:hint="eastAsia" w:ascii="Times New Roman"/>
          <w:snapToGrid w:val="0"/>
          <w:color w:val="auto"/>
          <w:kern w:val="0"/>
          <w:highlight w:val="none"/>
        </w:rPr>
        <w:t>份副本，正本和副本的封面右上角处应清楚地标记“正本”或“副本”的字样。当副本和正本不一致时，以正本为准。</w:t>
      </w:r>
    </w:p>
    <w:p>
      <w:pPr>
        <w:pStyle w:val="10"/>
        <w:wordWrap w:val="0"/>
        <w:adjustRightInd w:val="0"/>
        <w:snapToGrid w:val="0"/>
        <w:spacing w:line="394" w:lineRule="exact"/>
        <w:ind w:firstLineChars="0"/>
        <w:rPr>
          <w:rFonts w:hint="eastAsia" w:ascii="Times New Roman"/>
          <w:snapToGrid w:val="0"/>
          <w:color w:val="auto"/>
          <w:kern w:val="0"/>
          <w:highlight w:val="none"/>
        </w:rPr>
      </w:pPr>
      <w:r>
        <w:rPr>
          <w:rFonts w:hint="eastAsia" w:ascii="Times New Roman"/>
          <w:b/>
          <w:bCs/>
          <w:snapToGrid w:val="0"/>
          <w:color w:val="auto"/>
          <w:kern w:val="0"/>
          <w:highlight w:val="none"/>
        </w:rPr>
        <w:t>10.1.3</w:t>
      </w:r>
      <w:r>
        <w:rPr>
          <w:rFonts w:hint="eastAsia" w:ascii="Times New Roman"/>
          <w:snapToGrid w:val="0"/>
          <w:color w:val="auto"/>
          <w:kern w:val="0"/>
          <w:highlight w:val="none"/>
        </w:rPr>
        <w:t xml:space="preserve"> 投标文件需按以下要求签字、盖章：</w:t>
      </w:r>
    </w:p>
    <w:p>
      <w:pPr>
        <w:pStyle w:val="10"/>
        <w:wordWrap w:val="0"/>
        <w:adjustRightInd w:val="0"/>
        <w:snapToGrid w:val="0"/>
        <w:spacing w:line="394" w:lineRule="exact"/>
        <w:ind w:firstLineChars="0"/>
        <w:rPr>
          <w:rFonts w:hint="eastAsia" w:ascii="Times New Roman"/>
          <w:snapToGrid w:val="0"/>
          <w:color w:val="auto"/>
          <w:kern w:val="0"/>
          <w:highlight w:val="none"/>
        </w:rPr>
      </w:pPr>
      <w:r>
        <w:rPr>
          <w:rFonts w:hint="eastAsia" w:ascii="Times New Roman"/>
          <w:b/>
          <w:bCs/>
          <w:snapToGrid w:val="0"/>
          <w:color w:val="auto"/>
          <w:kern w:val="0"/>
          <w:highlight w:val="none"/>
        </w:rPr>
        <w:t>10.1.3.1</w:t>
      </w:r>
      <w:r>
        <w:rPr>
          <w:rFonts w:hint="eastAsia" w:ascii="Times New Roman"/>
          <w:snapToGrid w:val="0"/>
          <w:color w:val="auto"/>
          <w:kern w:val="0"/>
          <w:highlight w:val="none"/>
        </w:rPr>
        <w:t xml:space="preserve"> 投标文件封面、组成内容中凡注明“签字”处由要求的人员签字；凡注明“签字或盖章”处由要求的人员签字或盖其私章；凡注明“签字并盖执业印章”处由要求的人员签字并盖其执业印章。</w:t>
      </w:r>
    </w:p>
    <w:p>
      <w:pPr>
        <w:pStyle w:val="10"/>
        <w:wordWrap w:val="0"/>
        <w:adjustRightInd w:val="0"/>
        <w:snapToGrid w:val="0"/>
        <w:spacing w:line="394" w:lineRule="exact"/>
        <w:ind w:firstLineChars="0"/>
        <w:rPr>
          <w:rFonts w:hint="eastAsia" w:ascii="Times New Roman"/>
          <w:snapToGrid w:val="0"/>
          <w:color w:val="auto"/>
          <w:kern w:val="0"/>
          <w:highlight w:val="none"/>
        </w:rPr>
      </w:pPr>
      <w:r>
        <w:rPr>
          <w:rFonts w:hint="eastAsia" w:ascii="Times New Roman"/>
          <w:b/>
          <w:bCs/>
          <w:snapToGrid w:val="0"/>
          <w:color w:val="auto"/>
          <w:kern w:val="0"/>
          <w:highlight w:val="none"/>
        </w:rPr>
        <w:t>10.1.3.2</w:t>
      </w:r>
      <w:r>
        <w:rPr>
          <w:rFonts w:hint="eastAsia" w:ascii="Times New Roman"/>
          <w:snapToGrid w:val="0"/>
          <w:color w:val="auto"/>
          <w:kern w:val="0"/>
          <w:highlight w:val="none"/>
        </w:rPr>
        <w:t xml:space="preserve"> 投标文件封套、封面、组成内容中凡要求录入投标人名称且注明“盖单位章”处盖单位法人公章。</w:t>
      </w:r>
    </w:p>
    <w:p>
      <w:pPr>
        <w:pStyle w:val="10"/>
        <w:wordWrap w:val="0"/>
        <w:adjustRightInd w:val="0"/>
        <w:snapToGrid w:val="0"/>
        <w:spacing w:line="394" w:lineRule="exact"/>
        <w:ind w:firstLineChars="0"/>
        <w:rPr>
          <w:rFonts w:hint="eastAsia" w:ascii="Times New Roman"/>
          <w:snapToGrid w:val="0"/>
          <w:color w:val="auto"/>
          <w:kern w:val="0"/>
          <w:highlight w:val="none"/>
        </w:rPr>
      </w:pPr>
      <w:r>
        <w:rPr>
          <w:rFonts w:hint="eastAsia" w:ascii="Times New Roman"/>
          <w:b/>
          <w:bCs/>
          <w:snapToGrid w:val="0"/>
          <w:color w:val="auto"/>
          <w:kern w:val="0"/>
          <w:highlight w:val="none"/>
        </w:rPr>
        <w:t>10.1.3.3</w:t>
      </w:r>
      <w:r>
        <w:rPr>
          <w:rFonts w:hint="eastAsia" w:ascii="Times New Roman"/>
          <w:snapToGrid w:val="0"/>
          <w:color w:val="auto"/>
          <w:kern w:val="0"/>
          <w:highlight w:val="none"/>
        </w:rPr>
        <w:t xml:space="preserve"> 投标文件正本的签字均为签字人本人亲笔署名，所盖印章均为鲜章。副本封面的签字为签字人本人亲笔署名，封面所盖印章为鲜章，其余部分可为正本的复印件，无须另行签字、盖章。</w:t>
      </w:r>
    </w:p>
    <w:p>
      <w:pPr>
        <w:wordWrap w:val="0"/>
        <w:adjustRightInd w:val="0"/>
        <w:snapToGrid w:val="0"/>
        <w:spacing w:line="394" w:lineRule="exact"/>
        <w:ind w:firstLine="560"/>
        <w:rPr>
          <w:rFonts w:ascii="Times New Roman"/>
          <w:snapToGrid w:val="0"/>
          <w:color w:val="auto"/>
          <w:kern w:val="0"/>
          <w:highlight w:val="none"/>
        </w:rPr>
      </w:pPr>
      <w:r>
        <w:rPr>
          <w:rFonts w:ascii="Times New Roman"/>
          <w:b/>
          <w:bCs/>
          <w:snapToGrid w:val="0"/>
          <w:color w:val="auto"/>
          <w:kern w:val="0"/>
          <w:highlight w:val="none"/>
        </w:rPr>
        <w:t>10.1.3.4</w:t>
      </w:r>
      <w:r>
        <w:rPr>
          <w:rFonts w:ascii="Times New Roman"/>
          <w:snapToGrid w:val="0"/>
          <w:color w:val="auto"/>
          <w:kern w:val="0"/>
          <w:highlight w:val="none"/>
        </w:rPr>
        <w:t xml:space="preserve"> 联合体投标的，除</w:t>
      </w:r>
      <w:r>
        <w:rPr>
          <w:rFonts w:ascii="Times New Roman"/>
          <w:snapToGrid w:val="0"/>
          <w:color w:val="auto"/>
          <w:kern w:val="0"/>
          <w:szCs w:val="18"/>
          <w:highlight w:val="none"/>
        </w:rPr>
        <w:t>《联合体协议书》外</w:t>
      </w:r>
      <w:r>
        <w:rPr>
          <w:rFonts w:ascii="Times New Roman"/>
          <w:snapToGrid w:val="0"/>
          <w:color w:val="auto"/>
          <w:kern w:val="0"/>
          <w:highlight w:val="none"/>
        </w:rPr>
        <w:t>，由联合体牵头人按以上要求签字、盖章即可。</w:t>
      </w:r>
    </w:p>
    <w:p>
      <w:pPr>
        <w:wordWrap w:val="0"/>
        <w:adjustRightInd w:val="0"/>
        <w:snapToGrid w:val="0"/>
        <w:spacing w:line="394" w:lineRule="exact"/>
        <w:ind w:firstLine="560"/>
        <w:rPr>
          <w:rFonts w:ascii="Times New Roman"/>
          <w:snapToGrid w:val="0"/>
          <w:color w:val="auto"/>
          <w:kern w:val="0"/>
          <w:highlight w:val="none"/>
        </w:rPr>
      </w:pPr>
      <w:r>
        <w:rPr>
          <w:rFonts w:ascii="Times New Roman"/>
          <w:b/>
          <w:bCs/>
          <w:snapToGrid w:val="0"/>
          <w:color w:val="auto"/>
          <w:kern w:val="0"/>
          <w:highlight w:val="none"/>
        </w:rPr>
        <w:t>10.1.4</w:t>
      </w:r>
      <w:r>
        <w:rPr>
          <w:rFonts w:ascii="Times New Roman"/>
          <w:snapToGrid w:val="0"/>
          <w:color w:val="auto"/>
          <w:kern w:val="0"/>
          <w:highlight w:val="none"/>
        </w:rPr>
        <w:t xml:space="preserve"> 除特别注明外，投标文件目录和正文统一采用白色标准A4纸打印。</w:t>
      </w:r>
    </w:p>
    <w:p>
      <w:pPr>
        <w:wordWrap w:val="0"/>
        <w:adjustRightInd w:val="0"/>
        <w:snapToGrid w:val="0"/>
        <w:spacing w:line="394" w:lineRule="exact"/>
        <w:ind w:firstLine="560"/>
        <w:rPr>
          <w:rFonts w:ascii="Times New Roman"/>
          <w:snapToGrid w:val="0"/>
          <w:color w:val="auto"/>
          <w:kern w:val="0"/>
          <w:highlight w:val="none"/>
        </w:rPr>
      </w:pPr>
      <w:r>
        <w:rPr>
          <w:rFonts w:ascii="Times New Roman"/>
          <w:b/>
          <w:bCs/>
          <w:snapToGrid w:val="0"/>
          <w:color w:val="auto"/>
          <w:kern w:val="0"/>
          <w:highlight w:val="none"/>
        </w:rPr>
        <w:t>10.1.5</w:t>
      </w:r>
      <w:r>
        <w:rPr>
          <w:rFonts w:ascii="Times New Roman"/>
          <w:snapToGrid w:val="0"/>
          <w:color w:val="auto"/>
          <w:kern w:val="0"/>
          <w:highlight w:val="none"/>
        </w:rPr>
        <w:t xml:space="preserve"> 投标文件统一在页面左侧胶装，不得采用活页方式装订。</w:t>
      </w:r>
    </w:p>
    <w:p>
      <w:pPr>
        <w:ind w:firstLine="560"/>
        <w:rPr>
          <w:rFonts w:hint="eastAsia" w:ascii="Times New Roman" w:eastAsia="宋体"/>
          <w:snapToGrid w:val="0"/>
          <w:color w:val="auto"/>
          <w:kern w:val="0"/>
          <w:highlight w:val="none"/>
          <w:lang w:eastAsia="zh-CN"/>
        </w:rPr>
      </w:pPr>
      <w:r>
        <w:rPr>
          <w:rFonts w:ascii="Times New Roman"/>
          <w:b/>
          <w:bCs/>
          <w:snapToGrid w:val="0"/>
          <w:color w:val="auto"/>
          <w:kern w:val="0"/>
          <w:highlight w:val="none"/>
        </w:rPr>
        <w:t>10.1.6</w:t>
      </w:r>
      <w:r>
        <w:rPr>
          <w:rFonts w:ascii="Times New Roman"/>
          <w:snapToGrid w:val="0"/>
          <w:color w:val="auto"/>
          <w:kern w:val="0"/>
          <w:highlight w:val="none"/>
        </w:rPr>
        <w:t xml:space="preserve"> 投标文件各分册均须制作和提供电子文件。投标人应按照各分册电子文件制作要求，将各分册正本的内容制作成电子文件，其内容应与纸质文件保持一致。电子文件仅用于信息公开和资料存档，不作为评审内容。</w:t>
      </w:r>
      <w:bookmarkStart w:id="48" w:name="_Toc274313880"/>
      <w:bookmarkStart w:id="49" w:name="_Toc16869"/>
      <w:bookmarkStart w:id="50" w:name="_Toc257031159"/>
    </w:p>
    <w:p>
      <w:pPr>
        <w:ind w:firstLine="560"/>
        <w:rPr>
          <w:rFonts w:ascii="Times New Roman"/>
          <w:b/>
          <w:snapToGrid w:val="0"/>
          <w:color w:val="auto"/>
          <w:highlight w:val="none"/>
        </w:rPr>
      </w:pPr>
      <w:r>
        <w:rPr>
          <w:rFonts w:ascii="Times New Roman"/>
          <w:b/>
          <w:bCs/>
          <w:snapToGrid w:val="0"/>
          <w:color w:val="auto"/>
          <w:highlight w:val="none"/>
        </w:rPr>
        <w:t>10.2</w:t>
      </w:r>
      <w:r>
        <w:rPr>
          <w:rFonts w:ascii="Times New Roman"/>
          <w:bCs/>
          <w:snapToGrid w:val="0"/>
          <w:color w:val="auto"/>
          <w:highlight w:val="none"/>
        </w:rPr>
        <w:t xml:space="preserve"> 商务标书的编制要求</w:t>
      </w:r>
      <w:bookmarkEnd w:id="48"/>
      <w:bookmarkEnd w:id="49"/>
      <w:bookmarkEnd w:id="50"/>
    </w:p>
    <w:p>
      <w:pPr>
        <w:wordWrap w:val="0"/>
        <w:adjustRightInd w:val="0"/>
        <w:snapToGrid w:val="0"/>
        <w:spacing w:line="394" w:lineRule="exact"/>
        <w:ind w:firstLine="561"/>
        <w:rPr>
          <w:rFonts w:ascii="Times New Roman"/>
          <w:snapToGrid w:val="0"/>
          <w:color w:val="auto"/>
          <w:kern w:val="0"/>
          <w:highlight w:val="none"/>
          <w:u w:val="single"/>
        </w:rPr>
      </w:pPr>
      <w:r>
        <w:rPr>
          <w:rFonts w:ascii="Times New Roman"/>
          <w:b/>
          <w:bCs/>
          <w:snapToGrid w:val="0"/>
          <w:color w:val="auto"/>
          <w:kern w:val="0"/>
          <w:highlight w:val="none"/>
        </w:rPr>
        <w:t>10.2.1</w:t>
      </w:r>
      <w:r>
        <w:rPr>
          <w:rFonts w:ascii="Times New Roman"/>
          <w:snapToGrid w:val="0"/>
          <w:color w:val="auto"/>
          <w:kern w:val="0"/>
          <w:highlight w:val="none"/>
        </w:rPr>
        <w:t xml:space="preserve"> </w:t>
      </w:r>
      <w:r>
        <w:rPr>
          <w:rFonts w:ascii="Times New Roman"/>
          <w:bCs/>
          <w:snapToGrid w:val="0"/>
          <w:color w:val="auto"/>
          <w:kern w:val="0"/>
          <w:highlight w:val="none"/>
        </w:rPr>
        <w:t>商务标书</w:t>
      </w:r>
      <w:r>
        <w:rPr>
          <w:rFonts w:ascii="Times New Roman"/>
          <w:snapToGrid w:val="0"/>
          <w:color w:val="auto"/>
          <w:kern w:val="0"/>
          <w:highlight w:val="none"/>
        </w:rPr>
        <w:t>包括但不限于以下内容：</w:t>
      </w:r>
    </w:p>
    <w:p>
      <w:pPr>
        <w:wordWrap w:val="0"/>
        <w:adjustRightInd w:val="0"/>
        <w:snapToGrid w:val="0"/>
        <w:spacing w:line="394" w:lineRule="exact"/>
        <w:rPr>
          <w:rFonts w:ascii="Times New Roman"/>
          <w:snapToGrid w:val="0"/>
          <w:color w:val="auto"/>
          <w:kern w:val="0"/>
          <w:szCs w:val="18"/>
          <w:highlight w:val="none"/>
        </w:rPr>
      </w:pPr>
      <w:r>
        <w:rPr>
          <w:rFonts w:ascii="Times New Roman"/>
          <w:snapToGrid w:val="0"/>
          <w:color w:val="auto"/>
          <w:kern w:val="0"/>
          <w:highlight w:val="none"/>
        </w:rPr>
        <w:t xml:space="preserve">    </w:t>
      </w:r>
      <w:r>
        <w:rPr>
          <w:rFonts w:ascii="Times New Roman"/>
          <w:snapToGrid w:val="0"/>
          <w:color w:val="auto"/>
          <w:kern w:val="0"/>
          <w:szCs w:val="18"/>
          <w:highlight w:val="none"/>
        </w:rPr>
        <w:t>（1）封面（格式一）；</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（2）目录；</w:t>
      </w:r>
      <w:r>
        <w:rPr>
          <w:rFonts w:ascii="Times New Roman"/>
          <w:snapToGrid w:val="0"/>
          <w:color w:val="auto"/>
          <w:kern w:val="0"/>
          <w:highlight w:val="none"/>
        </w:rPr>
        <w:t xml:space="preserve"> </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（3）</w:t>
      </w:r>
      <w:r>
        <w:rPr>
          <w:rFonts w:ascii="Times New Roman"/>
          <w:snapToGrid w:val="0"/>
          <w:color w:val="auto"/>
          <w:kern w:val="0"/>
          <w:szCs w:val="24"/>
          <w:highlight w:val="none"/>
        </w:rPr>
        <w:t>《投标函》（格式二）</w:t>
      </w:r>
      <w:r>
        <w:rPr>
          <w:rFonts w:ascii="Times New Roman"/>
          <w:snapToGrid w:val="0"/>
          <w:color w:val="auto"/>
          <w:kern w:val="0"/>
          <w:szCs w:val="18"/>
          <w:highlight w:val="none"/>
        </w:rPr>
        <w:t>；</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highlight w:val="none"/>
        </w:rPr>
        <w:t>（4）《</w:t>
      </w:r>
      <w:r>
        <w:rPr>
          <w:rFonts w:ascii="Times New Roman"/>
          <w:snapToGrid w:val="0"/>
          <w:color w:val="auto"/>
          <w:kern w:val="0"/>
          <w:szCs w:val="22"/>
          <w:highlight w:val="none"/>
        </w:rPr>
        <w:t>各项</w:t>
      </w:r>
      <w:r>
        <w:rPr>
          <w:rFonts w:ascii="Times New Roman"/>
          <w:snapToGrid w:val="0"/>
          <w:color w:val="auto"/>
          <w:kern w:val="0"/>
          <w:highlight w:val="none"/>
        </w:rPr>
        <w:t>承诺一览表》（格式三）；</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（5）《授权委托书》（格式四）；</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（6）《法定代表人身份证明》（格式五）；</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（7）《联合体协议书》（格式六）及所附资料；</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8）投标保证缴纳证明（投标人采用投标保证金的，附建设工程交易系统《缴纳投标保证金通知书》页面截图打印件和银行转账单复印件；采用投标保证担保的，附银行保函复印件；采用投标保证保险的，附电子保单打印件）。</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（9）《投标人基本情况表》（格式七）及所附资料；</w:t>
      </w:r>
    </w:p>
    <w:p>
      <w:pPr>
        <w:wordWrap w:val="0"/>
        <w:adjustRightInd w:val="0"/>
        <w:snapToGrid w:val="0"/>
        <w:spacing w:line="394" w:lineRule="exact"/>
        <w:ind w:firstLine="480" w:firstLineChars="200"/>
        <w:rPr>
          <w:rFonts w:ascii="Times New Roman"/>
          <w:strike/>
          <w:snapToGrid w:val="0"/>
          <w:color w:val="auto"/>
          <w:kern w:val="0"/>
          <w:szCs w:val="18"/>
          <w:highlight w:val="none"/>
        </w:rPr>
      </w:pPr>
      <w:r>
        <w:rPr>
          <w:rFonts w:ascii="Times New Roman"/>
          <w:snapToGrid w:val="0"/>
          <w:color w:val="auto"/>
          <w:kern w:val="0"/>
          <w:szCs w:val="18"/>
          <w:highlight w:val="none"/>
        </w:rPr>
        <w:t>（10）《项目经理简历表》（格式八）及所附资料；</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（11）《项目经理任职声明》（格式九）；</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（12）《项目技术负责人简历表》（格式十）及所附资料；</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（13）《专职安全员简历表》（格式十一）及所附资料；</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（14）《项目管理机构组成表》（格式十二）及所附资料；</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（15）本节第</w:t>
      </w:r>
      <w:r>
        <w:rPr>
          <w:rFonts w:ascii="Times New Roman"/>
          <w:b/>
          <w:bCs/>
          <w:snapToGrid w:val="0"/>
          <w:color w:val="auto"/>
          <w:kern w:val="0"/>
          <w:szCs w:val="18"/>
          <w:highlight w:val="none"/>
        </w:rPr>
        <w:t>15.5.1</w:t>
      </w:r>
      <w:r>
        <w:rPr>
          <w:rFonts w:ascii="Times New Roman"/>
          <w:snapToGrid w:val="0"/>
          <w:color w:val="auto"/>
          <w:kern w:val="0"/>
          <w:szCs w:val="18"/>
          <w:highlight w:val="none"/>
        </w:rPr>
        <w:t>目“评标方法”要求提供的评审资料；</w:t>
      </w:r>
    </w:p>
    <w:p>
      <w:pPr>
        <w:wordWrap w:val="0"/>
        <w:adjustRightInd w:val="0"/>
        <w:snapToGrid w:val="0"/>
        <w:spacing w:line="394" w:lineRule="exact"/>
        <w:ind w:firstLine="480" w:firstLineChars="200"/>
        <w:rPr>
          <w:rFonts w:ascii="Times New Roman"/>
          <w:snapToGrid w:val="0"/>
          <w:color w:val="auto"/>
          <w:kern w:val="0"/>
          <w:szCs w:val="18"/>
          <w:highlight w:val="none"/>
        </w:rPr>
      </w:pPr>
      <w:r>
        <w:rPr>
          <w:rFonts w:ascii="Times New Roman"/>
          <w:snapToGrid w:val="0"/>
          <w:color w:val="auto"/>
          <w:kern w:val="0"/>
          <w:szCs w:val="18"/>
          <w:highlight w:val="none"/>
        </w:rPr>
        <w:t>（16）投标人认为有必要补充的其他资料。（例如投标人已经工商变更，但其企业资质证书、安全生产许可证或其员工执业资格注册证书上的企业名称未能在投标期间完成变更的书面说明和佐证材料；企业所在省、地级市住建部门或其授权的组织（机构）关于新冠肺炎疫情防控期间企业资质、人员资格有效期自动顺延或延期办理的相关文件等）。</w:t>
      </w:r>
    </w:p>
    <w:p>
      <w:pPr>
        <w:wordWrap w:val="0"/>
        <w:adjustRightInd w:val="0"/>
        <w:snapToGrid w:val="0"/>
        <w:spacing w:line="394" w:lineRule="exact"/>
        <w:ind w:firstLine="482" w:firstLineChars="200"/>
        <w:rPr>
          <w:rFonts w:ascii="Times New Roman"/>
          <w:snapToGrid w:val="0"/>
          <w:color w:val="auto"/>
          <w:kern w:val="0"/>
          <w:szCs w:val="18"/>
          <w:highlight w:val="none"/>
        </w:rPr>
      </w:pPr>
      <w:r>
        <w:rPr>
          <w:rFonts w:ascii="Times New Roman"/>
          <w:b/>
          <w:bCs/>
          <w:snapToGrid w:val="0"/>
          <w:color w:val="auto"/>
          <w:kern w:val="0"/>
          <w:szCs w:val="18"/>
          <w:highlight w:val="none"/>
        </w:rPr>
        <w:t>10.2.2</w:t>
      </w:r>
      <w:r>
        <w:rPr>
          <w:rFonts w:ascii="Times New Roman"/>
          <w:snapToGrid w:val="0"/>
          <w:color w:val="auto"/>
          <w:kern w:val="0"/>
          <w:szCs w:val="18"/>
          <w:highlight w:val="none"/>
        </w:rPr>
        <w:t xml:space="preserve"> 本节第</w:t>
      </w:r>
      <w:r>
        <w:rPr>
          <w:rFonts w:ascii="Times New Roman"/>
          <w:b/>
          <w:bCs/>
          <w:snapToGrid w:val="0"/>
          <w:color w:val="auto"/>
          <w:kern w:val="0"/>
          <w:szCs w:val="18"/>
          <w:highlight w:val="none"/>
        </w:rPr>
        <w:t>10.2.1</w:t>
      </w:r>
      <w:r>
        <w:rPr>
          <w:rFonts w:ascii="Times New Roman"/>
          <w:snapToGrid w:val="0"/>
          <w:color w:val="auto"/>
          <w:kern w:val="0"/>
          <w:szCs w:val="18"/>
          <w:highlight w:val="none"/>
        </w:rPr>
        <w:t>目中所列出的商务标书组成内容中，第（1）至第（14）项所有投标人均应提供，</w:t>
      </w:r>
      <w:r>
        <w:rPr>
          <w:rFonts w:ascii="Times New Roman"/>
          <w:b/>
          <w:bCs/>
          <w:snapToGrid w:val="0"/>
          <w:color w:val="auto"/>
          <w:kern w:val="0"/>
          <w:szCs w:val="18"/>
          <w:highlight w:val="none"/>
        </w:rPr>
        <w:t>但非联合体投标的，无需提供第（7）项内容。</w:t>
      </w:r>
    </w:p>
    <w:p>
      <w:pPr>
        <w:wordWrap w:val="0"/>
        <w:adjustRightInd w:val="0"/>
        <w:snapToGrid w:val="0"/>
        <w:spacing w:line="394" w:lineRule="exact"/>
        <w:ind w:firstLine="482" w:firstLineChars="200"/>
        <w:rPr>
          <w:rFonts w:ascii="Times New Roman"/>
          <w:b/>
          <w:bCs/>
          <w:snapToGrid w:val="0"/>
          <w:color w:val="auto"/>
          <w:kern w:val="0"/>
          <w:szCs w:val="18"/>
          <w:highlight w:val="none"/>
        </w:rPr>
      </w:pPr>
      <w:r>
        <w:rPr>
          <w:rFonts w:ascii="Times New Roman"/>
          <w:b/>
          <w:bCs/>
          <w:snapToGrid w:val="0"/>
          <w:color w:val="auto"/>
          <w:kern w:val="0"/>
          <w:highlight w:val="none"/>
        </w:rPr>
        <w:t>10.2.3</w:t>
      </w:r>
      <w:r>
        <w:rPr>
          <w:rFonts w:ascii="Times New Roman"/>
          <w:snapToGrid w:val="0"/>
          <w:color w:val="auto"/>
          <w:kern w:val="0"/>
          <w:highlight w:val="none"/>
        </w:rPr>
        <w:t xml:space="preserve"> 商务标书的组成内容按本节第</w:t>
      </w:r>
      <w:r>
        <w:rPr>
          <w:rFonts w:ascii="Times New Roman"/>
          <w:b/>
          <w:bCs/>
          <w:snapToGrid w:val="0"/>
          <w:color w:val="auto"/>
          <w:kern w:val="0"/>
          <w:highlight w:val="none"/>
        </w:rPr>
        <w:t>10.2.1</w:t>
      </w:r>
      <w:r>
        <w:rPr>
          <w:rFonts w:ascii="Times New Roman"/>
          <w:snapToGrid w:val="0"/>
          <w:color w:val="auto"/>
          <w:kern w:val="0"/>
          <w:highlight w:val="none"/>
        </w:rPr>
        <w:t>目规定的顺序整理、编排后，逐页（不含封面、目录）连续标记页码（机打或手工打码均可）。</w:t>
      </w:r>
    </w:p>
    <w:p>
      <w:pPr>
        <w:wordWrap w:val="0"/>
        <w:adjustRightInd w:val="0"/>
        <w:snapToGrid w:val="0"/>
        <w:spacing w:line="394"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10.2.4</w:t>
      </w:r>
      <w:r>
        <w:rPr>
          <w:rFonts w:ascii="Times New Roman"/>
          <w:snapToGrid w:val="0"/>
          <w:color w:val="auto"/>
          <w:kern w:val="0"/>
          <w:highlight w:val="none"/>
        </w:rPr>
        <w:t xml:space="preserve"> </w:t>
      </w:r>
      <w:r>
        <w:rPr>
          <w:rFonts w:ascii="Times New Roman"/>
          <w:bCs/>
          <w:snapToGrid w:val="0"/>
          <w:color w:val="auto"/>
          <w:kern w:val="0"/>
          <w:highlight w:val="none"/>
        </w:rPr>
        <w:t>商务标书</w:t>
      </w:r>
      <w:r>
        <w:rPr>
          <w:rFonts w:ascii="Times New Roman"/>
          <w:snapToGrid w:val="0"/>
          <w:color w:val="auto"/>
          <w:kern w:val="0"/>
          <w:highlight w:val="none"/>
        </w:rPr>
        <w:t>应尽量避免手工涂改、行间插字或删除。如果出现上述情况，改动之处应加盖单位章或由投标人的法定代表人或其委托代理人签字确认。</w:t>
      </w:r>
    </w:p>
    <w:p>
      <w:pPr>
        <w:wordWrap w:val="0"/>
        <w:adjustRightInd w:val="0"/>
        <w:snapToGrid w:val="0"/>
        <w:spacing w:line="394"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10.2.5</w:t>
      </w:r>
      <w:r>
        <w:rPr>
          <w:rFonts w:ascii="Times New Roman"/>
          <w:snapToGrid w:val="0"/>
          <w:color w:val="auto"/>
          <w:kern w:val="0"/>
          <w:highlight w:val="none"/>
        </w:rPr>
        <w:t xml:space="preserve"> </w:t>
      </w:r>
      <w:r>
        <w:rPr>
          <w:rFonts w:ascii="Times New Roman"/>
          <w:bCs/>
          <w:snapToGrid w:val="0"/>
          <w:color w:val="auto"/>
          <w:kern w:val="0"/>
          <w:highlight w:val="none"/>
        </w:rPr>
        <w:t>商务标书</w:t>
      </w:r>
      <w:r>
        <w:rPr>
          <w:rFonts w:ascii="Times New Roman"/>
          <w:snapToGrid w:val="0"/>
          <w:color w:val="auto"/>
          <w:kern w:val="0"/>
          <w:highlight w:val="none"/>
        </w:rPr>
        <w:t>电子文件制作要求</w:t>
      </w:r>
    </w:p>
    <w:p>
      <w:pPr>
        <w:wordWrap w:val="0"/>
        <w:adjustRightInd w:val="0"/>
        <w:snapToGrid w:val="0"/>
        <w:spacing w:line="394" w:lineRule="exact"/>
        <w:ind w:firstLine="480" w:firstLineChars="200"/>
        <w:rPr>
          <w:rFonts w:hint="eastAsia" w:ascii="Times New Roman" w:eastAsia="宋体"/>
          <w:snapToGrid w:val="0"/>
          <w:color w:val="auto"/>
          <w:kern w:val="0"/>
          <w:highlight w:val="none"/>
          <w:lang w:eastAsia="zh-CN"/>
        </w:rPr>
      </w:pPr>
      <w:r>
        <w:rPr>
          <w:rFonts w:ascii="Times New Roman"/>
          <w:snapToGrid w:val="0"/>
          <w:color w:val="auto"/>
          <w:kern w:val="0"/>
          <w:highlight w:val="none"/>
        </w:rPr>
        <w:t>投标人应将</w:t>
      </w:r>
      <w:r>
        <w:rPr>
          <w:rFonts w:ascii="Times New Roman"/>
          <w:bCs/>
          <w:snapToGrid w:val="0"/>
          <w:color w:val="auto"/>
          <w:kern w:val="0"/>
          <w:highlight w:val="none"/>
        </w:rPr>
        <w:t>商务标书正本的</w:t>
      </w:r>
      <w:r>
        <w:rPr>
          <w:rFonts w:ascii="Times New Roman"/>
          <w:snapToGrid w:val="0"/>
          <w:color w:val="auto"/>
          <w:kern w:val="0"/>
          <w:highlight w:val="none"/>
        </w:rPr>
        <w:t>所有内容（已经按招标文件规定签字、盖章）扫描制作成一个PDF格式电子文件，刻录入不可擦写光盘或复制到U盘，装入信封（信封正面标明投标项目名称、分册名称、投标人名称）后放入</w:t>
      </w:r>
      <w:r>
        <w:rPr>
          <w:rFonts w:ascii="Times New Roman"/>
          <w:bCs/>
          <w:snapToGrid w:val="0"/>
          <w:color w:val="auto"/>
          <w:kern w:val="0"/>
          <w:highlight w:val="none"/>
        </w:rPr>
        <w:t>商务标书</w:t>
      </w:r>
      <w:r>
        <w:rPr>
          <w:rFonts w:ascii="Times New Roman"/>
          <w:snapToGrid w:val="0"/>
          <w:color w:val="auto"/>
          <w:kern w:val="0"/>
          <w:highlight w:val="none"/>
        </w:rPr>
        <w:t>正本。</w:t>
      </w:r>
    </w:p>
    <w:p>
      <w:pPr>
        <w:pStyle w:val="2"/>
        <w:rPr>
          <w:rFonts w:hint="eastAsia"/>
          <w:lang w:eastAsia="zh-CN"/>
        </w:rPr>
      </w:pPr>
    </w:p>
    <w:p>
      <w:pPr>
        <w:pStyle w:val="2"/>
        <w:keepNext w:val="0"/>
        <w:keepLines w:val="0"/>
        <w:wordWrap w:val="0"/>
        <w:adjustRightInd w:val="0"/>
        <w:snapToGrid w:val="0"/>
        <w:spacing w:before="0" w:after="0" w:line="394" w:lineRule="exact"/>
        <w:ind w:firstLine="482" w:firstLineChars="200"/>
        <w:rPr>
          <w:rFonts w:ascii="Times New Roman"/>
          <w:b/>
          <w:snapToGrid w:val="0"/>
          <w:color w:val="auto"/>
          <w:highlight w:val="none"/>
        </w:rPr>
      </w:pPr>
      <w:bookmarkStart w:id="51" w:name="_Toc3426"/>
      <w:bookmarkStart w:id="52" w:name="_Toc274313881"/>
      <w:r>
        <w:rPr>
          <w:rFonts w:ascii="Times New Roman"/>
          <w:b/>
          <w:bCs/>
          <w:snapToGrid w:val="0"/>
          <w:color w:val="auto"/>
          <w:highlight w:val="none"/>
        </w:rPr>
        <w:t>10.3</w:t>
      </w:r>
      <w:bookmarkStart w:id="53" w:name="_Hlt69670035"/>
      <w:bookmarkEnd w:id="53"/>
      <w:r>
        <w:rPr>
          <w:rFonts w:ascii="Times New Roman"/>
          <w:bCs/>
          <w:snapToGrid w:val="0"/>
          <w:color w:val="auto"/>
          <w:highlight w:val="none"/>
        </w:rPr>
        <w:t xml:space="preserve"> 经济标书的编制要求</w:t>
      </w:r>
      <w:bookmarkEnd w:id="51"/>
      <w:bookmarkEnd w:id="52"/>
    </w:p>
    <w:p>
      <w:pPr>
        <w:wordWrap w:val="0"/>
        <w:adjustRightInd w:val="0"/>
        <w:snapToGrid w:val="0"/>
        <w:spacing w:line="394" w:lineRule="exact"/>
        <w:ind w:firstLine="480"/>
        <w:rPr>
          <w:rFonts w:ascii="Times New Roman"/>
          <w:snapToGrid w:val="0"/>
          <w:color w:val="auto"/>
          <w:kern w:val="0"/>
          <w:highlight w:val="none"/>
        </w:rPr>
      </w:pPr>
      <w:r>
        <w:rPr>
          <w:rFonts w:ascii="Times New Roman"/>
          <w:b/>
          <w:bCs/>
          <w:snapToGrid w:val="0"/>
          <w:color w:val="auto"/>
          <w:kern w:val="0"/>
          <w:highlight w:val="none"/>
        </w:rPr>
        <w:t>10.3.1</w:t>
      </w:r>
      <w:r>
        <w:rPr>
          <w:rFonts w:ascii="Times New Roman"/>
          <w:snapToGrid w:val="0"/>
          <w:color w:val="auto"/>
          <w:kern w:val="0"/>
          <w:highlight w:val="none"/>
        </w:rPr>
        <w:t xml:space="preserve"> 经济标书包括以下内容：</w:t>
      </w:r>
    </w:p>
    <w:p>
      <w:pPr>
        <w:wordWrap w:val="0"/>
        <w:adjustRightInd w:val="0"/>
        <w:snapToGrid w:val="0"/>
        <w:spacing w:line="394" w:lineRule="exact"/>
        <w:ind w:firstLine="480"/>
        <w:rPr>
          <w:rFonts w:ascii="Times New Roman"/>
          <w:snapToGrid w:val="0"/>
          <w:color w:val="auto"/>
          <w:kern w:val="0"/>
          <w:highlight w:val="none"/>
        </w:rPr>
      </w:pPr>
      <w:r>
        <w:rPr>
          <w:rFonts w:ascii="Times New Roman"/>
          <w:snapToGrid w:val="0"/>
          <w:color w:val="auto"/>
          <w:kern w:val="0"/>
          <w:highlight w:val="none"/>
        </w:rPr>
        <w:t>（1）封面</w:t>
      </w:r>
      <w:r>
        <w:rPr>
          <w:rFonts w:ascii="Times New Roman"/>
          <w:snapToGrid w:val="0"/>
          <w:color w:val="auto"/>
          <w:kern w:val="0"/>
          <w:szCs w:val="18"/>
          <w:highlight w:val="none"/>
        </w:rPr>
        <w:t>（格式一）</w:t>
      </w:r>
      <w:r>
        <w:rPr>
          <w:rFonts w:ascii="Times New Roman"/>
          <w:snapToGrid w:val="0"/>
          <w:color w:val="auto"/>
          <w:kern w:val="0"/>
          <w:highlight w:val="none"/>
        </w:rPr>
        <w:t>；</w:t>
      </w:r>
    </w:p>
    <w:p>
      <w:pPr>
        <w:wordWrap w:val="0"/>
        <w:adjustRightInd w:val="0"/>
        <w:snapToGrid w:val="0"/>
        <w:spacing w:line="394" w:lineRule="exact"/>
        <w:ind w:firstLine="480"/>
        <w:rPr>
          <w:rFonts w:ascii="Times New Roman"/>
          <w:snapToGrid w:val="0"/>
          <w:color w:val="auto"/>
          <w:kern w:val="0"/>
          <w:highlight w:val="none"/>
        </w:rPr>
      </w:pPr>
      <w:r>
        <w:rPr>
          <w:rFonts w:ascii="Times New Roman"/>
          <w:snapToGrid w:val="0"/>
          <w:color w:val="auto"/>
          <w:kern w:val="0"/>
          <w:highlight w:val="none"/>
        </w:rPr>
        <w:t>（2）目录；</w:t>
      </w:r>
    </w:p>
    <w:p>
      <w:pPr>
        <w:wordWrap w:val="0"/>
        <w:adjustRightInd w:val="0"/>
        <w:snapToGrid w:val="0"/>
        <w:spacing w:line="394" w:lineRule="exact"/>
        <w:ind w:firstLine="480"/>
        <w:rPr>
          <w:color w:val="auto"/>
          <w:highlight w:val="none"/>
        </w:rPr>
      </w:pPr>
      <w:bookmarkStart w:id="54" w:name="_Hlt69699579"/>
      <w:bookmarkEnd w:id="54"/>
      <w:r>
        <w:rPr>
          <w:color w:val="auto"/>
          <w:highlight w:val="none"/>
        </w:rPr>
        <w:t>（3）《投标总价》；</w:t>
      </w:r>
    </w:p>
    <w:p>
      <w:pPr>
        <w:wordWrap w:val="0"/>
        <w:adjustRightInd w:val="0"/>
        <w:snapToGrid w:val="0"/>
        <w:spacing w:line="394" w:lineRule="exact"/>
        <w:ind w:firstLine="480"/>
        <w:rPr>
          <w:rFonts w:hint="eastAsia"/>
          <w:color w:val="auto"/>
          <w:highlight w:val="none"/>
        </w:rPr>
      </w:pPr>
      <w:r>
        <w:rPr>
          <w:rFonts w:hint="eastAsia"/>
          <w:color w:val="auto"/>
          <w:highlight w:val="none"/>
        </w:rPr>
        <w:t>说明：投标人应在招标工程量清单中填报价格，形成已标价工程量清单，同时按照《建设工程工程量清单计价规范》（GB50500—2013）有关格式和以下要求制作封面、扉页、总说明：</w:t>
      </w:r>
    </w:p>
    <w:p>
      <w:pPr>
        <w:numPr>
          <w:ilvl w:val="0"/>
          <w:numId w:val="2"/>
        </w:numPr>
        <w:wordWrap w:val="0"/>
        <w:adjustRightInd w:val="0"/>
        <w:snapToGrid w:val="0"/>
        <w:spacing w:line="394" w:lineRule="exact"/>
        <w:ind w:left="0" w:leftChars="0" w:firstLine="480" w:firstLineChars="200"/>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rPr>
        <w:t>《投标总价扉页》（即扉—3）后应附编制人的造价工程师注册证书复印件或打印件（须复印或打印至变更注册栏）；投标人委托造价咨询单位编制《投标总价》的，在该扉页“投标人”栏目加盖造价咨询人公章，并在该扉页后附造价咨询人的营业执照副本复印件（或打印件）。</w:t>
      </w:r>
    </w:p>
    <w:p>
      <w:pPr>
        <w:numPr>
          <w:ilvl w:val="0"/>
          <w:numId w:val="2"/>
        </w:numPr>
        <w:wordWrap w:val="0"/>
        <w:adjustRightInd w:val="0"/>
        <w:snapToGrid w:val="0"/>
        <w:spacing w:line="394" w:lineRule="exact"/>
        <w:ind w:left="0" w:leftChars="0" w:firstLine="480" w:firstLineChars="200"/>
        <w:rPr>
          <w:rFonts w:ascii="Times New Roman"/>
          <w:snapToGrid w:val="0"/>
          <w:color w:val="auto"/>
          <w:kern w:val="0"/>
          <w:highlight w:val="none"/>
        </w:rPr>
      </w:pPr>
      <w:r>
        <w:rPr>
          <w:rFonts w:ascii="Times New Roman"/>
          <w:snapToGrid w:val="0"/>
          <w:color w:val="auto"/>
          <w:kern w:val="0"/>
          <w:highlight w:val="none"/>
        </w:rPr>
        <w:t>《投标总价》总说明（即表—01）中的填写内容除按照《建设工程工程量清单计价规范》（GB50500—2013）第</w:t>
      </w:r>
      <w:r>
        <w:rPr>
          <w:rFonts w:ascii="Times New Roman"/>
          <w:b/>
          <w:bCs/>
          <w:snapToGrid w:val="0"/>
          <w:color w:val="auto"/>
          <w:kern w:val="0"/>
          <w:highlight w:val="none"/>
        </w:rPr>
        <w:t>16.0.4</w:t>
      </w:r>
      <w:r>
        <w:rPr>
          <w:rFonts w:ascii="Times New Roman"/>
          <w:snapToGrid w:val="0"/>
          <w:color w:val="auto"/>
          <w:kern w:val="0"/>
          <w:highlight w:val="none"/>
        </w:rPr>
        <w:t>条第</w:t>
      </w:r>
      <w:r>
        <w:rPr>
          <w:rFonts w:ascii="Times New Roman"/>
          <w:b/>
          <w:bCs/>
          <w:snapToGrid w:val="0"/>
          <w:color w:val="auto"/>
          <w:kern w:val="0"/>
          <w:highlight w:val="none"/>
        </w:rPr>
        <w:t>3</w:t>
      </w:r>
      <w:r>
        <w:rPr>
          <w:rFonts w:ascii="Times New Roman"/>
          <w:snapToGrid w:val="0"/>
          <w:color w:val="auto"/>
          <w:kern w:val="0"/>
          <w:highlight w:val="none"/>
        </w:rPr>
        <w:t>项执行外，</w:t>
      </w:r>
      <w:r>
        <w:rPr>
          <w:rFonts w:hint="eastAsia" w:ascii="Times New Roman"/>
          <w:snapToGrid w:val="0"/>
          <w:color w:val="auto"/>
          <w:kern w:val="0"/>
          <w:highlight w:val="none"/>
        </w:rPr>
        <w:t>尚应就造价软件的名称、版本、加密锁编号作出专项说明</w:t>
      </w:r>
      <w:r>
        <w:rPr>
          <w:rFonts w:ascii="Times New Roman"/>
          <w:snapToGrid w:val="0"/>
          <w:color w:val="auto"/>
          <w:kern w:val="0"/>
          <w:highlight w:val="none"/>
        </w:rPr>
        <w:t>。</w:t>
      </w:r>
    </w:p>
    <w:p>
      <w:pPr>
        <w:wordWrap w:val="0"/>
        <w:adjustRightInd w:val="0"/>
        <w:snapToGrid w:val="0"/>
        <w:spacing w:line="394" w:lineRule="exact"/>
        <w:ind w:firstLine="240" w:firstLineChars="100"/>
        <w:rPr>
          <w:rFonts w:ascii="Times New Roman"/>
          <w:snapToGrid w:val="0"/>
          <w:color w:val="auto"/>
          <w:kern w:val="0"/>
          <w:szCs w:val="18"/>
          <w:highlight w:val="none"/>
        </w:rPr>
      </w:pPr>
      <w:r>
        <w:rPr>
          <w:rFonts w:ascii="Times New Roman"/>
          <w:snapToGrid w:val="0"/>
          <w:color w:val="auto"/>
          <w:kern w:val="0"/>
          <w:szCs w:val="18"/>
          <w:highlight w:val="none"/>
        </w:rPr>
        <w:t>（4）投标人认为有必要补充的其他资料（例如关于投标总价下浮率超过15%的书面说明和佐证材料）。</w:t>
      </w:r>
    </w:p>
    <w:p>
      <w:pPr>
        <w:wordWrap w:val="0"/>
        <w:adjustRightInd w:val="0"/>
        <w:snapToGrid w:val="0"/>
        <w:spacing w:line="394" w:lineRule="exact"/>
        <w:ind w:firstLine="480"/>
        <w:rPr>
          <w:rFonts w:ascii="Times New Roman"/>
          <w:snapToGrid w:val="0"/>
          <w:color w:val="auto"/>
          <w:kern w:val="0"/>
          <w:szCs w:val="18"/>
          <w:highlight w:val="none"/>
        </w:rPr>
      </w:pPr>
      <w:r>
        <w:rPr>
          <w:rFonts w:ascii="Times New Roman"/>
          <w:b/>
          <w:bCs/>
          <w:snapToGrid w:val="0"/>
          <w:color w:val="auto"/>
          <w:kern w:val="0"/>
          <w:szCs w:val="18"/>
          <w:highlight w:val="none"/>
        </w:rPr>
        <w:t>10.3.2</w:t>
      </w:r>
      <w:r>
        <w:rPr>
          <w:rFonts w:ascii="Times New Roman"/>
          <w:snapToGrid w:val="0"/>
          <w:color w:val="auto"/>
          <w:kern w:val="0"/>
          <w:szCs w:val="18"/>
          <w:highlight w:val="none"/>
        </w:rPr>
        <w:t xml:space="preserve"> 本节第</w:t>
      </w:r>
      <w:r>
        <w:rPr>
          <w:rFonts w:ascii="Times New Roman"/>
          <w:b/>
          <w:bCs/>
          <w:snapToGrid w:val="0"/>
          <w:color w:val="auto"/>
          <w:kern w:val="0"/>
          <w:szCs w:val="18"/>
          <w:highlight w:val="none"/>
        </w:rPr>
        <w:t>10.3.1</w:t>
      </w:r>
      <w:r>
        <w:rPr>
          <w:rFonts w:ascii="Times New Roman"/>
          <w:snapToGrid w:val="0"/>
          <w:color w:val="auto"/>
          <w:kern w:val="0"/>
          <w:szCs w:val="18"/>
          <w:highlight w:val="none"/>
        </w:rPr>
        <w:t>目中所列出的经济标书组成内容中，第（1）至第（3）项所有投标人均应提供</w:t>
      </w:r>
      <w:bookmarkStart w:id="55" w:name="_Hlt145127239"/>
      <w:bookmarkEnd w:id="55"/>
      <w:r>
        <w:rPr>
          <w:rFonts w:ascii="Times New Roman"/>
          <w:snapToGrid w:val="0"/>
          <w:color w:val="auto"/>
          <w:kern w:val="0"/>
          <w:szCs w:val="18"/>
          <w:highlight w:val="none"/>
        </w:rPr>
        <w:t>。</w:t>
      </w:r>
    </w:p>
    <w:p>
      <w:pPr>
        <w:wordWrap w:val="0"/>
        <w:adjustRightInd w:val="0"/>
        <w:snapToGrid w:val="0"/>
        <w:spacing w:line="394"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10.3.3</w:t>
      </w:r>
      <w:r>
        <w:rPr>
          <w:rFonts w:ascii="Times New Roman"/>
          <w:snapToGrid w:val="0"/>
          <w:color w:val="auto"/>
          <w:kern w:val="0"/>
          <w:highlight w:val="none"/>
        </w:rPr>
        <w:t xml:space="preserve"> 经济标书的组成内容按本节第</w:t>
      </w:r>
      <w:r>
        <w:rPr>
          <w:rFonts w:ascii="Times New Roman"/>
          <w:b/>
          <w:bCs/>
          <w:snapToGrid w:val="0"/>
          <w:color w:val="auto"/>
          <w:kern w:val="0"/>
          <w:highlight w:val="none"/>
        </w:rPr>
        <w:t>10.3.1</w:t>
      </w:r>
      <w:r>
        <w:rPr>
          <w:rFonts w:ascii="Times New Roman"/>
          <w:snapToGrid w:val="0"/>
          <w:color w:val="auto"/>
          <w:kern w:val="0"/>
          <w:highlight w:val="none"/>
        </w:rPr>
        <w:t>目规定的顺序整理、编排后，逐页（不含封面、目录）连续标记页码（机打或手工打码均可）。</w:t>
      </w:r>
    </w:p>
    <w:p>
      <w:pPr>
        <w:wordWrap w:val="0"/>
        <w:adjustRightInd w:val="0"/>
        <w:snapToGrid w:val="0"/>
        <w:spacing w:line="394"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10.3.4</w:t>
      </w:r>
      <w:r>
        <w:rPr>
          <w:rFonts w:ascii="Times New Roman"/>
          <w:snapToGrid w:val="0"/>
          <w:color w:val="auto"/>
          <w:kern w:val="0"/>
          <w:highlight w:val="none"/>
        </w:rPr>
        <w:t xml:space="preserve"> 经济标书应尽量避免手工涂改、行间插字或删除。如果出现上述情况，改动之处应加盖单位章或由投标人的法定代表人或其委托代理人签字确认。</w:t>
      </w:r>
    </w:p>
    <w:p>
      <w:pPr>
        <w:wordWrap w:val="0"/>
        <w:adjustRightInd w:val="0"/>
        <w:snapToGrid w:val="0"/>
        <w:spacing w:line="394"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10.3.5</w:t>
      </w:r>
      <w:r>
        <w:rPr>
          <w:rFonts w:ascii="Times New Roman"/>
          <w:snapToGrid w:val="0"/>
          <w:color w:val="auto"/>
          <w:kern w:val="0"/>
          <w:highlight w:val="none"/>
        </w:rPr>
        <w:t xml:space="preserve"> 经济标书电子文件制作要求</w:t>
      </w:r>
    </w:p>
    <w:p>
      <w:pPr>
        <w:wordWrap w:val="0"/>
        <w:adjustRightInd w:val="0"/>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投标人应将经济</w:t>
      </w:r>
      <w:r>
        <w:rPr>
          <w:rFonts w:ascii="Times New Roman"/>
          <w:bCs/>
          <w:snapToGrid w:val="0"/>
          <w:color w:val="auto"/>
          <w:kern w:val="0"/>
          <w:highlight w:val="none"/>
        </w:rPr>
        <w:t>标书正本的</w:t>
      </w:r>
      <w:r>
        <w:rPr>
          <w:rFonts w:ascii="Times New Roman"/>
          <w:snapToGrid w:val="0"/>
          <w:color w:val="auto"/>
          <w:kern w:val="0"/>
          <w:highlight w:val="none"/>
        </w:rPr>
        <w:t>所有内容（已经按招标文件规定签字、盖章）扫描制作成一个PDF格式电子文件，连同《投标总价》（软件版）刻录入不可擦写光盘或复制到U盘，装入信封（信封正面标明投标项目名称、分册名称、投标人名称）后放入经济标书正本。</w:t>
      </w:r>
    </w:p>
    <w:p>
      <w:pPr>
        <w:wordWrap w:val="0"/>
        <w:adjustRightInd w:val="0"/>
        <w:snapToGrid w:val="0"/>
        <w:spacing w:line="394" w:lineRule="exact"/>
        <w:ind w:firstLine="480" w:firstLineChars="200"/>
        <w:rPr>
          <w:rFonts w:ascii="Times New Roman"/>
          <w:snapToGrid w:val="0"/>
          <w:color w:val="auto"/>
          <w:kern w:val="0"/>
          <w:highlight w:val="none"/>
        </w:rPr>
      </w:pPr>
    </w:p>
    <w:p>
      <w:pPr>
        <w:pStyle w:val="2"/>
        <w:keepNext w:val="0"/>
        <w:keepLines w:val="0"/>
        <w:wordWrap w:val="0"/>
        <w:adjustRightInd w:val="0"/>
        <w:snapToGrid w:val="0"/>
        <w:spacing w:before="0" w:after="0" w:line="394" w:lineRule="exact"/>
        <w:ind w:firstLine="482" w:firstLineChars="200"/>
        <w:rPr>
          <w:rFonts w:ascii="Times New Roman"/>
          <w:bCs/>
          <w:snapToGrid w:val="0"/>
          <w:color w:val="auto"/>
          <w:highlight w:val="none"/>
        </w:rPr>
      </w:pPr>
      <w:bookmarkStart w:id="56" w:name="_Toc32429"/>
      <w:r>
        <w:rPr>
          <w:rFonts w:ascii="Times New Roman"/>
          <w:b/>
          <w:bCs/>
          <w:snapToGrid w:val="0"/>
          <w:color w:val="auto"/>
          <w:highlight w:val="none"/>
        </w:rPr>
        <w:t xml:space="preserve">10.4 </w:t>
      </w:r>
      <w:r>
        <w:rPr>
          <w:rFonts w:ascii="Times New Roman"/>
          <w:bCs/>
          <w:snapToGrid w:val="0"/>
          <w:color w:val="auto"/>
          <w:highlight w:val="none"/>
        </w:rPr>
        <w:t>施工组织设计的编制要求</w:t>
      </w:r>
      <w:bookmarkEnd w:id="56"/>
    </w:p>
    <w:p>
      <w:pPr>
        <w:wordWrap w:val="0"/>
        <w:adjustRightInd w:val="0"/>
        <w:snapToGrid w:val="0"/>
        <w:spacing w:line="394" w:lineRule="exact"/>
        <w:ind w:firstLine="480"/>
        <w:rPr>
          <w:rFonts w:ascii="Times New Roman"/>
          <w:bCs/>
          <w:snapToGrid w:val="0"/>
          <w:color w:val="auto"/>
          <w:kern w:val="0"/>
          <w:highlight w:val="none"/>
        </w:rPr>
      </w:pPr>
      <w:r>
        <w:rPr>
          <w:rFonts w:ascii="Times New Roman"/>
          <w:b/>
          <w:snapToGrid w:val="0"/>
          <w:color w:val="auto"/>
          <w:kern w:val="0"/>
          <w:highlight w:val="none"/>
        </w:rPr>
        <w:t>10.4.1</w:t>
      </w:r>
      <w:r>
        <w:rPr>
          <w:rFonts w:ascii="Times New Roman"/>
          <w:bCs/>
          <w:snapToGrid w:val="0"/>
          <w:color w:val="auto"/>
          <w:kern w:val="0"/>
          <w:highlight w:val="none"/>
        </w:rPr>
        <w:t xml:space="preserve"> </w:t>
      </w:r>
      <w:r>
        <w:rPr>
          <w:rFonts w:ascii="Times New Roman"/>
          <w:snapToGrid w:val="0"/>
          <w:color w:val="auto"/>
          <w:kern w:val="0"/>
          <w:highlight w:val="none"/>
        </w:rPr>
        <w:t>施工组织设计的编制依据包括且不限于</w:t>
      </w:r>
      <w:r>
        <w:rPr>
          <w:rFonts w:ascii="Times New Roman"/>
          <w:bCs/>
          <w:snapToGrid w:val="0"/>
          <w:color w:val="auto"/>
          <w:kern w:val="0"/>
          <w:highlight w:val="none"/>
        </w:rPr>
        <w:t>：</w:t>
      </w:r>
    </w:p>
    <w:p>
      <w:pPr>
        <w:wordWrap w:val="0"/>
        <w:adjustRightInd w:val="0"/>
        <w:snapToGrid w:val="0"/>
        <w:spacing w:line="394" w:lineRule="exact"/>
        <w:ind w:firstLine="480"/>
        <w:rPr>
          <w:rFonts w:ascii="Times New Roman"/>
          <w:bCs/>
          <w:snapToGrid w:val="0"/>
          <w:color w:val="auto"/>
          <w:kern w:val="0"/>
          <w:highlight w:val="none"/>
        </w:rPr>
      </w:pPr>
      <w:r>
        <w:rPr>
          <w:rFonts w:ascii="Times New Roman"/>
          <w:bCs/>
          <w:snapToGrid w:val="0"/>
          <w:color w:val="auto"/>
          <w:kern w:val="0"/>
          <w:highlight w:val="none"/>
        </w:rPr>
        <w:t>（1）招标文件及</w:t>
      </w:r>
      <w:r>
        <w:rPr>
          <w:rFonts w:ascii="Times New Roman"/>
          <w:snapToGrid w:val="0"/>
          <w:color w:val="auto"/>
          <w:kern w:val="0"/>
          <w:highlight w:val="none"/>
        </w:rPr>
        <w:t>其答疑（或修改）公告；</w:t>
      </w:r>
    </w:p>
    <w:p>
      <w:pPr>
        <w:wordWrap w:val="0"/>
        <w:adjustRightInd w:val="0"/>
        <w:snapToGrid w:val="0"/>
        <w:spacing w:line="394" w:lineRule="exact"/>
        <w:ind w:firstLine="480"/>
        <w:rPr>
          <w:rFonts w:ascii="Times New Roman"/>
          <w:bCs/>
          <w:snapToGrid w:val="0"/>
          <w:color w:val="auto"/>
          <w:kern w:val="0"/>
          <w:highlight w:val="none"/>
        </w:rPr>
      </w:pPr>
      <w:r>
        <w:rPr>
          <w:rFonts w:ascii="Times New Roman"/>
          <w:bCs/>
          <w:snapToGrid w:val="0"/>
          <w:color w:val="auto"/>
          <w:kern w:val="0"/>
          <w:highlight w:val="none"/>
        </w:rPr>
        <w:t>（2）施工图及相关资料；</w:t>
      </w:r>
    </w:p>
    <w:p>
      <w:pPr>
        <w:wordWrap w:val="0"/>
        <w:adjustRightInd w:val="0"/>
        <w:snapToGrid w:val="0"/>
        <w:spacing w:line="394" w:lineRule="exact"/>
        <w:ind w:firstLine="480"/>
        <w:rPr>
          <w:rFonts w:ascii="Times New Roman"/>
          <w:bCs/>
          <w:snapToGrid w:val="0"/>
          <w:color w:val="auto"/>
          <w:kern w:val="0"/>
          <w:highlight w:val="none"/>
        </w:rPr>
      </w:pPr>
      <w:r>
        <w:rPr>
          <w:rFonts w:ascii="Times New Roman"/>
          <w:bCs/>
          <w:snapToGrid w:val="0"/>
          <w:color w:val="auto"/>
          <w:kern w:val="0"/>
          <w:highlight w:val="none"/>
        </w:rPr>
        <w:t>（3）施工现场情况、工程特点；</w:t>
      </w:r>
    </w:p>
    <w:p>
      <w:pPr>
        <w:wordWrap w:val="0"/>
        <w:adjustRightInd w:val="0"/>
        <w:snapToGrid w:val="0"/>
        <w:spacing w:line="394" w:lineRule="exact"/>
        <w:ind w:firstLine="480"/>
        <w:rPr>
          <w:rFonts w:ascii="Times New Roman"/>
          <w:bCs/>
          <w:snapToGrid w:val="0"/>
          <w:color w:val="auto"/>
          <w:kern w:val="0"/>
          <w:highlight w:val="none"/>
        </w:rPr>
      </w:pPr>
      <w:r>
        <w:rPr>
          <w:rFonts w:ascii="Times New Roman"/>
          <w:bCs/>
          <w:snapToGrid w:val="0"/>
          <w:color w:val="auto"/>
          <w:kern w:val="0"/>
          <w:highlight w:val="none"/>
        </w:rPr>
        <w:t>（4）相关法律、法规、规定；</w:t>
      </w:r>
    </w:p>
    <w:p>
      <w:pPr>
        <w:wordWrap w:val="0"/>
        <w:adjustRightInd w:val="0"/>
        <w:snapToGrid w:val="0"/>
        <w:spacing w:line="394" w:lineRule="exact"/>
        <w:ind w:firstLine="480"/>
        <w:rPr>
          <w:rFonts w:ascii="Times New Roman"/>
          <w:bCs/>
          <w:snapToGrid w:val="0"/>
          <w:color w:val="auto"/>
          <w:kern w:val="0"/>
          <w:highlight w:val="none"/>
        </w:rPr>
      </w:pPr>
      <w:r>
        <w:rPr>
          <w:rFonts w:ascii="Times New Roman"/>
          <w:bCs/>
          <w:snapToGrid w:val="0"/>
          <w:color w:val="auto"/>
          <w:kern w:val="0"/>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pPr>
        <w:wordWrap w:val="0"/>
        <w:adjustRightInd w:val="0"/>
        <w:snapToGrid w:val="0"/>
        <w:spacing w:line="394" w:lineRule="exact"/>
        <w:ind w:firstLine="480"/>
        <w:rPr>
          <w:rFonts w:ascii="Times New Roman"/>
          <w:snapToGrid w:val="0"/>
          <w:color w:val="auto"/>
          <w:kern w:val="0"/>
          <w:highlight w:val="none"/>
        </w:rPr>
      </w:pPr>
      <w:r>
        <w:rPr>
          <w:rFonts w:ascii="Times New Roman"/>
          <w:bCs/>
          <w:snapToGrid w:val="0"/>
          <w:color w:val="auto"/>
          <w:kern w:val="0"/>
          <w:highlight w:val="none"/>
        </w:rPr>
        <w:t>（6）企业内部标准、工法。</w:t>
      </w:r>
    </w:p>
    <w:p>
      <w:pPr>
        <w:wordWrap w:val="0"/>
        <w:adjustRightInd w:val="0"/>
        <w:snapToGrid w:val="0"/>
        <w:spacing w:line="394" w:lineRule="exact"/>
        <w:ind w:firstLine="482" w:firstLineChars="200"/>
        <w:rPr>
          <w:rFonts w:ascii="Times New Roman"/>
          <w:snapToGrid w:val="0"/>
          <w:color w:val="auto"/>
          <w:kern w:val="0"/>
          <w:highlight w:val="none"/>
        </w:rPr>
      </w:pPr>
      <w:r>
        <w:rPr>
          <w:rFonts w:ascii="Times New Roman"/>
          <w:b/>
          <w:snapToGrid w:val="0"/>
          <w:color w:val="auto"/>
          <w:kern w:val="0"/>
          <w:highlight w:val="none"/>
        </w:rPr>
        <w:t>10.4.2</w:t>
      </w:r>
      <w:r>
        <w:rPr>
          <w:rFonts w:ascii="Times New Roman"/>
          <w:bCs/>
          <w:snapToGrid w:val="0"/>
          <w:color w:val="auto"/>
          <w:kern w:val="0"/>
          <w:highlight w:val="none"/>
        </w:rPr>
        <w:t xml:space="preserve"> </w:t>
      </w:r>
      <w:r>
        <w:rPr>
          <w:rFonts w:ascii="Times New Roman"/>
          <w:snapToGrid w:val="0"/>
          <w:color w:val="auto"/>
          <w:kern w:val="0"/>
          <w:highlight w:val="none"/>
        </w:rPr>
        <w:t>施工组织设计包括但不限于以下内容：</w:t>
      </w:r>
    </w:p>
    <w:p>
      <w:pPr>
        <w:wordWrap w:val="0"/>
        <w:adjustRightInd w:val="0"/>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（1）封面</w:t>
      </w:r>
      <w:r>
        <w:rPr>
          <w:rFonts w:ascii="Times New Roman"/>
          <w:snapToGrid w:val="0"/>
          <w:color w:val="auto"/>
          <w:kern w:val="0"/>
          <w:szCs w:val="18"/>
          <w:highlight w:val="none"/>
        </w:rPr>
        <w:t>（格式一）</w:t>
      </w:r>
      <w:r>
        <w:rPr>
          <w:rFonts w:ascii="Times New Roman"/>
          <w:snapToGrid w:val="0"/>
          <w:color w:val="auto"/>
          <w:kern w:val="0"/>
          <w:highlight w:val="none"/>
        </w:rPr>
        <w:t>；</w:t>
      </w:r>
    </w:p>
    <w:p>
      <w:pPr>
        <w:wordWrap w:val="0"/>
        <w:adjustRightInd w:val="0"/>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（2）目录；</w:t>
      </w:r>
    </w:p>
    <w:p>
      <w:pPr>
        <w:wordWrap w:val="0"/>
        <w:adjustRightInd w:val="0"/>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（3）总体概述（包括施工程序总体设想及施工段划分等内容）；</w:t>
      </w:r>
    </w:p>
    <w:p>
      <w:pPr>
        <w:wordWrap w:val="0"/>
        <w:adjustRightInd w:val="0"/>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（4）施工总进度计划及保证措施（包括进度管理目标；以横道图或标明关键线路的网络进度计划；保障进度计划需要的人、材、机需求计划及保证措施；违约责任承诺等内容）；</w:t>
      </w:r>
    </w:p>
    <w:p>
      <w:pPr>
        <w:wordWrap w:val="0"/>
        <w:adjustRightInd w:val="0"/>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（5）质量保证措施（包括质量管理目标；相应保证措施；违约责任承诺等内容）；</w:t>
      </w:r>
    </w:p>
    <w:p>
      <w:pPr>
        <w:wordWrap w:val="0"/>
        <w:adjustRightInd w:val="0"/>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（6）施工技术措施（包括关键施工技术、工艺及工程项目实施的重点、难点分析和解决方案；新技术应用与承诺等内容）；</w:t>
      </w:r>
    </w:p>
    <w:p>
      <w:pPr>
        <w:wordWrap w:val="0"/>
        <w:adjustRightInd w:val="0"/>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（7）绿色施工、安全防护、文明施工措施计划；</w:t>
      </w:r>
    </w:p>
    <w:p>
      <w:pPr>
        <w:wordWrap w:val="0"/>
        <w:adjustRightInd w:val="0"/>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（8）施工现场总平面布置（投标人应递交一份施工现场总平面布置图，绘出现场临时设施布置图表并附文字说明，说明临时设施、加工车间、现场办公等设施的情况和布置）；</w:t>
      </w:r>
    </w:p>
    <w:p>
      <w:pPr>
        <w:wordWrap w:val="0"/>
        <w:adjustRightInd w:val="0"/>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（9）项目管理机构。</w:t>
      </w:r>
    </w:p>
    <w:p>
      <w:pPr>
        <w:wordWrap w:val="0"/>
        <w:adjustRightInd w:val="0"/>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（10）投标人认为有必要补充的其他内容（例如对总包管理的认识以及对专业分包工程的管理、协调、配合、服务方案）。</w:t>
      </w:r>
    </w:p>
    <w:p>
      <w:pPr>
        <w:wordWrap w:val="0"/>
        <w:adjustRightInd w:val="0"/>
        <w:snapToGrid w:val="0"/>
        <w:spacing w:line="394"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10.4.3</w:t>
      </w:r>
      <w:r>
        <w:rPr>
          <w:rFonts w:ascii="Times New Roman"/>
          <w:snapToGrid w:val="0"/>
          <w:color w:val="auto"/>
          <w:kern w:val="0"/>
          <w:highlight w:val="none"/>
        </w:rPr>
        <w:t xml:space="preserve"> 本节第</w:t>
      </w:r>
      <w:r>
        <w:rPr>
          <w:rFonts w:ascii="Times New Roman"/>
          <w:b/>
          <w:bCs/>
          <w:snapToGrid w:val="0"/>
          <w:color w:val="auto"/>
          <w:kern w:val="0"/>
          <w:highlight w:val="none"/>
        </w:rPr>
        <w:t>10.4.2</w:t>
      </w:r>
      <w:r>
        <w:rPr>
          <w:rFonts w:ascii="Times New Roman"/>
          <w:snapToGrid w:val="0"/>
          <w:color w:val="auto"/>
          <w:kern w:val="0"/>
          <w:highlight w:val="none"/>
        </w:rPr>
        <w:t>目中所列出的施工组织设计组成内容中，第（1）至第（9）项</w:t>
      </w:r>
      <w:r>
        <w:rPr>
          <w:rFonts w:ascii="Times New Roman"/>
          <w:snapToGrid w:val="0"/>
          <w:color w:val="auto"/>
          <w:kern w:val="0"/>
          <w:szCs w:val="18"/>
          <w:highlight w:val="none"/>
        </w:rPr>
        <w:t>所有投标人均应提供</w:t>
      </w:r>
      <w:r>
        <w:rPr>
          <w:rFonts w:ascii="Times New Roman"/>
          <w:snapToGrid w:val="0"/>
          <w:color w:val="auto"/>
          <w:kern w:val="0"/>
          <w:highlight w:val="none"/>
        </w:rPr>
        <w:t>。</w:t>
      </w:r>
    </w:p>
    <w:p>
      <w:pPr>
        <w:wordWrap w:val="0"/>
        <w:adjustRightInd w:val="0"/>
        <w:snapToGrid w:val="0"/>
        <w:spacing w:line="394"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10.4.4</w:t>
      </w:r>
      <w:r>
        <w:rPr>
          <w:rFonts w:ascii="Times New Roman"/>
          <w:snapToGrid w:val="0"/>
          <w:color w:val="auto"/>
          <w:kern w:val="0"/>
          <w:highlight w:val="none"/>
        </w:rPr>
        <w:t xml:space="preserve"> 施工组织设计的组成内容按本节第</w:t>
      </w:r>
      <w:r>
        <w:rPr>
          <w:rFonts w:ascii="Times New Roman"/>
          <w:b/>
          <w:bCs/>
          <w:snapToGrid w:val="0"/>
          <w:color w:val="auto"/>
          <w:kern w:val="0"/>
          <w:highlight w:val="none"/>
        </w:rPr>
        <w:t>10.4.2</w:t>
      </w:r>
      <w:r>
        <w:rPr>
          <w:rFonts w:ascii="Times New Roman"/>
          <w:snapToGrid w:val="0"/>
          <w:color w:val="auto"/>
          <w:kern w:val="0"/>
          <w:highlight w:val="none"/>
        </w:rPr>
        <w:t>目规定的顺序整理、编排后，逐页（不含封面、目录）连续标记页码。</w:t>
      </w:r>
    </w:p>
    <w:p>
      <w:pPr>
        <w:wordWrap w:val="0"/>
        <w:adjustRightInd w:val="0"/>
        <w:snapToGrid w:val="0"/>
        <w:spacing w:line="394" w:lineRule="exact"/>
        <w:ind w:firstLine="482" w:firstLineChars="200"/>
        <w:rPr>
          <w:rFonts w:ascii="Times New Roman"/>
          <w:i/>
          <w:iCs/>
          <w:snapToGrid w:val="0"/>
          <w:color w:val="auto"/>
          <w:kern w:val="0"/>
          <w:highlight w:val="none"/>
        </w:rPr>
      </w:pPr>
      <w:r>
        <w:rPr>
          <w:rFonts w:ascii="Times New Roman"/>
          <w:b/>
          <w:bCs/>
          <w:snapToGrid w:val="0"/>
          <w:color w:val="auto"/>
          <w:kern w:val="0"/>
          <w:highlight w:val="none"/>
        </w:rPr>
        <w:t>10.4.5</w:t>
      </w:r>
      <w:r>
        <w:rPr>
          <w:rFonts w:ascii="Times New Roman"/>
          <w:snapToGrid w:val="0"/>
          <w:color w:val="auto"/>
          <w:kern w:val="0"/>
          <w:highlight w:val="none"/>
        </w:rPr>
        <w:t xml:space="preserve"> 施工组织设计的正文除施工现场平面布置图和进度计划图如有需要可采用白色标准A3纸打印外（折叠成A4大小），其他内容一律用白色标准A4纸打印。</w:t>
      </w:r>
    </w:p>
    <w:p>
      <w:pPr>
        <w:wordWrap w:val="0"/>
        <w:adjustRightInd w:val="0"/>
        <w:snapToGrid w:val="0"/>
        <w:spacing w:line="394"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10.4.6</w:t>
      </w:r>
      <w:r>
        <w:rPr>
          <w:rFonts w:ascii="Times New Roman"/>
          <w:snapToGrid w:val="0"/>
          <w:color w:val="auto"/>
          <w:kern w:val="0"/>
          <w:highlight w:val="none"/>
        </w:rPr>
        <w:t xml:space="preserve"> 施工组织设计应尽量避免手工涂改、行间插字或删除。如果出现上述情况，改动之处应加盖单位章或由投标人的法定代表人或其委托代理人签字确认。</w:t>
      </w:r>
    </w:p>
    <w:p>
      <w:pPr>
        <w:wordWrap w:val="0"/>
        <w:adjustRightInd w:val="0"/>
        <w:snapToGrid w:val="0"/>
        <w:spacing w:line="394" w:lineRule="exact"/>
        <w:ind w:firstLine="482" w:firstLineChars="200"/>
        <w:rPr>
          <w:rFonts w:ascii="Times New Roman"/>
          <w:snapToGrid w:val="0"/>
          <w:color w:val="auto"/>
          <w:kern w:val="0"/>
          <w:highlight w:val="none"/>
        </w:rPr>
      </w:pPr>
      <w:r>
        <w:rPr>
          <w:rFonts w:ascii="Times New Roman"/>
          <w:b/>
          <w:bCs/>
          <w:snapToGrid w:val="0"/>
          <w:color w:val="auto"/>
          <w:kern w:val="0"/>
          <w:szCs w:val="22"/>
          <w:highlight w:val="none"/>
        </w:rPr>
        <w:t>10.4.7</w:t>
      </w:r>
      <w:r>
        <w:rPr>
          <w:rFonts w:ascii="Times New Roman"/>
          <w:snapToGrid w:val="0"/>
          <w:color w:val="auto"/>
          <w:kern w:val="0"/>
          <w:highlight w:val="none"/>
        </w:rPr>
        <w:t>施工组织设计电子文件制作要求</w:t>
      </w:r>
    </w:p>
    <w:p>
      <w:pPr>
        <w:snapToGrid w:val="0"/>
        <w:spacing w:line="394" w:lineRule="exact"/>
        <w:ind w:firstLine="480" w:firstLineChars="200"/>
        <w:rPr>
          <w:rFonts w:ascii="Times New Roman"/>
          <w:snapToGrid w:val="0"/>
          <w:color w:val="auto"/>
          <w:kern w:val="0"/>
          <w:highlight w:val="none"/>
        </w:rPr>
      </w:pPr>
      <w:r>
        <w:rPr>
          <w:rFonts w:ascii="Times New Roman"/>
          <w:snapToGrid w:val="0"/>
          <w:color w:val="auto"/>
          <w:kern w:val="0"/>
          <w:highlight w:val="none"/>
        </w:rPr>
        <w:t>投标人应将施工组织设计</w:t>
      </w:r>
      <w:r>
        <w:rPr>
          <w:rFonts w:ascii="Times New Roman"/>
          <w:bCs/>
          <w:snapToGrid w:val="0"/>
          <w:color w:val="auto"/>
          <w:kern w:val="0"/>
          <w:highlight w:val="none"/>
        </w:rPr>
        <w:t>正本的</w:t>
      </w:r>
      <w:r>
        <w:rPr>
          <w:rFonts w:ascii="Times New Roman"/>
          <w:snapToGrid w:val="0"/>
          <w:color w:val="auto"/>
          <w:kern w:val="0"/>
          <w:highlight w:val="none"/>
        </w:rPr>
        <w:t xml:space="preserve">所有内容（已经按招标文件规定签字、盖章）扫描制作成一个PDF格式电子文件，刻录入不可擦写光盘或复制到U盘，装入信封（信封正面标明投标项目名称、分册名称、投标人名称）后放入施工组织设计正本。  </w:t>
      </w:r>
    </w:p>
    <w:p>
      <w:pPr>
        <w:wordWrap w:val="0"/>
        <w:adjustRightInd w:val="0"/>
        <w:snapToGrid w:val="0"/>
        <w:spacing w:line="440" w:lineRule="exact"/>
        <w:ind w:firstLine="480" w:firstLineChars="200"/>
        <w:rPr>
          <w:rFonts w:ascii="Times New Roman"/>
          <w:snapToGrid w:val="0"/>
          <w:color w:val="auto"/>
          <w:kern w:val="0"/>
          <w:highlight w:val="none"/>
        </w:rPr>
      </w:pPr>
    </w:p>
    <w:p>
      <w:pPr>
        <w:pStyle w:val="5"/>
        <w:wordWrap w:val="0"/>
        <w:snapToGrid w:val="0"/>
        <w:spacing w:line="440" w:lineRule="exact"/>
        <w:ind w:firstLine="480"/>
        <w:jc w:val="both"/>
        <w:rPr>
          <w:rFonts w:ascii="Times New Roman"/>
          <w:b/>
          <w:snapToGrid w:val="0"/>
          <w:color w:val="auto"/>
          <w:highlight w:val="none"/>
        </w:rPr>
      </w:pPr>
      <w:bookmarkStart w:id="57" w:name="_Toc5553"/>
      <w:r>
        <w:rPr>
          <w:rFonts w:ascii="Times New Roman"/>
          <w:b/>
          <w:snapToGrid w:val="0"/>
          <w:color w:val="auto"/>
          <w:highlight w:val="none"/>
        </w:rPr>
        <w:t>11．投标文件的包装、密封、标记</w:t>
      </w:r>
      <w:bookmarkEnd w:id="57"/>
    </w:p>
    <w:p>
      <w:pPr>
        <w:wordWrap w:val="0"/>
        <w:adjustRightInd w:val="0"/>
        <w:snapToGrid w:val="0"/>
        <w:spacing w:line="440" w:lineRule="exact"/>
        <w:ind w:firstLine="482" w:firstLineChars="200"/>
        <w:rPr>
          <w:rFonts w:ascii="Times New Roman"/>
          <w:snapToGrid w:val="0"/>
          <w:color w:val="auto"/>
          <w:kern w:val="0"/>
          <w:highlight w:val="none"/>
        </w:rPr>
      </w:pPr>
      <w:bookmarkStart w:id="58" w:name="_Hlt66511038"/>
      <w:bookmarkEnd w:id="58"/>
      <w:bookmarkStart w:id="59" w:name="_Hlt66200498"/>
      <w:bookmarkEnd w:id="59"/>
      <w:r>
        <w:rPr>
          <w:rFonts w:ascii="Times New Roman"/>
          <w:b/>
          <w:bCs/>
          <w:snapToGrid w:val="0"/>
          <w:color w:val="auto"/>
          <w:kern w:val="0"/>
          <w:highlight w:val="none"/>
        </w:rPr>
        <w:t>11.1</w:t>
      </w:r>
      <w:r>
        <w:rPr>
          <w:rFonts w:ascii="Times New Roman"/>
          <w:snapToGrid w:val="0"/>
          <w:color w:val="auto"/>
          <w:kern w:val="0"/>
          <w:highlight w:val="none"/>
        </w:rPr>
        <w:t xml:space="preserve"> 投标文件各分册须分开包装、密封</w:t>
      </w:r>
      <w:bookmarkStart w:id="60" w:name="_Hlt69634391"/>
      <w:bookmarkEnd w:id="60"/>
      <w:r>
        <w:rPr>
          <w:rFonts w:ascii="Times New Roman"/>
          <w:snapToGrid w:val="0"/>
          <w:color w:val="auto"/>
          <w:kern w:val="0"/>
          <w:highlight w:val="none"/>
        </w:rPr>
        <w:t>。投标人应在投标文件封套封口处加贴封条，并骑缝盖单位章。封套上写明：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exact"/>
          <w:jc w:val="center"/>
        </w:trPr>
        <w:tc>
          <w:tcPr>
            <w:tcW w:w="7265" w:type="dxa"/>
            <w:noWrap w:val="0"/>
            <w:vAlign w:val="center"/>
          </w:tcPr>
          <w:p>
            <w:pPr>
              <w:wordWrap w:val="0"/>
              <w:adjustRightInd w:val="0"/>
              <w:snapToGrid w:val="0"/>
              <w:jc w:val="center"/>
              <w:rPr>
                <w:rFonts w:ascii="Times New Roman"/>
                <w:snapToGrid w:val="0"/>
                <w:color w:val="auto"/>
                <w:kern w:val="0"/>
                <w:highlight w:val="none"/>
                <w:u w:val="single"/>
              </w:rPr>
            </w:pPr>
            <w:r>
              <w:rPr>
                <w:rFonts w:hint="eastAsia" w:ascii="Times New Roman"/>
                <w:bCs/>
                <w:snapToGrid w:val="0"/>
                <w:color w:val="auto"/>
                <w:kern w:val="0"/>
                <w:highlight w:val="none"/>
                <w:u w:val="single"/>
                <w:lang w:eastAsia="zh-CN"/>
              </w:rPr>
              <w:t>乐昌市沙坪镇农村生活污水治理项目（新建）施工</w:t>
            </w:r>
            <w:r>
              <w:rPr>
                <w:rFonts w:ascii="Times New Roman"/>
                <w:snapToGrid w:val="0"/>
                <w:color w:val="auto"/>
                <w:kern w:val="0"/>
                <w:highlight w:val="none"/>
              </w:rPr>
              <w:t>投标文件</w:t>
            </w:r>
          </w:p>
          <w:p>
            <w:pPr>
              <w:wordWrap w:val="0"/>
              <w:adjustRightInd w:val="0"/>
              <w:snapToGrid w:val="0"/>
              <w:jc w:val="center"/>
              <w:rPr>
                <w:rFonts w:ascii="Times New Roman"/>
                <w:snapToGrid w:val="0"/>
                <w:color w:val="auto"/>
                <w:kern w:val="0"/>
                <w:highlight w:val="none"/>
              </w:rPr>
            </w:pPr>
            <w:r>
              <w:rPr>
                <w:rFonts w:ascii="Times New Roman"/>
                <w:snapToGrid w:val="0"/>
                <w:color w:val="auto"/>
                <w:kern w:val="0"/>
                <w:highlight w:val="none"/>
              </w:rPr>
              <w:t>（商务标书 / 经济标书 / 施工组织设计）</w:t>
            </w:r>
          </w:p>
          <w:p>
            <w:pPr>
              <w:wordWrap w:val="0"/>
              <w:adjustRightInd w:val="0"/>
              <w:snapToGrid w:val="0"/>
              <w:ind w:firstLine="362" w:firstLineChars="151"/>
              <w:rPr>
                <w:rFonts w:ascii="Times New Roman"/>
                <w:snapToGrid w:val="0"/>
                <w:color w:val="auto"/>
                <w:kern w:val="0"/>
                <w:highlight w:val="none"/>
              </w:rPr>
            </w:pPr>
          </w:p>
          <w:p>
            <w:pPr>
              <w:wordWrap w:val="0"/>
              <w:adjustRightInd w:val="0"/>
              <w:snapToGrid w:val="0"/>
              <w:ind w:firstLine="362" w:firstLineChars="151"/>
              <w:rPr>
                <w:rFonts w:ascii="Times New Roman"/>
                <w:snapToGrid w:val="0"/>
                <w:color w:val="auto"/>
                <w:kern w:val="0"/>
                <w:highlight w:val="none"/>
              </w:rPr>
            </w:pPr>
            <w:r>
              <w:rPr>
                <w:rFonts w:ascii="Times New Roman"/>
                <w:snapToGrid w:val="0"/>
                <w:color w:val="auto"/>
                <w:kern w:val="0"/>
                <w:highlight w:val="none"/>
              </w:rPr>
              <w:t>投标人名称：</w:t>
            </w:r>
          </w:p>
          <w:p>
            <w:pPr>
              <w:wordWrap w:val="0"/>
              <w:adjustRightInd w:val="0"/>
              <w:snapToGrid w:val="0"/>
              <w:ind w:firstLine="362" w:firstLineChars="151"/>
              <w:rPr>
                <w:rFonts w:ascii="Times New Roman"/>
                <w:snapToGrid w:val="0"/>
                <w:color w:val="auto"/>
                <w:kern w:val="0"/>
                <w:highlight w:val="none"/>
              </w:rPr>
            </w:pPr>
            <w:r>
              <w:rPr>
                <w:rFonts w:ascii="Times New Roman"/>
                <w:snapToGrid w:val="0"/>
                <w:color w:val="auto"/>
                <w:kern w:val="0"/>
                <w:highlight w:val="none"/>
              </w:rPr>
              <w:t>投标人地址：</w:t>
            </w:r>
          </w:p>
          <w:p>
            <w:pPr>
              <w:wordWrap w:val="0"/>
              <w:adjustRightInd w:val="0"/>
              <w:snapToGrid w:val="0"/>
              <w:ind w:firstLine="338" w:firstLineChars="141"/>
              <w:rPr>
                <w:rFonts w:ascii="Times New Roman"/>
                <w:snapToGrid w:val="0"/>
                <w:color w:val="auto"/>
                <w:kern w:val="0"/>
                <w:highlight w:val="none"/>
              </w:rPr>
            </w:pPr>
            <w:r>
              <w:rPr>
                <w:rFonts w:ascii="Times New Roman"/>
                <w:snapToGrid w:val="0"/>
                <w:color w:val="auto"/>
                <w:kern w:val="0"/>
                <w:highlight w:val="none"/>
              </w:rPr>
              <w:t>在</w:t>
            </w:r>
            <w:r>
              <w:rPr>
                <w:rFonts w:ascii="Times New Roman"/>
                <w:snapToGrid w:val="0"/>
                <w:color w:val="auto"/>
                <w:kern w:val="0"/>
                <w:highlight w:val="none"/>
                <w:u w:val="single"/>
              </w:rPr>
              <w:t xml:space="preserve">      </w:t>
            </w:r>
            <w:r>
              <w:rPr>
                <w:rFonts w:ascii="Times New Roman"/>
                <w:snapToGrid w:val="0"/>
                <w:color w:val="auto"/>
                <w:kern w:val="0"/>
                <w:highlight w:val="none"/>
              </w:rPr>
              <w:t>年</w:t>
            </w:r>
            <w:r>
              <w:rPr>
                <w:rFonts w:ascii="Times New Roman"/>
                <w:snapToGrid w:val="0"/>
                <w:color w:val="auto"/>
                <w:kern w:val="0"/>
                <w:highlight w:val="none"/>
                <w:u w:val="single"/>
              </w:rPr>
              <w:t xml:space="preserve">    </w:t>
            </w:r>
            <w:r>
              <w:rPr>
                <w:rFonts w:ascii="Times New Roman"/>
                <w:snapToGrid w:val="0"/>
                <w:color w:val="auto"/>
                <w:kern w:val="0"/>
                <w:highlight w:val="none"/>
              </w:rPr>
              <w:t>月</w:t>
            </w:r>
            <w:r>
              <w:rPr>
                <w:rFonts w:ascii="Times New Roman"/>
                <w:snapToGrid w:val="0"/>
                <w:color w:val="auto"/>
                <w:kern w:val="0"/>
                <w:highlight w:val="none"/>
                <w:u w:val="single"/>
              </w:rPr>
              <w:t xml:space="preserve">    </w:t>
            </w:r>
            <w:r>
              <w:rPr>
                <w:rFonts w:ascii="Times New Roman"/>
                <w:snapToGrid w:val="0"/>
                <w:color w:val="auto"/>
                <w:kern w:val="0"/>
                <w:highlight w:val="none"/>
              </w:rPr>
              <w:t>日</w:t>
            </w:r>
            <w:r>
              <w:rPr>
                <w:rFonts w:ascii="Times New Roman"/>
                <w:snapToGrid w:val="0"/>
                <w:color w:val="auto"/>
                <w:kern w:val="0"/>
                <w:highlight w:val="none"/>
                <w:u w:val="single"/>
              </w:rPr>
              <w:t xml:space="preserve">    </w:t>
            </w:r>
            <w:r>
              <w:rPr>
                <w:rFonts w:ascii="Times New Roman"/>
                <w:snapToGrid w:val="0"/>
                <w:color w:val="auto"/>
                <w:kern w:val="0"/>
                <w:highlight w:val="none"/>
              </w:rPr>
              <w:t>时</w:t>
            </w:r>
            <w:r>
              <w:rPr>
                <w:rFonts w:ascii="Times New Roman"/>
                <w:snapToGrid w:val="0"/>
                <w:color w:val="auto"/>
                <w:kern w:val="0"/>
                <w:highlight w:val="none"/>
                <w:u w:val="single"/>
              </w:rPr>
              <w:t xml:space="preserve">    </w:t>
            </w:r>
            <w:r>
              <w:rPr>
                <w:rFonts w:ascii="Times New Roman"/>
                <w:snapToGrid w:val="0"/>
                <w:color w:val="auto"/>
                <w:kern w:val="0"/>
                <w:highlight w:val="none"/>
              </w:rPr>
              <w:t>分（开标时间）前不得拆封</w:t>
            </w:r>
          </w:p>
        </w:tc>
      </w:tr>
    </w:tbl>
    <w:p>
      <w:pPr>
        <w:wordWrap w:val="0"/>
        <w:adjustRightInd w:val="0"/>
        <w:snapToGrid w:val="0"/>
        <w:spacing w:line="440" w:lineRule="exact"/>
        <w:ind w:firstLine="560"/>
        <w:rPr>
          <w:rFonts w:hint="eastAsia"/>
          <w:lang w:eastAsia="zh-CN"/>
        </w:rPr>
      </w:pPr>
      <w:r>
        <w:rPr>
          <w:rFonts w:ascii="Times New Roman"/>
          <w:b/>
          <w:bCs/>
          <w:snapToGrid w:val="0"/>
          <w:color w:val="auto"/>
          <w:kern w:val="0"/>
          <w:highlight w:val="none"/>
        </w:rPr>
        <w:t>11.2</w:t>
      </w:r>
      <w:r>
        <w:rPr>
          <w:rFonts w:ascii="Times New Roman"/>
          <w:snapToGrid w:val="0"/>
          <w:color w:val="auto"/>
          <w:kern w:val="0"/>
          <w:highlight w:val="none"/>
        </w:rPr>
        <w:t xml:space="preserve"> 投标人未按以上要求包装、密封、标记投标文件或投标文件密封不严、标记不明而造成的损失和后果，由投标人自行承担。</w:t>
      </w:r>
      <w:bookmarkStart w:id="61" w:name="_Hlt88627590"/>
      <w:bookmarkEnd w:id="61"/>
    </w:p>
    <w:p>
      <w:pPr>
        <w:pStyle w:val="5"/>
        <w:wordWrap w:val="0"/>
        <w:snapToGrid w:val="0"/>
        <w:spacing w:line="440" w:lineRule="exact"/>
        <w:ind w:firstLine="480"/>
        <w:jc w:val="both"/>
        <w:rPr>
          <w:rFonts w:ascii="Times New Roman"/>
          <w:b/>
          <w:snapToGrid w:val="0"/>
          <w:color w:val="auto"/>
          <w:highlight w:val="none"/>
        </w:rPr>
      </w:pPr>
      <w:bookmarkStart w:id="62" w:name="_Toc7527"/>
      <w:r>
        <w:rPr>
          <w:rFonts w:ascii="Times New Roman"/>
          <w:b/>
          <w:snapToGrid w:val="0"/>
          <w:color w:val="auto"/>
          <w:highlight w:val="none"/>
        </w:rPr>
        <w:t>12．投标文件的递交</w:t>
      </w:r>
      <w:bookmarkEnd w:id="62"/>
    </w:p>
    <w:p>
      <w:pPr>
        <w:pStyle w:val="22"/>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szCs w:val="20"/>
          <w:highlight w:val="none"/>
        </w:rPr>
        <w:t>12.1</w:t>
      </w:r>
      <w:r>
        <w:rPr>
          <w:rFonts w:hint="eastAsia"/>
          <w:snapToGrid w:val="0"/>
          <w:color w:val="auto"/>
          <w:kern w:val="0"/>
          <w:sz w:val="24"/>
          <w:highlight w:val="none"/>
        </w:rPr>
        <w:t xml:space="preserve"> 投标人法定代表人或其委托代理人（以下简称“投标人代表”）应在指定的时间和地点进行电子签到，现场递交投标文件和相关资料。</w:t>
      </w:r>
    </w:p>
    <w:p>
      <w:pPr>
        <w:pStyle w:val="22"/>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szCs w:val="20"/>
          <w:highlight w:val="none"/>
        </w:rPr>
        <w:t>12.1.1</w:t>
      </w:r>
      <w:r>
        <w:rPr>
          <w:rFonts w:hint="eastAsia"/>
          <w:snapToGrid w:val="0"/>
          <w:color w:val="auto"/>
          <w:kern w:val="0"/>
          <w:sz w:val="24"/>
          <w:highlight w:val="none"/>
        </w:rPr>
        <w:t xml:space="preserve"> 递交时间和地点：见本章第二节“重要事项时间地点一览表”。</w:t>
      </w:r>
    </w:p>
    <w:p>
      <w:pPr>
        <w:pStyle w:val="22"/>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szCs w:val="20"/>
          <w:highlight w:val="none"/>
        </w:rPr>
        <w:t>12.1.2</w:t>
      </w:r>
      <w:r>
        <w:rPr>
          <w:rFonts w:hint="eastAsia"/>
          <w:snapToGrid w:val="0"/>
          <w:color w:val="auto"/>
          <w:kern w:val="0"/>
          <w:sz w:val="24"/>
          <w:highlight w:val="none"/>
        </w:rPr>
        <w:t xml:space="preserve"> 到场人员与投标人在电子投标时确定的人员应为同一人。如果投标人在电子投标时确定的人员因不可抗拒的原因不能到场、确需临时另行委托他人的，投标人应重新出具《授权委托书》，并就以上情况形成书面变更声明（盖单位章），由重新委托的代理人带至现场一并递交。重新出具的《授权委托书》及书面变更声明，构成投标文件的组成部分。</w:t>
      </w:r>
    </w:p>
    <w:p>
      <w:pPr>
        <w:pStyle w:val="22"/>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highlight w:val="none"/>
        </w:rPr>
        <w:t xml:space="preserve">12.1.3 </w:t>
      </w:r>
      <w:r>
        <w:rPr>
          <w:rFonts w:hint="eastAsia"/>
          <w:snapToGrid w:val="0"/>
          <w:color w:val="auto"/>
          <w:kern w:val="0"/>
          <w:sz w:val="24"/>
          <w:highlight w:val="none"/>
        </w:rPr>
        <w:t>投标人必须于电子投标截止时间（见本章第二节“重要事项时间地点一览表”）前完成电子投标。</w:t>
      </w:r>
    </w:p>
    <w:p>
      <w:pPr>
        <w:pStyle w:val="22"/>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szCs w:val="20"/>
          <w:highlight w:val="none"/>
        </w:rPr>
        <w:t>12.2</w:t>
      </w:r>
      <w:r>
        <w:rPr>
          <w:rFonts w:hint="eastAsia"/>
          <w:snapToGrid w:val="0"/>
          <w:color w:val="auto"/>
          <w:kern w:val="0"/>
          <w:sz w:val="24"/>
          <w:highlight w:val="none"/>
        </w:rPr>
        <w:t xml:space="preserve"> 投标人代表到达现场后，应出示以下身份证明材料：</w:t>
      </w:r>
    </w:p>
    <w:p>
      <w:pPr>
        <w:pStyle w:val="22"/>
        <w:wordWrap w:val="0"/>
        <w:adjustRightInd w:val="0"/>
        <w:snapToGrid w:val="0"/>
        <w:spacing w:line="440" w:lineRule="exact"/>
        <w:ind w:firstLine="480" w:firstLineChars="200"/>
        <w:jc w:val="left"/>
        <w:rPr>
          <w:rFonts w:hint="eastAsia"/>
          <w:snapToGrid w:val="0"/>
          <w:color w:val="auto"/>
          <w:kern w:val="0"/>
          <w:sz w:val="24"/>
          <w:highlight w:val="none"/>
        </w:rPr>
      </w:pPr>
      <w:r>
        <w:rPr>
          <w:rFonts w:hint="eastAsia"/>
          <w:snapToGrid w:val="0"/>
          <w:color w:val="auto"/>
          <w:kern w:val="0"/>
          <w:sz w:val="24"/>
          <w:highlight w:val="none"/>
        </w:rPr>
        <w:t>（1）本人有效的第二代居民身份证；</w:t>
      </w:r>
    </w:p>
    <w:p>
      <w:pPr>
        <w:pStyle w:val="22"/>
        <w:wordWrap w:val="0"/>
        <w:adjustRightInd w:val="0"/>
        <w:snapToGrid w:val="0"/>
        <w:spacing w:line="440" w:lineRule="exact"/>
        <w:ind w:firstLine="480" w:firstLineChars="200"/>
        <w:jc w:val="left"/>
        <w:rPr>
          <w:rFonts w:hint="eastAsia"/>
          <w:snapToGrid w:val="0"/>
          <w:color w:val="auto"/>
          <w:kern w:val="0"/>
          <w:sz w:val="24"/>
          <w:highlight w:val="none"/>
        </w:rPr>
      </w:pPr>
      <w:r>
        <w:rPr>
          <w:rFonts w:hint="eastAsia"/>
          <w:snapToGrid w:val="0"/>
          <w:color w:val="auto"/>
          <w:kern w:val="0"/>
          <w:sz w:val="24"/>
          <w:highlight w:val="none"/>
        </w:rPr>
        <w:t>（2）法定代表人到场的，出示《法定代表人身份证明》（格式五）；委托代理人到场的，应同时出示《授权委托书》（格式四）和《法定代表人身份证明》；</w:t>
      </w:r>
    </w:p>
    <w:p>
      <w:pPr>
        <w:pStyle w:val="22"/>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szCs w:val="20"/>
          <w:highlight w:val="none"/>
        </w:rPr>
        <w:t>12.3</w:t>
      </w:r>
      <w:r>
        <w:rPr>
          <w:rFonts w:hint="eastAsia"/>
          <w:snapToGrid w:val="0"/>
          <w:color w:val="auto"/>
          <w:kern w:val="0"/>
          <w:sz w:val="24"/>
          <w:highlight w:val="none"/>
        </w:rPr>
        <w:t xml:space="preserve"> 投标人代表除递交投标文件外，尚应递交以下的资料：</w:t>
      </w:r>
    </w:p>
    <w:p>
      <w:pPr>
        <w:pStyle w:val="22"/>
        <w:wordWrap w:val="0"/>
        <w:adjustRightInd w:val="0"/>
        <w:snapToGrid w:val="0"/>
        <w:spacing w:line="440" w:lineRule="exact"/>
        <w:ind w:firstLine="480" w:firstLineChars="200"/>
        <w:jc w:val="left"/>
        <w:rPr>
          <w:rFonts w:hint="eastAsia"/>
          <w:snapToGrid w:val="0"/>
          <w:color w:val="auto"/>
          <w:kern w:val="0"/>
          <w:sz w:val="24"/>
          <w:highlight w:val="none"/>
        </w:rPr>
      </w:pPr>
      <w:r>
        <w:rPr>
          <w:rFonts w:hint="eastAsia"/>
          <w:snapToGrid w:val="0"/>
          <w:color w:val="auto"/>
          <w:kern w:val="0"/>
          <w:sz w:val="24"/>
          <w:highlight w:val="none"/>
        </w:rPr>
        <w:t>（1）银行保函原件（适用于投标人采用投标保证担保的形式缴纳投标保证的）；</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（2）招标文件要求提交的用于评审的证书、证件、证明原件（原件提交要求详见本章第一节 投标人须知前附表 的有关条款）。</w:t>
      </w:r>
    </w:p>
    <w:p>
      <w:pPr>
        <w:pStyle w:val="22"/>
        <w:wordWrap w:val="0"/>
        <w:adjustRightInd w:val="0"/>
        <w:snapToGrid w:val="0"/>
        <w:spacing w:line="440" w:lineRule="exact"/>
        <w:ind w:firstLine="482" w:firstLineChars="200"/>
        <w:jc w:val="left"/>
        <w:rPr>
          <w:rFonts w:hint="eastAsia"/>
          <w:snapToGrid w:val="0"/>
          <w:color w:val="auto"/>
          <w:kern w:val="0"/>
          <w:highlight w:val="none"/>
        </w:rPr>
      </w:pPr>
      <w:r>
        <w:rPr>
          <w:rFonts w:hint="eastAsia"/>
          <w:b/>
          <w:bCs/>
          <w:snapToGrid w:val="0"/>
          <w:color w:val="auto"/>
          <w:kern w:val="0"/>
          <w:sz w:val="24"/>
          <w:szCs w:val="20"/>
          <w:highlight w:val="none"/>
        </w:rPr>
        <w:t>12.4</w:t>
      </w:r>
      <w:r>
        <w:rPr>
          <w:rFonts w:hint="eastAsia"/>
          <w:snapToGrid w:val="0"/>
          <w:color w:val="auto"/>
          <w:kern w:val="0"/>
          <w:sz w:val="24"/>
          <w:highlight w:val="none"/>
        </w:rPr>
        <w:t xml:space="preserve"> 联合体投标的，由联合体牵头人按以上要求递交投标文件和相关资料。</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12.5</w:t>
      </w:r>
      <w:r>
        <w:rPr>
          <w:rFonts w:ascii="Times New Roman"/>
          <w:snapToGrid w:val="0"/>
          <w:color w:val="auto"/>
          <w:kern w:val="0"/>
          <w:highlight w:val="none"/>
        </w:rPr>
        <w:t xml:space="preserve"> 招标人或其授权的招标代理机构核对、接收投标人递交的投标文件和相关资料后，应向投标人出具标明签收人和签收时间的凭证，并妥善保管。</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12.6</w:t>
      </w:r>
      <w:r>
        <w:rPr>
          <w:rFonts w:ascii="Times New Roman"/>
          <w:snapToGrid w:val="0"/>
          <w:color w:val="auto"/>
          <w:kern w:val="0"/>
          <w:highlight w:val="none"/>
        </w:rPr>
        <w:t xml:space="preserve"> 投标人发生以下情形</w:t>
      </w:r>
      <w:r>
        <w:rPr>
          <w:rFonts w:ascii="Times New Roman"/>
          <w:snapToGrid w:val="0"/>
          <w:color w:val="auto"/>
          <w:kern w:val="0"/>
          <w:szCs w:val="22"/>
          <w:highlight w:val="none"/>
        </w:rPr>
        <w:t>的，其投标文件招标人不予接收</w:t>
      </w:r>
      <w:r>
        <w:rPr>
          <w:rFonts w:ascii="Times New Roman"/>
          <w:snapToGrid w:val="0"/>
          <w:color w:val="auto"/>
          <w:kern w:val="0"/>
          <w:highlight w:val="none"/>
        </w:rPr>
        <w:t>：</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（1）未在指定的时间和地点递交投标文件和相关资料的；</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（2）到场人员未出示身份证明材料的；</w:t>
      </w:r>
    </w:p>
    <w:p>
      <w:pPr>
        <w:wordWrap w:val="0"/>
        <w:adjustRightInd w:val="0"/>
        <w:snapToGrid w:val="0"/>
        <w:spacing w:line="440" w:lineRule="exact"/>
        <w:ind w:firstLine="480" w:firstLineChars="200"/>
        <w:rPr>
          <w:rFonts w:ascii="Times New Roman"/>
          <w:strike/>
          <w:snapToGrid w:val="0"/>
          <w:color w:val="auto"/>
          <w:kern w:val="0"/>
          <w:highlight w:val="none"/>
        </w:rPr>
      </w:pPr>
      <w:r>
        <w:rPr>
          <w:rFonts w:ascii="Times New Roman"/>
          <w:snapToGrid w:val="0"/>
          <w:color w:val="auto"/>
          <w:kern w:val="0"/>
          <w:highlight w:val="none"/>
        </w:rPr>
        <w:t>（3）到场人员与投标人在电子投标时确定的人员不是同一人的，但投标人发生本节第</w:t>
      </w:r>
      <w:r>
        <w:rPr>
          <w:rFonts w:ascii="Times New Roman"/>
          <w:b/>
          <w:bCs/>
          <w:snapToGrid w:val="0"/>
          <w:color w:val="auto"/>
          <w:kern w:val="0"/>
          <w:highlight w:val="none"/>
        </w:rPr>
        <w:t>12.1.2</w:t>
      </w:r>
      <w:r>
        <w:rPr>
          <w:rFonts w:ascii="Times New Roman"/>
          <w:snapToGrid w:val="0"/>
          <w:color w:val="auto"/>
          <w:kern w:val="0"/>
          <w:highlight w:val="none"/>
        </w:rPr>
        <w:t>目所描述的情形、并递交了重新出具的《授权委托书》及书面变更声明的除外。</w:t>
      </w:r>
    </w:p>
    <w:p>
      <w:pPr>
        <w:wordWrap w:val="0"/>
        <w:adjustRightInd w:val="0"/>
        <w:snapToGrid w:val="0"/>
        <w:spacing w:line="440" w:lineRule="exact"/>
        <w:ind w:firstLine="482" w:firstLineChars="200"/>
        <w:rPr>
          <w:rFonts w:ascii="Times New Roman"/>
          <w:snapToGrid w:val="0"/>
          <w:color w:val="auto"/>
          <w:kern w:val="0"/>
          <w:szCs w:val="22"/>
          <w:highlight w:val="none"/>
        </w:rPr>
      </w:pPr>
      <w:r>
        <w:rPr>
          <w:rFonts w:ascii="Times New Roman"/>
          <w:b/>
          <w:bCs/>
          <w:snapToGrid w:val="0"/>
          <w:color w:val="auto"/>
          <w:kern w:val="0"/>
          <w:highlight w:val="none"/>
        </w:rPr>
        <w:t>12.7</w:t>
      </w:r>
      <w:r>
        <w:rPr>
          <w:rFonts w:ascii="Times New Roman"/>
          <w:snapToGrid w:val="0"/>
          <w:color w:val="auto"/>
          <w:kern w:val="0"/>
          <w:highlight w:val="none"/>
        </w:rPr>
        <w:t xml:space="preserve"> </w:t>
      </w:r>
      <w:r>
        <w:rPr>
          <w:rFonts w:ascii="Times New Roman"/>
          <w:snapToGrid w:val="0"/>
          <w:color w:val="auto"/>
          <w:kern w:val="0"/>
          <w:szCs w:val="22"/>
          <w:highlight w:val="none"/>
        </w:rPr>
        <w:t>因到场人员姓名、身份证号码等个人信息与其记录在建设工程交易系统的信息不符，或到场人员所持身份证不是有效的第二代居民身份证，或身份证识辨信息损毁而无法读取等情况导致电子签到失败的，招标人有权拒收其投标文件。</w:t>
      </w:r>
    </w:p>
    <w:p>
      <w:pPr>
        <w:wordWrap w:val="0"/>
        <w:adjustRightInd w:val="0"/>
        <w:snapToGrid w:val="0"/>
        <w:spacing w:line="440" w:lineRule="exact"/>
        <w:ind w:firstLine="482" w:firstLineChars="200"/>
        <w:rPr>
          <w:rFonts w:ascii="Times New Roman"/>
          <w:b/>
          <w:bCs/>
          <w:snapToGrid w:val="0"/>
          <w:color w:val="auto"/>
          <w:kern w:val="0"/>
          <w:highlight w:val="none"/>
        </w:rPr>
      </w:pPr>
      <w:r>
        <w:rPr>
          <w:b/>
          <w:bCs/>
          <w:color w:val="auto"/>
          <w:highlight w:val="none"/>
        </w:rPr>
        <w:t>12.8</w:t>
      </w:r>
      <w:r>
        <w:rPr>
          <w:rFonts w:ascii="Times New Roman"/>
          <w:b/>
          <w:bCs/>
          <w:snapToGrid w:val="0"/>
          <w:color w:val="auto"/>
          <w:highlight w:val="none"/>
        </w:rPr>
        <w:t xml:space="preserve"> </w:t>
      </w:r>
      <w:r>
        <w:rPr>
          <w:rFonts w:hint="eastAsia" w:hAnsi="宋体" w:cs="宋体"/>
          <w:b/>
          <w:bCs/>
          <w:color w:val="auto"/>
          <w:kern w:val="0"/>
          <w:szCs w:val="24"/>
          <w:highlight w:val="none"/>
          <w:shd w:val="clear" w:color="auto" w:fill="FFFFFF"/>
        </w:rPr>
        <w:t>来参加本次开标活动的法定代表人或授权代表人，如果法人代表人或授权代表人通信数据行程卡扫码显示7天内有到过中高风险地区的，需提供本工程开标之日前48小时内的本人《核酸检测证明》。</w:t>
      </w:r>
    </w:p>
    <w:p>
      <w:pPr>
        <w:pStyle w:val="5"/>
        <w:wordWrap w:val="0"/>
        <w:snapToGrid w:val="0"/>
        <w:spacing w:line="440" w:lineRule="exact"/>
        <w:ind w:firstLine="480"/>
        <w:jc w:val="both"/>
        <w:rPr>
          <w:rFonts w:ascii="Times New Roman"/>
          <w:b/>
          <w:snapToGrid w:val="0"/>
          <w:color w:val="auto"/>
          <w:highlight w:val="none"/>
        </w:rPr>
      </w:pPr>
      <w:bookmarkStart w:id="63" w:name="_Toc14255"/>
      <w:r>
        <w:rPr>
          <w:rFonts w:ascii="Times New Roman"/>
          <w:b/>
          <w:snapToGrid w:val="0"/>
          <w:color w:val="auto"/>
          <w:highlight w:val="none"/>
        </w:rPr>
        <w:t>13．投标有效期</w:t>
      </w:r>
      <w:bookmarkEnd w:id="63"/>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本次招标投标有效期为</w:t>
      </w:r>
      <w:r>
        <w:rPr>
          <w:rFonts w:ascii="Times New Roman"/>
          <w:snapToGrid w:val="0"/>
          <w:color w:val="auto"/>
          <w:kern w:val="0"/>
          <w:highlight w:val="none"/>
          <w:u w:val="single"/>
        </w:rPr>
        <w:t xml:space="preserve"> 90 </w:t>
      </w:r>
      <w:r>
        <w:rPr>
          <w:rFonts w:ascii="Times New Roman"/>
          <w:snapToGrid w:val="0"/>
          <w:color w:val="auto"/>
          <w:kern w:val="0"/>
          <w:highlight w:val="none"/>
        </w:rPr>
        <w:t>个日历天，自招标人或其授权的招标代理机构接收投标人递交的投标文件之日起计。在此期间，投标人不得撤销或修改其投标文件，否则其投标保证不予退还。</w:t>
      </w:r>
    </w:p>
    <w:p>
      <w:pPr>
        <w:pStyle w:val="5"/>
        <w:wordWrap w:val="0"/>
        <w:snapToGrid w:val="0"/>
        <w:spacing w:line="440" w:lineRule="exact"/>
        <w:ind w:firstLine="480"/>
        <w:jc w:val="both"/>
        <w:rPr>
          <w:rFonts w:ascii="Times New Roman"/>
          <w:b/>
          <w:snapToGrid w:val="0"/>
          <w:color w:val="auto"/>
          <w:highlight w:val="none"/>
        </w:rPr>
      </w:pPr>
      <w:bookmarkStart w:id="64" w:name="_Toc19852"/>
      <w:r>
        <w:rPr>
          <w:rFonts w:ascii="Times New Roman"/>
          <w:b/>
          <w:snapToGrid w:val="0"/>
          <w:color w:val="auto"/>
          <w:highlight w:val="none"/>
        </w:rPr>
        <w:t>14．开标</w:t>
      </w:r>
      <w:bookmarkEnd w:id="64"/>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14.1</w:t>
      </w:r>
      <w:r>
        <w:rPr>
          <w:rFonts w:hint="eastAsia"/>
          <w:snapToGrid w:val="0"/>
          <w:color w:val="auto"/>
          <w:kern w:val="0"/>
          <w:sz w:val="24"/>
          <w:highlight w:val="none"/>
        </w:rPr>
        <w:t xml:space="preserve"> 招标人邀请所有正确完成了网上报名、电子投标、缴纳投标保证、递交投标文件的投标人参加开标，投标人可自主决定是否参加。投标人不参加开标的，视其默认开标结果，以及放弃在开标期间见证、监督、投诉、申辩的权利。</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szCs w:val="20"/>
          <w:highlight w:val="none"/>
        </w:rPr>
        <w:t>14.1.1</w:t>
      </w:r>
      <w:r>
        <w:rPr>
          <w:rFonts w:hint="eastAsia"/>
          <w:snapToGrid w:val="0"/>
          <w:color w:val="auto"/>
          <w:kern w:val="0"/>
          <w:sz w:val="24"/>
          <w:highlight w:val="none"/>
        </w:rPr>
        <w:t xml:space="preserve"> 开标时间和地点：见本章第二节“重要事项时间地点一览表”。</w:t>
      </w:r>
    </w:p>
    <w:p>
      <w:pPr>
        <w:pStyle w:val="22"/>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szCs w:val="20"/>
          <w:highlight w:val="none"/>
        </w:rPr>
        <w:t>14.1.2</w:t>
      </w:r>
      <w:r>
        <w:rPr>
          <w:rFonts w:hint="eastAsia"/>
          <w:snapToGrid w:val="0"/>
          <w:color w:val="auto"/>
          <w:kern w:val="0"/>
          <w:sz w:val="24"/>
          <w:highlight w:val="none"/>
        </w:rPr>
        <w:t xml:space="preserve"> 开标前24小时，若建设工程交易系统显示缴纳投标保证（包括投标保证金、投标保证担保）的投标人数量不足3个时，招标人将取消原定于次日召开的开标活动。投标人可在投标保证缴纳截止时间（见本章第二节“重要事项时间地点一览表”）至电子投标截止时间（见本章第二节“重要事项时间地点一览表”）期间登录广东省公共资源交易平台（韶关市）（https://ygp.gdzwfw.gov.cn/ggzy-portal/#/440200/index）或韶关市公共资源交易一体化平台(http://portal.ythpt.sg.gov.cn)查询是否发布了取消开标活动的相关信息。</w:t>
      </w:r>
    </w:p>
    <w:p>
      <w:pPr>
        <w:wordWrap w:val="0"/>
        <w:adjustRightInd w:val="0"/>
        <w:snapToGrid w:val="0"/>
        <w:spacing w:line="440" w:lineRule="exact"/>
        <w:rPr>
          <w:rFonts w:ascii="Times New Roman"/>
          <w:snapToGrid w:val="0"/>
          <w:color w:val="auto"/>
          <w:kern w:val="0"/>
          <w:highlight w:val="none"/>
        </w:rPr>
      </w:pPr>
      <w:r>
        <w:rPr>
          <w:rFonts w:ascii="Times New Roman"/>
          <w:snapToGrid w:val="0"/>
          <w:color w:val="auto"/>
          <w:kern w:val="0"/>
          <w:highlight w:val="none"/>
        </w:rPr>
        <w:t xml:space="preserve">    </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14.2</w:t>
      </w:r>
      <w:r>
        <w:rPr>
          <w:rFonts w:ascii="Times New Roman"/>
          <w:snapToGrid w:val="0"/>
          <w:color w:val="auto"/>
          <w:kern w:val="0"/>
          <w:highlight w:val="none"/>
        </w:rPr>
        <w:t xml:space="preserve"> 开标程序</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（1）主持人（招标人代表或招标人授权的招标代理机构人员）宣读开标纪律。</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（2）主持人宣布唱标人、记录人、见证人、监督人等有关人员姓名。</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（3）唱标人公布在投标截止时间前递交投标文件的投标人数量和名称，并现场核实参加开标的投标人数量和名称。投标人未参加开标的，招标代理机构应将有关情形在《开标一览表》“备注”栏中注明。</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（4）</w:t>
      </w:r>
      <w:r>
        <w:rPr>
          <w:rFonts w:hAnsi="宋体" w:cs="宋体"/>
          <w:color w:val="auto"/>
          <w:szCs w:val="24"/>
          <w:highlight w:val="none"/>
        </w:rPr>
        <w:t>招标代理机构在交易场所工作人员的见证下，对投标人的电子投标信息进行解密，建设工程交易系统自动生成《投标保证缴纳情况表》和《开标一览表》。</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5）唱标人检查《投标保证缴纳情况表》中各投标人所缴纳投标保证的金额、有效期是否符合招标文件规定。若不符合规定，该投标人的投标无效。招标代理机构应将其投标文件退回，并将有关情形在《投标保证缴纳情况表》“备注”栏中注明。被退回的投标文件不予拆封，也不进入评标。</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6）唱标人检查各投标人所递交投标文件的包装、密封、标记是否符合招标文件规定，并邀请招标人代表、投标人代表复核确认。若不符合规定，该投标人的投标无效。招标代理机构应将其投标文件退回，并将有关情形在《开标一览表》“备注”栏中注明。被退回的投标文件不予拆封，也不进入评标。</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（7）唱标人检查《开标一览表》中各投标人的投标总价、质量标准、工期是否符合招标文件规定。若不符合规定，招标代理机构应将有关情形在《开标一览表》“备注”栏中注明。</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（8）投标文件的拆封</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对于评标方法采用“综合评估法”的，按照前面开标程序处理后，剩余投标人的投标文件均应拆封。唱标人应当众检查投标文件的分册组成、数量是否符合招标文件规定；是否按照招标文件规定提供电子文件（光盘或U盘）；施工组织设计采用“暗标”方式进行评审的，是否按照招标文件规定提供保密信封。若不符合规定，招标代理机构应将有关情形在《开标一览表》“备注”栏中注明。</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（9）投标人代表、招标人代表、唱标人、记录人等有关人员在《投标保证缴纳情况表》以及《开标一览表》上签字确认。</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（10）主持人宣布有关注意事项后，宣布开标结束。</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14.3</w:t>
      </w:r>
      <w:r>
        <w:rPr>
          <w:rFonts w:ascii="Times New Roman"/>
          <w:snapToGrid w:val="0"/>
          <w:color w:val="auto"/>
          <w:kern w:val="0"/>
          <w:highlight w:val="none"/>
        </w:rPr>
        <w:t xml:space="preserve"> 投标人对开标相关事项（如开标程序、投标文件包装和密封、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14.4</w:t>
      </w:r>
      <w:r>
        <w:rPr>
          <w:rFonts w:ascii="Times New Roman"/>
          <w:snapToGrid w:val="0"/>
          <w:color w:val="auto"/>
          <w:kern w:val="0"/>
          <w:highlight w:val="none"/>
        </w:rPr>
        <w:t xml:space="preserve"> 施工组织设计采用“暗标”方式进行评审的，在开标结束并清场后，由招标人代表在见证人或监督人见证下对施工组织设计文本及对应保密信封进行编号。号码可为随机数字或字母，但应确保同一投标人的施工组织设计文本编号与保密信封编号保持一致。招标人代表编号完毕后，将所有投标人的保密信封取出并装入同一个密封袋，并用封条密封。（本次招标不适用）</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14.5</w:t>
      </w:r>
      <w:r>
        <w:rPr>
          <w:rFonts w:ascii="Times New Roman"/>
          <w:snapToGrid w:val="0"/>
          <w:color w:val="auto"/>
          <w:kern w:val="0"/>
          <w:highlight w:val="none"/>
        </w:rPr>
        <w:t xml:space="preserve"> 招标代理机构将银行保函原件（若有）移交</w:t>
      </w:r>
      <w:r>
        <w:rPr>
          <w:rFonts w:hint="eastAsia" w:ascii="Times New Roman"/>
          <w:snapToGrid w:val="0"/>
          <w:color w:val="auto"/>
          <w:kern w:val="0"/>
          <w:highlight w:val="none"/>
          <w:lang w:eastAsia="zh-CN"/>
        </w:rPr>
        <w:t>韶关市公共资源交易中心</w:t>
      </w:r>
      <w:r>
        <w:rPr>
          <w:rFonts w:ascii="Times New Roman"/>
          <w:snapToGrid w:val="0"/>
          <w:color w:val="auto"/>
          <w:kern w:val="0"/>
          <w:highlight w:val="none"/>
        </w:rPr>
        <w:t>，将投标文件和资料原件、《开标一览表》以及其他有关资料移交评标委员会。</w:t>
      </w:r>
      <w:bookmarkStart w:id="65" w:name="_Hlt127093805"/>
      <w:bookmarkEnd w:id="65"/>
    </w:p>
    <w:p>
      <w:pPr>
        <w:pStyle w:val="5"/>
        <w:wordWrap w:val="0"/>
        <w:snapToGrid w:val="0"/>
        <w:spacing w:line="440" w:lineRule="exact"/>
        <w:ind w:firstLine="480"/>
        <w:jc w:val="both"/>
        <w:rPr>
          <w:rFonts w:ascii="Times New Roman"/>
          <w:b/>
          <w:snapToGrid w:val="0"/>
          <w:color w:val="auto"/>
          <w:highlight w:val="none"/>
        </w:rPr>
      </w:pPr>
      <w:bookmarkStart w:id="66" w:name="_Toc13067"/>
      <w:r>
        <w:rPr>
          <w:rFonts w:ascii="Times New Roman"/>
          <w:b/>
          <w:snapToGrid w:val="0"/>
          <w:color w:val="auto"/>
          <w:highlight w:val="none"/>
        </w:rPr>
        <w:t>15．评标</w:t>
      </w:r>
      <w:bookmarkEnd w:id="66"/>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ascii="Times New Roman"/>
          <w:snapToGrid w:val="0"/>
          <w:color w:val="auto"/>
          <w:kern w:val="0"/>
          <w:highlight w:val="none"/>
          <w:u w:val="single"/>
        </w:rPr>
        <w:t xml:space="preserve"> 3 </w:t>
      </w:r>
      <w:r>
        <w:rPr>
          <w:rFonts w:ascii="Times New Roman"/>
          <w:snapToGrid w:val="0"/>
          <w:color w:val="auto"/>
          <w:kern w:val="0"/>
          <w:highlight w:val="none"/>
        </w:rPr>
        <w:t>个中标候选人，并向招标人提交由全体评标委员会成员签字的评标报告。</w:t>
      </w:r>
    </w:p>
    <w:p>
      <w:pPr>
        <w:wordWrap w:val="0"/>
        <w:adjustRightInd w:val="0"/>
        <w:snapToGrid w:val="0"/>
        <w:spacing w:line="440" w:lineRule="exact"/>
        <w:ind w:firstLine="482" w:firstLineChars="200"/>
        <w:rPr>
          <w:rFonts w:ascii="Times New Roman"/>
          <w:bCs/>
          <w:snapToGrid w:val="0"/>
          <w:color w:val="auto"/>
          <w:kern w:val="0"/>
          <w:highlight w:val="none"/>
        </w:rPr>
      </w:pPr>
      <w:r>
        <w:rPr>
          <w:rFonts w:ascii="Times New Roman"/>
          <w:b/>
          <w:bCs/>
          <w:snapToGrid w:val="0"/>
          <w:color w:val="auto"/>
          <w:kern w:val="0"/>
          <w:highlight w:val="none"/>
        </w:rPr>
        <w:t>15.1</w:t>
      </w:r>
      <w:r>
        <w:rPr>
          <w:rFonts w:ascii="Times New Roman"/>
          <w:bCs/>
          <w:snapToGrid w:val="0"/>
          <w:color w:val="auto"/>
          <w:kern w:val="0"/>
          <w:highlight w:val="none"/>
        </w:rPr>
        <w:t xml:space="preserve"> 评标委员会</w:t>
      </w:r>
    </w:p>
    <w:p>
      <w:pPr>
        <w:wordWrap w:val="0"/>
        <w:adjustRightInd w:val="0"/>
        <w:snapToGrid w:val="0"/>
        <w:spacing w:line="440" w:lineRule="exact"/>
        <w:ind w:firstLine="480"/>
        <w:rPr>
          <w:rFonts w:ascii="Times New Roman"/>
          <w:snapToGrid w:val="0"/>
          <w:color w:val="auto"/>
          <w:kern w:val="0"/>
          <w:highlight w:val="none"/>
        </w:rPr>
      </w:pPr>
      <w:r>
        <w:rPr>
          <w:rFonts w:ascii="Times New Roman"/>
          <w:b/>
          <w:bCs/>
          <w:snapToGrid w:val="0"/>
          <w:color w:val="auto"/>
          <w:kern w:val="0"/>
          <w:highlight w:val="none"/>
        </w:rPr>
        <w:t>15.1.1</w:t>
      </w:r>
      <w:r>
        <w:rPr>
          <w:rFonts w:ascii="Times New Roman"/>
          <w:snapToGrid w:val="0"/>
          <w:color w:val="auto"/>
          <w:kern w:val="0"/>
          <w:highlight w:val="none"/>
        </w:rPr>
        <w:t xml:space="preserve"> 评标委员会由</w:t>
      </w:r>
      <w:r>
        <w:rPr>
          <w:rFonts w:ascii="Times New Roman"/>
          <w:snapToGrid w:val="0"/>
          <w:color w:val="auto"/>
          <w:kern w:val="0"/>
          <w:highlight w:val="none"/>
          <w:u w:val="single"/>
        </w:rPr>
        <w:t xml:space="preserve"> 5 </w:t>
      </w:r>
      <w:r>
        <w:rPr>
          <w:rFonts w:ascii="Times New Roman"/>
          <w:snapToGrid w:val="0"/>
          <w:color w:val="auto"/>
          <w:kern w:val="0"/>
          <w:highlight w:val="none"/>
        </w:rPr>
        <w:t>人组成，其中招标人代表</w:t>
      </w:r>
      <w:r>
        <w:rPr>
          <w:rFonts w:ascii="Times New Roman"/>
          <w:snapToGrid w:val="0"/>
          <w:color w:val="auto"/>
          <w:kern w:val="0"/>
          <w:highlight w:val="none"/>
          <w:u w:val="single"/>
        </w:rPr>
        <w:t xml:space="preserve"> 0 </w:t>
      </w:r>
      <w:r>
        <w:rPr>
          <w:rFonts w:ascii="Times New Roman"/>
          <w:snapToGrid w:val="0"/>
          <w:color w:val="auto"/>
          <w:kern w:val="0"/>
          <w:highlight w:val="none"/>
        </w:rPr>
        <w:t>人，专家</w:t>
      </w:r>
      <w:r>
        <w:rPr>
          <w:rFonts w:ascii="Times New Roman"/>
          <w:snapToGrid w:val="0"/>
          <w:color w:val="auto"/>
          <w:kern w:val="0"/>
          <w:highlight w:val="none"/>
          <w:u w:val="single"/>
        </w:rPr>
        <w:t xml:space="preserve"> 5 </w:t>
      </w:r>
      <w:r>
        <w:rPr>
          <w:rFonts w:ascii="Times New Roman"/>
          <w:snapToGrid w:val="0"/>
          <w:color w:val="auto"/>
          <w:kern w:val="0"/>
          <w:highlight w:val="none"/>
        </w:rPr>
        <w:t>人。专家从</w:t>
      </w:r>
      <w:r>
        <w:rPr>
          <w:rFonts w:ascii="Times New Roman"/>
          <w:snapToGrid w:val="0"/>
          <w:color w:val="auto"/>
          <w:kern w:val="0"/>
          <w:highlight w:val="none"/>
          <w:u w:val="single"/>
        </w:rPr>
        <w:t>广东省综合评标评审专家库--韶关区域</w:t>
      </w:r>
      <w:r>
        <w:rPr>
          <w:rFonts w:ascii="Times New Roman"/>
          <w:snapToGrid w:val="0"/>
          <w:color w:val="auto"/>
          <w:kern w:val="0"/>
          <w:highlight w:val="none"/>
        </w:rPr>
        <w:t>中随机抽取，其中技术类专家</w:t>
      </w:r>
      <w:r>
        <w:rPr>
          <w:rFonts w:ascii="Times New Roman"/>
          <w:snapToGrid w:val="0"/>
          <w:color w:val="auto"/>
          <w:kern w:val="0"/>
          <w:highlight w:val="none"/>
          <w:u w:val="single"/>
        </w:rPr>
        <w:t xml:space="preserve"> 3 </w:t>
      </w:r>
      <w:r>
        <w:rPr>
          <w:rFonts w:ascii="Times New Roman"/>
          <w:snapToGrid w:val="0"/>
          <w:color w:val="auto"/>
          <w:kern w:val="0"/>
          <w:highlight w:val="none"/>
        </w:rPr>
        <w:t>人，经济类专家</w:t>
      </w:r>
      <w:r>
        <w:rPr>
          <w:rFonts w:ascii="Times New Roman"/>
          <w:snapToGrid w:val="0"/>
          <w:color w:val="auto"/>
          <w:kern w:val="0"/>
          <w:highlight w:val="none"/>
          <w:u w:val="single"/>
        </w:rPr>
        <w:t xml:space="preserve"> 2 </w:t>
      </w:r>
      <w:r>
        <w:rPr>
          <w:rFonts w:ascii="Times New Roman"/>
          <w:snapToGrid w:val="0"/>
          <w:color w:val="auto"/>
          <w:kern w:val="0"/>
          <w:highlight w:val="none"/>
        </w:rPr>
        <w:t>人。评标委员会设负责人，由评标委员会成员推举产生。评标委员会负责人与评标委员会的其他成员有同等的表决权。</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15.1.2</w:t>
      </w:r>
      <w:r>
        <w:rPr>
          <w:rFonts w:ascii="Times New Roman"/>
          <w:snapToGrid w:val="0"/>
          <w:color w:val="auto"/>
          <w:kern w:val="0"/>
          <w:highlight w:val="none"/>
        </w:rPr>
        <w:t xml:space="preserve"> 评标委员会应认真、公正、诚实、廉洁地履行职责。有下列情形之一的，不得担任评标委员会成员：</w:t>
      </w:r>
    </w:p>
    <w:p>
      <w:pPr>
        <w:wordWrap w:val="0"/>
        <w:adjustRightInd w:val="0"/>
        <w:snapToGrid w:val="0"/>
        <w:spacing w:line="440" w:lineRule="exact"/>
        <w:ind w:firstLine="560"/>
        <w:rPr>
          <w:rFonts w:ascii="Times New Roman"/>
          <w:snapToGrid w:val="0"/>
          <w:color w:val="auto"/>
          <w:kern w:val="0"/>
          <w:highlight w:val="none"/>
        </w:rPr>
      </w:pPr>
      <w:r>
        <w:rPr>
          <w:rFonts w:ascii="Times New Roman"/>
          <w:snapToGrid w:val="0"/>
          <w:color w:val="auto"/>
          <w:kern w:val="0"/>
          <w:highlight w:val="none"/>
        </w:rPr>
        <w:t>（1）投标人或投标人主要负责人的近亲属；</w:t>
      </w:r>
    </w:p>
    <w:p>
      <w:pPr>
        <w:wordWrap w:val="0"/>
        <w:adjustRightInd w:val="0"/>
        <w:snapToGrid w:val="0"/>
        <w:spacing w:line="440" w:lineRule="exact"/>
        <w:ind w:firstLine="560"/>
        <w:rPr>
          <w:rFonts w:ascii="Times New Roman"/>
          <w:snapToGrid w:val="0"/>
          <w:color w:val="auto"/>
          <w:kern w:val="0"/>
          <w:highlight w:val="none"/>
        </w:rPr>
      </w:pPr>
      <w:r>
        <w:rPr>
          <w:rFonts w:ascii="Times New Roman"/>
          <w:snapToGrid w:val="0"/>
          <w:color w:val="auto"/>
          <w:kern w:val="0"/>
          <w:highlight w:val="none"/>
        </w:rPr>
        <w:t>（2）项目主管部门或者行政监督部门的人员；</w:t>
      </w:r>
    </w:p>
    <w:p>
      <w:pPr>
        <w:wordWrap w:val="0"/>
        <w:adjustRightInd w:val="0"/>
        <w:snapToGrid w:val="0"/>
        <w:spacing w:line="440" w:lineRule="exact"/>
        <w:ind w:firstLine="560"/>
        <w:rPr>
          <w:rFonts w:ascii="Times New Roman"/>
          <w:snapToGrid w:val="0"/>
          <w:color w:val="auto"/>
          <w:kern w:val="0"/>
          <w:highlight w:val="none"/>
        </w:rPr>
      </w:pPr>
      <w:r>
        <w:rPr>
          <w:rFonts w:ascii="Times New Roman"/>
          <w:snapToGrid w:val="0"/>
          <w:color w:val="auto"/>
          <w:kern w:val="0"/>
          <w:highlight w:val="none"/>
        </w:rPr>
        <w:t>（3）与投标人有经济利益关系，可能影响对投标公正评审的；</w:t>
      </w:r>
    </w:p>
    <w:p>
      <w:pPr>
        <w:wordWrap w:val="0"/>
        <w:adjustRightInd w:val="0"/>
        <w:snapToGrid w:val="0"/>
        <w:spacing w:line="440" w:lineRule="exact"/>
        <w:ind w:firstLine="560"/>
        <w:rPr>
          <w:rFonts w:ascii="Times New Roman"/>
          <w:snapToGrid w:val="0"/>
          <w:color w:val="auto"/>
          <w:kern w:val="0"/>
          <w:highlight w:val="none"/>
        </w:rPr>
      </w:pPr>
      <w:r>
        <w:rPr>
          <w:rFonts w:ascii="Times New Roman"/>
          <w:snapToGrid w:val="0"/>
          <w:color w:val="auto"/>
          <w:kern w:val="0"/>
          <w:highlight w:val="none"/>
        </w:rPr>
        <w:t>（4）曾因在招标、评标以及其他与招标投标有关活动中从事违法行为而受过行政处罚或刑事处罚的。</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评标委员会成员有以上情形之一的，应主动提出回避。</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15.1.3</w:t>
      </w:r>
      <w:r>
        <w:rPr>
          <w:rFonts w:ascii="Times New Roman"/>
          <w:snapToGrid w:val="0"/>
          <w:color w:val="auto"/>
          <w:kern w:val="0"/>
          <w:highlight w:val="none"/>
        </w:rPr>
        <w:t xml:space="preserve"> 评标全过程实行封闭式管理，在中标结果公布前，禁止评标委员会成员以任何方式私下接触投标人。</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15.1.4</w:t>
      </w:r>
      <w:r>
        <w:rPr>
          <w:rFonts w:ascii="Times New Roman"/>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pPr>
        <w:wordWrap w:val="0"/>
        <w:adjustRightInd w:val="0"/>
        <w:snapToGrid w:val="0"/>
        <w:spacing w:line="440" w:lineRule="exact"/>
        <w:ind w:firstLine="562"/>
        <w:rPr>
          <w:rFonts w:ascii="Times New Roman"/>
          <w:snapToGrid w:val="0"/>
          <w:color w:val="auto"/>
          <w:kern w:val="0"/>
          <w:highlight w:val="none"/>
        </w:rPr>
      </w:pPr>
      <w:r>
        <w:rPr>
          <w:rFonts w:ascii="Times New Roman"/>
          <w:b/>
          <w:bCs/>
          <w:snapToGrid w:val="0"/>
          <w:color w:val="auto"/>
          <w:kern w:val="0"/>
          <w:highlight w:val="none"/>
        </w:rPr>
        <w:t>15.1.5</w:t>
      </w:r>
      <w:r>
        <w:rPr>
          <w:rFonts w:ascii="Times New Roman"/>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pPr>
        <w:wordWrap w:val="0"/>
        <w:adjustRightInd w:val="0"/>
        <w:snapToGrid w:val="0"/>
        <w:spacing w:line="440" w:lineRule="exact"/>
        <w:ind w:firstLine="561"/>
        <w:rPr>
          <w:rFonts w:ascii="Times New Roman"/>
          <w:bCs/>
          <w:snapToGrid w:val="0"/>
          <w:color w:val="auto"/>
          <w:kern w:val="0"/>
          <w:highlight w:val="none"/>
        </w:rPr>
      </w:pPr>
      <w:r>
        <w:rPr>
          <w:rFonts w:ascii="Times New Roman"/>
          <w:b/>
          <w:bCs/>
          <w:snapToGrid w:val="0"/>
          <w:color w:val="auto"/>
          <w:kern w:val="0"/>
          <w:highlight w:val="none"/>
        </w:rPr>
        <w:t>15.2</w:t>
      </w:r>
      <w:r>
        <w:rPr>
          <w:rFonts w:ascii="Times New Roman"/>
          <w:bCs/>
          <w:snapToGrid w:val="0"/>
          <w:color w:val="auto"/>
          <w:kern w:val="0"/>
          <w:szCs w:val="22"/>
          <w:highlight w:val="none"/>
        </w:rPr>
        <w:t xml:space="preserve"> 评标方法</w:t>
      </w:r>
    </w:p>
    <w:p>
      <w:pPr>
        <w:wordWrap w:val="0"/>
        <w:adjustRightInd w:val="0"/>
        <w:snapToGrid w:val="0"/>
        <w:spacing w:line="440" w:lineRule="exact"/>
        <w:ind w:firstLine="562"/>
        <w:rPr>
          <w:rFonts w:ascii="Times New Roman"/>
          <w:snapToGrid w:val="0"/>
          <w:color w:val="auto"/>
          <w:kern w:val="0"/>
          <w:highlight w:val="none"/>
        </w:rPr>
      </w:pPr>
      <w:r>
        <w:rPr>
          <w:rFonts w:ascii="Times New Roman"/>
          <w:snapToGrid w:val="0"/>
          <w:color w:val="auto"/>
          <w:kern w:val="0"/>
          <w:highlight w:val="none"/>
        </w:rPr>
        <w:t>根据有关法律、法规的相关规定，结合本招标项目资金来源和规模特点，本次招标采用</w:t>
      </w:r>
      <w:r>
        <w:rPr>
          <w:rFonts w:ascii="Times New Roman"/>
          <w:snapToGrid w:val="0"/>
          <w:color w:val="auto"/>
          <w:kern w:val="0"/>
          <w:highlight w:val="none"/>
          <w:u w:val="single"/>
        </w:rPr>
        <w:t>综合评估法</w:t>
      </w:r>
      <w:r>
        <w:rPr>
          <w:rFonts w:ascii="Times New Roman"/>
          <w:snapToGrid w:val="0"/>
          <w:color w:val="auto"/>
          <w:kern w:val="0"/>
          <w:highlight w:val="none"/>
        </w:rPr>
        <w:t>进行评标。</w:t>
      </w:r>
    </w:p>
    <w:p>
      <w:pPr>
        <w:wordWrap w:val="0"/>
        <w:adjustRightInd w:val="0"/>
        <w:snapToGrid w:val="0"/>
        <w:spacing w:line="440" w:lineRule="exact"/>
        <w:rPr>
          <w:rFonts w:ascii="Times New Roman"/>
          <w:snapToGrid w:val="0"/>
          <w:color w:val="auto"/>
          <w:kern w:val="0"/>
          <w:highlight w:val="none"/>
        </w:rPr>
      </w:pPr>
      <w:r>
        <w:rPr>
          <w:rFonts w:ascii="Times New Roman"/>
          <w:b/>
          <w:bCs/>
          <w:snapToGrid w:val="0"/>
          <w:color w:val="auto"/>
          <w:kern w:val="0"/>
          <w:highlight w:val="none"/>
        </w:rPr>
        <w:t xml:space="preserve">    15.3 </w:t>
      </w:r>
      <w:r>
        <w:rPr>
          <w:rFonts w:ascii="Times New Roman"/>
          <w:snapToGrid w:val="0"/>
          <w:color w:val="auto"/>
          <w:kern w:val="0"/>
          <w:highlight w:val="none"/>
        </w:rPr>
        <w:t>评审范围：评标委员会应对所有投标人的投标文件进行评审。</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15.4</w:t>
      </w:r>
      <w:r>
        <w:rPr>
          <w:rFonts w:ascii="Times New Roman"/>
          <w:snapToGrid w:val="0"/>
          <w:color w:val="auto"/>
          <w:kern w:val="0"/>
          <w:highlight w:val="none"/>
        </w:rPr>
        <w:t xml:space="preserve"> 初步评审阶段</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初步评审阶段分为资格评审、形式评审和响应性评审三个环节。</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15.4.1</w:t>
      </w:r>
      <w:r>
        <w:rPr>
          <w:rFonts w:ascii="Times New Roman"/>
          <w:snapToGrid w:val="0"/>
          <w:color w:val="auto"/>
          <w:kern w:val="0"/>
          <w:highlight w:val="none"/>
        </w:rPr>
        <w:t xml:space="preserve"> 资格评审环节</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资格评审事项包括：</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（1）投标人是否符合本章第三节第</w:t>
      </w:r>
      <w:r>
        <w:rPr>
          <w:rFonts w:ascii="Times New Roman"/>
          <w:b/>
          <w:bCs/>
          <w:snapToGrid w:val="0"/>
          <w:color w:val="auto"/>
          <w:kern w:val="0"/>
          <w:highlight w:val="none"/>
        </w:rPr>
        <w:t>2.4</w:t>
      </w:r>
      <w:r>
        <w:rPr>
          <w:rFonts w:ascii="Times New Roman"/>
          <w:snapToGrid w:val="0"/>
          <w:color w:val="auto"/>
          <w:kern w:val="0"/>
          <w:highlight w:val="none"/>
        </w:rPr>
        <w:t>条“禁止投标条款”规定。</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（2）投标人名称是否与营业执照、资质证书、安全生产许可证一致。</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（3）投标人的资质是否符合招标文件规定；其营业执照、资质证书、安全生产许可证是否合法、有效、准确。</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（4）《项目经理简历表》中拟派项目经理是否与《开标一览表》一致。</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5）拟派项目经理、项目技术负责人、专职安全员的条件是否符合招标文件规定；项目管理机构组成人员的各类证书、证件、证明是否合法、有效、准确；是否擅自修改、遗漏《项目经理任职声明》的实质性内容。</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（7）投标人为外省建筑企业的，是否按规定在“进粤企业和人员诚信信息登记平台”录入企业有关信息并通过数据规范检查。</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15.4.2</w:t>
      </w:r>
      <w:r>
        <w:rPr>
          <w:rFonts w:ascii="Times New Roman"/>
          <w:snapToGrid w:val="0"/>
          <w:color w:val="auto"/>
          <w:kern w:val="0"/>
          <w:highlight w:val="none"/>
        </w:rPr>
        <w:t xml:space="preserve"> 形式评审环节</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形式评审事项包括：</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（1）按本节第</w:t>
      </w:r>
      <w:r>
        <w:rPr>
          <w:rFonts w:ascii="Times New Roman"/>
          <w:b/>
          <w:bCs/>
          <w:snapToGrid w:val="0"/>
          <w:color w:val="auto"/>
          <w:kern w:val="0"/>
          <w:highlight w:val="none"/>
        </w:rPr>
        <w:t>14.2</w:t>
      </w:r>
      <w:r>
        <w:rPr>
          <w:rFonts w:ascii="Times New Roman"/>
          <w:snapToGrid w:val="0"/>
          <w:color w:val="auto"/>
          <w:kern w:val="0"/>
          <w:highlight w:val="none"/>
        </w:rPr>
        <w:t>条第（8）项“投标文件的拆封”由评标委员会负责拆封的投标文件，是否按招标文件规定包装、密封、标记。</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（2）投标文件的分册组成、数量、规格、装订是否符合招标文件规定。</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（3）本节第</w:t>
      </w:r>
      <w:r>
        <w:rPr>
          <w:rFonts w:ascii="Times New Roman"/>
          <w:b/>
          <w:bCs/>
          <w:snapToGrid w:val="0"/>
          <w:color w:val="auto"/>
          <w:kern w:val="0"/>
          <w:szCs w:val="18"/>
          <w:highlight w:val="none"/>
        </w:rPr>
        <w:t>10.2.2</w:t>
      </w:r>
      <w:r>
        <w:rPr>
          <w:rFonts w:ascii="Times New Roman"/>
          <w:snapToGrid w:val="0"/>
          <w:color w:val="auto"/>
          <w:kern w:val="0"/>
          <w:szCs w:val="18"/>
          <w:highlight w:val="none"/>
        </w:rPr>
        <w:t>目、</w:t>
      </w:r>
      <w:r>
        <w:rPr>
          <w:rFonts w:ascii="Times New Roman"/>
          <w:snapToGrid w:val="0"/>
          <w:color w:val="auto"/>
          <w:kern w:val="0"/>
          <w:highlight w:val="none"/>
        </w:rPr>
        <w:t>第</w:t>
      </w:r>
      <w:r>
        <w:rPr>
          <w:rFonts w:ascii="Times New Roman"/>
          <w:b/>
          <w:bCs/>
          <w:snapToGrid w:val="0"/>
          <w:color w:val="auto"/>
          <w:kern w:val="0"/>
          <w:szCs w:val="18"/>
          <w:highlight w:val="none"/>
        </w:rPr>
        <w:t>10.3.2</w:t>
      </w:r>
      <w:r>
        <w:rPr>
          <w:rFonts w:ascii="Times New Roman"/>
          <w:snapToGrid w:val="0"/>
          <w:color w:val="auto"/>
          <w:kern w:val="0"/>
          <w:szCs w:val="18"/>
          <w:highlight w:val="none"/>
        </w:rPr>
        <w:t>目、第</w:t>
      </w:r>
      <w:r>
        <w:rPr>
          <w:rFonts w:ascii="Times New Roman"/>
          <w:b/>
          <w:bCs/>
          <w:snapToGrid w:val="0"/>
          <w:color w:val="auto"/>
          <w:kern w:val="0"/>
          <w:highlight w:val="none"/>
        </w:rPr>
        <w:t>10.4.3</w:t>
      </w:r>
      <w:r>
        <w:rPr>
          <w:rFonts w:ascii="Times New Roman"/>
          <w:snapToGrid w:val="0"/>
          <w:color w:val="auto"/>
          <w:kern w:val="0"/>
          <w:highlight w:val="none"/>
        </w:rPr>
        <w:t>目中规定的“</w:t>
      </w:r>
      <w:r>
        <w:rPr>
          <w:rFonts w:ascii="Times New Roman"/>
          <w:snapToGrid w:val="0"/>
          <w:color w:val="auto"/>
          <w:kern w:val="0"/>
          <w:szCs w:val="18"/>
          <w:highlight w:val="none"/>
        </w:rPr>
        <w:t>所有投标人均应提供</w:t>
      </w:r>
      <w:r>
        <w:rPr>
          <w:rFonts w:ascii="Times New Roman"/>
          <w:snapToGrid w:val="0"/>
          <w:color w:val="auto"/>
          <w:kern w:val="0"/>
          <w:highlight w:val="none"/>
        </w:rPr>
        <w:t>”的组成内容（包括该组成内容的所附资料）是否完整、齐全；各分册是否均提供了电子文件（光盘或U盘）。</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（4）各分册是否按招标文件规定签字、盖章。</w:t>
      </w:r>
    </w:p>
    <w:p>
      <w:pPr>
        <w:wordWrap w:val="0"/>
        <w:adjustRightInd w:val="0"/>
        <w:snapToGrid w:val="0"/>
        <w:spacing w:line="440" w:lineRule="exact"/>
        <w:rPr>
          <w:rFonts w:ascii="Times New Roman"/>
          <w:snapToGrid w:val="0"/>
          <w:color w:val="auto"/>
          <w:kern w:val="0"/>
          <w:highlight w:val="none"/>
        </w:rPr>
      </w:pPr>
      <w:r>
        <w:rPr>
          <w:rFonts w:ascii="Times New Roman"/>
          <w:snapToGrid w:val="0"/>
          <w:color w:val="auto"/>
          <w:kern w:val="0"/>
          <w:highlight w:val="none"/>
        </w:rPr>
        <w:t xml:space="preserve">    （5）施工组织设计采用“暗标”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p>
    <w:p>
      <w:pPr>
        <w:wordWrap w:val="0"/>
        <w:adjustRightInd w:val="0"/>
        <w:snapToGrid w:val="0"/>
        <w:spacing w:line="440" w:lineRule="exact"/>
        <w:ind w:firstLine="562"/>
        <w:rPr>
          <w:rFonts w:ascii="Times New Roman"/>
          <w:snapToGrid w:val="0"/>
          <w:color w:val="auto"/>
          <w:kern w:val="0"/>
          <w:highlight w:val="none"/>
        </w:rPr>
      </w:pPr>
      <w:r>
        <w:rPr>
          <w:rFonts w:ascii="Times New Roman"/>
          <w:b/>
          <w:bCs/>
          <w:snapToGrid w:val="0"/>
          <w:color w:val="auto"/>
          <w:kern w:val="0"/>
          <w:highlight w:val="none"/>
        </w:rPr>
        <w:t>15.4.3</w:t>
      </w:r>
      <w:r>
        <w:rPr>
          <w:rFonts w:ascii="Times New Roman"/>
          <w:snapToGrid w:val="0"/>
          <w:color w:val="auto"/>
          <w:kern w:val="0"/>
          <w:highlight w:val="none"/>
        </w:rPr>
        <w:t xml:space="preserve"> 响应性评审环节</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响应性评审事项包括：</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（1）投标有效期、质量标准、工期等是否响应招标文件实质性要求；是否擅自修改、遗漏《投标函》《各项承诺一览表》的实质性内容。</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（2）编制《投标总价》的造价工程师，其注册证书是否合法、有效。</w:t>
      </w:r>
    </w:p>
    <w:p>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（3）投标人委托造价咨询单位编制《投标总价》的，是否在《投标总价扉页》（即扉—3）“投标人”栏目加盖造价咨询人公章；是否提供造价咨询人的营业执照复印件（或打印件）；</w:t>
      </w:r>
    </w:p>
    <w:p>
      <w:pPr>
        <w:wordWrap w:val="0"/>
        <w:adjustRightInd w:val="0"/>
        <w:snapToGrid w:val="0"/>
        <w:spacing w:line="440" w:lineRule="exact"/>
        <w:rPr>
          <w:rFonts w:ascii="Times New Roman"/>
          <w:snapToGrid w:val="0"/>
          <w:color w:val="auto"/>
          <w:kern w:val="0"/>
          <w:highlight w:val="none"/>
        </w:rPr>
      </w:pPr>
      <w:r>
        <w:rPr>
          <w:rFonts w:ascii="Times New Roman"/>
          <w:snapToGrid w:val="0"/>
          <w:color w:val="auto"/>
          <w:kern w:val="0"/>
          <w:highlight w:val="none"/>
        </w:rPr>
        <w:t xml:space="preserve">    （4）</w:t>
      </w:r>
      <w:r>
        <w:rPr>
          <w:rFonts w:hint="eastAsia" w:ascii="Times New Roman"/>
          <w:snapToGrid w:val="0"/>
          <w:color w:val="auto"/>
          <w:kern w:val="0"/>
          <w:highlight w:val="none"/>
        </w:rPr>
        <w:t>投标总价是否唯一；投标总价是否超出招标控制价；绿色施工安全防护措施费是否达到最低要求；暂列金额、暂估价是否按照招标工程量清单统一报价；投标人是否以低于成本的价格竞标。</w:t>
      </w:r>
    </w:p>
    <w:p>
      <w:pPr>
        <w:wordWrap w:val="0"/>
        <w:adjustRightInd w:val="0"/>
        <w:snapToGrid w:val="0"/>
        <w:spacing w:line="440" w:lineRule="exact"/>
        <w:ind w:firstLine="562"/>
        <w:rPr>
          <w:rFonts w:ascii="Times New Roman"/>
          <w:snapToGrid w:val="0"/>
          <w:color w:val="auto"/>
          <w:kern w:val="0"/>
          <w:highlight w:val="none"/>
        </w:rPr>
      </w:pPr>
      <w:r>
        <w:rPr>
          <w:rFonts w:ascii="Times New Roman"/>
          <w:b/>
          <w:bCs/>
          <w:snapToGrid w:val="0"/>
          <w:color w:val="auto"/>
          <w:kern w:val="0"/>
          <w:highlight w:val="none"/>
        </w:rPr>
        <w:t>注：如果某投标人的投标总价下浮率（投标总价下浮率＝100%－投标总价÷招标控制价×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pPr>
        <w:wordWrap w:val="0"/>
        <w:adjustRightInd w:val="0"/>
        <w:snapToGrid w:val="0"/>
        <w:spacing w:line="440" w:lineRule="exact"/>
        <w:ind w:firstLine="562"/>
        <w:rPr>
          <w:rFonts w:ascii="Times New Roman"/>
          <w:snapToGrid w:val="0"/>
          <w:color w:val="auto"/>
          <w:kern w:val="0"/>
          <w:highlight w:val="none"/>
        </w:rPr>
      </w:pPr>
      <w:r>
        <w:rPr>
          <w:rFonts w:ascii="Times New Roman"/>
          <w:snapToGrid w:val="0"/>
          <w:color w:val="auto"/>
          <w:kern w:val="0"/>
          <w:highlight w:val="none"/>
        </w:rPr>
        <w:t xml:space="preserve">（5）施工组织设计的质量、进度保障措施是否符合国家和省市现行有关规范、规定、标准，是否能实现工程质量、进度管理目标。  </w:t>
      </w:r>
    </w:p>
    <w:p>
      <w:pPr>
        <w:wordWrap w:val="0"/>
        <w:adjustRightInd w:val="0"/>
        <w:snapToGrid w:val="0"/>
        <w:spacing w:line="440" w:lineRule="exact"/>
        <w:ind w:firstLine="562"/>
        <w:rPr>
          <w:rFonts w:ascii="Times New Roman"/>
          <w:snapToGrid w:val="0"/>
          <w:color w:val="auto"/>
          <w:kern w:val="0"/>
          <w:highlight w:val="none"/>
        </w:rPr>
      </w:pPr>
      <w:r>
        <w:rPr>
          <w:rFonts w:ascii="Times New Roman"/>
          <w:b/>
          <w:bCs/>
          <w:snapToGrid w:val="0"/>
          <w:color w:val="auto"/>
          <w:kern w:val="0"/>
          <w:highlight w:val="none"/>
        </w:rPr>
        <w:t>15.4.4</w:t>
      </w:r>
      <w:r>
        <w:rPr>
          <w:rFonts w:ascii="Times New Roman"/>
          <w:snapToGrid w:val="0"/>
          <w:color w:val="auto"/>
          <w:kern w:val="0"/>
          <w:highlight w:val="none"/>
        </w:rPr>
        <w:t xml:space="preserve"> 否决投标说明</w:t>
      </w:r>
    </w:p>
    <w:p>
      <w:pPr>
        <w:wordWrap w:val="0"/>
        <w:adjustRightInd w:val="0"/>
        <w:snapToGrid w:val="0"/>
        <w:spacing w:line="440" w:lineRule="exact"/>
        <w:ind w:firstLine="562"/>
        <w:rPr>
          <w:rFonts w:ascii="Times New Roman"/>
          <w:snapToGrid w:val="0"/>
          <w:color w:val="auto"/>
          <w:kern w:val="0"/>
          <w:highlight w:val="none"/>
        </w:rPr>
      </w:pPr>
      <w:r>
        <w:rPr>
          <w:rFonts w:ascii="Times New Roman"/>
          <w:snapToGrid w:val="0"/>
          <w:color w:val="auto"/>
          <w:kern w:val="0"/>
          <w:highlight w:val="none"/>
        </w:rPr>
        <w:t>初步评审阶段各个环节否决投标的全部条件，在本章第四节“否决投标条件”第</w:t>
      </w:r>
      <w:r>
        <w:rPr>
          <w:rFonts w:ascii="Times New Roman"/>
          <w:b/>
          <w:bCs/>
          <w:snapToGrid w:val="0"/>
          <w:color w:val="auto"/>
          <w:kern w:val="0"/>
          <w:highlight w:val="none"/>
        </w:rPr>
        <w:t>1</w:t>
      </w:r>
      <w:r>
        <w:rPr>
          <w:rFonts w:ascii="Times New Roman"/>
          <w:snapToGrid w:val="0"/>
          <w:color w:val="auto"/>
          <w:kern w:val="0"/>
          <w:highlight w:val="none"/>
        </w:rPr>
        <w:t>条至第</w:t>
      </w:r>
      <w:r>
        <w:rPr>
          <w:rFonts w:ascii="Times New Roman"/>
          <w:b/>
          <w:bCs/>
          <w:snapToGrid w:val="0"/>
          <w:color w:val="auto"/>
          <w:kern w:val="0"/>
          <w:highlight w:val="none"/>
        </w:rPr>
        <w:t>4</w:t>
      </w:r>
      <w:r>
        <w:rPr>
          <w:rFonts w:ascii="Times New Roman"/>
          <w:snapToGrid w:val="0"/>
          <w:color w:val="auto"/>
          <w:kern w:val="0"/>
          <w:highlight w:val="none"/>
        </w:rPr>
        <w:t>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pPr>
        <w:wordWrap w:val="0"/>
        <w:adjustRightInd w:val="0"/>
        <w:snapToGrid w:val="0"/>
        <w:spacing w:line="440" w:lineRule="exact"/>
        <w:ind w:firstLine="482" w:firstLineChars="200"/>
        <w:outlineLvl w:val="2"/>
        <w:rPr>
          <w:rFonts w:ascii="Times New Roman" w:hAnsi="Times New Roman" w:eastAsia="宋体" w:cs="Times New Roman"/>
          <w:b/>
          <w:bCs/>
          <w:snapToGrid w:val="0"/>
          <w:color w:val="auto"/>
          <w:kern w:val="0"/>
          <w:sz w:val="24"/>
          <w:highlight w:val="none"/>
        </w:rPr>
      </w:pPr>
      <w:bookmarkStart w:id="67" w:name="_Toc10975"/>
      <w:r>
        <w:rPr>
          <w:rFonts w:ascii="Times New Roman" w:hAnsi="Times New Roman" w:eastAsia="宋体" w:cs="Times New Roman"/>
          <w:b/>
          <w:bCs/>
          <w:snapToGrid w:val="0"/>
          <w:color w:val="auto"/>
          <w:kern w:val="0"/>
          <w:sz w:val="24"/>
          <w:highlight w:val="none"/>
        </w:rPr>
        <w:t xml:space="preserve">15.5 </w:t>
      </w:r>
      <w:r>
        <w:rPr>
          <w:rFonts w:ascii="Times New Roman" w:hAnsi="Times New Roman" w:eastAsia="宋体" w:cs="Times New Roman"/>
          <w:snapToGrid w:val="0"/>
          <w:color w:val="auto"/>
          <w:kern w:val="0"/>
          <w:sz w:val="24"/>
          <w:highlight w:val="none"/>
        </w:rPr>
        <w:t>详细评审阶段</w:t>
      </w:r>
      <w:bookmarkEnd w:id="67"/>
    </w:p>
    <w:p>
      <w:pPr>
        <w:wordWrap w:val="0"/>
        <w:adjustRightInd w:val="0"/>
        <w:snapToGrid w:val="0"/>
        <w:spacing w:line="440" w:lineRule="exact"/>
        <w:rPr>
          <w:rFonts w:ascii="Times New Roman" w:hAnsi="Times New Roman" w:eastAsia="宋体" w:cs="Times New Roman"/>
          <w:snapToGrid w:val="0"/>
          <w:color w:val="auto"/>
          <w:kern w:val="0"/>
          <w:sz w:val="24"/>
          <w:szCs w:val="20"/>
          <w:highlight w:val="none"/>
        </w:rPr>
      </w:pPr>
      <w:r>
        <w:rPr>
          <w:rFonts w:ascii="Times New Roman" w:hAnsi="Times New Roman" w:eastAsia="宋体" w:cs="Times New Roman"/>
          <w:b/>
          <w:bCs/>
          <w:snapToGrid w:val="0"/>
          <w:color w:val="auto"/>
          <w:kern w:val="0"/>
          <w:sz w:val="24"/>
          <w:szCs w:val="20"/>
          <w:highlight w:val="none"/>
        </w:rPr>
        <w:t xml:space="preserve">    15.5.1</w:t>
      </w:r>
      <w:r>
        <w:rPr>
          <w:rFonts w:ascii="Times New Roman" w:hAnsi="Times New Roman" w:eastAsia="宋体" w:cs="Times New Roman"/>
          <w:bCs/>
          <w:snapToGrid w:val="0"/>
          <w:color w:val="auto"/>
          <w:kern w:val="0"/>
          <w:sz w:val="24"/>
          <w:szCs w:val="20"/>
          <w:highlight w:val="none"/>
        </w:rPr>
        <w:t xml:space="preserve"> “综合评估法”评审程序</w:t>
      </w:r>
    </w:p>
    <w:p>
      <w:pPr>
        <w:wordWrap w:val="0"/>
        <w:adjustRightInd w:val="0"/>
        <w:snapToGrid w:val="0"/>
        <w:spacing w:line="440" w:lineRule="exact"/>
        <w:ind w:firstLine="480" w:firstLineChars="200"/>
        <w:rPr>
          <w:rFonts w:hint="eastAsia" w:ascii="Times New Roman"/>
          <w:snapToGrid w:val="0"/>
          <w:kern w:val="0"/>
        </w:rPr>
      </w:pPr>
      <w:r>
        <w:rPr>
          <w:rFonts w:hint="eastAsia" w:ascii="Times New Roman"/>
          <w:snapToGrid w:val="0"/>
          <w:kern w:val="0"/>
        </w:rPr>
        <w:t>评审内容分为商务技术和投标报价两大部分。其中，商务技术合计满分</w:t>
      </w:r>
      <w:r>
        <w:rPr>
          <w:rFonts w:hint="eastAsia" w:ascii="Times New Roman"/>
          <w:snapToGrid w:val="0"/>
          <w:kern w:val="0"/>
          <w:u w:val="single"/>
        </w:rPr>
        <w:t>40</w:t>
      </w:r>
      <w:r>
        <w:rPr>
          <w:rFonts w:hint="eastAsia" w:ascii="Times New Roman"/>
          <w:snapToGrid w:val="0"/>
          <w:kern w:val="0"/>
        </w:rPr>
        <w:t>分，投标报价满分</w:t>
      </w:r>
      <w:r>
        <w:rPr>
          <w:rFonts w:hint="eastAsia" w:ascii="Times New Roman"/>
          <w:snapToGrid w:val="0"/>
          <w:kern w:val="0"/>
          <w:u w:val="single"/>
        </w:rPr>
        <w:t>60</w:t>
      </w:r>
      <w:r>
        <w:rPr>
          <w:rFonts w:hint="eastAsia" w:ascii="Times New Roman"/>
          <w:snapToGrid w:val="0"/>
          <w:kern w:val="0"/>
        </w:rPr>
        <w:t>分，两大部分之和应为</w:t>
      </w:r>
      <w:r>
        <w:rPr>
          <w:rFonts w:hint="eastAsia" w:ascii="Times New Roman"/>
          <w:snapToGrid w:val="0"/>
          <w:kern w:val="0"/>
          <w:u w:val="single"/>
        </w:rPr>
        <w:t>100</w:t>
      </w:r>
      <w:r>
        <w:rPr>
          <w:rFonts w:hint="eastAsia" w:ascii="Times New Roman"/>
          <w:snapToGrid w:val="0"/>
          <w:kern w:val="0"/>
        </w:rPr>
        <w:t>分。</w:t>
      </w:r>
    </w:p>
    <w:p>
      <w:pPr>
        <w:wordWrap w:val="0"/>
        <w:adjustRightInd w:val="0"/>
        <w:snapToGrid w:val="0"/>
        <w:spacing w:line="440" w:lineRule="exact"/>
        <w:ind w:firstLine="480"/>
        <w:rPr>
          <w:rFonts w:hint="eastAsia" w:ascii="Times New Roman"/>
          <w:snapToGrid w:val="0"/>
          <w:kern w:val="0"/>
        </w:rPr>
      </w:pPr>
      <w:r>
        <w:rPr>
          <w:rFonts w:hint="eastAsia" w:ascii="Times New Roman"/>
          <w:snapToGrid w:val="0"/>
          <w:kern w:val="0"/>
        </w:rPr>
        <w:t>除特别注明外，综合得分以及商务技术得分、投标报价得分的中间过程计算值和最终值，均按“四舍五入”原则精确到两位小数。</w:t>
      </w:r>
    </w:p>
    <w:p>
      <w:pPr>
        <w:wordWrap w:val="0"/>
        <w:adjustRightInd w:val="0"/>
        <w:snapToGrid w:val="0"/>
        <w:spacing w:line="440" w:lineRule="exact"/>
        <w:ind w:firstLine="480" w:firstLineChars="200"/>
        <w:rPr>
          <w:rFonts w:hint="eastAsia" w:ascii="Times New Roman"/>
          <w:snapToGrid w:val="0"/>
          <w:kern w:val="0"/>
        </w:rPr>
      </w:pPr>
      <w:r>
        <w:rPr>
          <w:rFonts w:hint="eastAsia" w:ascii="Times New Roman"/>
          <w:snapToGrid w:val="0"/>
          <w:kern w:val="0"/>
        </w:rPr>
        <w:t>（1）商务技术得分M</w:t>
      </w:r>
    </w:p>
    <w:p>
      <w:pPr>
        <w:wordWrap w:val="0"/>
        <w:adjustRightInd w:val="0"/>
        <w:snapToGrid w:val="0"/>
        <w:spacing w:line="440" w:lineRule="exact"/>
        <w:ind w:firstLine="482" w:firstLineChars="200"/>
        <w:rPr>
          <w:rFonts w:hint="eastAsia" w:ascii="Times New Roman"/>
          <w:snapToGrid w:val="0"/>
          <w:kern w:val="0"/>
        </w:rPr>
      </w:pPr>
      <w:r>
        <w:rPr>
          <w:rFonts w:hint="eastAsia" w:ascii="Times New Roman"/>
          <w:b/>
          <w:bCs/>
          <w:snapToGrid w:val="0"/>
          <w:kern w:val="0"/>
        </w:rPr>
        <w:t>a</w:t>
      </w:r>
      <w:r>
        <w:rPr>
          <w:rFonts w:hint="eastAsia" w:ascii="Times New Roman"/>
          <w:snapToGrid w:val="0"/>
          <w:kern w:val="0"/>
        </w:rPr>
        <w:t>．评标委员会按照《综合评分表》商务部分指定的评分标准对各评分因素进行打分。各评分因素得分之和即为某投标人的商务得分M</w:t>
      </w:r>
      <w:r>
        <w:rPr>
          <w:rFonts w:hint="eastAsia" w:ascii="Times New Roman"/>
          <w:snapToGrid w:val="0"/>
          <w:kern w:val="0"/>
          <w:vertAlign w:val="subscript"/>
        </w:rPr>
        <w:t>1</w:t>
      </w:r>
      <w:r>
        <w:rPr>
          <w:rFonts w:hint="eastAsia" w:ascii="Times New Roman"/>
          <w:snapToGrid w:val="0"/>
          <w:kern w:val="0"/>
        </w:rPr>
        <w:t>。</w:t>
      </w:r>
    </w:p>
    <w:p>
      <w:pPr>
        <w:wordWrap w:val="0"/>
        <w:adjustRightInd w:val="0"/>
        <w:snapToGrid w:val="0"/>
        <w:spacing w:line="440" w:lineRule="exact"/>
        <w:ind w:firstLine="482" w:firstLineChars="200"/>
        <w:rPr>
          <w:rFonts w:hint="eastAsia" w:ascii="Times New Roman"/>
          <w:snapToGrid w:val="0"/>
          <w:kern w:val="0"/>
        </w:rPr>
      </w:pPr>
      <w:r>
        <w:rPr>
          <w:rFonts w:hint="eastAsia" w:ascii="Times New Roman"/>
          <w:b/>
          <w:bCs/>
          <w:snapToGrid w:val="0"/>
          <w:kern w:val="0"/>
        </w:rPr>
        <w:t>b</w:t>
      </w:r>
      <w:r>
        <w:rPr>
          <w:rFonts w:hint="eastAsia" w:ascii="Times New Roman"/>
          <w:snapToGrid w:val="0"/>
          <w:kern w:val="0"/>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M</w:t>
      </w:r>
      <w:r>
        <w:rPr>
          <w:rFonts w:hint="eastAsia" w:ascii="Times New Roman"/>
          <w:snapToGrid w:val="0"/>
          <w:kern w:val="0"/>
          <w:vertAlign w:val="subscript"/>
        </w:rPr>
        <w:t>2</w:t>
      </w:r>
      <w:r>
        <w:rPr>
          <w:rFonts w:hint="eastAsia" w:ascii="Times New Roman"/>
          <w:snapToGrid w:val="0"/>
          <w:kern w:val="0"/>
        </w:rPr>
        <w:t>。</w:t>
      </w:r>
    </w:p>
    <w:p>
      <w:pPr>
        <w:wordWrap w:val="0"/>
        <w:adjustRightInd w:val="0"/>
        <w:snapToGrid w:val="0"/>
        <w:spacing w:line="440" w:lineRule="exact"/>
        <w:ind w:firstLine="482" w:firstLineChars="200"/>
        <w:rPr>
          <w:rFonts w:hint="eastAsia" w:ascii="Times New Roman"/>
          <w:snapToGrid w:val="0"/>
          <w:kern w:val="0"/>
        </w:rPr>
      </w:pPr>
      <w:r>
        <w:rPr>
          <w:rFonts w:hint="eastAsia" w:ascii="Times New Roman"/>
          <w:b/>
          <w:bCs/>
          <w:snapToGrid w:val="0"/>
          <w:kern w:val="0"/>
        </w:rPr>
        <w:t>c</w:t>
      </w:r>
      <w:r>
        <w:rPr>
          <w:rFonts w:hint="eastAsia" w:ascii="Times New Roman"/>
          <w:snapToGrid w:val="0"/>
          <w:kern w:val="0"/>
        </w:rPr>
        <w:t>．M＝M</w:t>
      </w:r>
      <w:r>
        <w:rPr>
          <w:rFonts w:hint="eastAsia" w:ascii="Times New Roman"/>
          <w:snapToGrid w:val="0"/>
          <w:kern w:val="0"/>
          <w:vertAlign w:val="subscript"/>
        </w:rPr>
        <w:t>1</w:t>
      </w:r>
      <w:r>
        <w:rPr>
          <w:rFonts w:hint="eastAsia" w:ascii="Times New Roman"/>
          <w:snapToGrid w:val="0"/>
          <w:kern w:val="0"/>
        </w:rPr>
        <w:t>＋M</w:t>
      </w:r>
      <w:r>
        <w:rPr>
          <w:rFonts w:hint="eastAsia" w:ascii="Times New Roman"/>
          <w:snapToGrid w:val="0"/>
          <w:kern w:val="0"/>
          <w:vertAlign w:val="subscript"/>
        </w:rPr>
        <w:t>2</w:t>
      </w:r>
    </w:p>
    <w:p>
      <w:pPr>
        <w:wordWrap w:val="0"/>
        <w:adjustRightInd w:val="0"/>
        <w:snapToGrid w:val="0"/>
        <w:spacing w:line="440" w:lineRule="exact"/>
        <w:ind w:firstLine="480" w:firstLineChars="200"/>
        <w:rPr>
          <w:rFonts w:ascii="Times New Roman"/>
          <w:snapToGrid w:val="0"/>
          <w:kern w:val="0"/>
        </w:rPr>
      </w:pPr>
      <w:r>
        <w:rPr>
          <w:rFonts w:hint="eastAsia" w:ascii="Times New Roman"/>
          <w:snapToGrid w:val="0"/>
          <w:kern w:val="0"/>
        </w:rPr>
        <w:t>式中：M</w:t>
      </w:r>
      <w:r>
        <w:rPr>
          <w:rFonts w:hint="eastAsia" w:ascii="Times New Roman"/>
          <w:snapToGrid w:val="0"/>
          <w:kern w:val="0"/>
          <w:vertAlign w:val="subscript"/>
        </w:rPr>
        <w:t>1</w:t>
      </w:r>
      <w:r>
        <w:rPr>
          <w:rFonts w:hint="eastAsia" w:ascii="Times New Roman"/>
          <w:snapToGrid w:val="0"/>
          <w:kern w:val="0"/>
        </w:rPr>
        <w:t>为某投标人的商务得分，M</w:t>
      </w:r>
      <w:r>
        <w:rPr>
          <w:rFonts w:hint="eastAsia" w:ascii="Times New Roman"/>
          <w:snapToGrid w:val="0"/>
          <w:kern w:val="0"/>
          <w:vertAlign w:val="subscript"/>
        </w:rPr>
        <w:t>2</w:t>
      </w:r>
      <w:r>
        <w:rPr>
          <w:rFonts w:hint="eastAsia" w:ascii="Times New Roman"/>
          <w:snapToGrid w:val="0"/>
          <w:kern w:val="0"/>
        </w:rPr>
        <w:t>为某投标人的技术得分。</w:t>
      </w:r>
    </w:p>
    <w:p>
      <w:pPr>
        <w:wordWrap w:val="0"/>
        <w:adjustRightInd w:val="0"/>
        <w:snapToGrid w:val="0"/>
        <w:spacing w:line="440" w:lineRule="exact"/>
        <w:ind w:firstLine="480" w:firstLineChars="200"/>
        <w:rPr>
          <w:rFonts w:hint="eastAsia" w:ascii="Times New Roman"/>
          <w:snapToGrid w:val="0"/>
          <w:kern w:val="0"/>
        </w:rPr>
      </w:pPr>
      <w:r>
        <w:rPr>
          <w:rFonts w:hint="eastAsia" w:ascii="Times New Roman"/>
          <w:snapToGrid w:val="0"/>
          <w:kern w:val="0"/>
        </w:rPr>
        <w:t>（2）投标报价得分N</w:t>
      </w:r>
    </w:p>
    <w:p>
      <w:pPr>
        <w:wordWrap w:val="0"/>
        <w:adjustRightInd w:val="0"/>
        <w:snapToGrid w:val="0"/>
        <w:spacing w:line="440" w:lineRule="exact"/>
        <w:ind w:firstLine="482" w:firstLineChars="200"/>
        <w:rPr>
          <w:rFonts w:hint="eastAsia" w:ascii="Times New Roman"/>
          <w:snapToGrid w:val="0"/>
          <w:kern w:val="0"/>
        </w:rPr>
      </w:pPr>
      <w:r>
        <w:rPr>
          <w:rFonts w:hint="eastAsia" w:ascii="Times New Roman"/>
          <w:b/>
          <w:bCs/>
          <w:snapToGrid w:val="0"/>
          <w:kern w:val="0"/>
        </w:rPr>
        <w:t>a</w:t>
      </w:r>
      <w:r>
        <w:rPr>
          <w:rFonts w:hint="eastAsia" w:ascii="Times New Roman"/>
          <w:snapToGrid w:val="0"/>
          <w:kern w:val="0"/>
        </w:rPr>
        <w:t>．评标委员会按照《综合评分表》投标报价部分指定的方法计算评标基准价D。</w:t>
      </w:r>
    </w:p>
    <w:p>
      <w:pPr>
        <w:wordWrap w:val="0"/>
        <w:adjustRightInd w:val="0"/>
        <w:snapToGrid w:val="0"/>
        <w:spacing w:line="440" w:lineRule="exact"/>
        <w:ind w:firstLine="482" w:firstLineChars="200"/>
        <w:rPr>
          <w:rFonts w:hint="eastAsia" w:ascii="Times New Roman"/>
          <w:snapToGrid w:val="0"/>
          <w:kern w:val="0"/>
        </w:rPr>
      </w:pPr>
      <w:r>
        <w:rPr>
          <w:rFonts w:hint="eastAsia" w:ascii="Times New Roman"/>
          <w:b/>
          <w:bCs/>
          <w:snapToGrid w:val="0"/>
          <w:kern w:val="0"/>
        </w:rPr>
        <w:t>b</w:t>
      </w:r>
      <w:r>
        <w:rPr>
          <w:rFonts w:hint="eastAsia" w:ascii="Times New Roman"/>
          <w:snapToGrid w:val="0"/>
          <w:kern w:val="0"/>
        </w:rPr>
        <w:t>．采用内插法计算某投标人的投标报价得分N，即当投标人的投标总价等于评标基准价时得60分，每高于评标基准价一个百分点扣</w:t>
      </w:r>
      <w:r>
        <w:rPr>
          <w:rFonts w:hint="eastAsia" w:ascii="Times New Roman"/>
          <w:b/>
          <w:bCs/>
          <w:snapToGrid w:val="0"/>
          <w:kern w:val="0"/>
          <w:lang w:val="en-US" w:eastAsia="zh-CN"/>
        </w:rPr>
        <w:t>1</w:t>
      </w:r>
      <w:r>
        <w:rPr>
          <w:rFonts w:hint="eastAsia" w:ascii="Times New Roman"/>
          <w:b/>
          <w:bCs/>
          <w:snapToGrid w:val="0"/>
          <w:kern w:val="0"/>
        </w:rPr>
        <w:t>分,</w:t>
      </w:r>
      <w:r>
        <w:rPr>
          <w:rFonts w:hint="eastAsia" w:ascii="Times New Roman"/>
          <w:snapToGrid w:val="0"/>
          <w:kern w:val="0"/>
        </w:rPr>
        <w:t xml:space="preserve"> 每低于评标基准价一个百分点扣</w:t>
      </w:r>
      <w:r>
        <w:rPr>
          <w:rFonts w:hint="eastAsia" w:ascii="Times New Roman"/>
          <w:b/>
          <w:bCs/>
          <w:snapToGrid w:val="0"/>
          <w:kern w:val="0"/>
          <w:lang w:val="en-US" w:eastAsia="zh-CN"/>
        </w:rPr>
        <w:t>0.5</w:t>
      </w:r>
      <w:r>
        <w:rPr>
          <w:rFonts w:hint="eastAsia" w:ascii="Times New Roman"/>
          <w:b/>
          <w:bCs/>
          <w:snapToGrid w:val="0"/>
          <w:kern w:val="0"/>
        </w:rPr>
        <w:t>分</w:t>
      </w:r>
      <w:r>
        <w:rPr>
          <w:rFonts w:hint="eastAsia" w:ascii="Times New Roman"/>
          <w:snapToGrid w:val="0"/>
          <w:kern w:val="0"/>
        </w:rPr>
        <w:t>，扣完为止。公式如下：</w:t>
      </w:r>
    </w:p>
    <w:p>
      <w:pPr>
        <w:wordWrap w:val="0"/>
        <w:adjustRightInd w:val="0"/>
        <w:snapToGrid w:val="0"/>
        <w:spacing w:line="440" w:lineRule="exact"/>
        <w:jc w:val="center"/>
        <w:rPr>
          <w:rFonts w:hint="eastAsia" w:ascii="Times New Roman"/>
          <w:snapToGrid w:val="0"/>
          <w:kern w:val="0"/>
        </w:rPr>
      </w:pPr>
      <w:r>
        <w:rPr>
          <w:rFonts w:hint="eastAsia" w:ascii="Times New Roman"/>
          <w:snapToGrid w:val="0"/>
          <w:kern w:val="0"/>
        </w:rPr>
        <w:t>N＝60－（| Di－D | ÷D）×100×E</w:t>
      </w:r>
    </w:p>
    <w:p>
      <w:pPr>
        <w:wordWrap w:val="0"/>
        <w:adjustRightInd w:val="0"/>
        <w:snapToGrid w:val="0"/>
        <w:spacing w:line="440" w:lineRule="exact"/>
        <w:ind w:firstLine="480"/>
        <w:rPr>
          <w:rFonts w:hint="eastAsia" w:ascii="Times New Roman"/>
          <w:snapToGrid w:val="0"/>
          <w:kern w:val="0"/>
        </w:rPr>
      </w:pPr>
      <w:r>
        <w:rPr>
          <w:rFonts w:hint="eastAsia" w:ascii="Times New Roman"/>
          <w:snapToGrid w:val="0"/>
          <w:kern w:val="0"/>
        </w:rPr>
        <w:t>式中：D为评标基准价；Di为某投标人的投标总价；E为扣分因子，当Di＞D时，E＝1；当Di＜D时，E＝0.5。</w:t>
      </w:r>
    </w:p>
    <w:p>
      <w:pPr>
        <w:wordWrap w:val="0"/>
        <w:adjustRightInd w:val="0"/>
        <w:snapToGrid w:val="0"/>
        <w:spacing w:line="440" w:lineRule="exact"/>
        <w:ind w:firstLine="480"/>
        <w:rPr>
          <w:rFonts w:hint="eastAsia" w:ascii="Times New Roman"/>
          <w:snapToGrid w:val="0"/>
          <w:kern w:val="0"/>
        </w:rPr>
      </w:pPr>
      <w:r>
        <w:rPr>
          <w:rFonts w:hint="eastAsia" w:ascii="Times New Roman"/>
          <w:snapToGrid w:val="0"/>
          <w:kern w:val="0"/>
        </w:rPr>
        <w:t>（3）综合得分</w:t>
      </w:r>
    </w:p>
    <w:p>
      <w:pPr>
        <w:wordWrap w:val="0"/>
        <w:adjustRightInd w:val="0"/>
        <w:snapToGrid w:val="0"/>
        <w:spacing w:line="440" w:lineRule="exact"/>
        <w:ind w:firstLine="720" w:firstLineChars="300"/>
        <w:rPr>
          <w:rFonts w:ascii="Times New Roman"/>
          <w:snapToGrid w:val="0"/>
          <w:kern w:val="0"/>
        </w:rPr>
      </w:pPr>
      <w:r>
        <w:rPr>
          <w:rFonts w:hint="eastAsia" w:ascii="Times New Roman"/>
          <w:snapToGrid w:val="0"/>
          <w:kern w:val="0"/>
        </w:rPr>
        <w:t>综合得分＝M商务技术合计得分＋N投标报价得分</w:t>
      </w:r>
    </w:p>
    <w:p>
      <w:pPr>
        <w:wordWrap w:val="0"/>
        <w:adjustRightInd w:val="0"/>
        <w:snapToGrid w:val="0"/>
        <w:spacing w:line="440" w:lineRule="exact"/>
        <w:ind w:firstLine="480" w:firstLineChars="200"/>
        <w:rPr>
          <w:rFonts w:hint="eastAsia" w:ascii="Times New Roman"/>
          <w:snapToGrid w:val="0"/>
          <w:kern w:val="0"/>
        </w:rPr>
      </w:pPr>
      <w:r>
        <w:rPr>
          <w:rFonts w:hint="eastAsia" w:ascii="Times New Roman"/>
          <w:snapToGrid w:val="0"/>
          <w:kern w:val="0"/>
        </w:rPr>
        <w:t>式中：M为商务技术得分，N为投标报价得分。</w:t>
      </w:r>
    </w:p>
    <w:p>
      <w:pPr>
        <w:wordWrap w:val="0"/>
        <w:adjustRightInd w:val="0"/>
        <w:snapToGrid w:val="0"/>
        <w:spacing w:line="440" w:lineRule="exact"/>
        <w:ind w:firstLine="480" w:firstLineChars="200"/>
        <w:rPr>
          <w:rFonts w:hint="eastAsia" w:ascii="Times New Roman"/>
          <w:snapToGrid w:val="0"/>
          <w:kern w:val="0"/>
        </w:rPr>
        <w:sectPr>
          <w:endnotePr>
            <w:numFmt w:val="decimal"/>
          </w:endnotePr>
          <w:pgSz w:w="11906" w:h="16838"/>
          <w:pgMar w:top="1701" w:right="1531" w:bottom="1417" w:left="1531" w:header="850" w:footer="992" w:gutter="0"/>
          <w:cols w:space="720" w:num="1"/>
          <w:docGrid w:linePitch="327" w:charSpace="0"/>
        </w:sectPr>
      </w:pPr>
      <w:r>
        <w:rPr>
          <w:rFonts w:hint="eastAsia" w:ascii="Times New Roman"/>
          <w:snapToGrid w:val="0"/>
          <w:kern w:val="0"/>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Times New Roman"/>
          <w:snapToGrid w:val="0"/>
          <w:kern w:val="0"/>
          <w:szCs w:val="24"/>
        </w:rPr>
        <w:t>由评标委员会投票确定。</w:t>
      </w:r>
    </w:p>
    <w:p>
      <w:pPr>
        <w:wordWrap w:val="0"/>
        <w:adjustRightInd w:val="0"/>
        <w:snapToGrid w:val="0"/>
        <w:spacing w:before="260" w:after="260" w:line="440" w:lineRule="exact"/>
        <w:ind w:firstLine="602" w:firstLineChars="200"/>
        <w:jc w:val="center"/>
        <w:rPr>
          <w:rFonts w:ascii="Times New Roman" w:hAnsi="Times New Roman" w:eastAsia="宋体" w:cs="Times New Roman"/>
          <w:snapToGrid w:val="0"/>
          <w:color w:val="auto"/>
          <w:kern w:val="0"/>
          <w:sz w:val="24"/>
          <w:szCs w:val="20"/>
          <w:highlight w:val="none"/>
        </w:rPr>
      </w:pPr>
      <w:r>
        <w:rPr>
          <w:rFonts w:ascii="Times New Roman" w:hAnsi="Times New Roman" w:eastAsia="宋体" w:cs="Times New Roman"/>
          <w:b/>
          <w:bCs/>
          <w:snapToGrid w:val="0"/>
          <w:color w:val="auto"/>
          <w:kern w:val="0"/>
          <w:sz w:val="30"/>
          <w:szCs w:val="30"/>
          <w:highlight w:val="none"/>
        </w:rPr>
        <w:t>综合评分表</w:t>
      </w:r>
    </w:p>
    <w:tbl>
      <w:tblPr>
        <w:tblStyle w:val="18"/>
        <w:tblW w:w="10905" w:type="dxa"/>
        <w:jc w:val="center"/>
        <w:tblLayout w:type="fixed"/>
        <w:tblCellMar>
          <w:top w:w="0" w:type="dxa"/>
          <w:left w:w="108" w:type="dxa"/>
          <w:bottom w:w="0" w:type="dxa"/>
          <w:right w:w="108" w:type="dxa"/>
        </w:tblCellMar>
      </w:tblPr>
      <w:tblGrid>
        <w:gridCol w:w="1268"/>
        <w:gridCol w:w="4543"/>
        <w:gridCol w:w="5094"/>
      </w:tblGrid>
      <w:tr>
        <w:tblPrEx>
          <w:tblCellMar>
            <w:top w:w="0" w:type="dxa"/>
            <w:left w:w="108" w:type="dxa"/>
            <w:bottom w:w="0" w:type="dxa"/>
            <w:right w:w="108" w:type="dxa"/>
          </w:tblCellMar>
        </w:tblPrEx>
        <w:trPr>
          <w:trHeight w:val="523" w:hRule="exact"/>
          <w:jc w:val="center"/>
        </w:trPr>
        <w:tc>
          <w:tcPr>
            <w:tcW w:w="10905" w:type="dxa"/>
            <w:gridSpan w:val="3"/>
            <w:tcBorders>
              <w:top w:val="single" w:color="auto" w:sz="4" w:space="0"/>
              <w:left w:val="single" w:color="auto" w:sz="4" w:space="0"/>
              <w:bottom w:val="single" w:color="auto" w:sz="4" w:space="0"/>
              <w:right w:val="single" w:color="auto" w:sz="4" w:space="0"/>
            </w:tcBorders>
            <w:shd w:val="clear" w:color="auto" w:fill="D7D7D7"/>
            <w:vAlign w:val="center"/>
          </w:tcPr>
          <w:p>
            <w:pPr>
              <w:pStyle w:val="8"/>
              <w:tabs>
                <w:tab w:val="left" w:pos="1354"/>
                <w:tab w:val="left" w:pos="1459"/>
                <w:tab w:val="center" w:pos="3902"/>
                <w:tab w:val="right" w:pos="7805"/>
              </w:tabs>
              <w:wordWrap w:val="0"/>
              <w:adjustRightInd w:val="0"/>
              <w:snapToGrid w:val="0"/>
              <w:jc w:val="left"/>
              <w:rPr>
                <w:rFonts w:hAnsi="宋体" w:cs="宋体"/>
                <w:snapToGrid w:val="0"/>
                <w:kern w:val="0"/>
                <w:sz w:val="22"/>
                <w:szCs w:val="22"/>
              </w:rPr>
            </w:pPr>
            <w:bookmarkStart w:id="68" w:name="_Hlt121629839"/>
            <w:r>
              <w:rPr>
                <w:rFonts w:hint="eastAsia" w:hAnsi="宋体" w:cs="宋体"/>
                <w:snapToGrid w:val="0"/>
                <w:kern w:val="0"/>
                <w:sz w:val="22"/>
                <w:szCs w:val="22"/>
              </w:rPr>
              <w:t>商务部分，满分：</w:t>
            </w:r>
            <w:r>
              <w:rPr>
                <w:rFonts w:hint="eastAsia" w:hAnsi="宋体" w:cs="宋体"/>
                <w:snapToGrid w:val="0"/>
                <w:kern w:val="0"/>
                <w:sz w:val="22"/>
                <w:szCs w:val="22"/>
                <w:u w:val="single"/>
              </w:rPr>
              <w:t>35</w:t>
            </w:r>
            <w:r>
              <w:rPr>
                <w:rFonts w:hint="eastAsia" w:hAnsi="宋体" w:cs="宋体"/>
                <w:snapToGrid w:val="0"/>
                <w:kern w:val="0"/>
                <w:sz w:val="22"/>
                <w:szCs w:val="22"/>
              </w:rPr>
              <w:t>分。</w:t>
            </w:r>
          </w:p>
        </w:tc>
      </w:tr>
      <w:tr>
        <w:tblPrEx>
          <w:tblCellMar>
            <w:top w:w="0" w:type="dxa"/>
            <w:left w:w="108" w:type="dxa"/>
            <w:bottom w:w="0" w:type="dxa"/>
            <w:right w:w="108" w:type="dxa"/>
          </w:tblCellMar>
        </w:tblPrEx>
        <w:trPr>
          <w:trHeight w:val="490" w:hRule="exac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8"/>
              <w:tabs>
                <w:tab w:val="left" w:pos="1354"/>
                <w:tab w:val="left" w:pos="1459"/>
                <w:tab w:val="center" w:pos="3902"/>
                <w:tab w:val="right" w:pos="7805"/>
              </w:tabs>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评分因素</w:t>
            </w:r>
          </w:p>
        </w:tc>
        <w:tc>
          <w:tcPr>
            <w:tcW w:w="4543" w:type="dxa"/>
            <w:tcBorders>
              <w:top w:val="single" w:color="auto" w:sz="4" w:space="0"/>
              <w:left w:val="single" w:color="auto" w:sz="4" w:space="0"/>
              <w:bottom w:val="single" w:color="auto" w:sz="4" w:space="0"/>
              <w:right w:val="single" w:color="auto" w:sz="4" w:space="0"/>
            </w:tcBorders>
            <w:vAlign w:val="center"/>
          </w:tcPr>
          <w:p>
            <w:pPr>
              <w:pStyle w:val="8"/>
              <w:tabs>
                <w:tab w:val="left" w:pos="1354"/>
                <w:tab w:val="left" w:pos="1459"/>
                <w:tab w:val="center" w:pos="3902"/>
                <w:tab w:val="right" w:pos="7805"/>
              </w:tabs>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评分标准</w:t>
            </w:r>
          </w:p>
        </w:tc>
        <w:tc>
          <w:tcPr>
            <w:tcW w:w="5094" w:type="dxa"/>
            <w:tcBorders>
              <w:top w:val="single" w:color="auto" w:sz="4" w:space="0"/>
              <w:left w:val="single" w:color="auto" w:sz="4" w:space="0"/>
              <w:bottom w:val="single" w:color="auto" w:sz="4" w:space="0"/>
              <w:right w:val="single" w:color="auto" w:sz="4" w:space="0"/>
            </w:tcBorders>
            <w:vAlign w:val="center"/>
          </w:tcPr>
          <w:p>
            <w:pPr>
              <w:pStyle w:val="8"/>
              <w:tabs>
                <w:tab w:val="left" w:pos="1354"/>
                <w:tab w:val="left" w:pos="1459"/>
                <w:tab w:val="center" w:pos="3902"/>
                <w:tab w:val="right" w:pos="7805"/>
              </w:tabs>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备注</w:t>
            </w:r>
          </w:p>
        </w:tc>
      </w:tr>
      <w:tr>
        <w:tblPrEx>
          <w:tblCellMar>
            <w:top w:w="0" w:type="dxa"/>
            <w:left w:w="108" w:type="dxa"/>
            <w:bottom w:w="0" w:type="dxa"/>
            <w:right w:w="108" w:type="dxa"/>
          </w:tblCellMar>
        </w:tblPrEx>
        <w:trPr>
          <w:trHeight w:val="2338"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jc w:val="center"/>
              <w:rPr>
                <w:rFonts w:hint="eastAsia" w:hAnsi="宋体" w:eastAsia="宋体" w:cs="宋体"/>
                <w:snapToGrid w:val="0"/>
                <w:kern w:val="0"/>
                <w:sz w:val="22"/>
                <w:szCs w:val="22"/>
                <w:lang w:eastAsia="zh-CN"/>
              </w:rPr>
            </w:pPr>
            <w:r>
              <w:rPr>
                <w:rFonts w:hint="eastAsia" w:hAnsi="宋体" w:cs="宋体"/>
                <w:snapToGrid w:val="0"/>
                <w:kern w:val="0"/>
                <w:sz w:val="22"/>
                <w:szCs w:val="22"/>
              </w:rPr>
              <w:t>企业</w:t>
            </w:r>
            <w:r>
              <w:rPr>
                <w:rFonts w:hint="eastAsia" w:hAnsi="宋体" w:cs="宋体"/>
                <w:snapToGrid w:val="0"/>
                <w:kern w:val="0"/>
                <w:sz w:val="22"/>
                <w:szCs w:val="22"/>
                <w:lang w:val="en-US" w:eastAsia="zh-CN"/>
              </w:rPr>
              <w:t>业绩</w:t>
            </w:r>
          </w:p>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w:t>
            </w:r>
            <w:r>
              <w:rPr>
                <w:rFonts w:hint="eastAsia" w:hAnsi="宋体" w:cs="宋体"/>
                <w:snapToGrid w:val="0"/>
                <w:kern w:val="0"/>
                <w:sz w:val="22"/>
                <w:szCs w:val="22"/>
                <w:lang w:val="en-US" w:eastAsia="zh-CN"/>
              </w:rPr>
              <w:t>2</w:t>
            </w:r>
            <w:r>
              <w:rPr>
                <w:rFonts w:hint="eastAsia" w:hAnsi="宋体" w:cs="宋体"/>
                <w:snapToGrid w:val="0"/>
                <w:kern w:val="0"/>
                <w:sz w:val="22"/>
                <w:szCs w:val="22"/>
              </w:rPr>
              <w:t>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近5年来(2017年1月1日至今)企业承接过类似工程的，每个得</w:t>
            </w:r>
            <w:r>
              <w:rPr>
                <w:rFonts w:hint="eastAsia" w:hAnsi="宋体" w:cs="宋体"/>
                <w:snapToGrid w:val="0"/>
                <w:kern w:val="0"/>
                <w:sz w:val="22"/>
                <w:szCs w:val="22"/>
                <w:lang w:val="en-US" w:eastAsia="zh-CN"/>
              </w:rPr>
              <w:t>1</w:t>
            </w:r>
            <w:r>
              <w:rPr>
                <w:rFonts w:hint="eastAsia" w:hAnsi="宋体" w:cs="宋体"/>
                <w:snapToGrid w:val="0"/>
                <w:kern w:val="0"/>
                <w:sz w:val="22"/>
                <w:szCs w:val="22"/>
              </w:rPr>
              <w:t>分；</w:t>
            </w:r>
          </w:p>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本项最高得</w:t>
            </w:r>
            <w:r>
              <w:rPr>
                <w:rFonts w:hint="eastAsia" w:hAnsi="宋体" w:cs="宋体"/>
                <w:snapToGrid w:val="0"/>
                <w:kern w:val="0"/>
                <w:sz w:val="22"/>
                <w:szCs w:val="22"/>
                <w:lang w:val="en-US" w:eastAsia="zh-CN"/>
              </w:rPr>
              <w:t>2</w:t>
            </w:r>
            <w:r>
              <w:rPr>
                <w:rFonts w:hint="eastAsia" w:hAnsi="宋体" w:cs="宋体"/>
                <w:snapToGrid w:val="0"/>
                <w:kern w:val="0"/>
                <w:sz w:val="22"/>
                <w:szCs w:val="22"/>
              </w:rPr>
              <w:t>分。</w:t>
            </w:r>
          </w:p>
        </w:tc>
        <w:tc>
          <w:tcPr>
            <w:tcW w:w="5094"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rPr>
                <w:rFonts w:hint="eastAsia" w:hAnsi="宋体" w:cs="宋体"/>
                <w:snapToGrid w:val="0"/>
                <w:kern w:val="0"/>
                <w:sz w:val="22"/>
                <w:szCs w:val="22"/>
              </w:rPr>
            </w:pPr>
            <w:r>
              <w:rPr>
                <w:rFonts w:hint="eastAsia" w:hAnsi="宋体" w:cs="宋体"/>
                <w:snapToGrid w:val="0"/>
                <w:kern w:val="0"/>
                <w:sz w:val="22"/>
                <w:szCs w:val="22"/>
              </w:rPr>
              <w:t>1.类似工程指：市政工程类。</w:t>
            </w:r>
          </w:p>
          <w:p>
            <w:pPr>
              <w:pStyle w:val="8"/>
              <w:wordWrap w:val="0"/>
              <w:adjustRightInd w:val="0"/>
              <w:snapToGrid w:val="0"/>
              <w:rPr>
                <w:rFonts w:hint="eastAsia" w:hAnsi="宋体" w:cs="宋体"/>
                <w:snapToGrid w:val="0"/>
                <w:kern w:val="0"/>
                <w:sz w:val="22"/>
                <w:szCs w:val="22"/>
              </w:rPr>
            </w:pPr>
            <w:r>
              <w:rPr>
                <w:rFonts w:hint="eastAsia" w:hAnsi="宋体" w:cs="宋体"/>
                <w:snapToGrid w:val="0"/>
                <w:kern w:val="0"/>
                <w:sz w:val="22"/>
                <w:szCs w:val="22"/>
              </w:rPr>
              <w:t>2.需附有关业绩合同协议书复印件(或打印件) 。</w:t>
            </w:r>
          </w:p>
          <w:p>
            <w:pPr>
              <w:pStyle w:val="8"/>
              <w:wordWrap w:val="0"/>
              <w:adjustRightInd w:val="0"/>
              <w:snapToGrid w:val="0"/>
              <w:rPr>
                <w:rFonts w:hint="eastAsia" w:hAnsi="宋体" w:cs="宋体"/>
                <w:snapToGrid w:val="0"/>
                <w:kern w:val="0"/>
                <w:sz w:val="22"/>
                <w:szCs w:val="22"/>
              </w:rPr>
            </w:pPr>
            <w:r>
              <w:rPr>
                <w:rFonts w:hint="eastAsia" w:hAnsi="宋体" w:cs="宋体"/>
                <w:snapToGrid w:val="0"/>
                <w:kern w:val="0"/>
                <w:sz w:val="22"/>
                <w:szCs w:val="22"/>
              </w:rPr>
              <w:t>3.业绩时间以合同协议书日期为准。</w:t>
            </w:r>
          </w:p>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4.业绩不属于类似工程的；业绩时间不符合评分标准和备注规定的，不予计分。</w:t>
            </w:r>
          </w:p>
        </w:tc>
      </w:tr>
      <w:tr>
        <w:tblPrEx>
          <w:tblCellMar>
            <w:top w:w="0" w:type="dxa"/>
            <w:left w:w="108" w:type="dxa"/>
            <w:bottom w:w="0" w:type="dxa"/>
            <w:right w:w="108" w:type="dxa"/>
          </w:tblCellMar>
        </w:tblPrEx>
        <w:trPr>
          <w:trHeight w:val="9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企业履约</w:t>
            </w:r>
          </w:p>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信誉</w:t>
            </w:r>
          </w:p>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w:t>
            </w:r>
            <w:r>
              <w:rPr>
                <w:rFonts w:hAnsi="宋体" w:cs="宋体"/>
                <w:snapToGrid w:val="0"/>
                <w:kern w:val="0"/>
                <w:sz w:val="22"/>
                <w:szCs w:val="22"/>
              </w:rPr>
              <w:t>5</w:t>
            </w:r>
            <w:r>
              <w:rPr>
                <w:rFonts w:hint="eastAsia" w:hAnsi="宋体" w:cs="宋体"/>
                <w:snapToGrid w:val="0"/>
                <w:kern w:val="0"/>
                <w:sz w:val="22"/>
                <w:szCs w:val="22"/>
              </w:rPr>
              <w:t>分）</w:t>
            </w:r>
          </w:p>
          <w:p>
            <w:pPr>
              <w:pStyle w:val="8"/>
              <w:wordWrap w:val="0"/>
              <w:adjustRightInd w:val="0"/>
              <w:snapToGrid w:val="0"/>
              <w:jc w:val="center"/>
              <w:rPr>
                <w:rFonts w:hAnsi="宋体" w:cs="宋体"/>
                <w:snapToGrid w:val="0"/>
                <w:kern w:val="0"/>
                <w:sz w:val="22"/>
                <w:szCs w:val="22"/>
              </w:rPr>
            </w:pPr>
          </w:p>
        </w:tc>
        <w:tc>
          <w:tcPr>
            <w:tcW w:w="4543"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spacing w:line="400" w:lineRule="exact"/>
              <w:rPr>
                <w:rFonts w:hAnsi="宋体" w:cs="宋体"/>
                <w:snapToGrid w:val="0"/>
                <w:kern w:val="0"/>
                <w:sz w:val="22"/>
                <w:szCs w:val="22"/>
              </w:rPr>
            </w:pPr>
            <w:r>
              <w:rPr>
                <w:rFonts w:hint="eastAsia" w:hAnsi="宋体" w:cs="宋体"/>
                <w:snapToGrid w:val="0"/>
                <w:kern w:val="0"/>
                <w:sz w:val="22"/>
                <w:szCs w:val="22"/>
              </w:rPr>
              <w:t>1.获得守合同重信用连续10年或以上的，得</w:t>
            </w:r>
            <w:r>
              <w:rPr>
                <w:rFonts w:hAnsi="宋体" w:cs="宋体"/>
                <w:snapToGrid w:val="0"/>
                <w:kern w:val="0"/>
                <w:sz w:val="22"/>
                <w:szCs w:val="22"/>
              </w:rPr>
              <w:t>5</w:t>
            </w:r>
            <w:r>
              <w:rPr>
                <w:rFonts w:hint="eastAsia" w:hAnsi="宋体" w:cs="宋体"/>
                <w:snapToGrid w:val="0"/>
                <w:kern w:val="0"/>
                <w:sz w:val="22"/>
                <w:szCs w:val="22"/>
              </w:rPr>
              <w:t>分（其中必须有2020年度）；</w:t>
            </w:r>
          </w:p>
          <w:p>
            <w:pPr>
              <w:pStyle w:val="8"/>
              <w:wordWrap w:val="0"/>
              <w:adjustRightInd w:val="0"/>
              <w:snapToGrid w:val="0"/>
              <w:spacing w:line="400" w:lineRule="exact"/>
              <w:rPr>
                <w:rFonts w:hAnsi="宋体" w:cs="宋体"/>
                <w:snapToGrid w:val="0"/>
                <w:kern w:val="0"/>
                <w:sz w:val="22"/>
                <w:szCs w:val="22"/>
              </w:rPr>
            </w:pPr>
            <w:r>
              <w:rPr>
                <w:rFonts w:hint="eastAsia" w:hAnsi="宋体" w:cs="宋体"/>
                <w:snapToGrid w:val="0"/>
                <w:kern w:val="0"/>
                <w:sz w:val="22"/>
                <w:szCs w:val="22"/>
              </w:rPr>
              <w:t>2.获得守合同重信用连续6～9年的得</w:t>
            </w:r>
            <w:r>
              <w:rPr>
                <w:rFonts w:hAnsi="宋体" w:cs="宋体"/>
                <w:snapToGrid w:val="0"/>
                <w:kern w:val="0"/>
                <w:sz w:val="22"/>
                <w:szCs w:val="22"/>
              </w:rPr>
              <w:t>3</w:t>
            </w:r>
            <w:r>
              <w:rPr>
                <w:rFonts w:hint="eastAsia" w:hAnsi="宋体" w:cs="宋体"/>
                <w:snapToGrid w:val="0"/>
                <w:kern w:val="0"/>
                <w:sz w:val="22"/>
                <w:szCs w:val="22"/>
              </w:rPr>
              <w:t>分（其中必须有2020年度）；</w:t>
            </w:r>
          </w:p>
          <w:p>
            <w:pPr>
              <w:pStyle w:val="8"/>
              <w:wordWrap w:val="0"/>
              <w:adjustRightInd w:val="0"/>
              <w:snapToGrid w:val="0"/>
              <w:spacing w:line="400" w:lineRule="exact"/>
              <w:rPr>
                <w:rFonts w:hAnsi="宋体" w:cs="宋体"/>
                <w:snapToGrid w:val="0"/>
                <w:kern w:val="0"/>
                <w:sz w:val="22"/>
                <w:szCs w:val="22"/>
              </w:rPr>
            </w:pPr>
            <w:r>
              <w:rPr>
                <w:rFonts w:hint="eastAsia" w:hAnsi="宋体" w:cs="宋体"/>
                <w:snapToGrid w:val="0"/>
                <w:kern w:val="0"/>
                <w:sz w:val="22"/>
                <w:szCs w:val="22"/>
              </w:rPr>
              <w:t>3.获得守合同重信用连续1～5年的得</w:t>
            </w:r>
            <w:r>
              <w:rPr>
                <w:rFonts w:hAnsi="宋体" w:cs="宋体"/>
                <w:snapToGrid w:val="0"/>
                <w:kern w:val="0"/>
                <w:sz w:val="22"/>
                <w:szCs w:val="22"/>
              </w:rPr>
              <w:t>1</w:t>
            </w:r>
            <w:r>
              <w:rPr>
                <w:rFonts w:hint="eastAsia" w:hAnsi="宋体" w:cs="宋体"/>
                <w:snapToGrid w:val="0"/>
                <w:kern w:val="0"/>
                <w:sz w:val="22"/>
                <w:szCs w:val="22"/>
              </w:rPr>
              <w:t>分（其中必须有2020年度）；</w:t>
            </w:r>
          </w:p>
          <w:p>
            <w:pPr>
              <w:pStyle w:val="8"/>
              <w:wordWrap w:val="0"/>
              <w:adjustRightInd w:val="0"/>
              <w:snapToGrid w:val="0"/>
              <w:spacing w:line="400" w:lineRule="exact"/>
              <w:rPr>
                <w:rFonts w:ascii="Times New Roman"/>
                <w:snapToGrid w:val="0"/>
                <w:kern w:val="0"/>
                <w:sz w:val="20"/>
                <w:szCs w:val="20"/>
              </w:rPr>
            </w:pPr>
            <w:r>
              <w:rPr>
                <w:rFonts w:hint="eastAsia" w:hAnsi="宋体" w:cs="宋体"/>
                <w:snapToGrid w:val="0"/>
                <w:kern w:val="0"/>
                <w:sz w:val="22"/>
                <w:szCs w:val="22"/>
              </w:rPr>
              <w:t>4.未获得过“守合同重信用”评定的，不予计分。</w:t>
            </w:r>
          </w:p>
        </w:tc>
        <w:tc>
          <w:tcPr>
            <w:tcW w:w="5094"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1．守合同重信用企业证书须由市场监督行政主管部门（原工商行政主管部门）颁发，提供证书复印件（或打印件）。</w:t>
            </w:r>
          </w:p>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2．颁发机构不符合评分标准和备注规定的，不计分。</w:t>
            </w:r>
          </w:p>
        </w:tc>
      </w:tr>
      <w:tr>
        <w:tblPrEx>
          <w:tblCellMar>
            <w:top w:w="0" w:type="dxa"/>
            <w:left w:w="108" w:type="dxa"/>
            <w:bottom w:w="0" w:type="dxa"/>
            <w:right w:w="108" w:type="dxa"/>
          </w:tblCellMar>
        </w:tblPrEx>
        <w:trPr>
          <w:trHeight w:val="554"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韶关地区</w:t>
            </w:r>
          </w:p>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企业诚信</w:t>
            </w:r>
          </w:p>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考评等级</w:t>
            </w:r>
          </w:p>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（5分）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spacing w:after="0"/>
              <w:rPr>
                <w:sz w:val="22"/>
                <w:szCs w:val="18"/>
              </w:rPr>
            </w:pPr>
            <w:r>
              <w:rPr>
                <w:rFonts w:hint="eastAsia"/>
                <w:sz w:val="22"/>
                <w:szCs w:val="18"/>
              </w:rPr>
              <w:t>韶关市建设行政主管部门发布的202</w:t>
            </w:r>
            <w:r>
              <w:rPr>
                <w:sz w:val="22"/>
                <w:szCs w:val="18"/>
              </w:rPr>
              <w:t>1</w:t>
            </w:r>
            <w:r>
              <w:rPr>
                <w:rFonts w:hint="eastAsia"/>
                <w:sz w:val="22"/>
                <w:szCs w:val="18"/>
              </w:rPr>
              <w:t>年</w:t>
            </w:r>
            <w:r>
              <w:rPr>
                <w:sz w:val="22"/>
                <w:szCs w:val="18"/>
              </w:rPr>
              <w:t>7</w:t>
            </w:r>
            <w:r>
              <w:rPr>
                <w:rFonts w:hint="eastAsia"/>
                <w:sz w:val="22"/>
                <w:szCs w:val="18"/>
              </w:rPr>
              <w:t>月至2022年</w:t>
            </w:r>
            <w:r>
              <w:rPr>
                <w:sz w:val="22"/>
                <w:szCs w:val="18"/>
              </w:rPr>
              <w:t>6</w:t>
            </w:r>
            <w:r>
              <w:rPr>
                <w:rFonts w:hint="eastAsia"/>
                <w:sz w:val="22"/>
                <w:szCs w:val="18"/>
              </w:rPr>
              <w:t>月连续1</w:t>
            </w:r>
            <w:r>
              <w:rPr>
                <w:sz w:val="22"/>
                <w:szCs w:val="18"/>
              </w:rPr>
              <w:t>2</w:t>
            </w:r>
            <w:r>
              <w:rPr>
                <w:rFonts w:hint="eastAsia"/>
                <w:sz w:val="22"/>
                <w:szCs w:val="18"/>
              </w:rPr>
              <w:t>个</w:t>
            </w:r>
            <w:r>
              <w:rPr>
                <w:sz w:val="22"/>
                <w:szCs w:val="18"/>
              </w:rPr>
              <w:t>月</w:t>
            </w:r>
            <w:r>
              <w:rPr>
                <w:rFonts w:hint="eastAsia"/>
                <w:sz w:val="22"/>
                <w:szCs w:val="18"/>
              </w:rPr>
              <w:t>获得韶关市建筑行业企业诚信综合考评等级情况：</w:t>
            </w:r>
          </w:p>
          <w:p>
            <w:pPr>
              <w:pStyle w:val="8"/>
              <w:wordWrap w:val="0"/>
              <w:adjustRightInd w:val="0"/>
              <w:snapToGrid w:val="0"/>
              <w:spacing w:after="0"/>
              <w:rPr>
                <w:sz w:val="22"/>
                <w:szCs w:val="18"/>
              </w:rPr>
            </w:pPr>
            <w:r>
              <w:rPr>
                <w:rFonts w:hint="eastAsia"/>
                <w:sz w:val="22"/>
                <w:szCs w:val="18"/>
              </w:rPr>
              <w:t>1．考评等级为AAA级的，得 5分。</w:t>
            </w:r>
          </w:p>
          <w:p>
            <w:pPr>
              <w:pStyle w:val="8"/>
              <w:wordWrap w:val="0"/>
              <w:adjustRightInd w:val="0"/>
              <w:snapToGrid w:val="0"/>
              <w:spacing w:after="0"/>
              <w:rPr>
                <w:sz w:val="22"/>
                <w:szCs w:val="18"/>
              </w:rPr>
            </w:pPr>
            <w:r>
              <w:rPr>
                <w:rFonts w:hint="eastAsia"/>
                <w:sz w:val="22"/>
                <w:szCs w:val="18"/>
              </w:rPr>
              <w:t>2．考评等级为AA级的，得 3分。</w:t>
            </w:r>
          </w:p>
          <w:p>
            <w:pPr>
              <w:pStyle w:val="8"/>
              <w:wordWrap w:val="0"/>
              <w:adjustRightInd w:val="0"/>
              <w:snapToGrid w:val="0"/>
              <w:spacing w:after="0"/>
              <w:rPr>
                <w:sz w:val="22"/>
                <w:szCs w:val="18"/>
              </w:rPr>
            </w:pPr>
            <w:r>
              <w:rPr>
                <w:rFonts w:hint="eastAsia"/>
                <w:sz w:val="22"/>
                <w:szCs w:val="18"/>
              </w:rPr>
              <w:t>3．考评等级为A级的，得 1分。</w:t>
            </w:r>
          </w:p>
          <w:p>
            <w:pPr>
              <w:pStyle w:val="8"/>
              <w:wordWrap w:val="0"/>
              <w:adjustRightInd w:val="0"/>
              <w:snapToGrid w:val="0"/>
              <w:spacing w:after="0"/>
              <w:rPr>
                <w:sz w:val="22"/>
                <w:szCs w:val="18"/>
              </w:rPr>
            </w:pPr>
            <w:r>
              <w:rPr>
                <w:rFonts w:hint="eastAsia"/>
                <w:sz w:val="22"/>
                <w:szCs w:val="18"/>
              </w:rPr>
              <w:t>4．考评等级为B级及以下或无评级的，不予计分。</w:t>
            </w:r>
          </w:p>
          <w:p>
            <w:pPr>
              <w:pStyle w:val="9"/>
              <w:rPr>
                <w:sz w:val="22"/>
                <w:szCs w:val="18"/>
              </w:rPr>
            </w:pPr>
            <w:r>
              <w:rPr>
                <w:rFonts w:hint="eastAsia" w:hAnsi="宋体" w:cs="宋体"/>
                <w:snapToGrid w:val="0"/>
                <w:kern w:val="0"/>
                <w:sz w:val="22"/>
                <w:szCs w:val="22"/>
              </w:rPr>
              <w:t>本项最高得5分。</w:t>
            </w:r>
          </w:p>
        </w:tc>
        <w:tc>
          <w:tcPr>
            <w:tcW w:w="5094" w:type="dxa"/>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left"/>
              <w:rPr>
                <w:rFonts w:hAnsi="宋体" w:cs="宋体"/>
                <w:snapToGrid w:val="0"/>
                <w:kern w:val="0"/>
                <w:sz w:val="22"/>
                <w:szCs w:val="22"/>
              </w:rPr>
            </w:pPr>
            <w:r>
              <w:rPr>
                <w:rFonts w:hint="eastAsia" w:hAnsi="宋体" w:cs="宋体"/>
                <w:snapToGrid w:val="0"/>
                <w:kern w:val="0"/>
                <w:sz w:val="22"/>
                <w:szCs w:val="22"/>
              </w:rPr>
              <w:t>1.需附《2021年</w:t>
            </w:r>
            <w:r>
              <w:rPr>
                <w:rFonts w:hint="eastAsia" w:hAnsi="宋体" w:cs="宋体"/>
                <w:snapToGrid w:val="0"/>
                <w:kern w:val="0"/>
                <w:sz w:val="22"/>
                <w:szCs w:val="22"/>
                <w:lang w:val="en-US" w:eastAsia="zh-CN"/>
              </w:rPr>
              <w:t>7</w:t>
            </w:r>
            <w:r>
              <w:rPr>
                <w:rFonts w:hint="eastAsia" w:hAnsi="宋体" w:cs="宋体"/>
                <w:snapToGrid w:val="0"/>
                <w:kern w:val="0"/>
                <w:sz w:val="22"/>
                <w:szCs w:val="22"/>
              </w:rPr>
              <w:t>月韶关市建筑行业企业诚信综合考评等级》至《2022年</w:t>
            </w:r>
            <w:r>
              <w:rPr>
                <w:rFonts w:hint="eastAsia" w:hAnsi="宋体" w:cs="宋体"/>
                <w:snapToGrid w:val="0"/>
                <w:kern w:val="0"/>
                <w:sz w:val="22"/>
                <w:szCs w:val="22"/>
                <w:lang w:val="en-US" w:eastAsia="zh-CN"/>
              </w:rPr>
              <w:t>6</w:t>
            </w:r>
            <w:r>
              <w:rPr>
                <w:rFonts w:hint="eastAsia" w:hAnsi="宋体" w:cs="宋体"/>
                <w:snapToGrid w:val="0"/>
                <w:kern w:val="0"/>
                <w:sz w:val="22"/>
                <w:szCs w:val="22"/>
              </w:rPr>
              <w:t>月韶关市建筑行业企业诚信综合考评等级》打印页、发布文件的网页截图打印页（应显示网站名称和网址）；</w:t>
            </w:r>
          </w:p>
          <w:p>
            <w:pPr>
              <w:wordWrap w:val="0"/>
              <w:adjustRightInd w:val="0"/>
              <w:snapToGrid w:val="0"/>
              <w:jc w:val="left"/>
              <w:rPr>
                <w:rFonts w:hAnsi="宋体" w:cs="宋体"/>
                <w:snapToGrid w:val="0"/>
                <w:kern w:val="0"/>
                <w:sz w:val="22"/>
                <w:szCs w:val="22"/>
              </w:rPr>
            </w:pPr>
            <w:r>
              <w:rPr>
                <w:rFonts w:hint="eastAsia" w:hAnsi="宋体" w:cs="宋体"/>
                <w:snapToGrid w:val="0"/>
                <w:kern w:val="0"/>
                <w:sz w:val="22"/>
                <w:szCs w:val="22"/>
              </w:rPr>
              <w:t>2.如在连续的月份当中出现两个或以上考评等级，则按“就低不就高”的原则，统一按低的等级予以计分。</w:t>
            </w:r>
          </w:p>
          <w:p>
            <w:pPr>
              <w:wordWrap w:val="0"/>
              <w:adjustRightInd w:val="0"/>
              <w:snapToGrid w:val="0"/>
              <w:jc w:val="left"/>
              <w:rPr>
                <w:rFonts w:hAnsi="宋体" w:cs="宋体"/>
                <w:snapToGrid w:val="0"/>
                <w:kern w:val="0"/>
                <w:sz w:val="22"/>
                <w:szCs w:val="22"/>
              </w:rPr>
            </w:pPr>
            <w:r>
              <w:rPr>
                <w:rFonts w:hint="eastAsia" w:hAnsi="宋体" w:cs="宋体"/>
                <w:snapToGrid w:val="0"/>
                <w:kern w:val="0"/>
                <w:sz w:val="22"/>
                <w:szCs w:val="22"/>
              </w:rPr>
              <w:t>3.发布机关、考评时间不符合要求的，不予计分。</w:t>
            </w:r>
          </w:p>
        </w:tc>
      </w:tr>
      <w:tr>
        <w:tblPrEx>
          <w:tblCellMar>
            <w:top w:w="0" w:type="dxa"/>
            <w:left w:w="108" w:type="dxa"/>
            <w:bottom w:w="0" w:type="dxa"/>
            <w:right w:w="108" w:type="dxa"/>
          </w:tblCellMar>
        </w:tblPrEx>
        <w:trPr>
          <w:trHeight w:val="258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企业纳税信用</w:t>
            </w:r>
          </w:p>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w:t>
            </w:r>
            <w:r>
              <w:rPr>
                <w:rFonts w:hAnsi="宋体" w:cs="宋体"/>
                <w:snapToGrid w:val="0"/>
                <w:kern w:val="0"/>
                <w:sz w:val="22"/>
                <w:szCs w:val="22"/>
              </w:rPr>
              <w:t>2</w:t>
            </w:r>
            <w:r>
              <w:rPr>
                <w:rFonts w:hint="eastAsia" w:hAnsi="宋体" w:cs="宋体"/>
                <w:snapToGrid w:val="0"/>
                <w:kern w:val="0"/>
                <w:sz w:val="22"/>
                <w:szCs w:val="22"/>
              </w:rPr>
              <w:t>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38"/>
              <w:widowControl/>
              <w:wordWrap w:val="0"/>
              <w:adjustRightInd w:val="0"/>
              <w:snapToGrid w:val="0"/>
              <w:spacing w:line="360" w:lineRule="auto"/>
              <w:jc w:val="left"/>
              <w:rPr>
                <w:rFonts w:ascii="宋体" w:hAnsi="宋体" w:eastAsia="宋体" w:cs="宋体"/>
                <w:snapToGrid w:val="0"/>
                <w:kern w:val="0"/>
                <w:sz w:val="22"/>
                <w:szCs w:val="22"/>
              </w:rPr>
            </w:pPr>
            <w:r>
              <w:rPr>
                <w:rFonts w:hint="eastAsia" w:ascii="宋体" w:hAnsi="宋体" w:eastAsia="宋体" w:cs="宋体"/>
                <w:snapToGrid w:val="0"/>
                <w:kern w:val="0"/>
                <w:sz w:val="22"/>
                <w:szCs w:val="22"/>
              </w:rPr>
              <w:t>企业连续</w:t>
            </w:r>
            <w:r>
              <w:rPr>
                <w:rFonts w:ascii="宋体" w:hAnsi="宋体" w:eastAsia="宋体" w:cs="宋体"/>
                <w:snapToGrid w:val="0"/>
                <w:kern w:val="0"/>
                <w:sz w:val="22"/>
                <w:szCs w:val="22"/>
              </w:rPr>
              <w:t>2</w:t>
            </w:r>
            <w:r>
              <w:rPr>
                <w:rFonts w:hint="eastAsia" w:ascii="宋体" w:hAnsi="宋体" w:eastAsia="宋体" w:cs="宋体"/>
                <w:snapToGrid w:val="0"/>
                <w:kern w:val="0"/>
                <w:sz w:val="22"/>
                <w:szCs w:val="22"/>
              </w:rPr>
              <w:t>年或</w:t>
            </w:r>
            <w:r>
              <w:rPr>
                <w:rFonts w:ascii="宋体" w:hAnsi="宋体" w:eastAsia="宋体" w:cs="宋体"/>
                <w:snapToGrid w:val="0"/>
                <w:kern w:val="0"/>
                <w:sz w:val="22"/>
                <w:szCs w:val="22"/>
              </w:rPr>
              <w:t>2</w:t>
            </w:r>
            <w:r>
              <w:rPr>
                <w:rFonts w:hint="eastAsia" w:ascii="宋体" w:hAnsi="宋体" w:eastAsia="宋体" w:cs="宋体"/>
                <w:snapToGrid w:val="0"/>
                <w:kern w:val="0"/>
                <w:sz w:val="22"/>
                <w:szCs w:val="22"/>
              </w:rPr>
              <w:t>年以上获得纳税信用A级纳税人的得</w:t>
            </w:r>
            <w:r>
              <w:rPr>
                <w:rFonts w:ascii="宋体" w:hAnsi="宋体" w:eastAsia="宋体" w:cs="宋体"/>
                <w:snapToGrid w:val="0"/>
                <w:kern w:val="0"/>
                <w:sz w:val="22"/>
                <w:szCs w:val="22"/>
              </w:rPr>
              <w:t>2</w:t>
            </w:r>
            <w:r>
              <w:rPr>
                <w:rFonts w:hint="eastAsia" w:ascii="宋体" w:hAnsi="宋体" w:eastAsia="宋体" w:cs="宋体"/>
                <w:snapToGrid w:val="0"/>
                <w:kern w:val="0"/>
                <w:sz w:val="22"/>
                <w:szCs w:val="22"/>
              </w:rPr>
              <w:t>分（其中必须有2021年度）。</w:t>
            </w:r>
          </w:p>
          <w:p>
            <w:pPr>
              <w:pStyle w:val="38"/>
              <w:widowControl/>
              <w:wordWrap w:val="0"/>
              <w:adjustRightInd w:val="0"/>
              <w:snapToGrid w:val="0"/>
              <w:spacing w:line="360" w:lineRule="auto"/>
              <w:jc w:val="left"/>
              <w:rPr>
                <w:rFonts w:ascii="宋体" w:hAnsi="宋体" w:eastAsia="宋体" w:cs="宋体"/>
                <w:snapToGrid w:val="0"/>
                <w:kern w:val="0"/>
                <w:sz w:val="22"/>
                <w:szCs w:val="22"/>
              </w:rPr>
            </w:pPr>
            <w:r>
              <w:rPr>
                <w:rFonts w:hint="eastAsia" w:hAnsi="宋体" w:eastAsia="宋体" w:cs="宋体"/>
                <w:snapToGrid w:val="0"/>
                <w:kern w:val="0"/>
                <w:sz w:val="22"/>
                <w:szCs w:val="22"/>
              </w:rPr>
              <w:t>本</w:t>
            </w:r>
            <w:r>
              <w:rPr>
                <w:rFonts w:hint="eastAsia" w:ascii="宋体" w:hAnsi="宋体" w:eastAsia="宋体" w:cs="宋体"/>
                <w:snapToGrid w:val="0"/>
                <w:kern w:val="0"/>
                <w:sz w:val="22"/>
                <w:szCs w:val="22"/>
              </w:rPr>
              <w:t>项最高</w:t>
            </w:r>
            <w:r>
              <w:rPr>
                <w:rFonts w:hint="eastAsia" w:hAnsi="宋体" w:eastAsia="宋体" w:cs="宋体"/>
                <w:snapToGrid w:val="0"/>
                <w:kern w:val="0"/>
                <w:sz w:val="22"/>
                <w:szCs w:val="22"/>
              </w:rPr>
              <w:t>得</w:t>
            </w:r>
            <w:r>
              <w:rPr>
                <w:rFonts w:ascii="宋体" w:hAnsi="宋体" w:eastAsia="宋体" w:cs="宋体"/>
                <w:snapToGrid w:val="0"/>
                <w:kern w:val="0"/>
                <w:sz w:val="22"/>
                <w:szCs w:val="22"/>
              </w:rPr>
              <w:t>2</w:t>
            </w:r>
            <w:r>
              <w:rPr>
                <w:rFonts w:hint="eastAsia" w:ascii="宋体" w:hAnsi="宋体" w:eastAsia="宋体" w:cs="宋体"/>
                <w:snapToGrid w:val="0"/>
                <w:kern w:val="0"/>
                <w:sz w:val="22"/>
                <w:szCs w:val="22"/>
              </w:rPr>
              <w:t>分。</w:t>
            </w:r>
          </w:p>
        </w:tc>
        <w:tc>
          <w:tcPr>
            <w:tcW w:w="5094"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1.必须提供企业纳税信用A级纳税人证明材料（或证书）复印件或打印件及国家税务总局网或国家税务总局广东</w:t>
            </w:r>
            <w:r>
              <w:rPr>
                <w:rFonts w:hint="eastAsia" w:hAnsi="宋体" w:cs="宋体"/>
                <w:snapToGrid w:val="0"/>
                <w:kern w:val="0"/>
                <w:sz w:val="22"/>
                <w:szCs w:val="22"/>
                <w:lang w:val="en-US" w:eastAsia="zh-CN"/>
              </w:rPr>
              <w:t>省电子税务局网</w:t>
            </w:r>
            <w:r>
              <w:rPr>
                <w:rFonts w:hint="eastAsia" w:hAnsi="宋体" w:cs="宋体"/>
                <w:snapToGrid w:val="0"/>
                <w:kern w:val="0"/>
                <w:sz w:val="22"/>
                <w:szCs w:val="22"/>
              </w:rPr>
              <w:t>上查询截图打印件，否则不得分。</w:t>
            </w:r>
          </w:p>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2.只计算投标人自身（不计算投标人的分公司、子公司及分支机构）。</w:t>
            </w:r>
          </w:p>
        </w:tc>
      </w:tr>
      <w:tr>
        <w:tblPrEx>
          <w:tblCellMar>
            <w:top w:w="0" w:type="dxa"/>
            <w:left w:w="108" w:type="dxa"/>
            <w:bottom w:w="0" w:type="dxa"/>
            <w:right w:w="108" w:type="dxa"/>
          </w:tblCellMar>
        </w:tblPrEx>
        <w:trPr>
          <w:trHeight w:val="1383"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jc w:val="center"/>
              <w:rPr>
                <w:rFonts w:hAnsi="宋体" w:cs="宋体"/>
                <w:kern w:val="0"/>
                <w:sz w:val="22"/>
                <w:szCs w:val="22"/>
              </w:rPr>
            </w:pPr>
            <w:r>
              <w:rPr>
                <w:rFonts w:hint="eastAsia" w:hAnsi="宋体" w:cs="宋体"/>
                <w:kern w:val="0"/>
                <w:sz w:val="22"/>
                <w:szCs w:val="22"/>
              </w:rPr>
              <w:t>企业创新</w:t>
            </w:r>
          </w:p>
          <w:p>
            <w:pPr>
              <w:pStyle w:val="8"/>
              <w:wordWrap w:val="0"/>
              <w:adjustRightInd w:val="0"/>
              <w:snapToGrid w:val="0"/>
              <w:jc w:val="center"/>
              <w:rPr>
                <w:rFonts w:hAnsi="宋体" w:cs="宋体"/>
                <w:kern w:val="0"/>
                <w:sz w:val="22"/>
                <w:szCs w:val="22"/>
              </w:rPr>
            </w:pPr>
            <w:r>
              <w:rPr>
                <w:rFonts w:hint="eastAsia" w:hAnsi="宋体" w:cs="宋体"/>
                <w:kern w:val="0"/>
                <w:sz w:val="22"/>
                <w:szCs w:val="22"/>
              </w:rPr>
              <w:t>能力</w:t>
            </w:r>
          </w:p>
          <w:p>
            <w:pPr>
              <w:pStyle w:val="8"/>
              <w:wordWrap w:val="0"/>
              <w:adjustRightInd w:val="0"/>
              <w:snapToGrid w:val="0"/>
              <w:jc w:val="center"/>
              <w:rPr>
                <w:rFonts w:hAnsi="宋体" w:cs="宋体"/>
                <w:snapToGrid w:val="0"/>
                <w:kern w:val="0"/>
                <w:sz w:val="22"/>
                <w:szCs w:val="22"/>
              </w:rPr>
            </w:pPr>
            <w:r>
              <w:rPr>
                <w:rFonts w:hint="eastAsia" w:hAnsi="宋体" w:cs="宋体"/>
                <w:kern w:val="0"/>
                <w:sz w:val="22"/>
                <w:szCs w:val="22"/>
              </w:rPr>
              <w:t>（</w:t>
            </w:r>
            <w:r>
              <w:rPr>
                <w:rFonts w:hAnsi="宋体" w:cs="宋体"/>
                <w:kern w:val="0"/>
                <w:sz w:val="22"/>
                <w:szCs w:val="22"/>
              </w:rPr>
              <w:t>3</w:t>
            </w:r>
            <w:r>
              <w:rPr>
                <w:rFonts w:hint="eastAsia" w:hAnsi="宋体" w:cs="宋体"/>
                <w:kern w:val="0"/>
                <w:sz w:val="22"/>
                <w:szCs w:val="22"/>
              </w:rPr>
              <w:t>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spacing w:after="0"/>
              <w:rPr>
                <w:rFonts w:hAnsi="宋体" w:cs="宋体"/>
                <w:snapToGrid w:val="0"/>
                <w:kern w:val="0"/>
                <w:sz w:val="22"/>
                <w:szCs w:val="22"/>
              </w:rPr>
            </w:pPr>
            <w:r>
              <w:rPr>
                <w:rFonts w:hint="eastAsia" w:hAnsi="宋体" w:cs="宋体"/>
                <w:snapToGrid w:val="0"/>
                <w:kern w:val="0"/>
                <w:sz w:val="22"/>
                <w:szCs w:val="22"/>
              </w:rPr>
              <w:t>1.近年来企业获得过省级或以上“高新技术企业”的，并在有效期内的得</w:t>
            </w:r>
            <w:r>
              <w:rPr>
                <w:rFonts w:hAnsi="宋体" w:cs="宋体"/>
                <w:snapToGrid w:val="0"/>
                <w:kern w:val="0"/>
                <w:sz w:val="22"/>
                <w:szCs w:val="22"/>
              </w:rPr>
              <w:t>3</w:t>
            </w:r>
            <w:r>
              <w:rPr>
                <w:rFonts w:hint="eastAsia" w:hAnsi="宋体" w:cs="宋体"/>
                <w:snapToGrid w:val="0"/>
                <w:kern w:val="0"/>
                <w:sz w:val="22"/>
                <w:szCs w:val="22"/>
              </w:rPr>
              <w:t>分。</w:t>
            </w:r>
          </w:p>
          <w:p>
            <w:pPr>
              <w:pStyle w:val="8"/>
              <w:wordWrap w:val="0"/>
              <w:adjustRightInd w:val="0"/>
              <w:snapToGrid w:val="0"/>
              <w:spacing w:after="0"/>
              <w:rPr>
                <w:rFonts w:hAnsi="宋体" w:cs="宋体"/>
                <w:snapToGrid w:val="0"/>
                <w:kern w:val="0"/>
                <w:sz w:val="22"/>
                <w:szCs w:val="22"/>
              </w:rPr>
            </w:pPr>
            <w:r>
              <w:rPr>
                <w:rFonts w:hint="eastAsia" w:hAnsi="宋体" w:cs="宋体"/>
                <w:snapToGrid w:val="0"/>
                <w:kern w:val="0"/>
                <w:sz w:val="22"/>
                <w:szCs w:val="22"/>
              </w:rPr>
              <w:t>2.其他不得分，本项最高得</w:t>
            </w:r>
            <w:r>
              <w:rPr>
                <w:rFonts w:hAnsi="宋体" w:cs="宋体"/>
                <w:snapToGrid w:val="0"/>
                <w:kern w:val="0"/>
                <w:sz w:val="22"/>
                <w:szCs w:val="22"/>
              </w:rPr>
              <w:t>3</w:t>
            </w:r>
            <w:r>
              <w:rPr>
                <w:rFonts w:hint="eastAsia" w:hAnsi="宋体" w:cs="宋体"/>
                <w:snapToGrid w:val="0"/>
                <w:kern w:val="0"/>
                <w:sz w:val="22"/>
                <w:szCs w:val="22"/>
              </w:rPr>
              <w:t>分。</w:t>
            </w:r>
          </w:p>
        </w:tc>
        <w:tc>
          <w:tcPr>
            <w:tcW w:w="5094"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spacing w:after="0"/>
              <w:rPr>
                <w:rFonts w:hAnsi="宋体" w:cs="宋体"/>
                <w:snapToGrid w:val="0"/>
                <w:kern w:val="0"/>
                <w:sz w:val="22"/>
                <w:szCs w:val="22"/>
              </w:rPr>
            </w:pPr>
            <w:r>
              <w:rPr>
                <w:rFonts w:hint="eastAsia" w:hAnsi="宋体" w:cs="宋体"/>
                <w:snapToGrid w:val="0"/>
                <w:kern w:val="0"/>
                <w:sz w:val="22"/>
                <w:szCs w:val="22"/>
              </w:rPr>
              <w:t>注：高新技术企业需提供网上查询截图及证书复印件，否则不得分。</w:t>
            </w:r>
          </w:p>
        </w:tc>
      </w:tr>
      <w:tr>
        <w:tblPrEx>
          <w:tblCellMar>
            <w:top w:w="0" w:type="dxa"/>
            <w:left w:w="108" w:type="dxa"/>
            <w:bottom w:w="0" w:type="dxa"/>
            <w:right w:w="108" w:type="dxa"/>
          </w:tblCellMar>
        </w:tblPrEx>
        <w:trPr>
          <w:trHeight w:val="1833"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spacing w:after="156" w:afterLines="50"/>
              <w:jc w:val="center"/>
              <w:rPr>
                <w:rFonts w:hAnsi="宋体" w:cs="宋体"/>
                <w:snapToGrid w:val="0"/>
                <w:kern w:val="0"/>
                <w:sz w:val="22"/>
                <w:szCs w:val="22"/>
                <w:highlight w:val="none"/>
              </w:rPr>
            </w:pPr>
            <w:r>
              <w:rPr>
                <w:rFonts w:hint="eastAsia" w:hAnsi="宋体" w:cs="宋体"/>
                <w:snapToGrid w:val="0"/>
                <w:kern w:val="0"/>
                <w:sz w:val="22"/>
                <w:szCs w:val="22"/>
                <w:highlight w:val="none"/>
              </w:rPr>
              <w:t>企业获得体系认证证书</w:t>
            </w:r>
          </w:p>
          <w:p>
            <w:pPr>
              <w:pStyle w:val="8"/>
              <w:wordWrap w:val="0"/>
              <w:adjustRightInd w:val="0"/>
              <w:snapToGrid w:val="0"/>
              <w:spacing w:after="156" w:afterLines="50"/>
              <w:jc w:val="center"/>
              <w:rPr>
                <w:rFonts w:hAnsi="宋体" w:cs="宋体"/>
                <w:snapToGrid w:val="0"/>
                <w:kern w:val="0"/>
                <w:sz w:val="22"/>
                <w:szCs w:val="22"/>
                <w:highlight w:val="none"/>
              </w:rPr>
            </w:pPr>
            <w:r>
              <w:rPr>
                <w:rFonts w:hint="eastAsia" w:hAnsi="宋体" w:cs="宋体"/>
                <w:snapToGrid w:val="0"/>
                <w:kern w:val="0"/>
                <w:sz w:val="22"/>
                <w:szCs w:val="22"/>
                <w:highlight w:val="none"/>
              </w:rPr>
              <w:t>（8分）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rPr>
                <w:rFonts w:hAnsi="宋体" w:cs="宋体"/>
                <w:kern w:val="0"/>
                <w:sz w:val="22"/>
                <w:szCs w:val="22"/>
                <w:highlight w:val="none"/>
              </w:rPr>
            </w:pPr>
            <w:r>
              <w:rPr>
                <w:rFonts w:hint="eastAsia" w:hAnsi="宋体" w:cs="宋体"/>
                <w:kern w:val="0"/>
                <w:sz w:val="22"/>
                <w:szCs w:val="22"/>
                <w:highlight w:val="none"/>
              </w:rPr>
              <w:t>同时具备质量管理体系认证证书、职业健康安全管理体系认证证书、环境管理体系认证证书、建筑工程</w:t>
            </w:r>
            <w:r>
              <w:rPr>
                <w:rFonts w:hAnsi="宋体" w:cs="宋体"/>
                <w:kern w:val="0"/>
                <w:sz w:val="22"/>
                <w:szCs w:val="22"/>
                <w:highlight w:val="none"/>
              </w:rPr>
              <w:t>绿色施工认证证书</w:t>
            </w:r>
            <w:r>
              <w:rPr>
                <w:rFonts w:hint="eastAsia" w:hAnsi="宋体" w:cs="宋体"/>
                <w:kern w:val="0"/>
                <w:sz w:val="22"/>
                <w:szCs w:val="22"/>
                <w:highlight w:val="none"/>
              </w:rPr>
              <w:t>、反贿赂管理体系评价证书、建筑工程服务认证证书、诚信管理体系认证证书：</w:t>
            </w:r>
          </w:p>
          <w:p>
            <w:pPr>
              <w:pStyle w:val="8"/>
              <w:numPr>
                <w:ilvl w:val="0"/>
                <w:numId w:val="3"/>
              </w:numPr>
              <w:wordWrap w:val="0"/>
              <w:adjustRightInd w:val="0"/>
              <w:snapToGrid w:val="0"/>
              <w:rPr>
                <w:rFonts w:hAnsi="宋体" w:cs="宋体"/>
                <w:kern w:val="0"/>
                <w:sz w:val="22"/>
                <w:szCs w:val="22"/>
                <w:highlight w:val="none"/>
              </w:rPr>
            </w:pPr>
            <w:r>
              <w:rPr>
                <w:rFonts w:hint="eastAsia" w:hAnsi="宋体" w:cs="宋体"/>
                <w:kern w:val="0"/>
                <w:sz w:val="22"/>
                <w:szCs w:val="22"/>
                <w:highlight w:val="none"/>
              </w:rPr>
              <w:t>企业获得全部</w:t>
            </w:r>
            <w:r>
              <w:rPr>
                <w:rFonts w:hAnsi="宋体" w:cs="宋体"/>
                <w:kern w:val="0"/>
                <w:sz w:val="22"/>
                <w:szCs w:val="22"/>
                <w:highlight w:val="none"/>
              </w:rPr>
              <w:t>7</w:t>
            </w:r>
            <w:r>
              <w:rPr>
                <w:rFonts w:hint="eastAsia" w:hAnsi="宋体" w:cs="宋体"/>
                <w:kern w:val="0"/>
                <w:sz w:val="22"/>
                <w:szCs w:val="22"/>
                <w:highlight w:val="none"/>
              </w:rPr>
              <w:t>项认证证书的得8分；</w:t>
            </w:r>
          </w:p>
          <w:p>
            <w:pPr>
              <w:pStyle w:val="8"/>
              <w:numPr>
                <w:ilvl w:val="0"/>
                <w:numId w:val="3"/>
              </w:numPr>
              <w:wordWrap w:val="0"/>
              <w:adjustRightInd w:val="0"/>
              <w:snapToGrid w:val="0"/>
              <w:rPr>
                <w:rFonts w:hAnsi="宋体" w:cs="宋体"/>
                <w:kern w:val="0"/>
                <w:sz w:val="22"/>
                <w:szCs w:val="22"/>
                <w:highlight w:val="none"/>
              </w:rPr>
            </w:pPr>
            <w:r>
              <w:rPr>
                <w:rFonts w:hint="eastAsia" w:hAnsi="宋体" w:cs="宋体"/>
                <w:kern w:val="0"/>
                <w:sz w:val="22"/>
                <w:szCs w:val="22"/>
                <w:highlight w:val="none"/>
              </w:rPr>
              <w:t>企业获得其中</w:t>
            </w:r>
            <w:r>
              <w:rPr>
                <w:rFonts w:hint="eastAsia" w:hAnsi="宋体" w:cs="宋体"/>
                <w:kern w:val="0"/>
                <w:sz w:val="22"/>
                <w:szCs w:val="22"/>
                <w:highlight w:val="none"/>
                <w:lang w:val="en-US" w:eastAsia="zh-CN"/>
              </w:rPr>
              <w:t>6</w:t>
            </w:r>
            <w:r>
              <w:rPr>
                <w:rFonts w:hint="eastAsia" w:hAnsi="宋体" w:cs="宋体"/>
                <w:kern w:val="0"/>
                <w:sz w:val="22"/>
                <w:szCs w:val="22"/>
                <w:highlight w:val="none"/>
              </w:rPr>
              <w:t>项认证证书的得</w:t>
            </w:r>
            <w:r>
              <w:rPr>
                <w:rFonts w:hint="eastAsia" w:hAnsi="宋体" w:cs="宋体"/>
                <w:kern w:val="0"/>
                <w:sz w:val="22"/>
                <w:szCs w:val="22"/>
                <w:highlight w:val="none"/>
                <w:lang w:val="en-US" w:eastAsia="zh-CN"/>
              </w:rPr>
              <w:t>6</w:t>
            </w:r>
            <w:r>
              <w:rPr>
                <w:rFonts w:hint="eastAsia" w:hAnsi="宋体" w:cs="宋体"/>
                <w:kern w:val="0"/>
                <w:sz w:val="22"/>
                <w:szCs w:val="22"/>
                <w:highlight w:val="none"/>
              </w:rPr>
              <w:t>分；</w:t>
            </w:r>
          </w:p>
          <w:p>
            <w:pPr>
              <w:pStyle w:val="8"/>
              <w:numPr>
                <w:ilvl w:val="0"/>
                <w:numId w:val="3"/>
              </w:numPr>
              <w:wordWrap w:val="0"/>
              <w:adjustRightInd w:val="0"/>
              <w:snapToGrid w:val="0"/>
              <w:rPr>
                <w:rFonts w:hAnsi="宋体" w:cs="宋体"/>
                <w:kern w:val="0"/>
                <w:sz w:val="22"/>
                <w:szCs w:val="22"/>
                <w:highlight w:val="none"/>
              </w:rPr>
            </w:pPr>
            <w:r>
              <w:rPr>
                <w:rFonts w:hint="eastAsia" w:hAnsi="宋体" w:cs="宋体"/>
                <w:kern w:val="0"/>
                <w:sz w:val="22"/>
                <w:szCs w:val="22"/>
                <w:highlight w:val="none"/>
              </w:rPr>
              <w:t>企业获得其中</w:t>
            </w:r>
            <w:r>
              <w:rPr>
                <w:rFonts w:hint="eastAsia" w:hAnsi="宋体" w:cs="宋体"/>
                <w:kern w:val="0"/>
                <w:sz w:val="22"/>
                <w:szCs w:val="22"/>
                <w:highlight w:val="none"/>
                <w:lang w:val="en-US" w:eastAsia="zh-CN"/>
              </w:rPr>
              <w:t>5</w:t>
            </w:r>
            <w:r>
              <w:rPr>
                <w:rFonts w:hint="eastAsia" w:hAnsi="宋体" w:cs="宋体"/>
                <w:kern w:val="0"/>
                <w:sz w:val="22"/>
                <w:szCs w:val="22"/>
                <w:highlight w:val="none"/>
              </w:rPr>
              <w:t>项认证证书的得</w:t>
            </w:r>
            <w:r>
              <w:rPr>
                <w:rFonts w:hint="eastAsia" w:hAnsi="宋体" w:cs="宋体"/>
                <w:kern w:val="0"/>
                <w:sz w:val="22"/>
                <w:szCs w:val="22"/>
                <w:highlight w:val="none"/>
                <w:lang w:val="en-US" w:eastAsia="zh-CN"/>
              </w:rPr>
              <w:t>4</w:t>
            </w:r>
            <w:r>
              <w:rPr>
                <w:rFonts w:hint="eastAsia" w:hAnsi="宋体" w:cs="宋体"/>
                <w:kern w:val="0"/>
                <w:sz w:val="22"/>
                <w:szCs w:val="22"/>
                <w:highlight w:val="none"/>
              </w:rPr>
              <w:t>分；</w:t>
            </w:r>
          </w:p>
          <w:p>
            <w:pPr>
              <w:pStyle w:val="8"/>
              <w:numPr>
                <w:ilvl w:val="0"/>
                <w:numId w:val="3"/>
              </w:numPr>
              <w:wordWrap w:val="0"/>
              <w:adjustRightInd w:val="0"/>
              <w:snapToGrid w:val="0"/>
              <w:rPr>
                <w:rFonts w:hint="default" w:hAnsi="宋体" w:cs="宋体"/>
                <w:kern w:val="0"/>
                <w:sz w:val="22"/>
                <w:szCs w:val="22"/>
                <w:highlight w:val="none"/>
                <w:lang w:val="en-US" w:eastAsia="zh-CN"/>
              </w:rPr>
            </w:pPr>
            <w:r>
              <w:rPr>
                <w:rFonts w:hint="eastAsia" w:hAnsi="宋体" w:cs="宋体"/>
                <w:kern w:val="0"/>
                <w:sz w:val="22"/>
                <w:szCs w:val="22"/>
                <w:highlight w:val="none"/>
              </w:rPr>
              <w:t>企业获得其中</w:t>
            </w:r>
            <w:r>
              <w:rPr>
                <w:rFonts w:hint="eastAsia" w:hAnsi="宋体" w:cs="宋体"/>
                <w:kern w:val="0"/>
                <w:sz w:val="22"/>
                <w:szCs w:val="22"/>
                <w:highlight w:val="none"/>
                <w:lang w:val="en-US" w:eastAsia="zh-CN"/>
              </w:rPr>
              <w:t>4</w:t>
            </w:r>
            <w:r>
              <w:rPr>
                <w:rFonts w:hint="eastAsia" w:hAnsi="宋体" w:cs="宋体"/>
                <w:kern w:val="0"/>
                <w:sz w:val="22"/>
                <w:szCs w:val="22"/>
                <w:highlight w:val="none"/>
              </w:rPr>
              <w:t>项认证证书的得</w:t>
            </w:r>
            <w:r>
              <w:rPr>
                <w:rFonts w:hint="eastAsia" w:hAnsi="宋体" w:cs="宋体"/>
                <w:kern w:val="0"/>
                <w:sz w:val="22"/>
                <w:szCs w:val="22"/>
                <w:highlight w:val="none"/>
                <w:lang w:val="en-US" w:eastAsia="zh-CN"/>
              </w:rPr>
              <w:t>2</w:t>
            </w:r>
            <w:r>
              <w:rPr>
                <w:rFonts w:hint="eastAsia" w:hAnsi="宋体" w:cs="宋体"/>
                <w:kern w:val="0"/>
                <w:sz w:val="22"/>
                <w:szCs w:val="22"/>
                <w:highlight w:val="none"/>
              </w:rPr>
              <w:t>分</w:t>
            </w:r>
          </w:p>
          <w:p>
            <w:pPr>
              <w:pStyle w:val="8"/>
              <w:numPr>
                <w:ilvl w:val="0"/>
                <w:numId w:val="3"/>
              </w:numPr>
              <w:wordWrap w:val="0"/>
              <w:adjustRightInd w:val="0"/>
              <w:snapToGrid w:val="0"/>
              <w:rPr>
                <w:rFonts w:hAnsi="宋体" w:cs="宋体"/>
                <w:kern w:val="0"/>
                <w:sz w:val="22"/>
                <w:szCs w:val="22"/>
                <w:highlight w:val="none"/>
              </w:rPr>
            </w:pPr>
            <w:r>
              <w:rPr>
                <w:rFonts w:hint="eastAsia" w:hAnsi="宋体" w:cs="宋体"/>
                <w:kern w:val="0"/>
                <w:sz w:val="22"/>
                <w:szCs w:val="22"/>
                <w:highlight w:val="none"/>
              </w:rPr>
              <w:t>以上认证证书均未获得的，不予计分。</w:t>
            </w:r>
          </w:p>
          <w:p>
            <w:pPr>
              <w:pStyle w:val="9"/>
              <w:spacing w:line="360" w:lineRule="auto"/>
              <w:rPr>
                <w:rFonts w:hAnsi="宋体" w:cs="宋体"/>
                <w:kern w:val="0"/>
                <w:sz w:val="22"/>
                <w:szCs w:val="22"/>
                <w:highlight w:val="none"/>
              </w:rPr>
            </w:pPr>
            <w:r>
              <w:rPr>
                <w:rFonts w:hint="eastAsia" w:hAnsi="宋体" w:cs="宋体"/>
                <w:snapToGrid w:val="0"/>
                <w:kern w:val="0"/>
                <w:sz w:val="22"/>
                <w:szCs w:val="22"/>
                <w:highlight w:val="none"/>
              </w:rPr>
              <w:t>本项最高得8分</w:t>
            </w:r>
            <w:r>
              <w:rPr>
                <w:rFonts w:hint="eastAsia" w:hAnsi="宋体" w:cs="宋体"/>
                <w:kern w:val="0"/>
                <w:sz w:val="22"/>
                <w:szCs w:val="22"/>
                <w:highlight w:val="none"/>
              </w:rPr>
              <w:t>。</w:t>
            </w:r>
          </w:p>
        </w:tc>
        <w:tc>
          <w:tcPr>
            <w:tcW w:w="5094" w:type="dxa"/>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hAnsi="宋体" w:cs="宋体"/>
                <w:sz w:val="22"/>
                <w:szCs w:val="22"/>
                <w:highlight w:val="none"/>
              </w:rPr>
            </w:pPr>
            <w:r>
              <w:rPr>
                <w:rFonts w:hAnsi="宋体" w:cs="宋体"/>
                <w:sz w:val="22"/>
                <w:szCs w:val="22"/>
                <w:highlight w:val="none"/>
              </w:rPr>
              <w:t>1</w:t>
            </w:r>
            <w:r>
              <w:rPr>
                <w:rFonts w:hint="eastAsia" w:hAnsi="宋体" w:cs="宋体"/>
                <w:sz w:val="22"/>
                <w:szCs w:val="22"/>
                <w:highlight w:val="none"/>
              </w:rPr>
              <w:t>．需附在有效期内的认证证书复印件（或打印件）</w:t>
            </w:r>
            <w:r>
              <w:rPr>
                <w:rFonts w:hint="eastAsia" w:hAnsi="宋体" w:cs="宋体"/>
                <w:sz w:val="22"/>
                <w:szCs w:val="22"/>
                <w:highlight w:val="none"/>
                <w:lang w:val="en-US" w:eastAsia="zh-CN"/>
              </w:rPr>
              <w:t>及全国认证认可信息公共服务平台查询截图，</w:t>
            </w:r>
            <w:r>
              <w:rPr>
                <w:rFonts w:hint="eastAsia" w:hAnsi="宋体" w:cs="宋体"/>
                <w:sz w:val="22"/>
                <w:szCs w:val="22"/>
                <w:highlight w:val="none"/>
              </w:rPr>
              <w:t>同时提供原件供核对。</w:t>
            </w:r>
          </w:p>
          <w:p>
            <w:pPr>
              <w:pStyle w:val="9"/>
              <w:spacing w:line="360" w:lineRule="auto"/>
              <w:rPr>
                <w:rFonts w:hAnsi="宋体" w:cs="宋体"/>
                <w:sz w:val="22"/>
                <w:szCs w:val="22"/>
                <w:highlight w:val="none"/>
              </w:rPr>
            </w:pPr>
            <w:r>
              <w:rPr>
                <w:rFonts w:hAnsi="宋体" w:cs="宋体"/>
                <w:sz w:val="22"/>
                <w:szCs w:val="22"/>
                <w:highlight w:val="none"/>
              </w:rPr>
              <w:t>2</w:t>
            </w:r>
            <w:r>
              <w:rPr>
                <w:rFonts w:hint="eastAsia" w:hAnsi="宋体" w:cs="宋体"/>
                <w:sz w:val="22"/>
                <w:szCs w:val="22"/>
                <w:highlight w:val="none"/>
              </w:rPr>
              <w:t>．任一认证证书有以下情形之一的，该认证证书视为无效，不予计分：</w:t>
            </w:r>
          </w:p>
          <w:p>
            <w:pPr>
              <w:pStyle w:val="9"/>
              <w:spacing w:line="360" w:lineRule="auto"/>
              <w:rPr>
                <w:rFonts w:hint="eastAsia" w:hAnsi="宋体" w:cs="宋体"/>
                <w:sz w:val="22"/>
                <w:szCs w:val="22"/>
                <w:highlight w:val="none"/>
              </w:rPr>
            </w:pPr>
            <w:r>
              <w:rPr>
                <w:rFonts w:hint="eastAsia" w:hAnsi="宋体" w:cs="宋体"/>
                <w:sz w:val="22"/>
                <w:szCs w:val="22"/>
                <w:highlight w:val="none"/>
              </w:rPr>
              <w:t>①认证证书不在有效期内的。</w:t>
            </w:r>
          </w:p>
          <w:p>
            <w:pPr>
              <w:pStyle w:val="9"/>
              <w:spacing w:line="360" w:lineRule="auto"/>
              <w:rPr>
                <w:rFonts w:hAnsi="宋体" w:cs="宋体"/>
                <w:sz w:val="22"/>
                <w:szCs w:val="22"/>
                <w:highlight w:val="none"/>
              </w:rPr>
            </w:pPr>
            <w:r>
              <w:rPr>
                <w:rFonts w:hint="eastAsia" w:hAnsi="宋体" w:cs="宋体"/>
                <w:sz w:val="22"/>
                <w:szCs w:val="22"/>
                <w:highlight w:val="none"/>
                <w:lang w:val="en-US" w:eastAsia="zh-CN"/>
              </w:rPr>
              <w:t>②证书有效性在全国认证认可信息公共服务平台查询截图查询失效。</w:t>
            </w:r>
          </w:p>
        </w:tc>
      </w:tr>
      <w:tr>
        <w:tblPrEx>
          <w:tblCellMar>
            <w:top w:w="0" w:type="dxa"/>
            <w:left w:w="108" w:type="dxa"/>
            <w:bottom w:w="0" w:type="dxa"/>
            <w:right w:w="108" w:type="dxa"/>
          </w:tblCellMar>
        </w:tblPrEx>
        <w:trPr>
          <w:trHeight w:val="9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spacing w:after="156" w:afterLines="50"/>
              <w:jc w:val="center"/>
              <w:rPr>
                <w:rFonts w:hAnsi="宋体" w:cs="宋体"/>
                <w:snapToGrid w:val="0"/>
                <w:kern w:val="0"/>
                <w:sz w:val="22"/>
                <w:szCs w:val="22"/>
              </w:rPr>
            </w:pPr>
            <w:r>
              <w:rPr>
                <w:rFonts w:hint="eastAsia" w:hAnsi="宋体" w:cs="宋体"/>
                <w:snapToGrid w:val="0"/>
                <w:kern w:val="0"/>
                <w:sz w:val="22"/>
                <w:szCs w:val="22"/>
              </w:rPr>
              <w:t>企业荣誉（</w:t>
            </w:r>
            <w:r>
              <w:rPr>
                <w:rFonts w:hint="eastAsia" w:hAnsi="宋体" w:cs="宋体"/>
                <w:snapToGrid w:val="0"/>
                <w:kern w:val="0"/>
                <w:sz w:val="22"/>
                <w:szCs w:val="22"/>
                <w:lang w:val="en-US" w:eastAsia="zh-CN"/>
              </w:rPr>
              <w:t>4</w:t>
            </w:r>
            <w:r>
              <w:rPr>
                <w:rFonts w:hint="eastAsia" w:hAnsi="宋体" w:cs="宋体"/>
                <w:snapToGrid w:val="0"/>
                <w:kern w:val="0"/>
                <w:sz w:val="22"/>
                <w:szCs w:val="22"/>
              </w:rPr>
              <w:t>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8"/>
              <w:numPr>
                <w:ilvl w:val="0"/>
                <w:numId w:val="4"/>
              </w:numPr>
              <w:wordWrap w:val="0"/>
              <w:adjustRightInd w:val="0"/>
              <w:snapToGrid w:val="0"/>
              <w:rPr>
                <w:rFonts w:hint="eastAsia" w:hAnsi="宋体" w:cs="宋体"/>
                <w:snapToGrid w:val="0"/>
                <w:kern w:val="0"/>
                <w:sz w:val="22"/>
                <w:szCs w:val="22"/>
              </w:rPr>
            </w:pPr>
            <w:r>
              <w:rPr>
                <w:rFonts w:hint="eastAsia" w:hAnsi="宋体" w:cs="宋体"/>
                <w:snapToGrid w:val="0"/>
                <w:kern w:val="0"/>
                <w:sz w:val="22"/>
                <w:szCs w:val="22"/>
              </w:rPr>
              <w:t>企业201</w:t>
            </w:r>
            <w:r>
              <w:rPr>
                <w:rFonts w:hAnsi="宋体" w:cs="宋体"/>
                <w:snapToGrid w:val="0"/>
                <w:kern w:val="0"/>
                <w:sz w:val="22"/>
                <w:szCs w:val="22"/>
              </w:rPr>
              <w:t>9</w:t>
            </w:r>
            <w:r>
              <w:rPr>
                <w:rFonts w:hint="eastAsia" w:hAnsi="宋体" w:cs="宋体"/>
                <w:snapToGrid w:val="0"/>
                <w:kern w:val="0"/>
                <w:sz w:val="22"/>
                <w:szCs w:val="22"/>
              </w:rPr>
              <w:t>年1月1日至今获得过“先进集体”荣誉称号的得</w:t>
            </w:r>
            <w:r>
              <w:rPr>
                <w:rFonts w:hint="eastAsia" w:hAnsi="宋体" w:cs="宋体"/>
                <w:snapToGrid w:val="0"/>
                <w:kern w:val="0"/>
                <w:sz w:val="22"/>
                <w:szCs w:val="22"/>
                <w:lang w:val="en-US" w:eastAsia="zh-CN"/>
              </w:rPr>
              <w:t>4</w:t>
            </w:r>
            <w:r>
              <w:rPr>
                <w:rFonts w:hint="eastAsia" w:hAnsi="宋体" w:cs="宋体"/>
                <w:snapToGrid w:val="0"/>
                <w:kern w:val="0"/>
                <w:sz w:val="22"/>
                <w:szCs w:val="22"/>
              </w:rPr>
              <w:t>分。</w:t>
            </w:r>
          </w:p>
          <w:p>
            <w:pPr>
              <w:pStyle w:val="8"/>
              <w:numPr>
                <w:ilvl w:val="0"/>
                <w:numId w:val="4"/>
              </w:numPr>
              <w:wordWrap w:val="0"/>
              <w:adjustRightInd w:val="0"/>
              <w:snapToGrid w:val="0"/>
              <w:ind w:left="0" w:leftChars="0" w:firstLine="0" w:firstLineChars="0"/>
              <w:rPr>
                <w:rFonts w:hint="eastAsia" w:hAnsi="宋体" w:cs="宋体"/>
                <w:snapToGrid w:val="0"/>
                <w:kern w:val="0"/>
                <w:sz w:val="22"/>
                <w:szCs w:val="22"/>
              </w:rPr>
            </w:pPr>
            <w:r>
              <w:rPr>
                <w:rFonts w:hint="eastAsia" w:hAnsi="宋体" w:cs="宋体"/>
                <w:snapToGrid w:val="0"/>
                <w:kern w:val="0"/>
                <w:sz w:val="22"/>
                <w:szCs w:val="22"/>
              </w:rPr>
              <w:t>其他不得分</w:t>
            </w:r>
            <w:r>
              <w:rPr>
                <w:rFonts w:hint="eastAsia" w:hAnsi="宋体" w:cs="宋体"/>
                <w:snapToGrid w:val="0"/>
                <w:kern w:val="0"/>
                <w:sz w:val="22"/>
                <w:szCs w:val="22"/>
                <w:lang w:eastAsia="zh-CN"/>
              </w:rPr>
              <w:t>。</w:t>
            </w:r>
          </w:p>
          <w:p>
            <w:pPr>
              <w:pStyle w:val="8"/>
              <w:numPr>
                <w:ilvl w:val="0"/>
                <w:numId w:val="0"/>
              </w:numPr>
              <w:wordWrap w:val="0"/>
              <w:adjustRightInd w:val="0"/>
              <w:snapToGrid w:val="0"/>
              <w:ind w:leftChars="0"/>
              <w:rPr>
                <w:rFonts w:hAnsi="宋体" w:cs="宋体"/>
                <w:kern w:val="0"/>
                <w:sz w:val="22"/>
                <w:szCs w:val="22"/>
              </w:rPr>
            </w:pPr>
            <w:r>
              <w:rPr>
                <w:rFonts w:hint="eastAsia" w:hAnsi="宋体" w:cs="宋体"/>
                <w:snapToGrid w:val="0"/>
                <w:kern w:val="0"/>
                <w:sz w:val="22"/>
                <w:szCs w:val="22"/>
              </w:rPr>
              <w:t>本项最高得</w:t>
            </w:r>
            <w:r>
              <w:rPr>
                <w:rFonts w:hint="eastAsia" w:hAnsi="宋体" w:cs="宋体"/>
                <w:snapToGrid w:val="0"/>
                <w:kern w:val="0"/>
                <w:sz w:val="22"/>
                <w:szCs w:val="22"/>
                <w:lang w:val="en-US" w:eastAsia="zh-CN"/>
              </w:rPr>
              <w:t>4</w:t>
            </w:r>
            <w:r>
              <w:rPr>
                <w:rFonts w:hint="eastAsia" w:hAnsi="宋体" w:cs="宋体"/>
                <w:snapToGrid w:val="0"/>
                <w:kern w:val="0"/>
                <w:sz w:val="22"/>
                <w:szCs w:val="22"/>
              </w:rPr>
              <w:t>分。</w:t>
            </w:r>
          </w:p>
        </w:tc>
        <w:tc>
          <w:tcPr>
            <w:tcW w:w="5094"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rPr>
                <w:rFonts w:hAnsi="宋体" w:cs="宋体"/>
                <w:kern w:val="0"/>
                <w:sz w:val="22"/>
                <w:szCs w:val="22"/>
              </w:rPr>
            </w:pPr>
            <w:r>
              <w:rPr>
                <w:rFonts w:hint="eastAsia" w:hAnsi="宋体" w:cs="宋体"/>
                <w:kern w:val="0"/>
                <w:sz w:val="22"/>
                <w:szCs w:val="22"/>
              </w:rPr>
              <w:t>1．需附相关荣誉证书、表彰决定或发文材料复印件（或打印件）。</w:t>
            </w:r>
          </w:p>
          <w:p>
            <w:pPr>
              <w:pStyle w:val="8"/>
              <w:wordWrap w:val="0"/>
              <w:adjustRightInd w:val="0"/>
              <w:snapToGrid w:val="0"/>
              <w:rPr>
                <w:rFonts w:hAnsi="宋体" w:cs="宋体"/>
                <w:kern w:val="0"/>
                <w:sz w:val="22"/>
                <w:szCs w:val="22"/>
              </w:rPr>
            </w:pPr>
            <w:r>
              <w:rPr>
                <w:rFonts w:hint="eastAsia" w:hAnsi="宋体" w:cs="宋体"/>
                <w:kern w:val="0"/>
                <w:sz w:val="22"/>
                <w:szCs w:val="22"/>
              </w:rPr>
              <w:t>2．证书须由县级或县级以上人民政府颁发。</w:t>
            </w:r>
          </w:p>
          <w:p>
            <w:pPr>
              <w:pStyle w:val="8"/>
              <w:wordWrap w:val="0"/>
              <w:adjustRightInd w:val="0"/>
              <w:snapToGrid w:val="0"/>
              <w:rPr>
                <w:rFonts w:hAnsi="宋体" w:cs="宋体"/>
                <w:sz w:val="22"/>
                <w:szCs w:val="22"/>
              </w:rPr>
            </w:pPr>
            <w:r>
              <w:rPr>
                <w:rFonts w:hint="eastAsia" w:hAnsi="宋体" w:cs="宋体"/>
                <w:kern w:val="0"/>
                <w:sz w:val="22"/>
                <w:szCs w:val="22"/>
              </w:rPr>
              <w:t>3．颁发机构、获奖时间不符合评分标准和备注规定的，不予得分。</w:t>
            </w:r>
          </w:p>
        </w:tc>
      </w:tr>
      <w:tr>
        <w:tblPrEx>
          <w:tblCellMar>
            <w:top w:w="0" w:type="dxa"/>
            <w:left w:w="108" w:type="dxa"/>
            <w:bottom w:w="0" w:type="dxa"/>
            <w:right w:w="108" w:type="dxa"/>
          </w:tblCellMar>
        </w:tblPrEx>
        <w:trPr>
          <w:trHeight w:val="5175" w:hRule="atLeast"/>
          <w:jc w:val="center"/>
        </w:trPr>
        <w:tc>
          <w:tcPr>
            <w:tcW w:w="1268" w:type="dxa"/>
            <w:tcBorders>
              <w:top w:val="single" w:color="auto" w:sz="4" w:space="0"/>
              <w:left w:val="single" w:color="auto" w:sz="4" w:space="0"/>
              <w:right w:val="single" w:color="auto" w:sz="4" w:space="0"/>
            </w:tcBorders>
            <w:vAlign w:val="center"/>
          </w:tcPr>
          <w:p>
            <w:pPr>
              <w:pStyle w:val="8"/>
              <w:wordWrap w:val="0"/>
              <w:adjustRightInd w:val="0"/>
              <w:snapToGrid w:val="0"/>
              <w:jc w:val="center"/>
              <w:rPr>
                <w:rFonts w:hAnsi="宋体" w:cs="宋体"/>
                <w:kern w:val="0"/>
                <w:sz w:val="22"/>
                <w:szCs w:val="22"/>
              </w:rPr>
            </w:pPr>
            <w:r>
              <w:rPr>
                <w:rFonts w:hint="eastAsia" w:hAnsi="宋体" w:cs="宋体"/>
                <w:kern w:val="0"/>
                <w:sz w:val="22"/>
                <w:szCs w:val="22"/>
              </w:rPr>
              <w:t>服务便</w:t>
            </w:r>
          </w:p>
          <w:p>
            <w:pPr>
              <w:pStyle w:val="8"/>
              <w:wordWrap w:val="0"/>
              <w:adjustRightInd w:val="0"/>
              <w:snapToGrid w:val="0"/>
              <w:jc w:val="center"/>
              <w:rPr>
                <w:rFonts w:hAnsi="宋体" w:cs="宋体"/>
                <w:kern w:val="0"/>
                <w:sz w:val="22"/>
                <w:szCs w:val="22"/>
              </w:rPr>
            </w:pPr>
            <w:r>
              <w:rPr>
                <w:rFonts w:hint="eastAsia" w:hAnsi="宋体" w:cs="宋体"/>
                <w:kern w:val="0"/>
                <w:sz w:val="22"/>
                <w:szCs w:val="22"/>
              </w:rPr>
              <w:t>利性</w:t>
            </w:r>
          </w:p>
          <w:p>
            <w:pPr>
              <w:pStyle w:val="8"/>
              <w:wordWrap w:val="0"/>
              <w:adjustRightInd w:val="0"/>
              <w:snapToGrid w:val="0"/>
              <w:jc w:val="center"/>
              <w:rPr>
                <w:rFonts w:hAnsi="宋体" w:cs="宋体"/>
                <w:snapToGrid w:val="0"/>
                <w:kern w:val="0"/>
                <w:sz w:val="22"/>
                <w:szCs w:val="22"/>
              </w:rPr>
            </w:pPr>
            <w:r>
              <w:rPr>
                <w:rFonts w:hint="eastAsia" w:hAnsi="宋体" w:cs="宋体"/>
                <w:kern w:val="0"/>
                <w:sz w:val="22"/>
                <w:szCs w:val="22"/>
              </w:rPr>
              <w:t>（6分）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对所有投标人的快速服务保障能力（包括保修期快速服务保障能力）进行横向比较：</w:t>
            </w:r>
          </w:p>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1．快速服务保障能力优的得6分；</w:t>
            </w:r>
          </w:p>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2．快速服务保障能力良的得3分；</w:t>
            </w:r>
          </w:p>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3．快速服务保障能力一般的得1分；</w:t>
            </w:r>
          </w:p>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 xml:space="preserve">本项最高得6分。   </w:t>
            </w:r>
          </w:p>
        </w:tc>
        <w:tc>
          <w:tcPr>
            <w:tcW w:w="5094"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rPr>
                <w:rFonts w:hint="eastAsia" w:hAnsi="宋体" w:cs="宋体"/>
                <w:snapToGrid w:val="0"/>
                <w:kern w:val="0"/>
                <w:sz w:val="22"/>
                <w:szCs w:val="22"/>
              </w:rPr>
            </w:pPr>
            <w:r>
              <w:rPr>
                <w:rFonts w:hint="eastAsia" w:hAnsi="宋体" w:cs="宋体"/>
                <w:snapToGrid w:val="0"/>
                <w:kern w:val="0"/>
                <w:sz w:val="22"/>
                <w:szCs w:val="22"/>
              </w:rPr>
              <w:t>注：投标人须提供快速服务保障能力的承诺函，承诺函中必须包含响应时间的承诺并提供相关佐证材料，承诺函格式自拟，投标人所在地距离招标人地点的百度地图路线网上截图、同城（同个县/区）视为快速服务能力相同</w:t>
            </w:r>
            <w:r>
              <w:rPr>
                <w:rFonts w:hint="eastAsia" w:hAnsi="宋体" w:cs="宋体"/>
                <w:snapToGrid w:val="0"/>
                <w:kern w:val="0"/>
                <w:sz w:val="22"/>
                <w:szCs w:val="22"/>
                <w:lang w:eastAsia="zh-CN"/>
              </w:rPr>
              <w:t>。</w:t>
            </w:r>
            <w:r>
              <w:rPr>
                <w:rFonts w:hint="eastAsia" w:hAnsi="宋体" w:cs="宋体"/>
                <w:snapToGrid w:val="0"/>
                <w:kern w:val="0"/>
                <w:sz w:val="22"/>
                <w:szCs w:val="22"/>
              </w:rPr>
              <w:t>拟投入本项目的施工管理机构人员在投标人所在地办理的社保证明文件、投标人营业执照复印件、保修期服务。</w:t>
            </w:r>
          </w:p>
          <w:p>
            <w:pPr>
              <w:pStyle w:val="8"/>
              <w:wordWrap w:val="0"/>
              <w:adjustRightInd w:val="0"/>
              <w:snapToGrid w:val="0"/>
              <w:rPr>
                <w:rFonts w:hint="eastAsia" w:hAnsi="宋体" w:cs="宋体"/>
                <w:snapToGrid w:val="0"/>
                <w:kern w:val="0"/>
                <w:sz w:val="22"/>
                <w:szCs w:val="22"/>
              </w:rPr>
            </w:pPr>
            <w:r>
              <w:rPr>
                <w:rFonts w:hint="eastAsia" w:hAnsi="宋体" w:cs="宋体"/>
                <w:snapToGrid w:val="0"/>
                <w:kern w:val="0"/>
                <w:sz w:val="22"/>
                <w:szCs w:val="22"/>
              </w:rPr>
              <w:t>备注：其中社保证明文件（投标截止前近</w:t>
            </w:r>
            <w:r>
              <w:rPr>
                <w:rFonts w:hint="eastAsia" w:hAnsi="宋体" w:cs="宋体"/>
                <w:snapToGrid w:val="0"/>
                <w:kern w:val="0"/>
                <w:sz w:val="22"/>
                <w:szCs w:val="22"/>
                <w:lang w:val="en-US" w:eastAsia="zh-CN"/>
              </w:rPr>
              <w:t>3</w:t>
            </w:r>
            <w:r>
              <w:rPr>
                <w:rFonts w:hint="eastAsia" w:hAnsi="宋体" w:cs="宋体"/>
                <w:snapToGrid w:val="0"/>
                <w:kern w:val="0"/>
                <w:sz w:val="22"/>
                <w:szCs w:val="22"/>
              </w:rPr>
              <w:t>个月；必须有2022年7月）。</w:t>
            </w:r>
          </w:p>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不符合评分标准规定的不得分。</w:t>
            </w:r>
          </w:p>
        </w:tc>
      </w:tr>
      <w:tr>
        <w:tblPrEx>
          <w:tblCellMar>
            <w:top w:w="0" w:type="dxa"/>
            <w:left w:w="108" w:type="dxa"/>
            <w:bottom w:w="0" w:type="dxa"/>
            <w:right w:w="108" w:type="dxa"/>
          </w:tblCellMar>
        </w:tblPrEx>
        <w:trPr>
          <w:trHeight w:val="525" w:hRule="exact"/>
          <w:jc w:val="center"/>
        </w:trPr>
        <w:tc>
          <w:tcPr>
            <w:tcW w:w="10905"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pStyle w:val="8"/>
              <w:wordWrap w:val="0"/>
              <w:adjustRightInd w:val="0"/>
              <w:snapToGrid w:val="0"/>
              <w:jc w:val="left"/>
              <w:rPr>
                <w:rFonts w:hAnsi="宋体" w:cs="宋体"/>
                <w:snapToGrid w:val="0"/>
                <w:kern w:val="0"/>
                <w:sz w:val="22"/>
                <w:szCs w:val="22"/>
              </w:rPr>
            </w:pPr>
            <w:r>
              <w:rPr>
                <w:rFonts w:hint="eastAsia" w:hAnsi="宋体" w:cs="宋体"/>
                <w:snapToGrid w:val="0"/>
                <w:kern w:val="0"/>
                <w:sz w:val="22"/>
                <w:szCs w:val="22"/>
              </w:rPr>
              <w:t>技术部分（施工组织设计），满分：</w:t>
            </w:r>
            <w:r>
              <w:rPr>
                <w:rFonts w:hint="eastAsia" w:hAnsi="宋体" w:cs="宋体"/>
                <w:snapToGrid w:val="0"/>
                <w:kern w:val="0"/>
                <w:sz w:val="22"/>
                <w:szCs w:val="22"/>
                <w:u w:val="single"/>
              </w:rPr>
              <w:t xml:space="preserve"> 5 </w:t>
            </w:r>
            <w:r>
              <w:rPr>
                <w:rFonts w:hint="eastAsia" w:hAnsi="宋体" w:cs="宋体"/>
                <w:snapToGrid w:val="0"/>
                <w:kern w:val="0"/>
                <w:sz w:val="22"/>
                <w:szCs w:val="22"/>
              </w:rPr>
              <w:t>分。</w:t>
            </w:r>
          </w:p>
        </w:tc>
      </w:tr>
      <w:tr>
        <w:tblPrEx>
          <w:tblCellMar>
            <w:top w:w="0" w:type="dxa"/>
            <w:left w:w="108" w:type="dxa"/>
            <w:bottom w:w="0" w:type="dxa"/>
            <w:right w:w="108" w:type="dxa"/>
          </w:tblCellMar>
        </w:tblPrEx>
        <w:trPr>
          <w:trHeight w:val="382" w:hRule="exac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评分因素</w:t>
            </w:r>
          </w:p>
        </w:tc>
        <w:tc>
          <w:tcPr>
            <w:tcW w:w="4543"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评分标准</w:t>
            </w:r>
          </w:p>
        </w:tc>
        <w:tc>
          <w:tcPr>
            <w:tcW w:w="5094"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备注</w:t>
            </w:r>
          </w:p>
        </w:tc>
      </w:tr>
      <w:tr>
        <w:tblPrEx>
          <w:tblCellMar>
            <w:top w:w="0" w:type="dxa"/>
            <w:left w:w="108" w:type="dxa"/>
            <w:bottom w:w="0" w:type="dxa"/>
            <w:right w:w="108" w:type="dxa"/>
          </w:tblCellMar>
        </w:tblPrEx>
        <w:trPr>
          <w:trHeight w:val="819"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26"/>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总体概述</w:t>
            </w:r>
          </w:p>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w:t>
            </w:r>
            <w:r>
              <w:rPr>
                <w:rFonts w:hint="eastAsia" w:hAnsi="宋体" w:cs="宋体"/>
                <w:snapToGrid w:val="0"/>
                <w:kern w:val="0"/>
                <w:sz w:val="22"/>
                <w:szCs w:val="22"/>
                <w:u w:val="single"/>
              </w:rPr>
              <w:t xml:space="preserve"> 0.5 </w:t>
            </w:r>
            <w:r>
              <w:rPr>
                <w:rFonts w:hint="eastAsia" w:hAnsi="宋体" w:cs="宋体"/>
                <w:snapToGrid w:val="0"/>
                <w:kern w:val="0"/>
                <w:sz w:val="22"/>
                <w:szCs w:val="22"/>
              </w:rPr>
              <w:t>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【优】得该项评分因素分值的90%～100%（含90%）。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【良】得该项评分因素分值的80%～90%（含80%）。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【中】得该项评分因素分值的70%～80%（含70%）。</w:t>
            </w:r>
          </w:p>
          <w:p>
            <w:pPr>
              <w:pStyle w:val="8"/>
              <w:wordWrap w:val="0"/>
              <w:adjustRightInd w:val="0"/>
              <w:snapToGrid w:val="0"/>
              <w:jc w:val="left"/>
              <w:rPr>
                <w:rFonts w:hAnsi="宋体" w:cs="宋体"/>
                <w:snapToGrid w:val="0"/>
                <w:kern w:val="0"/>
                <w:sz w:val="22"/>
                <w:szCs w:val="22"/>
              </w:rPr>
            </w:pPr>
            <w:r>
              <w:rPr>
                <w:rFonts w:hint="eastAsia" w:hAnsi="宋体" w:cs="宋体"/>
                <w:snapToGrid w:val="0"/>
                <w:kern w:val="0"/>
                <w:sz w:val="22"/>
                <w:szCs w:val="22"/>
              </w:rPr>
              <w:t>【差】得该项评分因素分值的60～70%（含60%）。</w:t>
            </w:r>
          </w:p>
        </w:tc>
        <w:tc>
          <w:tcPr>
            <w:tcW w:w="5094"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jc w:val="left"/>
              <w:rPr>
                <w:rFonts w:hAnsi="宋体" w:cs="宋体"/>
                <w:snapToGrid w:val="0"/>
                <w:kern w:val="0"/>
                <w:sz w:val="22"/>
                <w:szCs w:val="22"/>
              </w:rPr>
            </w:pPr>
            <w:r>
              <w:rPr>
                <w:rFonts w:hint="eastAsia" w:hAnsi="宋体" w:cs="宋体"/>
                <w:snapToGrid w:val="0"/>
                <w:kern w:val="0"/>
                <w:sz w:val="22"/>
                <w:szCs w:val="22"/>
              </w:rPr>
              <w:t>【优】对项目总体有深刻认识，表述清晰、完整、严谨、合理，措施先进、具体、有效、成熟，采用了新技术、新工艺、新材料、新设备；施工段划分呼应总体表述，划分清晰、合理，符合规范要求。</w:t>
            </w:r>
          </w:p>
          <w:p>
            <w:pPr>
              <w:pStyle w:val="8"/>
              <w:wordWrap w:val="0"/>
              <w:adjustRightInd w:val="0"/>
              <w:snapToGrid w:val="0"/>
              <w:jc w:val="left"/>
              <w:rPr>
                <w:rFonts w:hAnsi="宋体" w:cs="宋体"/>
                <w:snapToGrid w:val="0"/>
                <w:kern w:val="0"/>
                <w:sz w:val="22"/>
                <w:szCs w:val="22"/>
              </w:rPr>
            </w:pPr>
            <w:r>
              <w:rPr>
                <w:rFonts w:hint="eastAsia" w:hAnsi="宋体" w:cs="宋体"/>
                <w:snapToGrid w:val="0"/>
                <w:kern w:val="0"/>
                <w:sz w:val="22"/>
                <w:szCs w:val="22"/>
              </w:rPr>
              <w:t>【良】对项目总体有一定认识，表述清晰、完整，措施具体有效；施工段划分呼应总体表述，划分清晰，符合规范要求。</w:t>
            </w:r>
          </w:p>
          <w:p>
            <w:pPr>
              <w:pStyle w:val="8"/>
              <w:wordWrap w:val="0"/>
              <w:adjustRightInd w:val="0"/>
              <w:snapToGrid w:val="0"/>
              <w:jc w:val="left"/>
              <w:rPr>
                <w:rFonts w:hAnsi="宋体" w:cs="宋体"/>
                <w:snapToGrid w:val="0"/>
                <w:kern w:val="0"/>
                <w:sz w:val="22"/>
                <w:szCs w:val="22"/>
              </w:rPr>
            </w:pPr>
            <w:r>
              <w:rPr>
                <w:rFonts w:hint="eastAsia" w:hAnsi="宋体" w:cs="宋体"/>
                <w:snapToGrid w:val="0"/>
                <w:kern w:val="0"/>
                <w:sz w:val="22"/>
                <w:szCs w:val="22"/>
              </w:rPr>
              <w:t>【中】对项目总体有认识，有一定的措施但部分不具体；施工段划分较合理，符合规范要求。</w:t>
            </w:r>
          </w:p>
          <w:p>
            <w:pPr>
              <w:pStyle w:val="8"/>
              <w:wordWrap w:val="0"/>
              <w:adjustRightInd w:val="0"/>
              <w:snapToGrid w:val="0"/>
              <w:jc w:val="left"/>
              <w:rPr>
                <w:rFonts w:hAnsi="宋体" w:cs="宋体"/>
                <w:snapToGrid w:val="0"/>
                <w:kern w:val="0"/>
                <w:sz w:val="22"/>
                <w:szCs w:val="22"/>
              </w:rPr>
            </w:pPr>
            <w:r>
              <w:rPr>
                <w:rFonts w:hint="eastAsia" w:hAnsi="宋体" w:cs="宋体"/>
                <w:snapToGrid w:val="0"/>
                <w:kern w:val="0"/>
                <w:sz w:val="22"/>
                <w:szCs w:val="22"/>
              </w:rPr>
              <w:t>【差】对项目认识不足，表述不清晰，措施不具体；施工段划分不合理。</w:t>
            </w:r>
          </w:p>
        </w:tc>
      </w:tr>
      <w:tr>
        <w:tblPrEx>
          <w:tblCellMar>
            <w:top w:w="0" w:type="dxa"/>
            <w:left w:w="108" w:type="dxa"/>
            <w:bottom w:w="0" w:type="dxa"/>
            <w:right w:w="108" w:type="dxa"/>
          </w:tblCellMar>
        </w:tblPrEx>
        <w:trPr>
          <w:trHeight w:val="1695"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施工总进</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度计划及</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保证措施</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w:t>
            </w:r>
            <w:r>
              <w:rPr>
                <w:rFonts w:hint="eastAsia" w:ascii="宋体" w:hAnsi="宋体" w:eastAsia="宋体" w:cs="宋体"/>
                <w:snapToGrid w:val="0"/>
                <w:kern w:val="0"/>
                <w:sz w:val="22"/>
                <w:szCs w:val="22"/>
                <w:u w:val="single"/>
              </w:rPr>
              <w:t xml:space="preserve">0.5 </w:t>
            </w:r>
            <w:r>
              <w:rPr>
                <w:rFonts w:hint="eastAsia" w:ascii="宋体" w:hAnsi="宋体" w:eastAsia="宋体" w:cs="宋体"/>
                <w:snapToGrid w:val="0"/>
                <w:kern w:val="0"/>
                <w:sz w:val="22"/>
                <w:szCs w:val="22"/>
              </w:rPr>
              <w:t>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【优】得该项评分因素分值的90%～100%（含90%）。</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【良】得该项评分因素分值的80%～90%（含80%）。</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【中】得该项评分因素分值的70%～80%（含70%）。</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【差】得该项评分因素分值的60～70%（含60%）。</w:t>
            </w:r>
          </w:p>
        </w:tc>
        <w:tc>
          <w:tcPr>
            <w:tcW w:w="5094" w:type="dxa"/>
            <w:tcBorders>
              <w:top w:val="single" w:color="auto" w:sz="4" w:space="0"/>
              <w:left w:val="single" w:color="auto" w:sz="4" w:space="0"/>
              <w:bottom w:val="single" w:color="auto" w:sz="4" w:space="0"/>
              <w:right w:val="single" w:color="auto" w:sz="4" w:space="0"/>
            </w:tcBorders>
            <w:vAlign w:val="center"/>
          </w:tcPr>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Cs/>
                <w:snapToGrid w:val="0"/>
                <w:kern w:val="0"/>
                <w:sz w:val="22"/>
                <w:szCs w:val="22"/>
              </w:rPr>
              <w:t>经济赔偿合理。</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Cs/>
                <w:snapToGrid w:val="0"/>
                <w:kern w:val="0"/>
                <w:sz w:val="22"/>
                <w:szCs w:val="22"/>
              </w:rPr>
              <w:t>经济赔偿较合理。</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【中】关键线路基本准确，计划编制基本合理。关键节点的控制措施基本可行。人、材、机需求和进场计划与进度计划相呼应，基本满足施工需要，调配投入计划基本合理。进度违约责任承诺具体。</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【差】关键线路不准确，计划编制不合理。关键节点的控制不可行。人、材、机需求和进场计划与进度计划不相呼应，不能满足施工需要。没有违约责任承诺。</w:t>
            </w:r>
          </w:p>
        </w:tc>
      </w:tr>
      <w:tr>
        <w:tblPrEx>
          <w:tblCellMar>
            <w:top w:w="0" w:type="dxa"/>
            <w:left w:w="108" w:type="dxa"/>
            <w:bottom w:w="0" w:type="dxa"/>
            <w:right w:w="108" w:type="dxa"/>
          </w:tblCellMar>
        </w:tblPrEx>
        <w:trPr>
          <w:trHeight w:val="732"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质量</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保证措施</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w:t>
            </w:r>
            <w:r>
              <w:rPr>
                <w:rFonts w:hint="eastAsia" w:ascii="宋体" w:hAnsi="宋体" w:eastAsia="宋体" w:cs="宋体"/>
                <w:snapToGrid w:val="0"/>
                <w:kern w:val="0"/>
                <w:sz w:val="22"/>
                <w:szCs w:val="22"/>
                <w:u w:val="single"/>
              </w:rPr>
              <w:t xml:space="preserve"> 0.5 </w:t>
            </w:r>
            <w:r>
              <w:rPr>
                <w:rFonts w:hint="eastAsia" w:ascii="宋体" w:hAnsi="宋体" w:eastAsia="宋体" w:cs="宋体"/>
                <w:snapToGrid w:val="0"/>
                <w:kern w:val="0"/>
                <w:sz w:val="22"/>
                <w:szCs w:val="22"/>
              </w:rPr>
              <w:t>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【优】得该项评分因素分值的90%～100%（含90%）。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【良】得该项评分因素分值的80%～90%（含80%）。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【中】得该项评分因素分值的70%～80%（含70%）。</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【差】得该项评分因素分值的60～70%（含60%）。</w:t>
            </w:r>
          </w:p>
        </w:tc>
        <w:tc>
          <w:tcPr>
            <w:tcW w:w="5094"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【优】应用新技术、新工艺、新材料、新设备，针对项目实际提出先进、可行、具体的保证措施。超过招标文件的质量要求。</w:t>
            </w:r>
          </w:p>
          <w:p>
            <w:pPr>
              <w:pStyle w:val="8"/>
              <w:wordWrap w:val="0"/>
              <w:adjustRightInd w:val="0"/>
              <w:snapToGrid w:val="0"/>
              <w:rPr>
                <w:rFonts w:hAnsi="宋体" w:cs="宋体"/>
                <w:b/>
                <w:bCs/>
                <w:snapToGrid w:val="0"/>
                <w:kern w:val="0"/>
                <w:sz w:val="22"/>
                <w:szCs w:val="22"/>
              </w:rPr>
            </w:pPr>
            <w:r>
              <w:rPr>
                <w:rFonts w:hint="eastAsia" w:hAnsi="宋体" w:cs="宋体"/>
                <w:snapToGrid w:val="0"/>
                <w:kern w:val="0"/>
                <w:sz w:val="22"/>
                <w:szCs w:val="22"/>
              </w:rPr>
              <w:t>【良】针对项目实际提出先进、可行、具体的保证措施。满足招标文件的质量要求。</w:t>
            </w:r>
          </w:p>
          <w:p>
            <w:pPr>
              <w:pStyle w:val="8"/>
              <w:wordWrap w:val="0"/>
              <w:adjustRightInd w:val="0"/>
              <w:snapToGrid w:val="0"/>
              <w:rPr>
                <w:rFonts w:hAnsi="宋体" w:cs="宋体"/>
                <w:snapToGrid w:val="0"/>
                <w:kern w:val="0"/>
                <w:sz w:val="22"/>
                <w:szCs w:val="22"/>
              </w:rPr>
            </w:pPr>
            <w:r>
              <w:rPr>
                <w:rFonts w:hint="eastAsia" w:hAnsi="宋体" w:cs="宋体"/>
                <w:snapToGrid w:val="0"/>
                <w:kern w:val="0"/>
                <w:sz w:val="22"/>
                <w:szCs w:val="22"/>
              </w:rPr>
              <w:t>【中】具体措施可行。满足招标文件的质量要求。</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【差】措施不可行，没有质量违约责任承诺。</w:t>
            </w:r>
          </w:p>
        </w:tc>
      </w:tr>
      <w:tr>
        <w:tblPrEx>
          <w:tblCellMar>
            <w:top w:w="0" w:type="dxa"/>
            <w:left w:w="108" w:type="dxa"/>
            <w:bottom w:w="0" w:type="dxa"/>
            <w:right w:w="108" w:type="dxa"/>
          </w:tblCellMar>
        </w:tblPrEx>
        <w:trPr>
          <w:trHeight w:val="9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施工</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技术措施</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w:t>
            </w:r>
            <w:r>
              <w:rPr>
                <w:rFonts w:hint="eastAsia" w:ascii="宋体" w:hAnsi="宋体" w:eastAsia="宋体" w:cs="宋体"/>
                <w:snapToGrid w:val="0"/>
                <w:kern w:val="0"/>
                <w:sz w:val="22"/>
                <w:szCs w:val="22"/>
                <w:u w:val="single"/>
              </w:rPr>
              <w:t xml:space="preserve"> 0.5 </w:t>
            </w:r>
            <w:r>
              <w:rPr>
                <w:rFonts w:hint="eastAsia" w:ascii="宋体" w:hAnsi="宋体" w:eastAsia="宋体" w:cs="宋体"/>
                <w:snapToGrid w:val="0"/>
                <w:kern w:val="0"/>
                <w:sz w:val="22"/>
                <w:szCs w:val="22"/>
              </w:rPr>
              <w:t>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【优】得该项评分因素分值的90%～100%（含90%）。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【良】得该项评分因素分值的80%～90%（含80%）。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【中】得该项评分因素分值的70%～80%（含70%）。</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【差】得该项评分因素分值的60～70%（含60%）。</w:t>
            </w:r>
          </w:p>
        </w:tc>
        <w:tc>
          <w:tcPr>
            <w:tcW w:w="5094" w:type="dxa"/>
            <w:tcBorders>
              <w:top w:val="single" w:color="auto" w:sz="4" w:space="0"/>
              <w:left w:val="single" w:color="auto" w:sz="4" w:space="0"/>
              <w:bottom w:val="single" w:color="auto" w:sz="4" w:space="0"/>
              <w:right w:val="single" w:color="auto" w:sz="4" w:space="0"/>
            </w:tcBorders>
            <w:vAlign w:val="center"/>
          </w:tcPr>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Cs/>
                <w:snapToGrid w:val="0"/>
                <w:kern w:val="0"/>
                <w:sz w:val="22"/>
                <w:szCs w:val="22"/>
              </w:rPr>
              <w:t>经济赔偿合理。</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Cs/>
                <w:snapToGrid w:val="0"/>
                <w:kern w:val="0"/>
                <w:sz w:val="22"/>
                <w:szCs w:val="22"/>
              </w:rPr>
              <w:t>经济赔偿较合理。</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对项目关键技术有一定了解，对重点、难点有建议，解决方案基本可行。有新技术措施，但验证材料不充分，对节约投资和工期可能有一定收益，但对采用的新技术可能产生的风险预见不足。有违约责任承诺。</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【差】对项目关键技术有表述，对重点、难点有建议，解决方案不可行。采用的新技术针对性不强或验证材料不可靠，对节约投资、工期没有具体收益。无违约责任承诺。</w:t>
            </w:r>
          </w:p>
        </w:tc>
      </w:tr>
      <w:tr>
        <w:tblPrEx>
          <w:tblCellMar>
            <w:top w:w="0" w:type="dxa"/>
            <w:left w:w="108" w:type="dxa"/>
            <w:bottom w:w="0" w:type="dxa"/>
            <w:right w:w="108" w:type="dxa"/>
          </w:tblCellMar>
        </w:tblPrEx>
        <w:trPr>
          <w:trHeight w:val="2923"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绿色施工、</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安全防护、</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文明施工</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措施计划</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w:t>
            </w:r>
            <w:r>
              <w:rPr>
                <w:rFonts w:hint="eastAsia" w:ascii="宋体" w:hAnsi="宋体" w:eastAsia="宋体" w:cs="宋体"/>
                <w:snapToGrid w:val="0"/>
                <w:kern w:val="0"/>
                <w:sz w:val="22"/>
                <w:szCs w:val="22"/>
                <w:u w:val="single"/>
              </w:rPr>
              <w:t xml:space="preserve"> 1 </w:t>
            </w:r>
            <w:r>
              <w:rPr>
                <w:rFonts w:hint="eastAsia" w:ascii="宋体" w:hAnsi="宋体" w:eastAsia="宋体" w:cs="宋体"/>
                <w:snapToGrid w:val="0"/>
                <w:kern w:val="0"/>
                <w:sz w:val="22"/>
                <w:szCs w:val="22"/>
              </w:rPr>
              <w:t>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【优】得该项评分因素分值的90%～100%（含90%）。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【良】得该项评分因素分值的80%～90%（含80%）。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【中】得该项评分因素分值的70%～80%（含70%）。</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【差】得该项评分因素分值的60～70%（含60%）。</w:t>
            </w:r>
          </w:p>
        </w:tc>
        <w:tc>
          <w:tcPr>
            <w:tcW w:w="5094" w:type="dxa"/>
            <w:tcBorders>
              <w:top w:val="single" w:color="auto" w:sz="4" w:space="0"/>
              <w:left w:val="single" w:color="auto" w:sz="4" w:space="0"/>
              <w:bottom w:val="single" w:color="auto" w:sz="4" w:space="0"/>
              <w:right w:val="single" w:color="auto" w:sz="4" w:space="0"/>
            </w:tcBorders>
            <w:vAlign w:val="center"/>
          </w:tcPr>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【优】针对项目实际情况，有先进、具体、完整、可行的措施，采用规范准确、清晰。</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【良】针对项目实际情况，有合理的措施且具体、完整，采用规范准确。</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【中】有基本合理的措施，采用规范准确。</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【差】措施不力，采用规范不正确。</w:t>
            </w:r>
          </w:p>
        </w:tc>
      </w:tr>
      <w:tr>
        <w:tblPrEx>
          <w:tblCellMar>
            <w:top w:w="0" w:type="dxa"/>
            <w:left w:w="108" w:type="dxa"/>
            <w:bottom w:w="0" w:type="dxa"/>
            <w:right w:w="108" w:type="dxa"/>
          </w:tblCellMar>
        </w:tblPrEx>
        <w:trPr>
          <w:trHeight w:val="3542"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施工平面</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布置和临时设施布置</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w:t>
            </w:r>
            <w:r>
              <w:rPr>
                <w:rFonts w:hint="eastAsia" w:ascii="宋体" w:hAnsi="宋体" w:eastAsia="宋体" w:cs="宋体"/>
                <w:snapToGrid w:val="0"/>
                <w:kern w:val="0"/>
                <w:sz w:val="22"/>
                <w:szCs w:val="22"/>
                <w:u w:val="single"/>
              </w:rPr>
              <w:t xml:space="preserve"> 1 </w:t>
            </w:r>
            <w:r>
              <w:rPr>
                <w:rFonts w:hint="eastAsia" w:ascii="宋体" w:hAnsi="宋体" w:eastAsia="宋体" w:cs="宋体"/>
                <w:snapToGrid w:val="0"/>
                <w:kern w:val="0"/>
                <w:sz w:val="22"/>
                <w:szCs w:val="22"/>
              </w:rPr>
              <w:t>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【优】得该项评分因素分值的90%～100%（含90%）。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【良】得该项评分因素分值的80%～90%（含80%）。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【中】得该项评分因素分值的70%～80%（含70%）。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【差】得该项评分因素分值的60～70%（含60%）。</w:t>
            </w:r>
          </w:p>
        </w:tc>
        <w:tc>
          <w:tcPr>
            <w:tcW w:w="5094" w:type="dxa"/>
            <w:tcBorders>
              <w:top w:val="single" w:color="auto" w:sz="4" w:space="0"/>
              <w:left w:val="single" w:color="auto" w:sz="4" w:space="0"/>
              <w:bottom w:val="single" w:color="auto" w:sz="4" w:space="0"/>
              <w:right w:val="single" w:color="auto" w:sz="4" w:space="0"/>
            </w:tcBorders>
            <w:vAlign w:val="center"/>
          </w:tcPr>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【优】总体布置有针对性、合理，较好满足施工需要，符合绿色施工、安全防护、文明施工要求。</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【良】总体布置合理，能满足施工需要，基本符合绿色施工、安全防护、文明施工要求。</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【中】总体布置基本合理，基本满足施工需要。</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【差】总体布置不合理，不符合绿色施工、安全防护、文明施工要求。</w:t>
            </w:r>
          </w:p>
        </w:tc>
      </w:tr>
      <w:tr>
        <w:tblPrEx>
          <w:tblCellMar>
            <w:top w:w="0" w:type="dxa"/>
            <w:left w:w="108" w:type="dxa"/>
            <w:bottom w:w="0" w:type="dxa"/>
            <w:right w:w="108" w:type="dxa"/>
          </w:tblCellMar>
        </w:tblPrEx>
        <w:trPr>
          <w:trHeight w:val="9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项目</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管理机构</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w:t>
            </w:r>
            <w:r>
              <w:rPr>
                <w:rFonts w:hint="eastAsia" w:ascii="宋体" w:hAnsi="宋体" w:eastAsia="宋体" w:cs="宋体"/>
                <w:snapToGrid w:val="0"/>
                <w:kern w:val="0"/>
                <w:sz w:val="22"/>
                <w:szCs w:val="22"/>
                <w:u w:val="single"/>
              </w:rPr>
              <w:t xml:space="preserve"> 1 </w:t>
            </w:r>
            <w:r>
              <w:rPr>
                <w:rFonts w:hint="eastAsia" w:ascii="宋体" w:hAnsi="宋体" w:eastAsia="宋体" w:cs="宋体"/>
                <w:snapToGrid w:val="0"/>
                <w:kern w:val="0"/>
                <w:sz w:val="22"/>
                <w:szCs w:val="22"/>
              </w:rPr>
              <w:t>分）</w:t>
            </w:r>
          </w:p>
        </w:tc>
        <w:tc>
          <w:tcPr>
            <w:tcW w:w="4543" w:type="dxa"/>
            <w:tcBorders>
              <w:top w:val="single" w:color="auto" w:sz="4" w:space="0"/>
              <w:left w:val="single" w:color="auto" w:sz="4" w:space="0"/>
              <w:bottom w:val="single" w:color="auto" w:sz="4" w:space="0"/>
              <w:right w:val="single" w:color="auto" w:sz="4" w:space="0"/>
            </w:tcBorders>
            <w:vAlign w:val="center"/>
          </w:tcPr>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【优】得该项评分因素分值的90%～100%（含90%）。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【良】得该项评分因素分值的80%～90%（含80%）。</w:t>
            </w:r>
          </w:p>
          <w:p>
            <w:pPr>
              <w:pStyle w:val="27"/>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【中】得该项评分因素分值的70%～80%（含70%）。</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【差】得该项评分因素分值的60～70%（含60%）。</w:t>
            </w:r>
          </w:p>
        </w:tc>
        <w:tc>
          <w:tcPr>
            <w:tcW w:w="5094" w:type="dxa"/>
            <w:tcBorders>
              <w:top w:val="single" w:color="auto" w:sz="4" w:space="0"/>
              <w:left w:val="single" w:color="auto" w:sz="4" w:space="0"/>
              <w:bottom w:val="single" w:color="auto" w:sz="4" w:space="0"/>
              <w:right w:val="single" w:color="auto" w:sz="4" w:space="0"/>
            </w:tcBorders>
            <w:vAlign w:val="center"/>
          </w:tcPr>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【优】组织机构形式合理，有完善的指挥系统，生产及质量、绿色施工、安全、文明施工、人员配备齐全、专业分配合理。</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【良】组织机构形式合理，指挥系统，生产及质量、绿色施工、安全、文明施工、人员配备齐全、专业分配合理。</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【中】组织机构形式基本合理，有指挥系统，生产及质量、绿色施工、安全、文明施工、人员配备基本齐全、专业分配基本合理。</w:t>
            </w:r>
          </w:p>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【差】组织机构形式合理，指挥系统，生产及质量、绿色施工、安全、文明施工、人员配备不齐全、专业分配不合理。</w:t>
            </w:r>
          </w:p>
        </w:tc>
      </w:tr>
      <w:tr>
        <w:tblPrEx>
          <w:tblCellMar>
            <w:top w:w="0" w:type="dxa"/>
            <w:left w:w="108" w:type="dxa"/>
            <w:bottom w:w="0" w:type="dxa"/>
            <w:right w:w="108" w:type="dxa"/>
          </w:tblCellMar>
        </w:tblPrEx>
        <w:trPr>
          <w:trHeight w:val="488" w:hRule="exact"/>
          <w:jc w:val="center"/>
        </w:trPr>
        <w:tc>
          <w:tcPr>
            <w:tcW w:w="10905"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pStyle w:val="29"/>
              <w:wordWrap w:val="0"/>
              <w:adjustRightInd w:val="0"/>
              <w:snapToGrid w:val="0"/>
              <w:spacing w:line="360" w:lineRule="auto"/>
              <w:rPr>
                <w:rFonts w:ascii="宋体" w:hAnsi="宋体" w:eastAsia="宋体" w:cs="宋体"/>
                <w:snapToGrid w:val="0"/>
                <w:kern w:val="0"/>
                <w:sz w:val="22"/>
                <w:szCs w:val="22"/>
              </w:rPr>
            </w:pPr>
            <w:r>
              <w:rPr>
                <w:rFonts w:hint="eastAsia" w:ascii="宋体" w:hAnsi="宋体" w:eastAsia="宋体" w:cs="宋体"/>
                <w:snapToGrid w:val="0"/>
                <w:kern w:val="0"/>
                <w:sz w:val="22"/>
                <w:szCs w:val="22"/>
              </w:rPr>
              <w:t>投标报价部分，满分：60分。</w:t>
            </w:r>
          </w:p>
        </w:tc>
      </w:tr>
      <w:tr>
        <w:tblPrEx>
          <w:tblCellMar>
            <w:top w:w="0" w:type="dxa"/>
            <w:left w:w="108" w:type="dxa"/>
            <w:bottom w:w="0" w:type="dxa"/>
            <w:right w:w="108" w:type="dxa"/>
          </w:tblCellMar>
        </w:tblPrEx>
        <w:trPr>
          <w:trHeight w:val="356" w:hRule="exac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评分事项</w:t>
            </w:r>
          </w:p>
        </w:tc>
        <w:tc>
          <w:tcPr>
            <w:tcW w:w="9637" w:type="dxa"/>
            <w:gridSpan w:val="2"/>
            <w:tcBorders>
              <w:top w:val="single" w:color="auto" w:sz="4" w:space="0"/>
              <w:left w:val="single" w:color="auto" w:sz="4" w:space="0"/>
              <w:bottom w:val="single" w:color="auto" w:sz="4" w:space="0"/>
              <w:right w:val="single" w:color="auto" w:sz="4" w:space="0"/>
            </w:tcBorders>
            <w:vAlign w:val="center"/>
          </w:tcPr>
          <w:p>
            <w:pPr>
              <w:pStyle w:val="8"/>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评分方法</w:t>
            </w:r>
          </w:p>
        </w:tc>
      </w:tr>
      <w:tr>
        <w:tblPrEx>
          <w:tblCellMar>
            <w:top w:w="0" w:type="dxa"/>
            <w:left w:w="108" w:type="dxa"/>
            <w:bottom w:w="0" w:type="dxa"/>
            <w:right w:w="108" w:type="dxa"/>
          </w:tblCellMar>
        </w:tblPrEx>
        <w:trPr>
          <w:trHeight w:val="6227"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评标基准价D</w:t>
            </w:r>
          </w:p>
        </w:tc>
        <w:tc>
          <w:tcPr>
            <w:tcW w:w="9637" w:type="dxa"/>
            <w:gridSpan w:val="2"/>
            <w:tcBorders>
              <w:top w:val="single" w:color="auto" w:sz="4" w:space="0"/>
              <w:left w:val="single" w:color="auto" w:sz="4" w:space="0"/>
              <w:bottom w:val="single" w:color="auto" w:sz="4" w:space="0"/>
              <w:right w:val="single" w:color="auto" w:sz="4" w:space="0"/>
            </w:tcBorders>
            <w:vAlign w:val="center"/>
          </w:tcPr>
          <w:p>
            <w:pPr>
              <w:wordWrap w:val="0"/>
              <w:adjustRightInd w:val="0"/>
              <w:snapToGrid w:val="0"/>
              <w:ind w:firstLine="440" w:firstLineChars="200"/>
              <w:jc w:val="left"/>
              <w:rPr>
                <w:rFonts w:hAnsi="宋体" w:cs="宋体"/>
                <w:snapToGrid w:val="0"/>
                <w:kern w:val="0"/>
                <w:sz w:val="22"/>
                <w:szCs w:val="22"/>
              </w:rPr>
            </w:pPr>
            <w:r>
              <w:rPr>
                <w:rFonts w:hint="eastAsia" w:hAnsi="宋体" w:cs="宋体"/>
                <w:snapToGrid w:val="0"/>
                <w:kern w:val="0"/>
                <w:sz w:val="22"/>
                <w:szCs w:val="22"/>
              </w:rPr>
              <w:t>（1）确定招标控制价下浮系数n：用1～21号球分别代表一个下浮系数，由评委代表从这21个号码中随机抽取</w:t>
            </w:r>
            <w:r>
              <w:rPr>
                <w:rFonts w:hint="eastAsia" w:hAnsi="宋体" w:cs="宋体"/>
                <w:snapToGrid w:val="0"/>
                <w:kern w:val="0"/>
                <w:sz w:val="22"/>
                <w:szCs w:val="22"/>
                <w:u w:val="single"/>
              </w:rPr>
              <w:t xml:space="preserve"> 3 </w:t>
            </w:r>
            <w:r>
              <w:rPr>
                <w:rFonts w:hint="eastAsia" w:hAnsi="宋体" w:cs="宋体"/>
                <w:snapToGrid w:val="0"/>
                <w:kern w:val="0"/>
                <w:sz w:val="22"/>
                <w:szCs w:val="22"/>
              </w:rPr>
              <w:t>次，每次抽取1个号码，抽出的号球不参与下次抽取。所抽取的3个号码对应下浮系数的算术平均值作为招标控制价下浮系数n。具体号码对应的下浮系数可参考下表。</w:t>
            </w:r>
          </w:p>
          <w:tbl>
            <w:tblPr>
              <w:tblStyle w:val="18"/>
              <w:tblW w:w="0" w:type="auto"/>
              <w:tblInd w:w="113" w:type="dxa"/>
              <w:tblLayout w:type="fixed"/>
              <w:tblCellMar>
                <w:top w:w="0" w:type="dxa"/>
                <w:left w:w="108" w:type="dxa"/>
                <w:bottom w:w="0" w:type="dxa"/>
                <w:right w:w="108" w:type="dxa"/>
              </w:tblCellMar>
            </w:tblPr>
            <w:tblGrid>
              <w:gridCol w:w="1830"/>
              <w:gridCol w:w="835"/>
              <w:gridCol w:w="872"/>
              <w:gridCol w:w="908"/>
              <w:gridCol w:w="892"/>
              <w:gridCol w:w="927"/>
              <w:gridCol w:w="871"/>
              <w:gridCol w:w="861"/>
            </w:tblGrid>
            <w:tr>
              <w:tblPrEx>
                <w:tblCellMar>
                  <w:top w:w="0" w:type="dxa"/>
                  <w:left w:w="108" w:type="dxa"/>
                  <w:bottom w:w="0" w:type="dxa"/>
                  <w:right w:w="108" w:type="dxa"/>
                </w:tblCellMar>
              </w:tblPrEx>
              <w:trPr>
                <w:trHeight w:val="502" w:hRule="atLeast"/>
              </w:trPr>
              <w:tc>
                <w:tcPr>
                  <w:tcW w:w="1830"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b/>
                      <w:snapToGrid w:val="0"/>
                      <w:kern w:val="0"/>
                      <w:sz w:val="22"/>
                      <w:szCs w:val="22"/>
                    </w:rPr>
                  </w:pPr>
                  <w:r>
                    <w:rPr>
                      <w:rFonts w:hint="eastAsia" w:hAnsi="宋体" w:cs="宋体"/>
                      <w:bCs/>
                      <w:snapToGrid w:val="0"/>
                      <w:kern w:val="0"/>
                      <w:sz w:val="22"/>
                      <w:szCs w:val="22"/>
                    </w:rPr>
                    <w:t>号球</w:t>
                  </w:r>
                </w:p>
              </w:tc>
              <w:tc>
                <w:tcPr>
                  <w:tcW w:w="835"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w:t>
                  </w:r>
                </w:p>
              </w:tc>
              <w:tc>
                <w:tcPr>
                  <w:tcW w:w="87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w:t>
                  </w:r>
                </w:p>
              </w:tc>
              <w:tc>
                <w:tcPr>
                  <w:tcW w:w="908"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3</w:t>
                  </w:r>
                </w:p>
              </w:tc>
              <w:tc>
                <w:tcPr>
                  <w:tcW w:w="89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4</w:t>
                  </w:r>
                </w:p>
              </w:tc>
              <w:tc>
                <w:tcPr>
                  <w:tcW w:w="927"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5</w:t>
                  </w:r>
                </w:p>
              </w:tc>
              <w:tc>
                <w:tcPr>
                  <w:tcW w:w="871"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6</w:t>
                  </w:r>
                </w:p>
              </w:tc>
              <w:tc>
                <w:tcPr>
                  <w:tcW w:w="861"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7</w:t>
                  </w:r>
                </w:p>
              </w:tc>
            </w:tr>
            <w:tr>
              <w:tblPrEx>
                <w:tblCellMar>
                  <w:top w:w="0" w:type="dxa"/>
                  <w:left w:w="108" w:type="dxa"/>
                  <w:bottom w:w="0" w:type="dxa"/>
                  <w:right w:w="108" w:type="dxa"/>
                </w:tblCellMar>
              </w:tblPrEx>
              <w:trPr>
                <w:trHeight w:val="783"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下浮系数（%）</w:t>
                  </w:r>
                </w:p>
              </w:tc>
              <w:tc>
                <w:tcPr>
                  <w:tcW w:w="835"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1.0</w:t>
                  </w:r>
                </w:p>
              </w:tc>
              <w:tc>
                <w:tcPr>
                  <w:tcW w:w="872"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1.1</w:t>
                  </w:r>
                </w:p>
              </w:tc>
              <w:tc>
                <w:tcPr>
                  <w:tcW w:w="908"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1.2</w:t>
                  </w:r>
                </w:p>
              </w:tc>
              <w:tc>
                <w:tcPr>
                  <w:tcW w:w="892"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1.3</w:t>
                  </w:r>
                </w:p>
              </w:tc>
              <w:tc>
                <w:tcPr>
                  <w:tcW w:w="927"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1.4</w:t>
                  </w:r>
                </w:p>
              </w:tc>
              <w:tc>
                <w:tcPr>
                  <w:tcW w:w="871"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1.5</w:t>
                  </w:r>
                </w:p>
              </w:tc>
              <w:tc>
                <w:tcPr>
                  <w:tcW w:w="861"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1.6</w:t>
                  </w:r>
                </w:p>
              </w:tc>
            </w:tr>
            <w:tr>
              <w:tblPrEx>
                <w:tblCellMar>
                  <w:top w:w="0" w:type="dxa"/>
                  <w:left w:w="108" w:type="dxa"/>
                  <w:bottom w:w="0" w:type="dxa"/>
                  <w:right w:w="108" w:type="dxa"/>
                </w:tblCellMar>
              </w:tblPrEx>
              <w:trPr>
                <w:trHeight w:val="569" w:hRule="atLeast"/>
              </w:trPr>
              <w:tc>
                <w:tcPr>
                  <w:tcW w:w="1830"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b/>
                      <w:snapToGrid w:val="0"/>
                      <w:kern w:val="0"/>
                      <w:sz w:val="22"/>
                      <w:szCs w:val="22"/>
                    </w:rPr>
                  </w:pPr>
                  <w:r>
                    <w:rPr>
                      <w:rFonts w:hint="eastAsia" w:hAnsi="宋体" w:cs="宋体"/>
                      <w:bCs/>
                      <w:snapToGrid w:val="0"/>
                      <w:kern w:val="0"/>
                      <w:sz w:val="22"/>
                      <w:szCs w:val="22"/>
                    </w:rPr>
                    <w:t>号球</w:t>
                  </w:r>
                </w:p>
              </w:tc>
              <w:tc>
                <w:tcPr>
                  <w:tcW w:w="835"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8</w:t>
                  </w:r>
                </w:p>
              </w:tc>
              <w:tc>
                <w:tcPr>
                  <w:tcW w:w="87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9</w:t>
                  </w:r>
                </w:p>
              </w:tc>
              <w:tc>
                <w:tcPr>
                  <w:tcW w:w="908"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11</w:t>
                  </w:r>
                </w:p>
              </w:tc>
              <w:tc>
                <w:tcPr>
                  <w:tcW w:w="927"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12</w:t>
                  </w:r>
                </w:p>
              </w:tc>
              <w:tc>
                <w:tcPr>
                  <w:tcW w:w="871"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13</w:t>
                  </w:r>
                </w:p>
              </w:tc>
              <w:tc>
                <w:tcPr>
                  <w:tcW w:w="861"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14</w:t>
                  </w:r>
                </w:p>
              </w:tc>
            </w:tr>
            <w:tr>
              <w:tblPrEx>
                <w:tblCellMar>
                  <w:top w:w="0" w:type="dxa"/>
                  <w:left w:w="108" w:type="dxa"/>
                  <w:bottom w:w="0" w:type="dxa"/>
                  <w:right w:w="108" w:type="dxa"/>
                </w:tblCellMar>
              </w:tblPrEx>
              <w:trPr>
                <w:trHeight w:val="783"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下浮系数（%）</w:t>
                  </w:r>
                </w:p>
              </w:tc>
              <w:tc>
                <w:tcPr>
                  <w:tcW w:w="835"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1.7</w:t>
                  </w:r>
                </w:p>
              </w:tc>
              <w:tc>
                <w:tcPr>
                  <w:tcW w:w="872"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1.8</w:t>
                  </w:r>
                </w:p>
              </w:tc>
              <w:tc>
                <w:tcPr>
                  <w:tcW w:w="908"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1.9</w:t>
                  </w:r>
                </w:p>
              </w:tc>
              <w:tc>
                <w:tcPr>
                  <w:tcW w:w="892"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2.0</w:t>
                  </w:r>
                </w:p>
              </w:tc>
              <w:tc>
                <w:tcPr>
                  <w:tcW w:w="927"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2.1</w:t>
                  </w:r>
                </w:p>
              </w:tc>
              <w:tc>
                <w:tcPr>
                  <w:tcW w:w="871"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2.2</w:t>
                  </w:r>
                </w:p>
              </w:tc>
              <w:tc>
                <w:tcPr>
                  <w:tcW w:w="861"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2.3</w:t>
                  </w:r>
                </w:p>
              </w:tc>
            </w:tr>
            <w:tr>
              <w:tblPrEx>
                <w:tblCellMar>
                  <w:top w:w="0" w:type="dxa"/>
                  <w:left w:w="108" w:type="dxa"/>
                  <w:bottom w:w="0" w:type="dxa"/>
                  <w:right w:w="108" w:type="dxa"/>
                </w:tblCellMar>
              </w:tblPrEx>
              <w:trPr>
                <w:trHeight w:val="559" w:hRule="atLeast"/>
              </w:trPr>
              <w:tc>
                <w:tcPr>
                  <w:tcW w:w="1830"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b/>
                      <w:snapToGrid w:val="0"/>
                      <w:kern w:val="0"/>
                      <w:sz w:val="22"/>
                      <w:szCs w:val="22"/>
                    </w:rPr>
                  </w:pPr>
                  <w:r>
                    <w:rPr>
                      <w:rFonts w:hint="eastAsia" w:hAnsi="宋体" w:cs="宋体"/>
                      <w:bCs/>
                      <w:snapToGrid w:val="0"/>
                      <w:kern w:val="0"/>
                      <w:sz w:val="22"/>
                      <w:szCs w:val="22"/>
                    </w:rPr>
                    <w:t>号球</w:t>
                  </w:r>
                </w:p>
              </w:tc>
              <w:tc>
                <w:tcPr>
                  <w:tcW w:w="835"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16</w:t>
                  </w:r>
                </w:p>
              </w:tc>
              <w:tc>
                <w:tcPr>
                  <w:tcW w:w="908"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17</w:t>
                  </w:r>
                </w:p>
              </w:tc>
              <w:tc>
                <w:tcPr>
                  <w:tcW w:w="89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18</w:t>
                  </w:r>
                </w:p>
              </w:tc>
              <w:tc>
                <w:tcPr>
                  <w:tcW w:w="927"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19</w:t>
                  </w:r>
                </w:p>
              </w:tc>
              <w:tc>
                <w:tcPr>
                  <w:tcW w:w="871"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20</w:t>
                  </w:r>
                </w:p>
              </w:tc>
              <w:tc>
                <w:tcPr>
                  <w:tcW w:w="861"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21</w:t>
                  </w:r>
                </w:p>
              </w:tc>
            </w:tr>
            <w:tr>
              <w:tblPrEx>
                <w:tblCellMar>
                  <w:top w:w="0" w:type="dxa"/>
                  <w:left w:w="108" w:type="dxa"/>
                  <w:bottom w:w="0" w:type="dxa"/>
                  <w:right w:w="108" w:type="dxa"/>
                </w:tblCellMar>
              </w:tblPrEx>
              <w:trPr>
                <w:trHeight w:val="814"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下浮系数（%）</w:t>
                  </w:r>
                </w:p>
              </w:tc>
              <w:tc>
                <w:tcPr>
                  <w:tcW w:w="835"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2.4</w:t>
                  </w:r>
                </w:p>
              </w:tc>
              <w:tc>
                <w:tcPr>
                  <w:tcW w:w="872"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2.5</w:t>
                  </w:r>
                </w:p>
              </w:tc>
              <w:tc>
                <w:tcPr>
                  <w:tcW w:w="908"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2.6</w:t>
                  </w:r>
                </w:p>
              </w:tc>
              <w:tc>
                <w:tcPr>
                  <w:tcW w:w="892"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2.7</w:t>
                  </w:r>
                </w:p>
              </w:tc>
              <w:tc>
                <w:tcPr>
                  <w:tcW w:w="927"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2.8</w:t>
                  </w:r>
                </w:p>
              </w:tc>
              <w:tc>
                <w:tcPr>
                  <w:tcW w:w="871"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2.9</w:t>
                  </w:r>
                </w:p>
              </w:tc>
              <w:tc>
                <w:tcPr>
                  <w:tcW w:w="861"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Ansi="宋体" w:cs="宋体"/>
                      <w:snapToGrid w:val="0"/>
                      <w:kern w:val="0"/>
                      <w:sz w:val="22"/>
                      <w:szCs w:val="22"/>
                    </w:rPr>
                  </w:pPr>
                  <w:r>
                    <w:rPr>
                      <w:rFonts w:hint="eastAsia" w:hAnsi="宋体" w:cs="宋体"/>
                      <w:snapToGrid w:val="0"/>
                      <w:kern w:val="0"/>
                      <w:sz w:val="22"/>
                      <w:szCs w:val="22"/>
                    </w:rPr>
                    <w:t>3.0</w:t>
                  </w:r>
                </w:p>
              </w:tc>
            </w:tr>
          </w:tbl>
          <w:p>
            <w:pPr>
              <w:wordWrap w:val="0"/>
              <w:adjustRightInd w:val="0"/>
              <w:snapToGrid w:val="0"/>
              <w:jc w:val="left"/>
              <w:rPr>
                <w:rFonts w:hAnsi="宋体" w:cs="宋体"/>
                <w:snapToGrid w:val="0"/>
                <w:kern w:val="0"/>
                <w:sz w:val="22"/>
                <w:szCs w:val="22"/>
              </w:rPr>
            </w:pPr>
            <w:r>
              <w:rPr>
                <w:rFonts w:hint="eastAsia" w:hAnsi="宋体" w:cs="宋体"/>
                <w:snapToGrid w:val="0"/>
                <w:kern w:val="0"/>
                <w:sz w:val="22"/>
                <w:szCs w:val="22"/>
              </w:rPr>
              <w:t>（2）评标基准价D＝招标控制价×（1－n）</w:t>
            </w:r>
          </w:p>
        </w:tc>
      </w:tr>
      <w:tr>
        <w:tblPrEx>
          <w:tblCellMar>
            <w:top w:w="0" w:type="dxa"/>
            <w:left w:w="108" w:type="dxa"/>
            <w:bottom w:w="0" w:type="dxa"/>
            <w:right w:w="108" w:type="dxa"/>
          </w:tblCellMar>
        </w:tblPrEx>
        <w:trPr>
          <w:trHeight w:val="2734"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 xml:space="preserve"> 投标报价</w:t>
            </w:r>
          </w:p>
          <w:p>
            <w:pPr>
              <w:pStyle w:val="28"/>
              <w:wordWrap w:val="0"/>
              <w:adjustRightInd w:val="0"/>
              <w:snapToGrid w:val="0"/>
              <w:spacing w:line="360" w:lineRule="auto"/>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得分N</w:t>
            </w:r>
          </w:p>
        </w:tc>
        <w:tc>
          <w:tcPr>
            <w:tcW w:w="9637" w:type="dxa"/>
            <w:gridSpan w:val="2"/>
            <w:tcBorders>
              <w:top w:val="single" w:color="auto" w:sz="4" w:space="0"/>
              <w:left w:val="single" w:color="auto" w:sz="4" w:space="0"/>
              <w:bottom w:val="single" w:color="auto" w:sz="4" w:space="0"/>
              <w:right w:val="single" w:color="auto" w:sz="4" w:space="0"/>
            </w:tcBorders>
            <w:vAlign w:val="center"/>
          </w:tcPr>
          <w:p>
            <w:pPr>
              <w:wordWrap w:val="0"/>
              <w:adjustRightInd w:val="0"/>
              <w:snapToGrid w:val="0"/>
              <w:ind w:firstLine="440" w:firstLineChars="200"/>
              <w:jc w:val="left"/>
              <w:rPr>
                <w:rFonts w:hAnsi="宋体" w:cs="宋体"/>
                <w:snapToGrid w:val="0"/>
                <w:kern w:val="0"/>
                <w:sz w:val="22"/>
                <w:szCs w:val="22"/>
              </w:rPr>
            </w:pPr>
            <w:r>
              <w:rPr>
                <w:rFonts w:hint="eastAsia" w:hAnsi="宋体" w:cs="宋体"/>
                <w:snapToGrid w:val="0"/>
                <w:kern w:val="0"/>
                <w:sz w:val="22"/>
                <w:szCs w:val="22"/>
              </w:rPr>
              <w:t>采用内插法计算某投标人的投标报价得分N，即当投标人的投标总价等于评标基准价时得60分，每高于评标基准价一个百分点扣1分，每低于评标基准价一个百分点扣0.5分，扣完为止。公式如下：</w:t>
            </w:r>
          </w:p>
          <w:p>
            <w:pPr>
              <w:wordWrap w:val="0"/>
              <w:adjustRightInd w:val="0"/>
              <w:snapToGrid w:val="0"/>
              <w:ind w:firstLine="440" w:firstLineChars="200"/>
              <w:jc w:val="left"/>
              <w:rPr>
                <w:rFonts w:hAnsi="宋体" w:cs="宋体"/>
                <w:snapToGrid w:val="0"/>
                <w:kern w:val="0"/>
                <w:sz w:val="22"/>
                <w:szCs w:val="22"/>
              </w:rPr>
            </w:pPr>
            <w:r>
              <w:rPr>
                <w:rFonts w:hint="eastAsia" w:hAnsi="宋体" w:cs="宋体"/>
                <w:snapToGrid w:val="0"/>
                <w:kern w:val="0"/>
                <w:sz w:val="22"/>
                <w:szCs w:val="22"/>
              </w:rPr>
              <w:t>N＝60－（| Di－D | ÷D）×100×E</w:t>
            </w:r>
          </w:p>
          <w:p>
            <w:pPr>
              <w:wordWrap w:val="0"/>
              <w:adjustRightInd w:val="0"/>
              <w:snapToGrid w:val="0"/>
              <w:ind w:firstLine="440" w:firstLineChars="200"/>
              <w:jc w:val="left"/>
              <w:rPr>
                <w:rFonts w:hAnsi="宋体" w:cs="宋体"/>
                <w:snapToGrid w:val="0"/>
                <w:kern w:val="0"/>
                <w:sz w:val="22"/>
                <w:szCs w:val="22"/>
              </w:rPr>
            </w:pPr>
            <w:r>
              <w:rPr>
                <w:rFonts w:hint="eastAsia" w:hAnsi="宋体" w:cs="宋体"/>
                <w:snapToGrid w:val="0"/>
                <w:kern w:val="0"/>
                <w:sz w:val="22"/>
                <w:szCs w:val="22"/>
              </w:rPr>
              <w:t>式中：D为评标基准价；Di为某投标人的投标总价；E为扣分因子，当Di＞D时，E＝1；当Di＜D时，E＝0.5。</w:t>
            </w:r>
          </w:p>
        </w:tc>
      </w:tr>
    </w:tbl>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 xml:space="preserve">15.5.2 </w:t>
      </w:r>
      <w:r>
        <w:rPr>
          <w:rFonts w:ascii="Times New Roman"/>
          <w:snapToGrid w:val="0"/>
          <w:color w:val="auto"/>
          <w:kern w:val="0"/>
          <w:highlight w:val="none"/>
        </w:rPr>
        <w:t>否决投标说明</w:t>
      </w:r>
    </w:p>
    <w:p>
      <w:pPr>
        <w:wordWrap w:val="0"/>
        <w:adjustRightInd w:val="0"/>
        <w:snapToGrid w:val="0"/>
        <w:spacing w:line="440" w:lineRule="exact"/>
        <w:ind w:firstLine="562"/>
        <w:rPr>
          <w:rFonts w:ascii="Times New Roman"/>
          <w:snapToGrid w:val="0"/>
          <w:color w:val="auto"/>
          <w:kern w:val="0"/>
          <w:highlight w:val="none"/>
        </w:rPr>
      </w:pPr>
      <w:r>
        <w:rPr>
          <w:rFonts w:ascii="Times New Roman"/>
          <w:snapToGrid w:val="0"/>
          <w:color w:val="auto"/>
          <w:kern w:val="0"/>
          <w:highlight w:val="none"/>
        </w:rPr>
        <w:t>详细评审阶段否决投标的全部条件，在本章第四节“否决投标条件”第</w:t>
      </w:r>
      <w:r>
        <w:rPr>
          <w:rFonts w:ascii="Times New Roman"/>
          <w:b/>
          <w:bCs/>
          <w:snapToGrid w:val="0"/>
          <w:color w:val="auto"/>
          <w:kern w:val="0"/>
          <w:highlight w:val="none"/>
        </w:rPr>
        <w:t>4</w:t>
      </w:r>
      <w:r>
        <w:rPr>
          <w:rFonts w:ascii="Times New Roman"/>
          <w:snapToGrid w:val="0"/>
          <w:color w:val="auto"/>
          <w:kern w:val="0"/>
          <w:highlight w:val="none"/>
        </w:rPr>
        <w:t>条中集中列示。投标人有其中所列任何一种情形的，由评标委员会否决其投标。经详细评审后，有效投标人数量不足3个时，招标人应依法重新组织招标。</w:t>
      </w:r>
    </w:p>
    <w:p>
      <w:pPr>
        <w:wordWrap w:val="0"/>
        <w:adjustRightInd w:val="0"/>
        <w:snapToGrid w:val="0"/>
        <w:spacing w:line="440" w:lineRule="exact"/>
        <w:ind w:firstLine="482" w:firstLineChars="200"/>
        <w:rPr>
          <w:rFonts w:ascii="Times New Roman"/>
          <w:b/>
          <w:snapToGrid w:val="0"/>
          <w:color w:val="auto"/>
          <w:kern w:val="0"/>
          <w:highlight w:val="none"/>
        </w:rPr>
      </w:pPr>
      <w:r>
        <w:rPr>
          <w:rFonts w:ascii="Times New Roman"/>
          <w:b/>
          <w:bCs/>
          <w:snapToGrid w:val="0"/>
          <w:color w:val="auto"/>
          <w:kern w:val="0"/>
          <w:highlight w:val="none"/>
        </w:rPr>
        <w:t>注：投标人在详细评审阶段根据评分方法提供的佐证材料，其合法性、有效性和准确性不符合要求的，有关量化因素（或评分标准）的折算、调整（或评分）按相应量化标准（或评分标准）处理，但不否决投标。</w:t>
      </w:r>
    </w:p>
    <w:p>
      <w:pPr>
        <w:pStyle w:val="5"/>
        <w:wordWrap w:val="0"/>
        <w:snapToGrid w:val="0"/>
        <w:spacing w:line="420" w:lineRule="exact"/>
        <w:ind w:firstLine="480"/>
        <w:jc w:val="both"/>
        <w:rPr>
          <w:rFonts w:ascii="Times New Roman"/>
          <w:b/>
          <w:snapToGrid w:val="0"/>
          <w:color w:val="auto"/>
          <w:highlight w:val="none"/>
        </w:rPr>
      </w:pPr>
      <w:bookmarkStart w:id="69" w:name="_Toc19901"/>
      <w:r>
        <w:rPr>
          <w:rFonts w:ascii="Times New Roman"/>
          <w:b/>
          <w:snapToGrid w:val="0"/>
          <w:color w:val="auto"/>
          <w:highlight w:val="none"/>
        </w:rPr>
        <w:t>16．中标候选人公示</w:t>
      </w:r>
      <w:bookmarkEnd w:id="69"/>
    </w:p>
    <w:p>
      <w:pPr>
        <w:wordWrap w:val="0"/>
        <w:adjustRightInd w:val="0"/>
        <w:snapToGrid w:val="0"/>
        <w:spacing w:line="42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16.1</w:t>
      </w:r>
      <w:r>
        <w:rPr>
          <w:rFonts w:ascii="Times New Roman"/>
          <w:bCs/>
          <w:snapToGrid w:val="0"/>
          <w:color w:val="auto"/>
          <w:kern w:val="0"/>
          <w:highlight w:val="none"/>
        </w:rPr>
        <w:t xml:space="preserve"> </w:t>
      </w:r>
      <w:r>
        <w:rPr>
          <w:rFonts w:ascii="Times New Roman"/>
          <w:snapToGrid w:val="0"/>
          <w:color w:val="auto"/>
          <w:kern w:val="0"/>
          <w:highlight w:val="none"/>
        </w:rPr>
        <w:t>招标人自收到评标报告24小时内，对中标候选人提交的光盘（或U盘）中有关电子文件进行核对。如果电子文件不完整或内容与投标文件不一致，中标候选人应履行投标承诺，自收到核对意见24小时内对电子文件进行补充或修改，确保补充或修改后的电子文件与投标文件一致后，重新刻录和提交光盘（或U盘）。中标候选人无正当理由拒不修改和重新提交电子文件的，视其放弃中标候选人资格，其投标保证不予退还。招标人可按照评标报告确定的排序依次补足3个中标候选人。因此种情况造成招标人重新招标的，招标人可不接受其再次投标。同时，招标人将其失信行为向行政监督部门报告。</w:t>
      </w:r>
    </w:p>
    <w:p>
      <w:pPr>
        <w:wordWrap w:val="0"/>
        <w:adjustRightInd w:val="0"/>
        <w:snapToGrid w:val="0"/>
        <w:spacing w:line="420" w:lineRule="exact"/>
        <w:ind w:firstLine="482" w:firstLineChars="200"/>
        <w:rPr>
          <w:rFonts w:hint="eastAsia" w:ascii="Times New Roman"/>
          <w:snapToGrid w:val="0"/>
          <w:color w:val="auto"/>
          <w:kern w:val="0"/>
          <w:highlight w:val="none"/>
        </w:rPr>
      </w:pPr>
      <w:r>
        <w:rPr>
          <w:rFonts w:ascii="Times New Roman"/>
          <w:b/>
          <w:bCs/>
          <w:snapToGrid w:val="0"/>
          <w:color w:val="auto"/>
          <w:kern w:val="0"/>
          <w:highlight w:val="none"/>
        </w:rPr>
        <w:t>16.2</w:t>
      </w:r>
      <w:r>
        <w:rPr>
          <w:rFonts w:hint="eastAsia" w:ascii="Times New Roman"/>
          <w:snapToGrid w:val="0"/>
          <w:color w:val="auto"/>
          <w:kern w:val="0"/>
          <w:highlight w:val="none"/>
        </w:rPr>
        <w:t xml:space="preserve"> 招标人自收到评标委员会提交的书面评标报告和中标候选人名单之日起3日内，将评标结果（即中标候选人名单）、中标候选人投标文件（指商务标书分册）、评标过程（评标专家姓名用代码标记）一并在广东省招标投标监管网（http://zbtb.gd.gov.cn）及广东省公共资源交易平台（韶关市）（https://ygp.gdzwfw.gov.cn/ggzy-portal/#/440200/index）或韶关市公共资源交易一体化平台(http://portal.ythpt.sg.gov.cn)进行公示，公示期不得少于3天。</w:t>
      </w:r>
    </w:p>
    <w:p>
      <w:pPr>
        <w:wordWrap w:val="0"/>
        <w:adjustRightInd w:val="0"/>
        <w:snapToGrid w:val="0"/>
        <w:spacing w:line="42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16.3</w:t>
      </w:r>
      <w:r>
        <w:rPr>
          <w:rFonts w:ascii="Times New Roman"/>
          <w:snapToGrid w:val="0"/>
          <w:color w:val="auto"/>
          <w:kern w:val="0"/>
          <w:highlight w:val="none"/>
        </w:rPr>
        <w:t xml:space="preserve"> </w:t>
      </w:r>
      <w:r>
        <w:rPr>
          <w:rFonts w:ascii="Times New Roman"/>
          <w:snapToGrid w:val="0"/>
          <w:color w:val="auto"/>
          <w:highlight w:val="none"/>
          <w:lang w:bidi="ar"/>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w:t>
      </w:r>
      <w:r>
        <w:rPr>
          <w:rFonts w:ascii="Times New Roman"/>
          <w:color w:val="auto"/>
          <w:highlight w:val="none"/>
          <w:lang w:bidi="ar"/>
        </w:rPr>
        <w:t>按照《韶关市工程建设项目招标投标活动异议和投诉处理办法》（韶法审〔</w:t>
      </w:r>
      <w:r>
        <w:rPr>
          <w:rFonts w:hint="default" w:ascii="Times New Roman"/>
          <w:snapToGrid w:val="0"/>
          <w:color w:val="auto"/>
          <w:highlight w:val="none"/>
          <w:lang w:bidi="ar"/>
        </w:rPr>
        <w:t>2020</w:t>
      </w:r>
      <w:r>
        <w:rPr>
          <w:rFonts w:ascii="Times New Roman"/>
          <w:snapToGrid w:val="0"/>
          <w:color w:val="auto"/>
          <w:highlight w:val="none"/>
          <w:lang w:bidi="ar"/>
        </w:rPr>
        <w:t>〕</w:t>
      </w:r>
      <w:r>
        <w:rPr>
          <w:rFonts w:hint="default" w:ascii="Times New Roman"/>
          <w:snapToGrid w:val="0"/>
          <w:color w:val="auto"/>
          <w:highlight w:val="none"/>
          <w:lang w:bidi="ar"/>
        </w:rPr>
        <w:t>19</w:t>
      </w:r>
      <w:r>
        <w:rPr>
          <w:rFonts w:ascii="Times New Roman"/>
          <w:snapToGrid w:val="0"/>
          <w:color w:val="auto"/>
          <w:highlight w:val="none"/>
          <w:lang w:bidi="ar"/>
        </w:rPr>
        <w:t>号）执行</w:t>
      </w:r>
      <w:r>
        <w:rPr>
          <w:rFonts w:ascii="Times New Roman"/>
          <w:snapToGrid w:val="0"/>
          <w:color w:val="auto"/>
          <w:kern w:val="0"/>
          <w:highlight w:val="none"/>
        </w:rPr>
        <w:t>。</w:t>
      </w:r>
    </w:p>
    <w:p>
      <w:pPr>
        <w:wordWrap w:val="0"/>
        <w:adjustRightInd w:val="0"/>
        <w:snapToGrid w:val="0"/>
        <w:spacing w:line="420" w:lineRule="exact"/>
        <w:ind w:firstLine="482" w:firstLineChars="200"/>
        <w:rPr>
          <w:rFonts w:ascii="Times New Roman"/>
          <w:snapToGrid w:val="0"/>
          <w:color w:val="auto"/>
          <w:kern w:val="0"/>
          <w:highlight w:val="none"/>
        </w:rPr>
        <w:sectPr>
          <w:footerReference r:id="rId7" w:type="default"/>
          <w:endnotePr>
            <w:numFmt w:val="decimal"/>
          </w:endnotePr>
          <w:pgSz w:w="11906" w:h="16838"/>
          <w:pgMar w:top="1701" w:right="1531" w:bottom="1417" w:left="1531" w:header="850" w:footer="992" w:gutter="0"/>
          <w:cols w:space="720" w:num="1"/>
          <w:docGrid w:linePitch="327" w:charSpace="0"/>
        </w:sectPr>
      </w:pPr>
      <w:r>
        <w:rPr>
          <w:rFonts w:ascii="Times New Roman"/>
          <w:b/>
          <w:bCs/>
          <w:snapToGrid w:val="0"/>
          <w:color w:val="auto"/>
          <w:kern w:val="0"/>
          <w:highlight w:val="none"/>
        </w:rPr>
        <w:t>16.4</w:t>
      </w:r>
      <w:r>
        <w:rPr>
          <w:rFonts w:ascii="Times New Roman"/>
          <w:snapToGrid w:val="0"/>
          <w:color w:val="auto"/>
          <w:kern w:val="0"/>
          <w:highlight w:val="none"/>
        </w:rPr>
        <w:t xml:space="preserve"> 中标候选人公示期满无异议（投诉）后，招标人确定第一中标候选人为中标人，并在中标人确定之日起7日内向中标人发出中标通知书。在中标通知书发出后5个工作日内，</w:t>
      </w:r>
      <w:r>
        <w:rPr>
          <w:rFonts w:hint="eastAsia" w:ascii="Times New Roman"/>
          <w:snapToGrid w:val="0"/>
          <w:color w:val="auto"/>
          <w:kern w:val="0"/>
          <w:highlight w:val="none"/>
          <w:lang w:eastAsia="zh-CN"/>
        </w:rPr>
        <w:t>韶关市公共资源交易中心</w:t>
      </w:r>
      <w:r>
        <w:rPr>
          <w:rFonts w:ascii="Times New Roman"/>
          <w:snapToGrid w:val="0"/>
          <w:color w:val="auto"/>
          <w:kern w:val="0"/>
          <w:highlight w:val="none"/>
        </w:rPr>
        <w:t>将投标保证金（或银行保函）退还给中标候选人以外的投标人。</w:t>
      </w:r>
    </w:p>
    <w:p>
      <w:pPr>
        <w:pStyle w:val="4"/>
        <w:wordWrap w:val="0"/>
        <w:autoSpaceDE/>
        <w:autoSpaceDN/>
        <w:snapToGrid w:val="0"/>
        <w:spacing w:after="260" w:line="440" w:lineRule="exact"/>
        <w:jc w:val="both"/>
        <w:rPr>
          <w:rFonts w:ascii="Times New Roman"/>
          <w:b/>
          <w:snapToGrid w:val="0"/>
          <w:color w:val="auto"/>
          <w:highlight w:val="none"/>
        </w:rPr>
      </w:pPr>
      <w:bookmarkStart w:id="70" w:name="_Toc6855"/>
      <w:r>
        <w:rPr>
          <w:rFonts w:ascii="Times New Roman"/>
          <w:b/>
          <w:snapToGrid w:val="0"/>
          <w:color w:val="auto"/>
          <w:highlight w:val="none"/>
        </w:rPr>
        <w:t>第四节 否决投标条件</w:t>
      </w:r>
      <w:bookmarkEnd w:id="70"/>
    </w:p>
    <w:p>
      <w:pPr>
        <w:wordWrap w:val="0"/>
        <w:adjustRightInd w:val="0"/>
        <w:snapToGrid w:val="0"/>
        <w:spacing w:line="440" w:lineRule="exact"/>
        <w:ind w:firstLine="0"/>
        <w:rPr>
          <w:rFonts w:ascii="Times New Roman"/>
          <w:snapToGrid w:val="0"/>
          <w:color w:val="auto"/>
          <w:kern w:val="0"/>
          <w:highlight w:val="none"/>
        </w:rPr>
      </w:pPr>
      <w:r>
        <w:rPr>
          <w:rFonts w:ascii="Times New Roman"/>
          <w:snapToGrid w:val="0"/>
          <w:color w:val="auto"/>
          <w:kern w:val="0"/>
          <w:highlight w:val="none"/>
        </w:rPr>
        <w:t>　　本节所集中列示的否决投标条件，是本章第三节“投标人须知正文”的组成部分，是对本章第三节所规定的否决投标条件的总结和补充。</w:t>
      </w:r>
      <w:r>
        <w:rPr>
          <w:rFonts w:ascii="Times New Roman"/>
          <w:b/>
          <w:bCs/>
          <w:snapToGrid w:val="0"/>
          <w:color w:val="auto"/>
          <w:kern w:val="0"/>
          <w:highlight w:val="none"/>
        </w:rPr>
        <w:t>投标人未有列入本节情形的，评标时一律不得否决其投标。</w:t>
      </w:r>
      <w:r>
        <w:rPr>
          <w:rFonts w:ascii="Times New Roman"/>
          <w:snapToGrid w:val="0"/>
          <w:color w:val="auto"/>
          <w:kern w:val="0"/>
          <w:highlight w:val="none"/>
        </w:rPr>
        <w:t>本节所称“规定”均指招标文件的规定。</w:t>
      </w:r>
    </w:p>
    <w:p>
      <w:pPr>
        <w:pStyle w:val="7"/>
        <w:ind w:firstLine="480"/>
        <w:rPr>
          <w:color w:val="auto"/>
          <w:highlight w:val="none"/>
        </w:rPr>
      </w:pPr>
    </w:p>
    <w:p>
      <w:pPr>
        <w:pStyle w:val="5"/>
        <w:wordWrap w:val="0"/>
        <w:snapToGrid w:val="0"/>
        <w:spacing w:line="440" w:lineRule="exact"/>
        <w:ind w:firstLine="480"/>
        <w:jc w:val="both"/>
        <w:rPr>
          <w:rFonts w:ascii="Times New Roman"/>
          <w:b/>
          <w:snapToGrid w:val="0"/>
          <w:color w:val="auto"/>
          <w:highlight w:val="none"/>
        </w:rPr>
      </w:pPr>
      <w:bookmarkStart w:id="71" w:name="_Toc8247"/>
      <w:r>
        <w:rPr>
          <w:rFonts w:ascii="Times New Roman"/>
          <w:b/>
          <w:snapToGrid w:val="0"/>
          <w:color w:val="auto"/>
          <w:highlight w:val="none"/>
        </w:rPr>
        <w:t>1．资格评审环节</w:t>
      </w:r>
      <w:bookmarkEnd w:id="71"/>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投标人有下列情形之一的，评标委员会应否决其投标。被否决的投标人，不进入形式评审环节。</w:t>
      </w:r>
    </w:p>
    <w:p>
      <w:pPr>
        <w:wordWrap w:val="0"/>
        <w:adjustRightInd w:val="0"/>
        <w:snapToGrid w:val="0"/>
        <w:spacing w:line="440" w:lineRule="exact"/>
        <w:ind w:firstLine="480"/>
        <w:rPr>
          <w:rFonts w:ascii="Times New Roman"/>
          <w:b/>
          <w:bCs/>
          <w:snapToGrid w:val="0"/>
          <w:color w:val="auto"/>
          <w:kern w:val="0"/>
          <w:highlight w:val="none"/>
        </w:rPr>
      </w:pPr>
      <w:r>
        <w:rPr>
          <w:rFonts w:ascii="Times New Roman"/>
          <w:snapToGrid w:val="0"/>
          <w:color w:val="auto"/>
          <w:kern w:val="0"/>
          <w:highlight w:val="none"/>
        </w:rPr>
        <w:t>（1）有本章第三节第</w:t>
      </w:r>
      <w:r>
        <w:rPr>
          <w:rFonts w:ascii="Times New Roman"/>
          <w:b/>
          <w:bCs/>
          <w:snapToGrid w:val="0"/>
          <w:color w:val="auto"/>
          <w:kern w:val="0"/>
          <w:highlight w:val="none"/>
        </w:rPr>
        <w:t>2.4</w:t>
      </w:r>
      <w:r>
        <w:rPr>
          <w:rFonts w:ascii="Times New Roman"/>
          <w:snapToGrid w:val="0"/>
          <w:color w:val="auto"/>
          <w:kern w:val="0"/>
          <w:highlight w:val="none"/>
        </w:rPr>
        <w:t>条“禁止投标条款”规定的任何一种情形；</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（2）投标人资质不符合</w:t>
      </w:r>
      <w:r>
        <w:rPr>
          <w:rFonts w:ascii="Times New Roman"/>
          <w:snapToGrid w:val="0"/>
          <w:color w:val="auto"/>
          <w:kern w:val="0"/>
          <w:szCs w:val="18"/>
          <w:highlight w:val="none"/>
        </w:rPr>
        <w:t>规定的；</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pPr>
        <w:wordWrap w:val="0"/>
        <w:adjustRightInd w:val="0"/>
        <w:snapToGrid w:val="0"/>
        <w:spacing w:line="440" w:lineRule="exact"/>
        <w:ind w:firstLine="480"/>
        <w:rPr>
          <w:rFonts w:ascii="Times New Roman"/>
          <w:b/>
          <w:bCs/>
          <w:snapToGrid w:val="0"/>
          <w:color w:val="auto"/>
          <w:kern w:val="0"/>
          <w:highlight w:val="none"/>
        </w:rPr>
      </w:pPr>
      <w:r>
        <w:rPr>
          <w:rFonts w:ascii="Times New Roman"/>
          <w:b/>
          <w:bCs/>
          <w:snapToGrid w:val="0"/>
          <w:color w:val="auto"/>
          <w:kern w:val="0"/>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pPr>
        <w:wordWrap w:val="0"/>
        <w:adjustRightInd w:val="0"/>
        <w:snapToGrid w:val="0"/>
        <w:spacing w:line="440" w:lineRule="exact"/>
        <w:ind w:firstLine="480"/>
        <w:rPr>
          <w:rFonts w:ascii="Times New Roman"/>
          <w:b/>
          <w:bCs/>
          <w:snapToGrid w:val="0"/>
          <w:color w:val="auto"/>
          <w:kern w:val="0"/>
          <w:highlight w:val="none"/>
        </w:rPr>
      </w:pPr>
      <w:r>
        <w:rPr>
          <w:rFonts w:ascii="Times New Roman"/>
          <w:b/>
          <w:bCs/>
          <w:snapToGrid w:val="0"/>
          <w:color w:val="auto"/>
          <w:kern w:val="0"/>
          <w:highlight w:val="none"/>
        </w:rPr>
        <w:t>根据有关文件精神，在新冠肺炎疫情防控期间，投标人的企业资质证书、安全生产许可证有以下情形的，不得否决其投标：</w:t>
      </w:r>
    </w:p>
    <w:p>
      <w:pPr>
        <w:wordWrap w:val="0"/>
        <w:adjustRightInd w:val="0"/>
        <w:snapToGrid w:val="0"/>
        <w:spacing w:line="440" w:lineRule="exact"/>
        <w:ind w:firstLine="480"/>
        <w:rPr>
          <w:color w:val="auto"/>
          <w:highlight w:val="none"/>
        </w:rPr>
      </w:pPr>
      <w:r>
        <w:rPr>
          <w:rFonts w:ascii="Times New Roman"/>
          <w:b/>
          <w:bCs/>
          <w:snapToGrid w:val="0"/>
          <w:color w:val="auto"/>
          <w:kern w:val="0"/>
          <w:highlight w:val="none"/>
        </w:rPr>
        <w:t>投标人的企业资质证书、安全生产许可证有效期届满的，但投标人提供了发证机构相关行业主管部门的证明材料（如自动顺延或推迟办理延期业务的通知），证明在开标日继续有效的。</w:t>
      </w:r>
    </w:p>
    <w:p>
      <w:pPr>
        <w:wordWrap w:val="0"/>
        <w:adjustRightInd w:val="0"/>
        <w:snapToGrid w:val="0"/>
        <w:spacing w:line="440" w:lineRule="exact"/>
        <w:rPr>
          <w:rFonts w:ascii="Times New Roman"/>
          <w:snapToGrid w:val="0"/>
          <w:color w:val="auto"/>
          <w:kern w:val="0"/>
          <w:highlight w:val="none"/>
        </w:rPr>
      </w:pPr>
      <w:r>
        <w:rPr>
          <w:rFonts w:ascii="Times New Roman"/>
          <w:snapToGrid w:val="0"/>
          <w:color w:val="auto"/>
          <w:kern w:val="0"/>
          <w:highlight w:val="none"/>
        </w:rPr>
        <w:t xml:space="preserve">   （4）拟派项目经理、项目技术负责人、专职安全员的条件不符合规定的；拟派专职安全员数量不符合规定的；</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5）《项目经理简历表》中拟派项目经理与《开标一览表》不一致的；一级建造师的电子注册证书不是国家住建部颁发的；二级建造师的电子注册证书不是广东省住建厅颁发的；建造师的注册单位与投标人不一致的；项目管理班子组成人员的各类证书、证件、证明不在有效期内的；</w:t>
      </w:r>
      <w:r>
        <w:rPr>
          <w:rFonts w:hAnsi="宋体" w:cs="宋体"/>
          <w:color w:val="auto"/>
          <w:szCs w:val="24"/>
          <w:highlight w:val="none"/>
        </w:rPr>
        <w:t>建造师电子注册证书不在使用有效期内的；</w:t>
      </w:r>
      <w:r>
        <w:rPr>
          <w:rFonts w:ascii="Times New Roman"/>
          <w:snapToGrid w:val="0"/>
          <w:color w:val="auto"/>
          <w:kern w:val="0"/>
          <w:highlight w:val="none"/>
        </w:rPr>
        <w:t>擅自修改、遗漏《项目经理任职声明》实质性内容的；</w:t>
      </w:r>
    </w:p>
    <w:p>
      <w:pPr>
        <w:wordWrap w:val="0"/>
        <w:adjustRightInd w:val="0"/>
        <w:snapToGrid w:val="0"/>
        <w:spacing w:line="440" w:lineRule="exact"/>
        <w:ind w:firstLine="480"/>
        <w:rPr>
          <w:rFonts w:ascii="Times New Roman"/>
          <w:b/>
          <w:bCs/>
          <w:snapToGrid w:val="0"/>
          <w:color w:val="auto"/>
          <w:kern w:val="0"/>
          <w:highlight w:val="none"/>
        </w:rPr>
      </w:pPr>
      <w:r>
        <w:rPr>
          <w:rFonts w:ascii="Times New Roman"/>
          <w:b/>
          <w:bCs/>
          <w:snapToGrid w:val="0"/>
          <w:color w:val="auto"/>
          <w:kern w:val="0"/>
          <w:highlight w:val="none"/>
        </w:rPr>
        <w:t>注：投标人已经工商变更，但其员工执业资格注册证书的注册单位名称未完成变更的，不得否决其投标。</w:t>
      </w:r>
    </w:p>
    <w:p>
      <w:pPr>
        <w:wordWrap w:val="0"/>
        <w:adjustRightInd w:val="0"/>
        <w:snapToGrid w:val="0"/>
        <w:spacing w:line="440" w:lineRule="exact"/>
        <w:ind w:firstLine="480"/>
        <w:rPr>
          <w:rFonts w:ascii="Times New Roman"/>
          <w:b/>
          <w:bCs/>
          <w:snapToGrid w:val="0"/>
          <w:color w:val="auto"/>
          <w:kern w:val="0"/>
          <w:highlight w:val="none"/>
        </w:rPr>
      </w:pPr>
      <w:r>
        <w:rPr>
          <w:rFonts w:ascii="Times New Roman"/>
          <w:b/>
          <w:bCs/>
          <w:snapToGrid w:val="0"/>
          <w:color w:val="auto"/>
          <w:kern w:val="0"/>
          <w:highlight w:val="none"/>
        </w:rPr>
        <w:t>鉴于目前继续教育开展的实际情况，建筑和市政工程施工现场专业人员（指：施工员、质量员、材料员、资料员）的岗位证书或培训证书不审查其证书的有效期。</w:t>
      </w:r>
    </w:p>
    <w:p>
      <w:pPr>
        <w:wordWrap w:val="0"/>
        <w:adjustRightInd w:val="0"/>
        <w:snapToGrid w:val="0"/>
        <w:spacing w:line="440" w:lineRule="exact"/>
        <w:ind w:firstLine="480"/>
        <w:rPr>
          <w:rFonts w:ascii="Times New Roman"/>
          <w:snapToGrid w:val="0"/>
          <w:color w:val="auto"/>
          <w:kern w:val="0"/>
          <w:szCs w:val="18"/>
          <w:highlight w:val="none"/>
        </w:rPr>
      </w:pPr>
      <w:r>
        <w:rPr>
          <w:rFonts w:ascii="Times New Roman"/>
          <w:snapToGrid w:val="0"/>
          <w:color w:val="auto"/>
          <w:kern w:val="0"/>
          <w:highlight w:val="none"/>
        </w:rPr>
        <w:t>（6）招标文件规定不接受联合体投标，但以联合体投标的；</w:t>
      </w:r>
    </w:p>
    <w:p>
      <w:pPr>
        <w:wordWrap w:val="0"/>
        <w:adjustRightInd w:val="0"/>
        <w:snapToGrid w:val="0"/>
        <w:spacing w:line="440" w:lineRule="exact"/>
        <w:ind w:firstLine="480"/>
        <w:rPr>
          <w:rFonts w:ascii="Times New Roman"/>
          <w:snapToGrid w:val="0"/>
          <w:color w:val="auto"/>
          <w:kern w:val="0"/>
          <w:szCs w:val="18"/>
          <w:highlight w:val="none"/>
        </w:rPr>
      </w:pPr>
      <w:r>
        <w:rPr>
          <w:rFonts w:ascii="Times New Roman"/>
          <w:snapToGrid w:val="0"/>
          <w:color w:val="auto"/>
          <w:kern w:val="0"/>
          <w:highlight w:val="none"/>
        </w:rPr>
        <w:t>（7）联合体投标，未提交</w:t>
      </w:r>
      <w:r>
        <w:rPr>
          <w:rFonts w:ascii="Times New Roman"/>
          <w:snapToGrid w:val="0"/>
          <w:color w:val="auto"/>
          <w:kern w:val="0"/>
          <w:szCs w:val="18"/>
          <w:highlight w:val="none"/>
        </w:rPr>
        <w:t>《联合体协议书》的；</w:t>
      </w:r>
      <w:r>
        <w:rPr>
          <w:rFonts w:ascii="Times New Roman"/>
          <w:snapToGrid w:val="0"/>
          <w:color w:val="auto"/>
          <w:kern w:val="0"/>
          <w:highlight w:val="none"/>
        </w:rPr>
        <w:t>擅自修改、遗漏</w:t>
      </w:r>
      <w:r>
        <w:rPr>
          <w:rFonts w:ascii="Times New Roman"/>
          <w:snapToGrid w:val="0"/>
          <w:color w:val="auto"/>
          <w:kern w:val="0"/>
          <w:szCs w:val="18"/>
          <w:highlight w:val="none"/>
        </w:rPr>
        <w:t>《联合体协议书》</w:t>
      </w:r>
      <w:r>
        <w:rPr>
          <w:rFonts w:ascii="Times New Roman"/>
          <w:snapToGrid w:val="0"/>
          <w:color w:val="auto"/>
          <w:kern w:val="0"/>
          <w:highlight w:val="none"/>
        </w:rPr>
        <w:t>实质性内容的；</w:t>
      </w:r>
      <w:r>
        <w:rPr>
          <w:rFonts w:ascii="Times New Roman"/>
          <w:snapToGrid w:val="0"/>
          <w:color w:val="auto"/>
          <w:kern w:val="0"/>
          <w:szCs w:val="18"/>
          <w:highlight w:val="none"/>
        </w:rPr>
        <w:t>联合体成员的数量、资质不符合规定的；联合体成员同时以自己名义单独投标或者参加其他联合体投标的；</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（8）投标人为</w:t>
      </w:r>
      <w:r>
        <w:rPr>
          <w:rFonts w:ascii="Times New Roman"/>
          <w:snapToGrid w:val="0"/>
          <w:color w:val="auto"/>
          <w:kern w:val="0"/>
          <w:szCs w:val="18"/>
          <w:highlight w:val="none"/>
        </w:rPr>
        <w:t>外省建筑企业</w:t>
      </w:r>
      <w:r>
        <w:rPr>
          <w:rFonts w:ascii="Times New Roman"/>
          <w:snapToGrid w:val="0"/>
          <w:color w:val="auto"/>
          <w:kern w:val="0"/>
          <w:highlight w:val="none"/>
        </w:rPr>
        <w:t>，但未提供“进粤企业和人员诚信信息登记平台”企业打印页的。</w:t>
      </w:r>
    </w:p>
    <w:p>
      <w:pPr>
        <w:wordWrap w:val="0"/>
        <w:adjustRightInd w:val="0"/>
        <w:snapToGrid w:val="0"/>
        <w:spacing w:line="440" w:lineRule="exact"/>
        <w:ind w:firstLine="480"/>
        <w:rPr>
          <w:rFonts w:ascii="Times New Roman"/>
          <w:snapToGrid w:val="0"/>
          <w:color w:val="auto"/>
          <w:kern w:val="0"/>
          <w:highlight w:val="none"/>
        </w:rPr>
      </w:pPr>
    </w:p>
    <w:p>
      <w:pPr>
        <w:pStyle w:val="5"/>
        <w:wordWrap w:val="0"/>
        <w:snapToGrid w:val="0"/>
        <w:spacing w:line="440" w:lineRule="exact"/>
        <w:ind w:firstLine="480"/>
        <w:jc w:val="both"/>
        <w:rPr>
          <w:rFonts w:ascii="Times New Roman"/>
          <w:b/>
          <w:snapToGrid w:val="0"/>
          <w:color w:val="auto"/>
          <w:highlight w:val="none"/>
        </w:rPr>
      </w:pPr>
      <w:bookmarkStart w:id="72" w:name="_Toc15977"/>
      <w:r>
        <w:rPr>
          <w:rFonts w:ascii="Times New Roman"/>
          <w:b/>
          <w:snapToGrid w:val="0"/>
          <w:color w:val="auto"/>
          <w:highlight w:val="none"/>
        </w:rPr>
        <w:t>2．形式评审环节</w:t>
      </w:r>
      <w:bookmarkEnd w:id="72"/>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投标人有下列情形之一的，评标委员会应否决其投标。被否决的投标人，不进入响应性评审环节。</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（9）按本章第三节第</w:t>
      </w:r>
      <w:r>
        <w:rPr>
          <w:rFonts w:ascii="Times New Roman"/>
          <w:b/>
          <w:bCs/>
          <w:snapToGrid w:val="0"/>
          <w:color w:val="auto"/>
          <w:kern w:val="0"/>
          <w:highlight w:val="none"/>
        </w:rPr>
        <w:t>14.2</w:t>
      </w:r>
      <w:r>
        <w:rPr>
          <w:rFonts w:ascii="Times New Roman"/>
          <w:snapToGrid w:val="0"/>
          <w:color w:val="auto"/>
          <w:kern w:val="0"/>
          <w:highlight w:val="none"/>
        </w:rPr>
        <w:t>条第（8）项“投标文件的拆封”由评标委员会负责拆封的投标文件，未按规定包装、密封、标记或密封不严、标记不明的；</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（10）投标文件的分册组成、数量、规格、装订不符合规定的；</w:t>
      </w:r>
    </w:p>
    <w:p>
      <w:pPr>
        <w:wordWrap w:val="0"/>
        <w:adjustRightInd w:val="0"/>
        <w:snapToGrid w:val="0"/>
        <w:spacing w:line="440" w:lineRule="exact"/>
        <w:ind w:firstLine="480"/>
        <w:rPr>
          <w:rFonts w:ascii="Times New Roman"/>
          <w:b/>
          <w:bCs/>
          <w:snapToGrid w:val="0"/>
          <w:color w:val="auto"/>
          <w:kern w:val="0"/>
          <w:highlight w:val="none"/>
        </w:rPr>
      </w:pPr>
      <w:r>
        <w:rPr>
          <w:rFonts w:ascii="Times New Roman"/>
          <w:b/>
          <w:bCs/>
          <w:snapToGrid w:val="0"/>
          <w:color w:val="auto"/>
          <w:kern w:val="0"/>
          <w:highlight w:val="none"/>
        </w:rPr>
        <w:t>注：投标人已经采用规定的纸张编制投标文件，但纸张尺寸在打印、</w:t>
      </w:r>
      <w:r>
        <w:rPr>
          <w:b/>
          <w:bCs/>
          <w:snapToGrid w:val="0"/>
          <w:color w:val="auto"/>
          <w:kern w:val="0"/>
          <w:highlight w:val="none"/>
        </w:rPr>
        <w:t>裁剪、胶装过程中时发生细微变化的，不得否决其投标。</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（11）本章第三节第</w:t>
      </w:r>
      <w:r>
        <w:rPr>
          <w:rFonts w:ascii="Times New Roman"/>
          <w:b/>
          <w:bCs/>
          <w:snapToGrid w:val="0"/>
          <w:color w:val="auto"/>
          <w:kern w:val="0"/>
          <w:szCs w:val="18"/>
          <w:highlight w:val="none"/>
        </w:rPr>
        <w:t>10.2.2</w:t>
      </w:r>
      <w:r>
        <w:rPr>
          <w:rFonts w:ascii="Times New Roman"/>
          <w:snapToGrid w:val="0"/>
          <w:color w:val="auto"/>
          <w:kern w:val="0"/>
          <w:szCs w:val="18"/>
          <w:highlight w:val="none"/>
        </w:rPr>
        <w:t>目、</w:t>
      </w:r>
      <w:r>
        <w:rPr>
          <w:rFonts w:ascii="Times New Roman"/>
          <w:snapToGrid w:val="0"/>
          <w:color w:val="auto"/>
          <w:kern w:val="0"/>
          <w:highlight w:val="none"/>
        </w:rPr>
        <w:t>第</w:t>
      </w:r>
      <w:r>
        <w:rPr>
          <w:rFonts w:ascii="Times New Roman"/>
          <w:b/>
          <w:bCs/>
          <w:snapToGrid w:val="0"/>
          <w:color w:val="auto"/>
          <w:kern w:val="0"/>
          <w:szCs w:val="18"/>
          <w:highlight w:val="none"/>
        </w:rPr>
        <w:t>10.3.2</w:t>
      </w:r>
      <w:r>
        <w:rPr>
          <w:rFonts w:ascii="Times New Roman"/>
          <w:snapToGrid w:val="0"/>
          <w:color w:val="auto"/>
          <w:kern w:val="0"/>
          <w:szCs w:val="18"/>
          <w:highlight w:val="none"/>
        </w:rPr>
        <w:t>目、第</w:t>
      </w:r>
      <w:r>
        <w:rPr>
          <w:rFonts w:ascii="Times New Roman"/>
          <w:b/>
          <w:bCs/>
          <w:snapToGrid w:val="0"/>
          <w:color w:val="auto"/>
          <w:kern w:val="0"/>
          <w:highlight w:val="none"/>
        </w:rPr>
        <w:t>10.4.3</w:t>
      </w:r>
      <w:r>
        <w:rPr>
          <w:rFonts w:ascii="Times New Roman"/>
          <w:snapToGrid w:val="0"/>
          <w:color w:val="auto"/>
          <w:kern w:val="0"/>
          <w:highlight w:val="none"/>
        </w:rPr>
        <w:t>目中规定的“</w:t>
      </w:r>
      <w:r>
        <w:rPr>
          <w:rFonts w:ascii="Times New Roman"/>
          <w:snapToGrid w:val="0"/>
          <w:color w:val="auto"/>
          <w:kern w:val="0"/>
          <w:szCs w:val="18"/>
          <w:highlight w:val="none"/>
        </w:rPr>
        <w:t>所有投标人均应提供</w:t>
      </w:r>
      <w:r>
        <w:rPr>
          <w:rFonts w:ascii="Times New Roman"/>
          <w:snapToGrid w:val="0"/>
          <w:color w:val="auto"/>
          <w:kern w:val="0"/>
          <w:highlight w:val="none"/>
        </w:rPr>
        <w:t>”的组成内容（包括该组成内容的所附资料）中，任何一项有缺漏的；任一分册的电子文件（光盘或U盘的）未提供的；</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（12）关键字迹模糊、无法辨认，</w:t>
      </w:r>
      <w:r>
        <w:rPr>
          <w:rFonts w:ascii="Times New Roman"/>
          <w:b/>
          <w:bCs/>
          <w:snapToGrid w:val="0"/>
          <w:color w:val="auto"/>
          <w:kern w:val="0"/>
          <w:highlight w:val="none"/>
        </w:rPr>
        <w:t>且该种过错将导致评标委员会无法判断投标文件是否响应招标文件实质性要求的</w:t>
      </w:r>
      <w:r>
        <w:rPr>
          <w:rFonts w:ascii="Times New Roman"/>
          <w:snapToGrid w:val="0"/>
          <w:color w:val="auto"/>
          <w:kern w:val="0"/>
          <w:highlight w:val="none"/>
        </w:rPr>
        <w:t>；出现手工涂改、行间插字或删除，但未加盖单位章或由投标人的法定代表人或其委托代理人签字确认的；</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（13）投标文件未按规定签字、盖章的；</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14）招标文件规定施工组织设计采用“暗标”方式进行评审，但施工组织设计的规格颜色、文字排版、正文篇幅（若有）不符合规定的；其任何部位出现手写以及涂改、行间插字或删除痕迹的；其任何部位出现投标人的名称和其它可识别投标人身份的字符、徽标、人员名称以及其他特殊标记的。</w:t>
      </w:r>
    </w:p>
    <w:p>
      <w:pPr>
        <w:wordWrap w:val="0"/>
        <w:adjustRightInd w:val="0"/>
        <w:snapToGrid w:val="0"/>
        <w:spacing w:line="440" w:lineRule="exact"/>
        <w:ind w:firstLine="480"/>
        <w:rPr>
          <w:rFonts w:ascii="Times New Roman"/>
          <w:b/>
          <w:bCs/>
          <w:snapToGrid w:val="0"/>
          <w:color w:val="auto"/>
          <w:kern w:val="0"/>
          <w:highlight w:val="none"/>
        </w:rPr>
      </w:pPr>
      <w:r>
        <w:rPr>
          <w:rFonts w:ascii="Times New Roman"/>
          <w:b/>
          <w:bCs/>
          <w:snapToGrid w:val="0"/>
          <w:color w:val="auto"/>
          <w:kern w:val="0"/>
          <w:highlight w:val="none"/>
        </w:rPr>
        <w:t>注：投标人已经在文字处理软件中按照规定进行排版，但页面布局在打印、</w:t>
      </w:r>
      <w:r>
        <w:rPr>
          <w:b/>
          <w:bCs/>
          <w:snapToGrid w:val="0"/>
          <w:color w:val="auto"/>
          <w:kern w:val="0"/>
          <w:highlight w:val="none"/>
        </w:rPr>
        <w:t>裁剪、胶装过程中时发生细微变化的，不得否决其投标。</w:t>
      </w:r>
    </w:p>
    <w:p>
      <w:pPr>
        <w:pStyle w:val="5"/>
        <w:wordWrap w:val="0"/>
        <w:snapToGrid w:val="0"/>
        <w:spacing w:line="440" w:lineRule="exact"/>
        <w:ind w:firstLine="480"/>
        <w:jc w:val="both"/>
        <w:rPr>
          <w:rFonts w:ascii="Times New Roman"/>
          <w:b/>
          <w:snapToGrid w:val="0"/>
          <w:color w:val="auto"/>
          <w:highlight w:val="none"/>
        </w:rPr>
      </w:pPr>
      <w:bookmarkStart w:id="73" w:name="_Toc15294"/>
      <w:r>
        <w:rPr>
          <w:rFonts w:ascii="Times New Roman"/>
          <w:b/>
          <w:snapToGrid w:val="0"/>
          <w:color w:val="auto"/>
          <w:highlight w:val="none"/>
        </w:rPr>
        <w:t>3．响应性评审环节</w:t>
      </w:r>
      <w:bookmarkEnd w:id="73"/>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投标人有下列情形之一的，评标委员会应否决其投标。被否决的投标人，不进入详细评审阶段。</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（15）承诺的投标有效期短于规定的；质量标准低于规定的；工期超出规定的；擅自修改、遗漏《投标函》《各项承诺一览表》实质性内容的；</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（16）编制《投标总价》的</w:t>
      </w:r>
      <w:r>
        <w:rPr>
          <w:rFonts w:ascii="Times New Roman"/>
          <w:snapToGrid w:val="0"/>
          <w:color w:val="auto"/>
          <w:kern w:val="0"/>
          <w:szCs w:val="18"/>
          <w:highlight w:val="none"/>
        </w:rPr>
        <w:t>造价工程师，其注册证书不是住建部门颁发的；其注册单位与投标人（或造价咨询人）不一致的；其注册证书</w:t>
      </w:r>
      <w:r>
        <w:rPr>
          <w:rFonts w:ascii="Times New Roman"/>
          <w:snapToGrid w:val="0"/>
          <w:color w:val="auto"/>
          <w:kern w:val="0"/>
          <w:highlight w:val="none"/>
        </w:rPr>
        <w:t>不在有效期内的。</w:t>
      </w:r>
    </w:p>
    <w:p>
      <w:pPr>
        <w:wordWrap w:val="0"/>
        <w:adjustRightInd w:val="0"/>
        <w:snapToGrid w:val="0"/>
        <w:spacing w:line="440" w:lineRule="exact"/>
        <w:ind w:firstLine="480"/>
        <w:rPr>
          <w:rFonts w:ascii="Times New Roman"/>
          <w:snapToGrid w:val="0"/>
          <w:color w:val="auto"/>
          <w:kern w:val="0"/>
          <w:highlight w:val="none"/>
        </w:rPr>
      </w:pPr>
      <w:r>
        <w:rPr>
          <w:rFonts w:ascii="Times New Roman"/>
          <w:b/>
          <w:bCs/>
          <w:snapToGrid w:val="0"/>
          <w:color w:val="auto"/>
          <w:kern w:val="0"/>
          <w:highlight w:val="none"/>
        </w:rPr>
        <w:t>注：投标人（或造价咨询人）已经工商变更，但其员工的执业资格注册证书的注册单位名称未完成变更的，不得否决其投标。</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（17）投标人委托造价咨询单位编制《投标总价》，但未在《投标总价》封面（即封—3）加盖造价咨询人公章的；未提供造价咨询人的营业执照复印件（或打印件）；</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18）出现两个或两个以上投标总价的（同一个投标总价大、小写不一致的除外）；投标总价超出招标控制价的；绿色施工安全防护措施费少于规定的；暂列金额、暂估价未按照招标工程量清单统一报价的；投标总价下浮率超过15%，又未提供相应书面说明和佐证材料或提供的书面说明和佐证材料不能令人信服，被评标委员会认定以低于成本报价竞标的；擅自修改、增减招标工程量清单项目（包括措施项目）的；</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（19）在施工组织设计评审中，评标委员会认定质量、进度保障措施与国家和省市现行有关规范、规定、标准有重大偏差，</w:t>
      </w:r>
      <w:r>
        <w:rPr>
          <w:rFonts w:ascii="Times New Roman"/>
          <w:b/>
          <w:bCs/>
          <w:snapToGrid w:val="0"/>
          <w:color w:val="auto"/>
          <w:kern w:val="0"/>
          <w:highlight w:val="none"/>
        </w:rPr>
        <w:t>且该种过错将导致工程质量、进度管理目标无法实现的</w:t>
      </w:r>
      <w:r>
        <w:rPr>
          <w:rFonts w:ascii="Times New Roman"/>
          <w:snapToGrid w:val="0"/>
          <w:color w:val="auto"/>
          <w:kern w:val="0"/>
          <w:highlight w:val="none"/>
        </w:rPr>
        <w:t>。</w:t>
      </w:r>
    </w:p>
    <w:p>
      <w:pPr>
        <w:wordWrap w:val="0"/>
        <w:adjustRightInd w:val="0"/>
        <w:snapToGrid w:val="0"/>
        <w:spacing w:line="440" w:lineRule="exact"/>
        <w:ind w:firstLine="480"/>
        <w:rPr>
          <w:rFonts w:ascii="Times New Roman"/>
          <w:snapToGrid w:val="0"/>
          <w:color w:val="auto"/>
          <w:kern w:val="0"/>
          <w:highlight w:val="none"/>
        </w:rPr>
      </w:pPr>
    </w:p>
    <w:p>
      <w:pPr>
        <w:pStyle w:val="5"/>
        <w:wordWrap w:val="0"/>
        <w:snapToGrid w:val="0"/>
        <w:spacing w:line="440" w:lineRule="exact"/>
        <w:ind w:firstLine="480"/>
        <w:jc w:val="both"/>
        <w:rPr>
          <w:rFonts w:ascii="Times New Roman"/>
          <w:b/>
          <w:snapToGrid w:val="0"/>
          <w:color w:val="auto"/>
          <w:highlight w:val="none"/>
        </w:rPr>
      </w:pPr>
      <w:bookmarkStart w:id="74" w:name="_Toc20915"/>
      <w:r>
        <w:rPr>
          <w:rFonts w:ascii="Times New Roman"/>
          <w:b/>
          <w:snapToGrid w:val="0"/>
          <w:color w:val="auto"/>
          <w:highlight w:val="none"/>
        </w:rPr>
        <w:t>4．其他</w:t>
      </w:r>
      <w:bookmarkEnd w:id="74"/>
    </w:p>
    <w:p>
      <w:pPr>
        <w:wordWrap w:val="0"/>
        <w:adjustRightInd w:val="0"/>
        <w:snapToGrid w:val="0"/>
        <w:spacing w:line="440" w:lineRule="exact"/>
        <w:ind w:firstLine="480"/>
        <w:rPr>
          <w:rFonts w:ascii="Times New Roman"/>
          <w:snapToGrid w:val="0"/>
          <w:color w:val="auto"/>
          <w:kern w:val="0"/>
          <w:szCs w:val="22"/>
          <w:highlight w:val="none"/>
        </w:rPr>
      </w:pPr>
      <w:r>
        <w:rPr>
          <w:rFonts w:ascii="Times New Roman"/>
          <w:snapToGrid w:val="0"/>
          <w:color w:val="auto"/>
          <w:kern w:val="0"/>
          <w:highlight w:val="none"/>
        </w:rPr>
        <w:t>在任何评标环节（或阶段），投标人有下列情形之一的，评标委员会应否决其投标。</w:t>
      </w:r>
      <w:r>
        <w:rPr>
          <w:rFonts w:ascii="Times New Roman"/>
          <w:snapToGrid w:val="0"/>
          <w:color w:val="auto"/>
          <w:kern w:val="0"/>
          <w:szCs w:val="22"/>
          <w:highlight w:val="none"/>
        </w:rPr>
        <w:t>被否决的投标人，不进入下一环节（或阶段）。</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（20）不按评标委员会要求澄清、说明或补正的；</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（21）有下列情形之一，被评标委员会认定属于串通投标的：</w:t>
      </w:r>
    </w:p>
    <w:p>
      <w:pPr>
        <w:wordWrap w:val="0"/>
        <w:adjustRightInd w:val="0"/>
        <w:snapToGrid w:val="0"/>
        <w:spacing w:line="440" w:lineRule="exact"/>
        <w:rPr>
          <w:rFonts w:ascii="Times New Roman"/>
          <w:snapToGrid w:val="0"/>
          <w:color w:val="auto"/>
          <w:kern w:val="0"/>
          <w:highlight w:val="none"/>
        </w:rPr>
      </w:pPr>
      <w:r>
        <w:rPr>
          <w:rFonts w:ascii="Times New Roman"/>
          <w:snapToGrid w:val="0"/>
          <w:color w:val="auto"/>
          <w:kern w:val="0"/>
          <w:highlight w:val="none"/>
        </w:rPr>
        <w:t xml:space="preserve">    ①不同投标人的投标文件两处以上（含两处）错、漏一致；</w:t>
      </w:r>
    </w:p>
    <w:p>
      <w:pPr>
        <w:wordWrap w:val="0"/>
        <w:adjustRightInd w:val="0"/>
        <w:snapToGrid w:val="0"/>
        <w:spacing w:line="440" w:lineRule="exact"/>
        <w:rPr>
          <w:rFonts w:ascii="Times New Roman"/>
          <w:snapToGrid w:val="0"/>
          <w:color w:val="auto"/>
          <w:kern w:val="0"/>
          <w:highlight w:val="none"/>
        </w:rPr>
      </w:pPr>
      <w:r>
        <w:rPr>
          <w:rFonts w:ascii="Times New Roman"/>
          <w:snapToGrid w:val="0"/>
          <w:color w:val="auto"/>
          <w:kern w:val="0"/>
          <w:highlight w:val="none"/>
        </w:rPr>
        <w:t xml:space="preserve">    ②不同投标人的投标总价相近且各分项报价、综合单价分析表内容混乱不能相互对应、乱调乱压或乱抬的，而在询标时没有合理的解释或者不能提供计算依据和报价依据；</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③不同投标人的投标各项报价存在异常一致或者呈规律性变化；</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④不同投标人的投标文件由同一单位或者同一个人编制；</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⑤不同投标人的投标文件中投标资料（包括电子资料）相互混装或项目班子成员出现同一人；</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⑥不同投标人的投标文件由同一电脑编制或同一台附属设备打印，或投标报价用同一个</w:t>
      </w:r>
      <w:r>
        <w:rPr>
          <w:rFonts w:hint="eastAsia" w:ascii="Times New Roman"/>
          <w:snapToGrid w:val="0"/>
          <w:color w:val="auto"/>
          <w:kern w:val="0"/>
          <w:highlight w:val="none"/>
          <w:lang w:eastAsia="zh-CN"/>
        </w:rPr>
        <w:t>预算编制</w:t>
      </w:r>
      <w:r>
        <w:rPr>
          <w:rFonts w:ascii="Times New Roman"/>
          <w:snapToGrid w:val="0"/>
          <w:color w:val="auto"/>
          <w:kern w:val="0"/>
          <w:highlight w:val="none"/>
        </w:rPr>
        <w:t>软件密码锁制作或出自同一电子文档；</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⑦不同投标人的投标保证由同一企业或同一账户资金缴纳；</w:t>
      </w:r>
    </w:p>
    <w:p>
      <w:pPr>
        <w:wordWrap w:val="0"/>
        <w:adjustRightInd w:val="0"/>
        <w:snapToGrid w:val="0"/>
        <w:spacing w:line="440" w:lineRule="exact"/>
        <w:ind w:firstLine="480"/>
        <w:rPr>
          <w:rFonts w:ascii="Times New Roman"/>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r>
        <w:rPr>
          <w:rFonts w:ascii="Times New Roman"/>
          <w:snapToGrid w:val="0"/>
          <w:color w:val="auto"/>
          <w:kern w:val="0"/>
          <w:highlight w:val="none"/>
        </w:rPr>
        <w:t>⑧不同投标人委托同一个人或注册在同一家企业的注册人员或同一家企业为其投标提供投标咨询、商务报价、技术咨询（招标项目本身要求采用专有技术的除外）等服务。</w:t>
      </w:r>
      <w:bookmarkEnd w:id="68"/>
    </w:p>
    <w:p>
      <w:pPr>
        <w:pStyle w:val="3"/>
        <w:wordWrap w:val="0"/>
        <w:autoSpaceDE/>
        <w:autoSpaceDN/>
        <w:snapToGrid w:val="0"/>
        <w:spacing w:line="440" w:lineRule="exact"/>
        <w:jc w:val="center"/>
        <w:rPr>
          <w:rFonts w:ascii="Times New Roman"/>
          <w:b/>
          <w:snapToGrid w:val="0"/>
          <w:color w:val="auto"/>
          <w:sz w:val="24"/>
          <w:highlight w:val="none"/>
        </w:rPr>
      </w:pPr>
      <w:bookmarkStart w:id="75" w:name="_Hlt87952408"/>
      <w:bookmarkEnd w:id="75"/>
      <w:bookmarkStart w:id="76" w:name="_Hlt70150994"/>
      <w:bookmarkEnd w:id="76"/>
      <w:bookmarkStart w:id="77" w:name="_Hlt69669771"/>
      <w:bookmarkEnd w:id="77"/>
      <w:bookmarkStart w:id="78" w:name="_Hlt112206772"/>
      <w:bookmarkEnd w:id="78"/>
      <w:bookmarkStart w:id="79" w:name="_Toc25834"/>
      <w:bookmarkStart w:id="80" w:name="_Hlt69698741"/>
      <w:bookmarkStart w:id="81" w:name="_Hlt69698722"/>
      <w:bookmarkStart w:id="82" w:name="_Hlt69698769"/>
      <w:r>
        <w:rPr>
          <w:rFonts w:ascii="Times New Roman"/>
          <w:b/>
          <w:snapToGrid w:val="0"/>
          <w:color w:val="auto"/>
          <w:sz w:val="24"/>
          <w:highlight w:val="none"/>
        </w:rPr>
        <w:t>第</w:t>
      </w:r>
      <w:bookmarkStart w:id="83" w:name="_Hlt69669171"/>
      <w:bookmarkEnd w:id="83"/>
      <w:r>
        <w:rPr>
          <w:rFonts w:ascii="Times New Roman"/>
          <w:b/>
          <w:snapToGrid w:val="0"/>
          <w:color w:val="auto"/>
          <w:sz w:val="24"/>
          <w:highlight w:val="none"/>
        </w:rPr>
        <w:t>二章</w:t>
      </w:r>
      <w:bookmarkStart w:id="84" w:name="_Hlt87793839"/>
      <w:bookmarkEnd w:id="84"/>
      <w:r>
        <w:rPr>
          <w:rFonts w:ascii="Times New Roman"/>
          <w:b/>
          <w:snapToGrid w:val="0"/>
          <w:color w:val="auto"/>
          <w:sz w:val="24"/>
          <w:highlight w:val="none"/>
        </w:rPr>
        <w:t xml:space="preserve"> 中标人须知</w:t>
      </w:r>
      <w:bookmarkEnd w:id="79"/>
    </w:p>
    <w:bookmarkEnd w:id="80"/>
    <w:bookmarkEnd w:id="81"/>
    <w:bookmarkEnd w:id="82"/>
    <w:p>
      <w:pPr>
        <w:wordWrap w:val="0"/>
        <w:adjustRightInd w:val="0"/>
        <w:snapToGrid w:val="0"/>
        <w:spacing w:line="440" w:lineRule="exact"/>
        <w:ind w:firstLine="562"/>
        <w:rPr>
          <w:rFonts w:ascii="Times New Roman"/>
          <w:b/>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85" w:name="_Toc28464"/>
      <w:r>
        <w:rPr>
          <w:rFonts w:ascii="Times New Roman"/>
          <w:b/>
          <w:snapToGrid w:val="0"/>
          <w:color w:val="auto"/>
          <w:highlight w:val="none"/>
        </w:rPr>
        <w:t>1．中标通知书</w:t>
      </w:r>
      <w:bookmarkEnd w:id="85"/>
    </w:p>
    <w:p>
      <w:pPr>
        <w:wordWrap w:val="0"/>
        <w:adjustRightInd w:val="0"/>
        <w:snapToGrid w:val="0"/>
        <w:spacing w:line="440" w:lineRule="exact"/>
        <w:ind w:firstLine="562"/>
        <w:rPr>
          <w:rFonts w:ascii="Times New Roman"/>
          <w:snapToGrid w:val="0"/>
          <w:color w:val="auto"/>
          <w:kern w:val="0"/>
          <w:highlight w:val="none"/>
        </w:rPr>
      </w:pPr>
      <w:r>
        <w:rPr>
          <w:rFonts w:ascii="Times New Roman"/>
          <w:snapToGrid w:val="0"/>
          <w:color w:val="auto"/>
          <w:kern w:val="0"/>
          <w:highlight w:val="none"/>
        </w:rPr>
        <w:t>招标人确定第一中标候选人为中标人，并在中标人确定之日起7日内向中标人发出中标通知书，中标人必须按</w:t>
      </w:r>
      <w:r>
        <w:rPr>
          <w:rFonts w:hint="eastAsia" w:ascii="Times New Roman"/>
          <w:snapToGrid w:val="0"/>
          <w:color w:val="auto"/>
          <w:kern w:val="0"/>
          <w:highlight w:val="none"/>
          <w:lang w:eastAsia="zh-CN"/>
        </w:rPr>
        <w:t>韶关市公共资源交易中心</w:t>
      </w:r>
      <w:r>
        <w:rPr>
          <w:rFonts w:ascii="Times New Roman"/>
          <w:snapToGrid w:val="0"/>
          <w:color w:val="auto"/>
          <w:kern w:val="0"/>
          <w:highlight w:val="none"/>
        </w:rPr>
        <w:t>的规定办理相关手续后方可领取。中标通知书对招标人和中标人均具有法律约束力。中标通知书发出后，招标人改变中标结果和中标人放弃中标的，应当承担法律责任。</w:t>
      </w:r>
    </w:p>
    <w:p>
      <w:pPr>
        <w:wordWrap w:val="0"/>
        <w:adjustRightInd w:val="0"/>
        <w:snapToGrid w:val="0"/>
        <w:spacing w:line="440" w:lineRule="exact"/>
        <w:ind w:firstLine="562"/>
        <w:rPr>
          <w:rFonts w:ascii="Times New Roman"/>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86" w:name="_Toc31501"/>
      <w:r>
        <w:rPr>
          <w:rFonts w:ascii="Times New Roman"/>
          <w:b/>
          <w:snapToGrid w:val="0"/>
          <w:color w:val="auto"/>
          <w:highlight w:val="none"/>
        </w:rPr>
        <w:t>2．中标结果公示</w:t>
      </w:r>
      <w:bookmarkEnd w:id="86"/>
    </w:p>
    <w:p>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中标通知书发出后15日内，招标人应将中标结果在广东省招标投标监管网（http://zbtb.gd.gov.cn）及广东省公共资源交易平台（韶关市）（https://ygp.gdzwfw.gov.cn/ggzy-portal/#/440200/index）或韶关市公共资源交易一体化平台(http://portal.ythpt.sg.gov.cn)进行公示。</w:t>
      </w:r>
    </w:p>
    <w:p>
      <w:pPr>
        <w:pStyle w:val="4"/>
        <w:wordWrap w:val="0"/>
        <w:autoSpaceDE/>
        <w:autoSpaceDN/>
        <w:snapToGrid w:val="0"/>
        <w:spacing w:line="440" w:lineRule="exact"/>
        <w:ind w:firstLine="480"/>
        <w:jc w:val="both"/>
        <w:rPr>
          <w:rFonts w:ascii="Times New Roman"/>
          <w:b/>
          <w:snapToGrid w:val="0"/>
          <w:color w:val="auto"/>
          <w:highlight w:val="none"/>
        </w:rPr>
      </w:pPr>
      <w:bookmarkStart w:id="87" w:name="_Toc13336"/>
      <w:r>
        <w:rPr>
          <w:rFonts w:ascii="Times New Roman"/>
          <w:b/>
          <w:snapToGrid w:val="0"/>
          <w:color w:val="auto"/>
          <w:highlight w:val="none"/>
        </w:rPr>
        <w:t>3．履约保证</w:t>
      </w:r>
      <w:bookmarkEnd w:id="87"/>
    </w:p>
    <w:p>
      <w:pPr>
        <w:wordWrap w:val="0"/>
        <w:adjustRightInd w:val="0"/>
        <w:snapToGrid w:val="0"/>
        <w:spacing w:line="440" w:lineRule="exact"/>
        <w:ind w:firstLine="562"/>
        <w:rPr>
          <w:rFonts w:ascii="Times New Roman"/>
          <w:snapToGrid w:val="0"/>
          <w:color w:val="auto"/>
          <w:kern w:val="0"/>
          <w:highlight w:val="none"/>
        </w:rPr>
      </w:pPr>
      <w:r>
        <w:rPr>
          <w:rFonts w:ascii="Times New Roman"/>
          <w:b/>
          <w:bCs/>
          <w:snapToGrid w:val="0"/>
          <w:color w:val="auto"/>
          <w:kern w:val="0"/>
          <w:highlight w:val="none"/>
        </w:rPr>
        <w:t>3.1</w:t>
      </w:r>
      <w:r>
        <w:rPr>
          <w:rFonts w:ascii="Times New Roman"/>
          <w:snapToGrid w:val="0"/>
          <w:color w:val="auto"/>
          <w:kern w:val="0"/>
          <w:highlight w:val="none"/>
        </w:rPr>
        <w:t xml:space="preserve"> 中标人须在领取中标通知书之日起</w:t>
      </w:r>
      <w:r>
        <w:rPr>
          <w:rFonts w:ascii="Times New Roman"/>
          <w:snapToGrid w:val="0"/>
          <w:color w:val="auto"/>
          <w:kern w:val="0"/>
          <w:highlight w:val="none"/>
          <w:u w:val="single"/>
        </w:rPr>
        <w:t>5</w:t>
      </w:r>
      <w:r>
        <w:rPr>
          <w:rFonts w:ascii="Times New Roman"/>
          <w:snapToGrid w:val="0"/>
          <w:color w:val="auto"/>
          <w:kern w:val="0"/>
          <w:highlight w:val="none"/>
        </w:rPr>
        <w:t>个工作日内、签订合同前向招标人提交金额为中标价</w:t>
      </w:r>
      <w:r>
        <w:rPr>
          <w:rFonts w:ascii="Times New Roman"/>
          <w:snapToGrid w:val="0"/>
          <w:color w:val="auto"/>
          <w:kern w:val="0"/>
          <w:highlight w:val="none"/>
          <w:u w:val="single"/>
        </w:rPr>
        <w:t xml:space="preserve"> 5 </w:t>
      </w:r>
      <w:r>
        <w:rPr>
          <w:rFonts w:ascii="Times New Roman"/>
          <w:snapToGrid w:val="0"/>
          <w:color w:val="auto"/>
          <w:kern w:val="0"/>
          <w:highlight w:val="none"/>
        </w:rPr>
        <w:t>% 的履约保证。联合体中标的，由联合体牵头人提交。</w:t>
      </w:r>
    </w:p>
    <w:p>
      <w:pPr>
        <w:wordWrap w:val="0"/>
        <w:adjustRightInd w:val="0"/>
        <w:snapToGrid w:val="0"/>
        <w:spacing w:line="440" w:lineRule="exact"/>
        <w:ind w:firstLine="562"/>
        <w:rPr>
          <w:rFonts w:ascii="Times New Roman"/>
          <w:snapToGrid w:val="0"/>
          <w:color w:val="auto"/>
          <w:kern w:val="0"/>
          <w:highlight w:val="none"/>
        </w:rPr>
      </w:pPr>
      <w:r>
        <w:rPr>
          <w:rFonts w:ascii="Times New Roman"/>
          <w:b/>
          <w:bCs/>
          <w:snapToGrid w:val="0"/>
          <w:color w:val="auto"/>
          <w:kern w:val="0"/>
          <w:highlight w:val="none"/>
        </w:rPr>
        <w:t>3.2</w:t>
      </w:r>
      <w:r>
        <w:rPr>
          <w:rFonts w:ascii="Times New Roman"/>
          <w:snapToGrid w:val="0"/>
          <w:color w:val="auto"/>
          <w:kern w:val="0"/>
          <w:highlight w:val="none"/>
        </w:rPr>
        <w:t xml:space="preserve"> 履约保证的形式包括履约保证金、履约保证担保、履约保证保险三种，由中标人自主选择。</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（1）采用履约保证金的，中标人须从其法人开户银行的账号将履约保证金划至招标人账户，并详细注明项目名称及用途。</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（2）采用履约保证担保</w:t>
      </w:r>
      <w:r>
        <w:rPr>
          <w:rFonts w:hAnsi="宋体" w:cs="宋体"/>
          <w:color w:val="auto"/>
          <w:highlight w:val="none"/>
        </w:rPr>
        <w:t>（保函格式</w:t>
      </w:r>
      <w:r>
        <w:rPr>
          <w:rFonts w:ascii="Times New Roman"/>
          <w:snapToGrid w:val="0"/>
          <w:color w:val="auto"/>
          <w:kern w:val="0"/>
          <w:highlight w:val="none"/>
        </w:rPr>
        <w:t>按《住房和城乡建设部关于印发工程保函示范文本的通知》（建市〔2021〕11号）执行</w:t>
      </w:r>
      <w:r>
        <w:rPr>
          <w:rFonts w:hAnsi="宋体" w:cs="宋体"/>
          <w:color w:val="auto"/>
          <w:highlight w:val="none"/>
        </w:rPr>
        <w:t>）</w:t>
      </w:r>
      <w:r>
        <w:rPr>
          <w:rFonts w:ascii="Times New Roman"/>
          <w:snapToGrid w:val="0"/>
          <w:color w:val="auto"/>
          <w:kern w:val="0"/>
          <w:highlight w:val="none"/>
        </w:rPr>
        <w:t>或履约保证保险的，中标人应提交有效的银行保函或保险合同（或保险单）原件，银行保函或保险合同（或保险单）的有效期应当自合同生效之日起至项目通过竣工验收之日后28天止。如果中标人无法获得具体截止日期，银行保函或保险合同（或保险单）中应当有“变更项目竣工日期的，保证期间按照变更后的竣工日期做相应调整”或类似约定的条款。</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3.3</w:t>
      </w:r>
      <w:r>
        <w:rPr>
          <w:rFonts w:ascii="Times New Roman"/>
          <w:snapToGrid w:val="0"/>
          <w:color w:val="auto"/>
          <w:kern w:val="0"/>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如中标人未及时主动办理续期手续或提交新的银行保函或保险合同，招标人有权扣留与履约保证金等额的施工进度款，直至中标人完成续期手续或提交新的银行保函或保险合同止。</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3.4</w:t>
      </w:r>
      <w:r>
        <w:rPr>
          <w:rFonts w:ascii="Times New Roman"/>
          <w:snapToGrid w:val="0"/>
          <w:color w:val="auto"/>
          <w:kern w:val="0"/>
          <w:highlight w:val="none"/>
        </w:rPr>
        <w:t xml:space="preserve"> 在工程实施过程中，如果承包人（即招标阶段的中标人，下同）由于自身的资金、技术、质量、非不可抗力等原因给发包人（即招标阶段的招标人，下同）造成经济损失，发包人有权扣划相应金额的履约保证。</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3.5</w:t>
      </w:r>
      <w:r>
        <w:rPr>
          <w:rFonts w:ascii="Times New Roman"/>
          <w:snapToGrid w:val="0"/>
          <w:color w:val="auto"/>
          <w:kern w:val="0"/>
          <w:highlight w:val="none"/>
        </w:rPr>
        <w:t xml:space="preserve"> 项目通过竣工验收之日后28天内，发包人将履约保证退还给承包人。</w:t>
      </w:r>
    </w:p>
    <w:p>
      <w:pPr>
        <w:wordWrap w:val="0"/>
        <w:adjustRightInd w:val="0"/>
        <w:snapToGrid w:val="0"/>
        <w:spacing w:line="440" w:lineRule="exact"/>
        <w:ind w:firstLine="480" w:firstLineChars="200"/>
        <w:rPr>
          <w:rFonts w:ascii="Times New Roman"/>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88" w:name="_Toc7426"/>
      <w:r>
        <w:rPr>
          <w:rFonts w:ascii="Times New Roman"/>
          <w:b/>
          <w:snapToGrid w:val="0"/>
          <w:color w:val="auto"/>
          <w:highlight w:val="none"/>
        </w:rPr>
        <w:t>4．合同订立</w:t>
      </w:r>
      <w:bookmarkEnd w:id="88"/>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4.1</w:t>
      </w:r>
      <w:r>
        <w:rPr>
          <w:rFonts w:ascii="Times New Roman"/>
          <w:snapToGrid w:val="0"/>
          <w:color w:val="auto"/>
          <w:kern w:val="0"/>
          <w:highlight w:val="none"/>
        </w:rPr>
        <w:t xml:space="preserve"> 招标人应当自中标通知书发出之日起</w:t>
      </w:r>
      <w:r>
        <w:rPr>
          <w:rFonts w:ascii="Times New Roman"/>
          <w:snapToGrid w:val="0"/>
          <w:color w:val="auto"/>
          <w:kern w:val="0"/>
          <w:highlight w:val="none"/>
          <w:u w:val="single"/>
        </w:rPr>
        <w:t xml:space="preserve"> 30 </w:t>
      </w:r>
      <w:r>
        <w:rPr>
          <w:rFonts w:ascii="Times New Roman"/>
          <w:snapToGrid w:val="0"/>
          <w:color w:val="auto"/>
          <w:kern w:val="0"/>
          <w:highlight w:val="none"/>
        </w:rPr>
        <w:t>日内，按照招标文件、中标人的投标文件与中标人订立书面合同。</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4.2</w:t>
      </w:r>
      <w:r>
        <w:rPr>
          <w:rFonts w:ascii="Times New Roman"/>
          <w:snapToGrid w:val="0"/>
          <w:color w:val="auto"/>
          <w:kern w:val="0"/>
          <w:highlight w:val="none"/>
        </w:rPr>
        <w:t xml:space="preserve"> 不正常报价的梳理和确认</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4.2.1</w:t>
      </w:r>
      <w:r>
        <w:rPr>
          <w:rFonts w:ascii="Times New Roman"/>
          <w:snapToGrid w:val="0"/>
          <w:color w:val="auto"/>
          <w:kern w:val="0"/>
          <w:highlight w:val="none"/>
        </w:rPr>
        <w:t xml:space="preserve"> </w:t>
      </w:r>
      <w:r>
        <w:rPr>
          <w:rFonts w:ascii="Times New Roman"/>
          <w:b/>
          <w:bCs/>
          <w:snapToGrid w:val="0"/>
          <w:color w:val="auto"/>
          <w:kern w:val="0"/>
          <w:highlight w:val="none"/>
        </w:rPr>
        <w:t>合同订立期间，招标人应对中标人的投标报价进行全面分析和整理，从而发现并提取其中可能存在的算术性错误、错漏项、不平衡报价等不正常报价，并修正其中的算术性错误。</w:t>
      </w:r>
      <w:r>
        <w:rPr>
          <w:rFonts w:ascii="Times New Roman"/>
          <w:snapToGrid w:val="0"/>
          <w:color w:val="auto"/>
          <w:kern w:val="0"/>
          <w:highlight w:val="none"/>
        </w:rPr>
        <w:t>招标人不具备以上能力的，可授权编制本项目招标控制价的造价咨询单位实施。</w:t>
      </w:r>
    </w:p>
    <w:p>
      <w:pPr>
        <w:wordWrap w:val="0"/>
        <w:adjustRightInd w:val="0"/>
        <w:snapToGrid w:val="0"/>
        <w:spacing w:line="440" w:lineRule="exact"/>
        <w:ind w:firstLine="480"/>
        <w:rPr>
          <w:rFonts w:ascii="Times New Roman"/>
          <w:snapToGrid w:val="0"/>
          <w:color w:val="auto"/>
          <w:kern w:val="0"/>
          <w:highlight w:val="none"/>
        </w:rPr>
      </w:pPr>
      <w:r>
        <w:rPr>
          <w:rFonts w:ascii="Times New Roman"/>
          <w:b/>
          <w:bCs/>
          <w:snapToGrid w:val="0"/>
          <w:color w:val="auto"/>
          <w:kern w:val="0"/>
          <w:highlight w:val="none"/>
        </w:rPr>
        <w:t>4.2.2</w:t>
      </w:r>
      <w:r>
        <w:rPr>
          <w:rFonts w:ascii="Times New Roman"/>
          <w:snapToGrid w:val="0"/>
          <w:color w:val="auto"/>
          <w:kern w:val="0"/>
          <w:highlight w:val="none"/>
        </w:rPr>
        <w:t xml:space="preserve"> 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4.2.3</w:t>
      </w:r>
      <w:r>
        <w:rPr>
          <w:rFonts w:ascii="Times New Roman"/>
          <w:snapToGrid w:val="0"/>
          <w:color w:val="auto"/>
          <w:kern w:val="0"/>
          <w:highlight w:val="none"/>
        </w:rPr>
        <w:t xml:space="preserve"> 错漏项的认定。中标人已标价工程量清单中，任一清单项目未填报价格或价格为零的，视为错漏项。</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4.2.4</w:t>
      </w:r>
      <w:r>
        <w:rPr>
          <w:rFonts w:ascii="Times New Roman"/>
          <w:snapToGrid w:val="0"/>
          <w:color w:val="auto"/>
          <w:kern w:val="0"/>
          <w:highlight w:val="none"/>
        </w:rPr>
        <w:t xml:space="preserve"> 不平衡报价的认定。经修正算术性错误后的中标人已标价工程量清单中，</w:t>
      </w:r>
      <w:r>
        <w:rPr>
          <w:rFonts w:ascii="Times New Roman"/>
          <w:snapToGrid w:val="0"/>
          <w:color w:val="auto"/>
          <w:kern w:val="0"/>
          <w:highlight w:val="none"/>
          <w:u w:val="single"/>
        </w:rPr>
        <w:t>分部分项工程量清单项目的投标综合单价与招标控制价分部分项工程量清单项目的综合单价偏差≥20%的清单项目，视为不平衡报价项目。</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4.2.5</w:t>
      </w:r>
      <w:r>
        <w:rPr>
          <w:rFonts w:ascii="Times New Roman"/>
          <w:snapToGrid w:val="0"/>
          <w:color w:val="auto"/>
          <w:kern w:val="0"/>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4.2.6</w:t>
      </w:r>
      <w:r>
        <w:rPr>
          <w:rFonts w:ascii="Times New Roman"/>
          <w:snapToGrid w:val="0"/>
          <w:color w:val="auto"/>
          <w:kern w:val="0"/>
          <w:highlight w:val="none"/>
        </w:rPr>
        <w:t xml:space="preserve"> </w:t>
      </w:r>
      <w:r>
        <w:rPr>
          <w:rFonts w:ascii="Times New Roman"/>
          <w:b/>
          <w:bCs/>
          <w:snapToGrid w:val="0"/>
          <w:color w:val="auto"/>
          <w:kern w:val="0"/>
          <w:highlight w:val="none"/>
        </w:rPr>
        <w:t>合同履行过程中，被认定为错漏项的清单项目，结算时按照第三章“拟签订合同的主要条款”第2.6条规定处理。</w:t>
      </w:r>
    </w:p>
    <w:p>
      <w:pPr>
        <w:wordWrap w:val="0"/>
        <w:adjustRightInd w:val="0"/>
        <w:snapToGrid w:val="0"/>
        <w:spacing w:line="440" w:lineRule="exact"/>
        <w:ind w:firstLine="482" w:firstLineChars="200"/>
        <w:rPr>
          <w:rFonts w:ascii="Times New Roman"/>
          <w:b/>
          <w:bCs/>
          <w:snapToGrid w:val="0"/>
          <w:color w:val="auto"/>
          <w:kern w:val="0"/>
          <w:highlight w:val="none"/>
        </w:rPr>
      </w:pPr>
      <w:r>
        <w:rPr>
          <w:rFonts w:ascii="Times New Roman"/>
          <w:b/>
          <w:bCs/>
          <w:snapToGrid w:val="0"/>
          <w:color w:val="auto"/>
          <w:kern w:val="0"/>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第2.3条的有关规定调整合同价款。</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 xml:space="preserve">4.3 </w:t>
      </w:r>
      <w:r>
        <w:rPr>
          <w:rFonts w:ascii="Times New Roman"/>
          <w:snapToGrid w:val="0"/>
          <w:color w:val="auto"/>
          <w:kern w:val="0"/>
          <w:highlight w:val="none"/>
        </w:rPr>
        <w:t>本招标项目合同计价方式为：</w:t>
      </w:r>
      <w:r>
        <w:rPr>
          <w:rFonts w:ascii="Times New Roman"/>
          <w:snapToGrid w:val="0"/>
          <w:color w:val="auto"/>
          <w:kern w:val="0"/>
          <w:highlight w:val="none"/>
          <w:u w:val="single"/>
        </w:rPr>
        <w:t xml:space="preserve"> 单价 </w:t>
      </w:r>
      <w:r>
        <w:rPr>
          <w:rFonts w:ascii="Times New Roman"/>
          <w:snapToGrid w:val="0"/>
          <w:color w:val="auto"/>
          <w:kern w:val="0"/>
          <w:highlight w:val="none"/>
        </w:rPr>
        <w:t>合同。</w:t>
      </w:r>
    </w:p>
    <w:p>
      <w:pPr>
        <w:wordWrap w:val="0"/>
        <w:adjustRightInd w:val="0"/>
        <w:snapToGrid w:val="0"/>
        <w:spacing w:line="440" w:lineRule="exact"/>
        <w:ind w:firstLine="482" w:firstLineChars="200"/>
        <w:rPr>
          <w:rFonts w:ascii="Times New Roman"/>
          <w:strike/>
          <w:snapToGrid w:val="0"/>
          <w:color w:val="auto"/>
          <w:kern w:val="0"/>
          <w:highlight w:val="none"/>
        </w:rPr>
      </w:pPr>
      <w:r>
        <w:rPr>
          <w:rFonts w:ascii="Times New Roman"/>
          <w:b/>
          <w:bCs/>
          <w:snapToGrid w:val="0"/>
          <w:color w:val="auto"/>
          <w:kern w:val="0"/>
          <w:highlight w:val="none"/>
        </w:rPr>
        <w:t>4.4</w:t>
      </w:r>
      <w:r>
        <w:rPr>
          <w:rFonts w:ascii="Times New Roman"/>
          <w:snapToGrid w:val="0"/>
          <w:color w:val="auto"/>
          <w:kern w:val="0"/>
          <w:highlight w:val="none"/>
        </w:rPr>
        <w:t xml:space="preserve"> 合同的标的、质量、履行期限条款和合同的价款、单价、比例条款等主要条款，应当与招标文件、中标人的投标文件的内容一致。中标人在签订合同时不得向招标人提出附加条件。</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4.5</w:t>
      </w:r>
      <w:r>
        <w:rPr>
          <w:rFonts w:ascii="Times New Roman"/>
          <w:snapToGrid w:val="0"/>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pPr>
        <w:wordWrap w:val="0"/>
        <w:adjustRightInd w:val="0"/>
        <w:snapToGrid w:val="0"/>
        <w:spacing w:line="440" w:lineRule="exact"/>
        <w:ind w:firstLine="482" w:firstLineChars="200"/>
        <w:rPr>
          <w:color w:val="auto"/>
          <w:highlight w:val="none"/>
        </w:rPr>
      </w:pPr>
      <w:r>
        <w:rPr>
          <w:rFonts w:ascii="Times New Roman"/>
          <w:b/>
          <w:bCs/>
          <w:snapToGrid w:val="0"/>
          <w:color w:val="auto"/>
          <w:kern w:val="0"/>
          <w:highlight w:val="none"/>
        </w:rPr>
        <w:t>4.6</w:t>
      </w:r>
      <w:r>
        <w:rPr>
          <w:rFonts w:ascii="Times New Roman"/>
          <w:snapToGrid w:val="0"/>
          <w:color w:val="auto"/>
          <w:kern w:val="0"/>
          <w:highlight w:val="none"/>
        </w:rPr>
        <w:t xml:space="preserve"> 在书面合同订立之日起2个工作日内，由中标人将合同上传至建设工程交易系统，并发起退还投标保证的申请。</w:t>
      </w:r>
      <w:r>
        <w:rPr>
          <w:rFonts w:hint="eastAsia" w:ascii="Times New Roman"/>
          <w:snapToGrid w:val="0"/>
          <w:color w:val="auto"/>
          <w:kern w:val="0"/>
          <w:highlight w:val="none"/>
          <w:lang w:eastAsia="zh-CN"/>
        </w:rPr>
        <w:t>韶关市公共资源交易中心</w:t>
      </w:r>
      <w:r>
        <w:rPr>
          <w:rFonts w:ascii="Times New Roman"/>
          <w:snapToGrid w:val="0"/>
          <w:color w:val="auto"/>
          <w:kern w:val="0"/>
          <w:highlight w:val="none"/>
        </w:rPr>
        <w:t>在收到申请之日起3个工作日内，将投标保证金（或银行保函）退还给中标人和其他中标候选人。</w:t>
      </w:r>
    </w:p>
    <w:p>
      <w:pPr>
        <w:pStyle w:val="7"/>
        <w:rPr>
          <w:color w:val="auto"/>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89" w:name="_Toc26708"/>
      <w:r>
        <w:rPr>
          <w:rFonts w:ascii="Times New Roman"/>
          <w:b/>
          <w:snapToGrid w:val="0"/>
          <w:color w:val="auto"/>
          <w:highlight w:val="none"/>
        </w:rPr>
        <w:t>5．放弃中标的处理</w:t>
      </w:r>
      <w:bookmarkEnd w:id="89"/>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5.1</w:t>
      </w:r>
      <w:r>
        <w:rPr>
          <w:rFonts w:ascii="Times New Roman"/>
          <w:snapToGrid w:val="0"/>
          <w:color w:val="auto"/>
          <w:kern w:val="0"/>
          <w:highlight w:val="none"/>
        </w:rPr>
        <w:t xml:space="preserve"> 中标人</w:t>
      </w:r>
      <w:r>
        <w:rPr>
          <w:snapToGrid w:val="0"/>
          <w:color w:val="auto"/>
          <w:highlight w:val="none"/>
        </w:rPr>
        <w:t>无正当理由放弃中标的，</w:t>
      </w:r>
      <w:r>
        <w:rPr>
          <w:rFonts w:ascii="Times New Roman"/>
          <w:snapToGrid w:val="0"/>
          <w:color w:val="auto"/>
          <w:kern w:val="0"/>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ascii="Times New Roman"/>
          <w:bCs/>
          <w:snapToGrid w:val="0"/>
          <w:color w:val="auto"/>
          <w:kern w:val="0"/>
          <w:highlight w:val="none"/>
        </w:rPr>
        <w:t>因此种情况造成招标人重新招标的</w:t>
      </w:r>
      <w:r>
        <w:rPr>
          <w:rFonts w:ascii="Times New Roman"/>
          <w:snapToGrid w:val="0"/>
          <w:color w:val="auto"/>
          <w:kern w:val="0"/>
          <w:highlight w:val="none"/>
        </w:rPr>
        <w:t>，招标人可不接受该弃标人再次投标。同时，招标人应将该弃标人的失信行为向行政监督部门报告。</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5.2</w:t>
      </w:r>
      <w:r>
        <w:rPr>
          <w:rFonts w:ascii="Times New Roman"/>
          <w:snapToGrid w:val="0"/>
          <w:color w:val="auto"/>
          <w:kern w:val="0"/>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pPr>
        <w:wordWrap w:val="0"/>
        <w:adjustRightInd w:val="0"/>
        <w:snapToGrid w:val="0"/>
        <w:spacing w:line="440" w:lineRule="exact"/>
        <w:ind w:firstLine="480" w:firstLineChars="200"/>
        <w:rPr>
          <w:rFonts w:ascii="Times New Roman"/>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90" w:name="_Toc28062"/>
      <w:r>
        <w:rPr>
          <w:rFonts w:ascii="Times New Roman"/>
          <w:b/>
          <w:snapToGrid w:val="0"/>
          <w:color w:val="auto"/>
          <w:highlight w:val="none"/>
        </w:rPr>
        <w:t>6．专业工程分包</w:t>
      </w:r>
      <w:bookmarkEnd w:id="90"/>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pPr>
        <w:wordWrap w:val="0"/>
        <w:adjustRightInd w:val="0"/>
        <w:snapToGrid w:val="0"/>
        <w:spacing w:line="440" w:lineRule="exact"/>
        <w:ind w:firstLine="480" w:firstLineChars="200"/>
        <w:rPr>
          <w:rFonts w:ascii="Times New Roman"/>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91" w:name="_Toc31662"/>
      <w:r>
        <w:rPr>
          <w:rFonts w:ascii="Times New Roman"/>
          <w:b/>
          <w:snapToGrid w:val="0"/>
          <w:color w:val="auto"/>
          <w:highlight w:val="none"/>
        </w:rPr>
        <w:t>7．工人工资支付专用账户</w:t>
      </w:r>
      <w:bookmarkEnd w:id="91"/>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7.1</w:t>
      </w:r>
      <w:r>
        <w:rPr>
          <w:rFonts w:ascii="Times New Roman"/>
          <w:snapToGrid w:val="0"/>
          <w:color w:val="auto"/>
          <w:kern w:val="0"/>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7.2</w:t>
      </w:r>
      <w:r>
        <w:rPr>
          <w:rFonts w:ascii="Times New Roman"/>
          <w:snapToGrid w:val="0"/>
          <w:color w:val="auto"/>
          <w:kern w:val="0"/>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7.3</w:t>
      </w:r>
      <w:r>
        <w:rPr>
          <w:rFonts w:ascii="Times New Roman"/>
          <w:snapToGrid w:val="0"/>
          <w:color w:val="auto"/>
          <w:kern w:val="0"/>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pPr>
        <w:wordWrap w:val="0"/>
        <w:adjustRightInd w:val="0"/>
        <w:snapToGrid w:val="0"/>
        <w:spacing w:line="440" w:lineRule="exact"/>
        <w:ind w:firstLine="480" w:firstLineChars="200"/>
        <w:rPr>
          <w:rFonts w:ascii="Times New Roman"/>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92" w:name="_Toc15527"/>
      <w:r>
        <w:rPr>
          <w:rFonts w:ascii="Times New Roman"/>
          <w:b/>
          <w:snapToGrid w:val="0"/>
          <w:color w:val="auto"/>
          <w:highlight w:val="none"/>
        </w:rPr>
        <w:t>8．诚信登记</w:t>
      </w:r>
      <w:bookmarkEnd w:id="92"/>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承包人在签订合同30日内，须按《韶关市住建管理局关于加强我市建筑行业企业及注册执业人员诚信管理的通知》（韶市建字〔2018）56号）的要求办理诚信登记，纳入诚信管理范围。</w:t>
      </w:r>
    </w:p>
    <w:p>
      <w:pPr>
        <w:wordWrap w:val="0"/>
        <w:adjustRightInd w:val="0"/>
        <w:snapToGrid w:val="0"/>
        <w:spacing w:line="440" w:lineRule="exact"/>
        <w:ind w:firstLine="480" w:firstLineChars="200"/>
        <w:rPr>
          <w:rFonts w:ascii="Times New Roman"/>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93" w:name="_Toc10607"/>
      <w:r>
        <w:rPr>
          <w:rFonts w:ascii="Times New Roman"/>
          <w:b/>
          <w:snapToGrid w:val="0"/>
          <w:color w:val="auto"/>
          <w:highlight w:val="none"/>
        </w:rPr>
        <w:t>9．工期进度</w:t>
      </w:r>
      <w:bookmarkEnd w:id="93"/>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9.1</w:t>
      </w:r>
      <w:r>
        <w:rPr>
          <w:rFonts w:ascii="Times New Roman"/>
          <w:snapToGrid w:val="0"/>
          <w:color w:val="auto"/>
          <w:kern w:val="0"/>
          <w:highlight w:val="none"/>
        </w:rPr>
        <w:t xml:space="preserve"> </w:t>
      </w:r>
      <w:r>
        <w:rPr>
          <w:rFonts w:ascii="Times New Roman"/>
          <w:bCs/>
          <w:snapToGrid w:val="0"/>
          <w:color w:val="auto"/>
          <w:kern w:val="0"/>
          <w:szCs w:val="24"/>
          <w:highlight w:val="none"/>
        </w:rPr>
        <w:t>本招标项目施工招标工期为</w:t>
      </w:r>
      <w:r>
        <w:rPr>
          <w:rFonts w:hint="eastAsia" w:ascii="Times New Roman"/>
          <w:bCs/>
          <w:snapToGrid w:val="0"/>
          <w:color w:val="auto"/>
          <w:kern w:val="0"/>
          <w:szCs w:val="24"/>
          <w:highlight w:val="none"/>
          <w:lang w:val="en-US" w:eastAsia="zh-CN"/>
        </w:rPr>
        <w:t>180日历天</w:t>
      </w:r>
      <w:r>
        <w:rPr>
          <w:rFonts w:ascii="Times New Roman"/>
          <w:bCs/>
          <w:snapToGrid w:val="0"/>
          <w:color w:val="auto"/>
          <w:kern w:val="0"/>
          <w:szCs w:val="24"/>
          <w:highlight w:val="none"/>
        </w:rPr>
        <w:t>，</w:t>
      </w:r>
      <w:r>
        <w:rPr>
          <w:rFonts w:ascii="Times New Roman"/>
          <w:snapToGrid w:val="0"/>
          <w:color w:val="auto"/>
          <w:kern w:val="0"/>
          <w:highlight w:val="none"/>
        </w:rPr>
        <w:t>承包人必须在招标工期内完成招标范围内的全部内容。</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9.2</w:t>
      </w:r>
      <w:r>
        <w:rPr>
          <w:rFonts w:ascii="Times New Roman"/>
          <w:snapToGrid w:val="0"/>
          <w:color w:val="auto"/>
          <w:kern w:val="0"/>
          <w:highlight w:val="none"/>
        </w:rPr>
        <w:t xml:space="preserve"> 施工工期从承包人收到监理单位签发的开工令之日起计，至竣工验收合格之日止。</w:t>
      </w:r>
    </w:p>
    <w:p>
      <w:pPr>
        <w:rPr>
          <w:color w:val="auto"/>
          <w:highlight w:val="none"/>
        </w:rPr>
      </w:pPr>
    </w:p>
    <w:p>
      <w:pPr>
        <w:pStyle w:val="4"/>
        <w:wordWrap w:val="0"/>
        <w:autoSpaceDE/>
        <w:autoSpaceDN/>
        <w:snapToGrid w:val="0"/>
        <w:spacing w:line="440" w:lineRule="exact"/>
        <w:ind w:firstLine="480"/>
        <w:jc w:val="both"/>
        <w:rPr>
          <w:rFonts w:ascii="Times New Roman"/>
          <w:snapToGrid w:val="0"/>
          <w:color w:val="auto"/>
          <w:highlight w:val="none"/>
        </w:rPr>
      </w:pPr>
      <w:bookmarkStart w:id="94" w:name="_Toc16501"/>
      <w:r>
        <w:rPr>
          <w:rFonts w:ascii="Times New Roman"/>
          <w:b/>
          <w:snapToGrid w:val="0"/>
          <w:color w:val="auto"/>
          <w:highlight w:val="none"/>
        </w:rPr>
        <w:t>10．项目管理机构</w:t>
      </w:r>
      <w:bookmarkEnd w:id="94"/>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10.1</w:t>
      </w:r>
      <w:r>
        <w:rPr>
          <w:rFonts w:ascii="Times New Roman"/>
          <w:snapToGrid w:val="0"/>
          <w:color w:val="auto"/>
          <w:kern w:val="0"/>
          <w:highlight w:val="none"/>
        </w:rPr>
        <w:t xml:space="preserve"> 承包人派驻的项目管理班子成员必须为其投标文件确定的人员，否则发包人有权终止合同。</w:t>
      </w:r>
    </w:p>
    <w:p>
      <w:pPr>
        <w:wordWrap w:val="0"/>
        <w:adjustRightInd w:val="0"/>
        <w:snapToGrid w:val="0"/>
        <w:spacing w:line="440" w:lineRule="exact"/>
        <w:ind w:firstLine="560"/>
        <w:rPr>
          <w:rFonts w:hint="eastAsia" w:ascii="Times New Roman" w:eastAsia="宋体"/>
          <w:snapToGrid w:val="0"/>
          <w:color w:val="auto"/>
          <w:kern w:val="0"/>
          <w:highlight w:val="none"/>
          <w:lang w:eastAsia="zh-CN"/>
        </w:rPr>
      </w:pPr>
      <w:r>
        <w:rPr>
          <w:rFonts w:ascii="Times New Roman"/>
          <w:b/>
          <w:bCs/>
          <w:snapToGrid w:val="0"/>
          <w:color w:val="auto"/>
          <w:kern w:val="0"/>
          <w:highlight w:val="none"/>
        </w:rPr>
        <w:t>10.2</w:t>
      </w:r>
      <w:r>
        <w:rPr>
          <w:rFonts w:ascii="Times New Roman"/>
          <w:snapToGrid w:val="0"/>
          <w:color w:val="auto"/>
          <w:kern w:val="0"/>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pPr>
        <w:pStyle w:val="2"/>
        <w:rPr>
          <w:rFonts w:hint="eastAsia"/>
          <w:lang w:eastAsia="zh-CN"/>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95" w:name="_Toc24052"/>
      <w:r>
        <w:rPr>
          <w:rFonts w:ascii="Times New Roman"/>
          <w:b/>
          <w:snapToGrid w:val="0"/>
          <w:color w:val="auto"/>
          <w:highlight w:val="none"/>
        </w:rPr>
        <w:t>11．现场管理</w:t>
      </w:r>
      <w:bookmarkEnd w:id="95"/>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11.1</w:t>
      </w:r>
      <w:r>
        <w:rPr>
          <w:rFonts w:ascii="Times New Roman"/>
          <w:snapToGrid w:val="0"/>
          <w:color w:val="auto"/>
          <w:kern w:val="0"/>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11.2</w:t>
      </w:r>
      <w:r>
        <w:rPr>
          <w:rFonts w:ascii="Times New Roman"/>
          <w:snapToGrid w:val="0"/>
          <w:color w:val="auto"/>
          <w:kern w:val="0"/>
          <w:highlight w:val="none"/>
        </w:rPr>
        <w:t xml:space="preserve"> 承包人应按安全施工有关规定，采取严格、科学的安全防护措施，确保施工和人员（包括第三者）的安全，承担由于自身安全防护措施不力所造成的安全事故责任和发生的费用。</w:t>
      </w: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11.3</w:t>
      </w:r>
      <w:r>
        <w:rPr>
          <w:rFonts w:ascii="Times New Roman"/>
          <w:snapToGrid w:val="0"/>
          <w:color w:val="auto"/>
          <w:kern w:val="0"/>
          <w:highlight w:val="none"/>
        </w:rPr>
        <w:t xml:space="preserve"> 为保证施工现场的环境卫生，承包人在本招标项目施工过程中，所有的车辆必须按发包人规定的行车路线行驶。</w:t>
      </w:r>
    </w:p>
    <w:p>
      <w:pPr>
        <w:pStyle w:val="4"/>
        <w:wordWrap w:val="0"/>
        <w:autoSpaceDE/>
        <w:autoSpaceDN/>
        <w:snapToGrid w:val="0"/>
        <w:spacing w:line="440" w:lineRule="exact"/>
        <w:ind w:firstLine="480"/>
        <w:jc w:val="both"/>
        <w:rPr>
          <w:rFonts w:ascii="Times New Roman"/>
          <w:b/>
          <w:snapToGrid w:val="0"/>
          <w:color w:val="auto"/>
          <w:highlight w:val="none"/>
        </w:rPr>
      </w:pPr>
      <w:bookmarkStart w:id="96" w:name="_Toc11693"/>
      <w:r>
        <w:rPr>
          <w:rFonts w:ascii="Times New Roman"/>
          <w:b/>
          <w:snapToGrid w:val="0"/>
          <w:color w:val="auto"/>
          <w:highlight w:val="none"/>
        </w:rPr>
        <w:t>12．监督实施</w:t>
      </w:r>
      <w:bookmarkEnd w:id="96"/>
    </w:p>
    <w:p>
      <w:pPr>
        <w:wordWrap w:val="0"/>
        <w:adjustRightInd w:val="0"/>
        <w:snapToGrid w:val="0"/>
        <w:spacing w:line="440" w:lineRule="exact"/>
        <w:ind w:firstLine="560"/>
        <w:rPr>
          <w:rFonts w:ascii="Times New Roman"/>
          <w:snapToGrid w:val="0"/>
          <w:color w:val="auto"/>
          <w:kern w:val="0"/>
          <w:highlight w:val="none"/>
        </w:rPr>
      </w:pPr>
      <w:r>
        <w:rPr>
          <w:rFonts w:ascii="Times New Roman"/>
          <w:snapToGrid w:val="0"/>
          <w:color w:val="auto"/>
          <w:kern w:val="0"/>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pPr>
        <w:wordWrap w:val="0"/>
        <w:adjustRightInd w:val="0"/>
        <w:snapToGrid w:val="0"/>
        <w:spacing w:line="440" w:lineRule="exact"/>
        <w:ind w:firstLine="560"/>
        <w:rPr>
          <w:rFonts w:ascii="Times New Roman"/>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97" w:name="_Toc5648"/>
      <w:r>
        <w:rPr>
          <w:rFonts w:ascii="Times New Roman"/>
          <w:b/>
          <w:snapToGrid w:val="0"/>
          <w:color w:val="auto"/>
          <w:highlight w:val="none"/>
        </w:rPr>
        <w:t>13．主材的采购和使用</w:t>
      </w:r>
      <w:bookmarkEnd w:id="97"/>
    </w:p>
    <w:p>
      <w:pPr>
        <w:wordWrap w:val="0"/>
        <w:adjustRightInd w:val="0"/>
        <w:snapToGrid w:val="0"/>
        <w:spacing w:line="440" w:lineRule="exact"/>
        <w:ind w:firstLine="560"/>
        <w:rPr>
          <w:rFonts w:ascii="Times New Roman"/>
          <w:bCs/>
          <w:snapToGrid w:val="0"/>
          <w:color w:val="auto"/>
          <w:kern w:val="0"/>
          <w:highlight w:val="none"/>
        </w:rPr>
      </w:pPr>
      <w:r>
        <w:rPr>
          <w:rFonts w:ascii="Times New Roman"/>
          <w:bCs/>
          <w:snapToGrid w:val="0"/>
          <w:color w:val="auto"/>
          <w:kern w:val="0"/>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pPr>
        <w:wordWrap w:val="0"/>
        <w:adjustRightInd w:val="0"/>
        <w:snapToGrid w:val="0"/>
        <w:spacing w:line="440" w:lineRule="exact"/>
        <w:ind w:firstLine="560"/>
        <w:rPr>
          <w:rFonts w:ascii="Times New Roman"/>
          <w:bCs/>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98" w:name="_Toc9649"/>
      <w:r>
        <w:rPr>
          <w:rFonts w:ascii="Times New Roman"/>
          <w:b/>
          <w:snapToGrid w:val="0"/>
          <w:color w:val="auto"/>
          <w:highlight w:val="none"/>
        </w:rPr>
        <w:t>14．竣工资料移交</w:t>
      </w:r>
      <w:bookmarkEnd w:id="98"/>
    </w:p>
    <w:p>
      <w:pPr>
        <w:wordWrap w:val="0"/>
        <w:adjustRightInd w:val="0"/>
        <w:snapToGrid w:val="0"/>
        <w:spacing w:line="440" w:lineRule="exact"/>
        <w:ind w:firstLine="560"/>
        <w:rPr>
          <w:rFonts w:hint="eastAsia" w:ascii="Times New Roman" w:eastAsia="宋体"/>
          <w:bCs/>
          <w:snapToGrid w:val="0"/>
          <w:color w:val="auto"/>
          <w:kern w:val="0"/>
          <w:highlight w:val="none"/>
          <w:lang w:eastAsia="zh-CN"/>
        </w:rPr>
      </w:pPr>
      <w:r>
        <w:rPr>
          <w:rFonts w:ascii="Times New Roman"/>
          <w:bCs/>
          <w:snapToGrid w:val="0"/>
          <w:color w:val="auto"/>
          <w:kern w:val="0"/>
          <w:highlight w:val="none"/>
        </w:rPr>
        <w:t>项目竣工验收时，</w:t>
      </w:r>
      <w:r>
        <w:rPr>
          <w:rFonts w:ascii="Times New Roman"/>
          <w:snapToGrid w:val="0"/>
          <w:color w:val="auto"/>
          <w:kern w:val="0"/>
          <w:highlight w:val="none"/>
        </w:rPr>
        <w:t>承包</w:t>
      </w:r>
      <w:r>
        <w:rPr>
          <w:rFonts w:ascii="Times New Roman"/>
          <w:bCs/>
          <w:snapToGrid w:val="0"/>
          <w:color w:val="auto"/>
          <w:kern w:val="0"/>
          <w:highlight w:val="none"/>
        </w:rPr>
        <w:t>人应向监理单位和</w:t>
      </w:r>
      <w:r>
        <w:rPr>
          <w:rFonts w:ascii="Times New Roman"/>
          <w:snapToGrid w:val="0"/>
          <w:color w:val="auto"/>
          <w:kern w:val="0"/>
          <w:highlight w:val="none"/>
        </w:rPr>
        <w:t>发包</w:t>
      </w:r>
      <w:r>
        <w:rPr>
          <w:rFonts w:ascii="Times New Roman"/>
          <w:bCs/>
          <w:snapToGrid w:val="0"/>
          <w:color w:val="auto"/>
          <w:kern w:val="0"/>
          <w:highlight w:val="none"/>
        </w:rPr>
        <w:t>人提供符合国家档案部门备案要求的，编制成册的竣工图及有关的技术档案资料（含声像档案）一式</w:t>
      </w:r>
      <w:r>
        <w:rPr>
          <w:rFonts w:ascii="Times New Roman"/>
          <w:bCs/>
          <w:snapToGrid w:val="0"/>
          <w:color w:val="auto"/>
          <w:kern w:val="0"/>
          <w:highlight w:val="none"/>
          <w:u w:val="single"/>
        </w:rPr>
        <w:t>八</w:t>
      </w:r>
      <w:r>
        <w:rPr>
          <w:rFonts w:ascii="Times New Roman"/>
          <w:bCs/>
          <w:snapToGrid w:val="0"/>
          <w:color w:val="auto"/>
          <w:kern w:val="0"/>
          <w:highlight w:val="none"/>
        </w:rPr>
        <w:t>份。</w:t>
      </w:r>
    </w:p>
    <w:p>
      <w:pPr>
        <w:pStyle w:val="2"/>
        <w:rPr>
          <w:rFonts w:hint="eastAsia"/>
          <w:lang w:eastAsia="zh-CN"/>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99" w:name="_Toc28195"/>
      <w:r>
        <w:rPr>
          <w:rFonts w:ascii="Times New Roman"/>
          <w:b/>
          <w:snapToGrid w:val="0"/>
          <w:color w:val="auto"/>
          <w:highlight w:val="none"/>
        </w:rPr>
        <w:t>15．质量保证</w:t>
      </w:r>
      <w:bookmarkEnd w:id="99"/>
    </w:p>
    <w:p>
      <w:pPr>
        <w:wordWrap w:val="0"/>
        <w:adjustRightInd w:val="0"/>
        <w:snapToGrid w:val="0"/>
        <w:spacing w:line="440" w:lineRule="exact"/>
        <w:ind w:firstLine="560"/>
        <w:rPr>
          <w:rFonts w:ascii="Times New Roman"/>
          <w:bCs/>
          <w:snapToGrid w:val="0"/>
          <w:color w:val="auto"/>
          <w:kern w:val="0"/>
          <w:highlight w:val="none"/>
        </w:rPr>
      </w:pPr>
      <w:r>
        <w:rPr>
          <w:rFonts w:ascii="Times New Roman"/>
          <w:b/>
          <w:bCs/>
          <w:snapToGrid w:val="0"/>
          <w:color w:val="auto"/>
          <w:kern w:val="0"/>
          <w:highlight w:val="none"/>
        </w:rPr>
        <w:t>15.1</w:t>
      </w:r>
      <w:r>
        <w:rPr>
          <w:rFonts w:ascii="Times New Roman"/>
          <w:bCs/>
          <w:snapToGrid w:val="0"/>
          <w:color w:val="auto"/>
          <w:kern w:val="0"/>
          <w:highlight w:val="none"/>
        </w:rPr>
        <w:t xml:space="preserve"> 本招标项目缺陷责任期为</w:t>
      </w:r>
      <w:r>
        <w:rPr>
          <w:rFonts w:ascii="Times New Roman"/>
          <w:bCs/>
          <w:snapToGrid w:val="0"/>
          <w:color w:val="auto"/>
          <w:kern w:val="0"/>
          <w:highlight w:val="none"/>
          <w:u w:val="single"/>
        </w:rPr>
        <w:t xml:space="preserve"> </w:t>
      </w:r>
      <w:r>
        <w:rPr>
          <w:rFonts w:hint="eastAsia" w:ascii="Times New Roman"/>
          <w:bCs/>
          <w:snapToGrid w:val="0"/>
          <w:color w:val="auto"/>
          <w:kern w:val="0"/>
          <w:highlight w:val="none"/>
          <w:u w:val="single"/>
          <w:lang w:val="en-US" w:eastAsia="zh-CN"/>
        </w:rPr>
        <w:t>1</w:t>
      </w:r>
      <w:r>
        <w:rPr>
          <w:rFonts w:ascii="Times New Roman"/>
          <w:bCs/>
          <w:snapToGrid w:val="0"/>
          <w:color w:val="auto"/>
          <w:kern w:val="0"/>
          <w:highlight w:val="none"/>
          <w:u w:val="single"/>
        </w:rPr>
        <w:t xml:space="preserve"> </w:t>
      </w:r>
      <w:r>
        <w:rPr>
          <w:rFonts w:ascii="Times New Roman"/>
          <w:bCs/>
          <w:snapToGrid w:val="0"/>
          <w:color w:val="auto"/>
          <w:kern w:val="0"/>
          <w:highlight w:val="none"/>
        </w:rPr>
        <w:t>年（自通过竣工验收之日起计），在此期间预留金额为结算价</w:t>
      </w:r>
      <w:r>
        <w:rPr>
          <w:rFonts w:ascii="Times New Roman"/>
          <w:bCs/>
          <w:snapToGrid w:val="0"/>
          <w:color w:val="auto"/>
          <w:kern w:val="0"/>
          <w:highlight w:val="none"/>
          <w:u w:val="single"/>
        </w:rPr>
        <w:t xml:space="preserve"> 3% </w:t>
      </w:r>
      <w:r>
        <w:rPr>
          <w:rFonts w:ascii="Times New Roman"/>
          <w:bCs/>
          <w:snapToGrid w:val="0"/>
          <w:color w:val="auto"/>
          <w:kern w:val="0"/>
          <w:highlight w:val="none"/>
        </w:rPr>
        <w:t>的质量保证。</w:t>
      </w:r>
    </w:p>
    <w:p>
      <w:pPr>
        <w:wordWrap w:val="0"/>
        <w:adjustRightInd w:val="0"/>
        <w:snapToGrid w:val="0"/>
        <w:spacing w:line="440" w:lineRule="exact"/>
        <w:ind w:firstLine="560"/>
        <w:rPr>
          <w:rFonts w:ascii="Times New Roman"/>
          <w:bCs/>
          <w:snapToGrid w:val="0"/>
          <w:color w:val="auto"/>
          <w:kern w:val="0"/>
          <w:highlight w:val="none"/>
        </w:rPr>
      </w:pPr>
      <w:r>
        <w:rPr>
          <w:rFonts w:ascii="Times New Roman"/>
          <w:b/>
          <w:bCs/>
          <w:snapToGrid w:val="0"/>
          <w:color w:val="auto"/>
          <w:kern w:val="0"/>
          <w:highlight w:val="none"/>
        </w:rPr>
        <w:t>15.2</w:t>
      </w:r>
      <w:r>
        <w:rPr>
          <w:rFonts w:ascii="Times New Roman"/>
          <w:bCs/>
          <w:snapToGrid w:val="0"/>
          <w:color w:val="auto"/>
          <w:kern w:val="0"/>
          <w:highlight w:val="none"/>
        </w:rPr>
        <w:t xml:space="preserve"> 质量保证的形式包括质量保证金、质量保证担保、质量保证保险三种，由承包人自主选择。</w:t>
      </w:r>
    </w:p>
    <w:p>
      <w:pPr>
        <w:wordWrap w:val="0"/>
        <w:adjustRightInd w:val="0"/>
        <w:snapToGrid w:val="0"/>
        <w:spacing w:line="440" w:lineRule="exact"/>
        <w:ind w:firstLine="560"/>
        <w:rPr>
          <w:rFonts w:ascii="Times New Roman"/>
          <w:bCs/>
          <w:snapToGrid w:val="0"/>
          <w:color w:val="auto"/>
          <w:kern w:val="0"/>
          <w:highlight w:val="none"/>
        </w:rPr>
      </w:pPr>
      <w:r>
        <w:rPr>
          <w:rFonts w:ascii="Times New Roman"/>
          <w:bCs/>
          <w:snapToGrid w:val="0"/>
          <w:color w:val="auto"/>
          <w:kern w:val="0"/>
          <w:highlight w:val="none"/>
        </w:rPr>
        <w:t>（1）采用质量保证金形式的，在结清审定总造价时一次性扣留相应金额作为质量保证金。</w:t>
      </w:r>
    </w:p>
    <w:p>
      <w:pPr>
        <w:wordWrap w:val="0"/>
        <w:adjustRightInd w:val="0"/>
        <w:snapToGrid w:val="0"/>
        <w:spacing w:line="440" w:lineRule="exact"/>
        <w:ind w:firstLine="560"/>
        <w:rPr>
          <w:rFonts w:ascii="Times New Roman"/>
          <w:bCs/>
          <w:snapToGrid w:val="0"/>
          <w:color w:val="auto"/>
          <w:kern w:val="0"/>
          <w:highlight w:val="none"/>
        </w:rPr>
      </w:pPr>
      <w:r>
        <w:rPr>
          <w:rFonts w:ascii="Times New Roman"/>
          <w:bCs/>
          <w:snapToGrid w:val="0"/>
          <w:color w:val="auto"/>
          <w:kern w:val="0"/>
          <w:highlight w:val="none"/>
        </w:rPr>
        <w:t>（2）采用质量保证担保或质量保证保险的，承包人应在竣工验收时向发包人提交有效的银行保函或保险合同（或保险单）原件，银行保函或保险合同（或保险单）的有效期不得短于缺陷责任期。</w:t>
      </w:r>
    </w:p>
    <w:p>
      <w:pPr>
        <w:wordWrap w:val="0"/>
        <w:adjustRightInd w:val="0"/>
        <w:snapToGrid w:val="0"/>
        <w:spacing w:line="440" w:lineRule="exact"/>
        <w:ind w:firstLine="560"/>
        <w:rPr>
          <w:rFonts w:ascii="Times New Roman"/>
          <w:bCs/>
          <w:snapToGrid w:val="0"/>
          <w:color w:val="auto"/>
          <w:kern w:val="0"/>
          <w:highlight w:val="none"/>
        </w:rPr>
      </w:pPr>
      <w:r>
        <w:rPr>
          <w:rFonts w:ascii="Times New Roman"/>
          <w:b/>
          <w:bCs/>
          <w:snapToGrid w:val="0"/>
          <w:color w:val="auto"/>
          <w:kern w:val="0"/>
          <w:highlight w:val="none"/>
        </w:rPr>
        <w:t>15.3</w:t>
      </w:r>
      <w:r>
        <w:rPr>
          <w:rFonts w:ascii="Times New Roman"/>
          <w:bCs/>
          <w:snapToGrid w:val="0"/>
          <w:color w:val="auto"/>
          <w:kern w:val="0"/>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pPr>
        <w:wordWrap w:val="0"/>
        <w:adjustRightInd w:val="0"/>
        <w:snapToGrid w:val="0"/>
        <w:spacing w:line="440" w:lineRule="exact"/>
        <w:ind w:firstLine="560"/>
        <w:rPr>
          <w:rFonts w:ascii="Times New Roman"/>
          <w:bCs/>
          <w:snapToGrid w:val="0"/>
          <w:color w:val="auto"/>
          <w:kern w:val="0"/>
          <w:highlight w:val="none"/>
        </w:rPr>
      </w:pPr>
      <w:r>
        <w:rPr>
          <w:rFonts w:ascii="Times New Roman"/>
          <w:bCs/>
          <w:snapToGrid w:val="0"/>
          <w:color w:val="auto"/>
          <w:kern w:val="0"/>
          <w:highlight w:val="none"/>
        </w:rPr>
        <w:t>由他人原因造成的缺陷，发包人负责组织维修，承包人不承担费用，且发包人不得从质量保证中扣除费用。</w:t>
      </w:r>
    </w:p>
    <w:p>
      <w:pPr>
        <w:wordWrap w:val="0"/>
        <w:adjustRightInd w:val="0"/>
        <w:snapToGrid w:val="0"/>
        <w:spacing w:line="440" w:lineRule="exact"/>
        <w:ind w:firstLine="560"/>
        <w:rPr>
          <w:rFonts w:ascii="Times New Roman"/>
          <w:bCs/>
          <w:snapToGrid w:val="0"/>
          <w:color w:val="auto"/>
          <w:kern w:val="0"/>
          <w:highlight w:val="none"/>
        </w:rPr>
      </w:pPr>
      <w:r>
        <w:rPr>
          <w:rFonts w:ascii="Times New Roman"/>
          <w:b/>
          <w:bCs/>
          <w:snapToGrid w:val="0"/>
          <w:color w:val="auto"/>
          <w:kern w:val="0"/>
          <w:highlight w:val="none"/>
        </w:rPr>
        <w:t>15.4</w:t>
      </w:r>
      <w:r>
        <w:rPr>
          <w:rFonts w:ascii="Times New Roman"/>
          <w:bCs/>
          <w:snapToGrid w:val="0"/>
          <w:color w:val="auto"/>
          <w:kern w:val="0"/>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pPr>
        <w:wordWrap w:val="0"/>
        <w:adjustRightInd w:val="0"/>
        <w:snapToGrid w:val="0"/>
        <w:spacing w:line="440" w:lineRule="exact"/>
        <w:ind w:firstLine="560"/>
        <w:rPr>
          <w:rFonts w:ascii="Times New Roman"/>
          <w:bCs/>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100" w:name="_Toc31164"/>
      <w:r>
        <w:rPr>
          <w:rFonts w:ascii="Times New Roman"/>
          <w:b/>
          <w:snapToGrid w:val="0"/>
          <w:color w:val="auto"/>
          <w:highlight w:val="none"/>
        </w:rPr>
        <w:t>16．不良行为处理</w:t>
      </w:r>
      <w:bookmarkEnd w:id="100"/>
    </w:p>
    <w:p>
      <w:pPr>
        <w:pStyle w:val="3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pPr>
        <w:pStyle w:val="3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（1）转包、违法分包或违反投标承诺分包工程的；</w:t>
      </w:r>
    </w:p>
    <w:p>
      <w:pPr>
        <w:pStyle w:val="3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（2）非原参加投标中标的项目经理负责组织施工或在实施过程中擅自更换项目经理的、项目的其他主要管理人员与中标文件确定的人员不相符的；</w:t>
      </w:r>
    </w:p>
    <w:p>
      <w:pPr>
        <w:pStyle w:val="3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（3）投标文件确定的大型机械设备没有进入施工现场的；</w:t>
      </w:r>
    </w:p>
    <w:p>
      <w:pPr>
        <w:pStyle w:val="3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（4）与建设单位、监理单位串通，签认虚假工程量或工程造价的；</w:t>
      </w:r>
    </w:p>
    <w:p>
      <w:pPr>
        <w:pStyle w:val="3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（5）项目经理施工现场管理不到位的；</w:t>
      </w:r>
    </w:p>
    <w:p>
      <w:pPr>
        <w:pStyle w:val="3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（6）项目经理在非本人资格证书注册单位从事工程项目施工管理的；</w:t>
      </w:r>
    </w:p>
    <w:p>
      <w:pPr>
        <w:pStyle w:val="3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（7）项目经理同时承担超过一项工程项目的；</w:t>
      </w:r>
    </w:p>
    <w:p>
      <w:pPr>
        <w:pStyle w:val="3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（8）违反有关法律、法规、规章规定的其它行为。</w:t>
      </w:r>
    </w:p>
    <w:p>
      <w:pPr>
        <w:pStyle w:val="30"/>
        <w:wordWrap w:val="0"/>
        <w:adjustRightInd w:val="0"/>
        <w:snapToGrid w:val="0"/>
        <w:spacing w:line="440" w:lineRule="exact"/>
        <w:ind w:firstLine="480" w:firstLineChars="200"/>
        <w:jc w:val="left"/>
        <w:rPr>
          <w:rFonts w:hint="eastAsia"/>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101" w:name="_Toc1877"/>
      <w:r>
        <w:rPr>
          <w:rFonts w:ascii="Times New Roman"/>
          <w:b/>
          <w:snapToGrid w:val="0"/>
          <w:color w:val="auto"/>
          <w:highlight w:val="none"/>
        </w:rPr>
        <w:t>17．信用评价条款内容</w:t>
      </w:r>
      <w:bookmarkEnd w:id="101"/>
    </w:p>
    <w:p>
      <w:pPr>
        <w:pStyle w:val="32"/>
        <w:wordWrap w:val="0"/>
        <w:adjustRightInd w:val="0"/>
        <w:snapToGrid w:val="0"/>
        <w:spacing w:line="440" w:lineRule="exact"/>
        <w:ind w:firstLine="560"/>
        <w:rPr>
          <w:rFonts w:hint="eastAsia" w:ascii="Times New Roman"/>
          <w:snapToGrid w:val="0"/>
          <w:color w:val="auto"/>
          <w:kern w:val="0"/>
          <w:szCs w:val="28"/>
          <w:highlight w:val="none"/>
          <w:u w:val="single"/>
        </w:rPr>
      </w:pPr>
      <w:r>
        <w:rPr>
          <w:rFonts w:hint="eastAsia" w:ascii="Times New Roman"/>
          <w:snapToGrid w:val="0"/>
          <w:color w:val="auto"/>
          <w:kern w:val="0"/>
          <w:szCs w:val="28"/>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pPr>
        <w:pStyle w:val="32"/>
        <w:wordWrap w:val="0"/>
        <w:adjustRightInd w:val="0"/>
        <w:snapToGrid w:val="0"/>
        <w:spacing w:line="440" w:lineRule="exact"/>
        <w:ind w:firstLine="560"/>
        <w:rPr>
          <w:rFonts w:hint="eastAsia" w:ascii="Times New Roman"/>
          <w:b/>
          <w:bCs/>
          <w:snapToGrid w:val="0"/>
          <w:color w:val="auto"/>
          <w:kern w:val="0"/>
          <w:highlight w:val="none"/>
        </w:rPr>
      </w:pPr>
    </w:p>
    <w:p>
      <w:pPr>
        <w:pStyle w:val="4"/>
        <w:numPr>
          <w:ilvl w:val="0"/>
          <w:numId w:val="5"/>
        </w:numPr>
        <w:wordWrap w:val="0"/>
        <w:autoSpaceDE/>
        <w:autoSpaceDN/>
        <w:snapToGrid w:val="0"/>
        <w:ind w:firstLine="480"/>
        <w:jc w:val="both"/>
        <w:rPr>
          <w:rFonts w:ascii="Times New Roman"/>
          <w:b/>
          <w:snapToGrid w:val="0"/>
          <w:color w:val="auto"/>
          <w:highlight w:val="none"/>
        </w:rPr>
      </w:pPr>
      <w:bookmarkStart w:id="102" w:name="_Toc28618"/>
      <w:r>
        <w:rPr>
          <w:rFonts w:ascii="Times New Roman"/>
          <w:b/>
          <w:snapToGrid w:val="0"/>
          <w:color w:val="auto"/>
          <w:highlight w:val="none"/>
        </w:rPr>
        <w:t>其他事项</w:t>
      </w:r>
      <w:bookmarkEnd w:id="102"/>
    </w:p>
    <w:p>
      <w:pPr>
        <w:pStyle w:val="32"/>
        <w:snapToGrid w:val="0"/>
        <w:spacing w:line="440" w:lineRule="exact"/>
        <w:ind w:firstLine="480" w:firstLineChars="200"/>
        <w:rPr>
          <w:rFonts w:hint="eastAsia" w:hAnsi="宋体"/>
          <w:color w:val="auto"/>
          <w:highlight w:val="none"/>
          <w:shd w:val="clear" w:color="auto" w:fill="FFFFFF"/>
        </w:rPr>
      </w:pPr>
      <w:r>
        <w:rPr>
          <w:rFonts w:hint="eastAsia" w:hAnsi="宋体"/>
          <w:color w:val="auto"/>
          <w:highlight w:val="none"/>
          <w:shd w:val="clear" w:color="auto" w:fill="FFFFFF"/>
          <w:lang w:val="en-US" w:eastAsia="zh-CN"/>
        </w:rPr>
        <w:t xml:space="preserve">18.1 </w:t>
      </w:r>
      <w:r>
        <w:rPr>
          <w:rFonts w:hint="eastAsia" w:hAnsi="宋体"/>
          <w:color w:val="auto"/>
          <w:highlight w:val="none"/>
          <w:shd w:val="clear" w:color="auto" w:fill="FFFFFF"/>
        </w:rPr>
        <w:t>危险性较大的分部分项工程安全管理约定</w:t>
      </w:r>
      <w:r>
        <w:rPr>
          <w:rFonts w:hint="eastAsia" w:hAnsi="宋体"/>
          <w:color w:val="auto"/>
          <w:highlight w:val="none"/>
          <w:shd w:val="clear" w:color="auto" w:fill="FFFFFF"/>
          <w:lang w:val="en-US" w:eastAsia="zh-CN"/>
        </w:rPr>
        <w:t xml:space="preserve"> 。</w:t>
      </w:r>
      <w:r>
        <w:rPr>
          <w:rFonts w:hint="eastAsia" w:hAnsi="宋体"/>
          <w:color w:val="auto"/>
          <w:highlight w:val="none"/>
          <w:shd w:val="clear" w:color="auto" w:fill="FFFFFF"/>
        </w:rPr>
        <w:t>中标人</w:t>
      </w:r>
      <w:r>
        <w:rPr>
          <w:rFonts w:hint="eastAsia" w:hAnsi="宋体"/>
          <w:color w:val="auto"/>
          <w:highlight w:val="none"/>
          <w:shd w:val="clear" w:color="auto" w:fill="FFFFFF"/>
          <w:lang w:eastAsia="zh-CN"/>
        </w:rPr>
        <w:t>应对建设单位组织的勘察、设计等单位在施工招标文件中列出的危大工程清单进行投标文件回应。</w:t>
      </w:r>
      <w:r>
        <w:rPr>
          <w:rFonts w:hint="eastAsia" w:hAnsi="宋体"/>
          <w:color w:val="auto"/>
          <w:highlight w:val="none"/>
          <w:shd w:val="clear" w:color="auto" w:fill="FFFFFF"/>
        </w:rPr>
        <w:t>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pPr>
        <w:pStyle w:val="32"/>
        <w:snapToGrid w:val="0"/>
        <w:spacing w:line="440" w:lineRule="exact"/>
        <w:ind w:firstLine="480" w:firstLineChars="200"/>
        <w:rPr>
          <w:rFonts w:hint="eastAsia" w:hAnsi="宋体"/>
          <w:color w:val="auto"/>
          <w:highlight w:val="none"/>
          <w:shd w:val="clear" w:color="auto" w:fill="FFFFFF"/>
        </w:rPr>
      </w:pPr>
    </w:p>
    <w:p>
      <w:pPr>
        <w:pStyle w:val="32"/>
        <w:adjustRightInd w:val="0"/>
        <w:snapToGrid w:val="0"/>
        <w:ind w:firstLine="482" w:firstLineChars="200"/>
        <w:rPr>
          <w:rFonts w:hint="eastAsia" w:ascii="Times New Roman"/>
          <w:snapToGrid w:val="0"/>
          <w:color w:val="auto"/>
          <w:kern w:val="0"/>
          <w:highlight w:val="none"/>
        </w:rPr>
      </w:pPr>
      <w:r>
        <w:rPr>
          <w:rFonts w:hint="eastAsia" w:hAnsi="宋体"/>
          <w:b/>
          <w:bCs/>
          <w:color w:val="auto"/>
          <w:highlight w:val="none"/>
          <w:shd w:val="clear" w:color="auto" w:fill="FFFFFF"/>
        </w:rPr>
        <w:t>18.</w:t>
      </w:r>
      <w:r>
        <w:rPr>
          <w:rFonts w:hint="eastAsia" w:hAnsi="宋体"/>
          <w:b/>
          <w:bCs/>
          <w:color w:val="auto"/>
          <w:highlight w:val="none"/>
          <w:shd w:val="clear" w:color="auto" w:fill="FFFFFF"/>
          <w:lang w:val="en-US" w:eastAsia="zh-CN"/>
        </w:rPr>
        <w:t xml:space="preserve">2  </w:t>
      </w:r>
      <w:r>
        <w:rPr>
          <w:rFonts w:hint="eastAsia" w:ascii="Times New Roman"/>
          <w:snapToGrid w:val="0"/>
          <w:color w:val="auto"/>
          <w:kern w:val="0"/>
          <w:highlight w:val="none"/>
        </w:rPr>
        <w:t>中标人在工程实施过程中，按照国家、省、市的相关规定制定相关的专项安全施工方案（如高支模、基坑支护、沉井等），编制专项施工方案报监理人、招标人审批后方可开展专项工程的施工。</w:t>
      </w:r>
    </w:p>
    <w:p>
      <w:pPr>
        <w:pStyle w:val="32"/>
        <w:snapToGrid w:val="0"/>
        <w:spacing w:line="440" w:lineRule="exact"/>
        <w:ind w:firstLine="482" w:firstLineChars="200"/>
        <w:rPr>
          <w:rFonts w:hint="eastAsia" w:ascii="Times New Roman"/>
          <w:b/>
          <w:bCs/>
          <w:snapToGrid w:val="0"/>
          <w:color w:val="auto"/>
          <w:kern w:val="0"/>
          <w:highlight w:val="none"/>
        </w:rPr>
      </w:pPr>
      <w:r>
        <w:rPr>
          <w:rFonts w:hint="eastAsia" w:ascii="Times New Roman" w:hAnsi="Times New Roman" w:cs="Times New Roman"/>
          <w:b/>
          <w:bCs/>
          <w:caps w:val="0"/>
          <w:smallCaps w:val="0"/>
          <w:snapToGrid w:val="0"/>
          <w:color w:val="auto"/>
          <w:spacing w:val="0"/>
          <w:kern w:val="0"/>
          <w:highlight w:val="none"/>
          <w:lang w:val="en-US" w:eastAsia="zh-CN"/>
        </w:rPr>
        <w:t xml:space="preserve">18.3 </w:t>
      </w:r>
      <w:r>
        <w:rPr>
          <w:rFonts w:hint="eastAsia" w:hAnsi="宋体"/>
          <w:color w:val="auto"/>
          <w:highlight w:val="none"/>
          <w:shd w:val="clear" w:color="auto" w:fill="FFFFFF"/>
        </w:rPr>
        <w:t>中标人须</w:t>
      </w:r>
      <w:r>
        <w:rPr>
          <w:rFonts w:hint="eastAsia" w:hAnsi="宋体"/>
          <w:color w:val="auto"/>
          <w:highlight w:val="none"/>
          <w:shd w:val="clear" w:color="auto" w:fill="FFFFFF"/>
          <w:lang w:eastAsia="zh-CN"/>
        </w:rPr>
        <w:t>按照《韶关市建筑垃圾管理条例》（</w:t>
      </w:r>
      <w:r>
        <w:rPr>
          <w:rFonts w:hint="eastAsia" w:hAnsi="宋体"/>
          <w:color w:val="auto"/>
          <w:highlight w:val="none"/>
          <w:shd w:val="clear" w:color="auto" w:fill="FFFFFF"/>
          <w:lang w:val="en-US" w:eastAsia="zh-CN"/>
        </w:rPr>
        <w:t>2021年5月1日起施行</w:t>
      </w:r>
      <w:r>
        <w:rPr>
          <w:rFonts w:hint="eastAsia" w:hAnsi="宋体"/>
          <w:color w:val="auto"/>
          <w:highlight w:val="none"/>
          <w:shd w:val="clear" w:color="auto" w:fill="FFFFFF"/>
          <w:lang w:eastAsia="zh-CN"/>
        </w:rPr>
        <w:t>），</w:t>
      </w:r>
      <w:r>
        <w:rPr>
          <w:rFonts w:hint="eastAsia" w:hAnsi="宋体"/>
          <w:color w:val="auto"/>
          <w:highlight w:val="none"/>
          <w:shd w:val="clear" w:color="auto" w:fill="FFFFFF"/>
        </w:rPr>
        <w:t>将弃土运至招标人指定的场所，否则招标人有权要求中标人无条件将弃土从违约弃土点运至招标人指定的场所并扣除违约金</w:t>
      </w:r>
      <w:r>
        <w:rPr>
          <w:rFonts w:hint="eastAsia" w:hAnsi="宋体"/>
          <w:color w:val="auto"/>
          <w:highlight w:val="none"/>
          <w:u w:val="single"/>
          <w:shd w:val="clear" w:color="auto" w:fill="FFFFFF"/>
          <w:lang w:val="en-US" w:eastAsia="zh-CN"/>
        </w:rPr>
        <w:t>0.3</w:t>
      </w:r>
      <w:r>
        <w:rPr>
          <w:rFonts w:hint="eastAsia" w:hAnsi="宋体"/>
          <w:color w:val="auto"/>
          <w:highlight w:val="none"/>
          <w:shd w:val="clear" w:color="auto" w:fill="FFFFFF"/>
        </w:rPr>
        <w:t>万元人民币/次。</w:t>
      </w:r>
    </w:p>
    <w:p>
      <w:pPr>
        <w:numPr>
          <w:ilvl w:val="0"/>
          <w:numId w:val="0"/>
        </w:numPr>
        <w:rPr>
          <w:rFonts w:hint="default" w:eastAsia="宋体"/>
          <w:color w:val="auto"/>
          <w:highlight w:val="none"/>
          <w:lang w:val="en-US" w:eastAsia="zh-CN"/>
        </w:rPr>
      </w:pPr>
    </w:p>
    <w:p>
      <w:pPr>
        <w:pStyle w:val="32"/>
        <w:wordWrap w:val="0"/>
        <w:adjustRightInd w:val="0"/>
        <w:snapToGrid w:val="0"/>
        <w:ind w:firstLine="560"/>
        <w:rPr>
          <w:rFonts w:hint="eastAsia" w:ascii="Times New Roman"/>
          <w:b/>
          <w:bCs/>
          <w:snapToGrid w:val="0"/>
          <w:color w:val="auto"/>
          <w:kern w:val="0"/>
          <w:highlight w:val="none"/>
        </w:rPr>
      </w:pPr>
      <w:r>
        <w:rPr>
          <w:rFonts w:hint="eastAsia" w:hAnsi="宋体"/>
          <w:b/>
          <w:bCs/>
          <w:color w:val="auto"/>
          <w:highlight w:val="none"/>
          <w:shd w:val="clear" w:color="auto" w:fill="FFFFFF"/>
        </w:rPr>
        <w:t>18.4</w:t>
      </w:r>
      <w:r>
        <w:rPr>
          <w:rFonts w:hAnsi="宋体"/>
          <w:bCs/>
          <w:snapToGrid w:val="0"/>
          <w:color w:val="auto"/>
          <w:kern w:val="0"/>
          <w:highlight w:val="none"/>
        </w:rPr>
        <w:t>本工程的招标代理服务费及评标专家酬劳全部由中标人支付，该费用不再另行报价，由投标人在投标报价时综合考虑在内。</w:t>
      </w:r>
      <w:r>
        <w:rPr>
          <w:bCs/>
          <w:snapToGrid w:val="0"/>
          <w:color w:val="auto"/>
          <w:kern w:val="0"/>
          <w:highlight w:val="none"/>
        </w:rPr>
        <w:t>评标专家酬劳以评标结束当日的</w:t>
      </w:r>
      <w:r>
        <w:rPr>
          <w:rFonts w:hint="eastAsia"/>
          <w:bCs/>
          <w:snapToGrid w:val="0"/>
          <w:color w:val="auto"/>
          <w:kern w:val="0"/>
          <w:highlight w:val="none"/>
        </w:rPr>
        <w:t>实际支出</w:t>
      </w:r>
      <w:r>
        <w:rPr>
          <w:bCs/>
          <w:snapToGrid w:val="0"/>
          <w:color w:val="auto"/>
          <w:kern w:val="0"/>
          <w:highlight w:val="none"/>
        </w:rPr>
        <w:t>为准，由招标代理机构垫付，中标人须在领取中标通知书前须向招标代理机构一次性支付招标代理费和评标专家酬劳，方可领取中标通知书</w:t>
      </w:r>
      <w:r>
        <w:rPr>
          <w:color w:val="auto"/>
          <w:highlight w:val="none"/>
        </w:rPr>
        <w:t>。</w:t>
      </w: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bookmarkStart w:id="103" w:name="_Toc23392"/>
      <w:bookmarkStart w:id="104" w:name="_Hlt69698713"/>
      <w:bookmarkStart w:id="105" w:name="_Hlt69698765"/>
      <w:bookmarkStart w:id="106" w:name="_Hlt69698776"/>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hint="eastAsia" w:ascii="Times New Roman" w:eastAsia="宋体"/>
          <w:b/>
          <w:snapToGrid w:val="0"/>
          <w:color w:val="auto"/>
          <w:sz w:val="24"/>
          <w:highlight w:val="none"/>
          <w:lang w:eastAsia="zh-CN"/>
        </w:rPr>
      </w:pPr>
      <w:r>
        <w:rPr>
          <w:rFonts w:ascii="Times New Roman"/>
          <w:b/>
          <w:snapToGrid w:val="0"/>
          <w:color w:val="auto"/>
          <w:sz w:val="24"/>
          <w:highlight w:val="none"/>
        </w:rPr>
        <w:t>第三章</w:t>
      </w:r>
      <w:bookmarkStart w:id="107" w:name="_Hlt87793831"/>
      <w:bookmarkEnd w:id="107"/>
      <w:r>
        <w:rPr>
          <w:rFonts w:ascii="Times New Roman"/>
          <w:b/>
          <w:snapToGrid w:val="0"/>
          <w:color w:val="auto"/>
          <w:sz w:val="24"/>
          <w:highlight w:val="none"/>
        </w:rPr>
        <w:t xml:space="preserve"> 拟签订合同的主要条款</w:t>
      </w:r>
      <w:bookmarkEnd w:id="103"/>
    </w:p>
    <w:p>
      <w:pPr>
        <w:rPr>
          <w:rFonts w:hint="eastAsia"/>
          <w:lang w:eastAsia="zh-CN"/>
        </w:rPr>
      </w:pPr>
    </w:p>
    <w:bookmarkEnd w:id="104"/>
    <w:bookmarkEnd w:id="105"/>
    <w:p>
      <w:pPr>
        <w:pStyle w:val="4"/>
        <w:wordWrap w:val="0"/>
        <w:autoSpaceDE/>
        <w:autoSpaceDN/>
        <w:snapToGrid w:val="0"/>
        <w:spacing w:line="440" w:lineRule="exact"/>
        <w:ind w:firstLine="482" w:firstLineChars="200"/>
        <w:jc w:val="both"/>
        <w:rPr>
          <w:rFonts w:ascii="Times New Roman"/>
          <w:b/>
          <w:snapToGrid w:val="0"/>
          <w:color w:val="auto"/>
          <w:highlight w:val="none"/>
        </w:rPr>
      </w:pPr>
      <w:bookmarkStart w:id="108" w:name="_Toc322793288"/>
      <w:bookmarkStart w:id="109" w:name="_Toc24495"/>
      <w:bookmarkStart w:id="110" w:name="_Toc326916629"/>
      <w:r>
        <w:rPr>
          <w:rFonts w:ascii="Times New Roman"/>
          <w:b/>
          <w:snapToGrid w:val="0"/>
          <w:color w:val="auto"/>
          <w:highlight w:val="none"/>
        </w:rPr>
        <w:t>1．工程承包方式</w:t>
      </w:r>
      <w:bookmarkEnd w:id="108"/>
      <w:bookmarkEnd w:id="109"/>
      <w:bookmarkEnd w:id="110"/>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1.1</w:t>
      </w:r>
      <w:r>
        <w:rPr>
          <w:rFonts w:ascii="Times New Roman"/>
          <w:snapToGrid w:val="0"/>
          <w:color w:val="auto"/>
          <w:kern w:val="0"/>
          <w:highlight w:val="none"/>
        </w:rPr>
        <w:t xml:space="preserve"> 承包人以中标价按包工</w:t>
      </w:r>
      <w:bookmarkStart w:id="111" w:name="_Hlt87948212"/>
      <w:bookmarkEnd w:id="111"/>
      <w:r>
        <w:rPr>
          <w:rFonts w:ascii="Times New Roman"/>
          <w:snapToGrid w:val="0"/>
          <w:color w:val="auto"/>
          <w:kern w:val="0"/>
          <w:highlight w:val="none"/>
        </w:rPr>
        <w:t>包料、包质量、包安全包文明施工、包工期方式总承包施工，不允许转包和违法分包，如果确需分包须与发包人协商，在得到发包人和监理单位同意后报建设行政主管部门备案。</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1.1.1</w:t>
      </w:r>
      <w:r>
        <w:rPr>
          <w:rFonts w:ascii="Times New Roman"/>
          <w:snapToGrid w:val="0"/>
          <w:color w:val="auto"/>
          <w:kern w:val="0"/>
          <w:highlight w:val="none"/>
        </w:rPr>
        <w:t xml:space="preserve"> 包工包料：材料符合招标文件要求并报验使用；办理用工保险。</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1.1.2</w:t>
      </w:r>
      <w:r>
        <w:rPr>
          <w:rFonts w:ascii="Times New Roman"/>
          <w:snapToGrid w:val="0"/>
          <w:color w:val="auto"/>
          <w:kern w:val="0"/>
          <w:highlight w:val="none"/>
        </w:rPr>
        <w:t xml:space="preserve"> 包质量：符合招标文件要求。</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1.1.3</w:t>
      </w:r>
      <w:r>
        <w:rPr>
          <w:rFonts w:ascii="Times New Roman"/>
          <w:snapToGrid w:val="0"/>
          <w:color w:val="auto"/>
          <w:kern w:val="0"/>
          <w:highlight w:val="none"/>
        </w:rPr>
        <w:t xml:space="preserve"> 包安全包文明施工：符合招标文件要求。</w:t>
      </w:r>
    </w:p>
    <w:p>
      <w:pPr>
        <w:wordWrap w:val="0"/>
        <w:adjustRightInd w:val="0"/>
        <w:snapToGrid w:val="0"/>
        <w:spacing w:line="440" w:lineRule="exact"/>
        <w:ind w:firstLine="560"/>
        <w:rPr>
          <w:rFonts w:ascii="Times New Roman"/>
          <w:snapToGrid w:val="0"/>
          <w:color w:val="auto"/>
          <w:kern w:val="0"/>
          <w:highlight w:val="none"/>
        </w:rPr>
      </w:pPr>
      <w:r>
        <w:rPr>
          <w:rFonts w:ascii="Times New Roman"/>
          <w:b/>
          <w:bCs/>
          <w:snapToGrid w:val="0"/>
          <w:color w:val="auto"/>
          <w:kern w:val="0"/>
          <w:highlight w:val="none"/>
        </w:rPr>
        <w:t xml:space="preserve">1.1.4 </w:t>
      </w:r>
      <w:r>
        <w:rPr>
          <w:rFonts w:ascii="Times New Roman"/>
          <w:snapToGrid w:val="0"/>
          <w:color w:val="auto"/>
          <w:kern w:val="0"/>
          <w:highlight w:val="none"/>
        </w:rPr>
        <w:t>包工期：本招标项目施工必须在招标工期内完成。</w:t>
      </w:r>
    </w:p>
    <w:p>
      <w:pPr>
        <w:wordWrap w:val="0"/>
        <w:adjustRightInd w:val="0"/>
        <w:snapToGrid w:val="0"/>
        <w:spacing w:line="440" w:lineRule="exact"/>
        <w:ind w:firstLine="560"/>
        <w:rPr>
          <w:rFonts w:ascii="Times New Roman"/>
          <w:snapToGrid w:val="0"/>
          <w:color w:val="auto"/>
          <w:kern w:val="0"/>
          <w:highlight w:val="none"/>
        </w:rPr>
      </w:pPr>
    </w:p>
    <w:p>
      <w:pPr>
        <w:pStyle w:val="4"/>
        <w:wordWrap w:val="0"/>
        <w:autoSpaceDE/>
        <w:autoSpaceDN/>
        <w:snapToGrid w:val="0"/>
        <w:spacing w:line="440" w:lineRule="exact"/>
        <w:ind w:firstLine="480"/>
        <w:jc w:val="both"/>
        <w:rPr>
          <w:rFonts w:ascii="Times New Roman"/>
          <w:b/>
          <w:snapToGrid w:val="0"/>
          <w:color w:val="auto"/>
          <w:highlight w:val="none"/>
        </w:rPr>
      </w:pPr>
      <w:bookmarkStart w:id="112" w:name="_2、工程结算原则"/>
      <w:bookmarkEnd w:id="112"/>
      <w:bookmarkStart w:id="113" w:name="_Toc322793289"/>
      <w:bookmarkStart w:id="114" w:name="_Toc7100"/>
      <w:bookmarkStart w:id="115" w:name="_Toc326916630"/>
      <w:bookmarkStart w:id="116" w:name="_Hlt87948447"/>
      <w:bookmarkStart w:id="117" w:name="_Hlt87948449"/>
      <w:r>
        <w:rPr>
          <w:rFonts w:ascii="Times New Roman"/>
          <w:b/>
          <w:snapToGrid w:val="0"/>
          <w:color w:val="auto"/>
          <w:highlight w:val="none"/>
        </w:rPr>
        <w:t>2．工程结算原则</w:t>
      </w:r>
      <w:bookmarkEnd w:id="113"/>
      <w:bookmarkEnd w:id="114"/>
      <w:bookmarkEnd w:id="115"/>
    </w:p>
    <w:bookmarkEnd w:id="116"/>
    <w:bookmarkEnd w:id="117"/>
    <w:p>
      <w:pPr>
        <w:wordWrap w:val="0"/>
        <w:adjustRightInd w:val="0"/>
        <w:snapToGrid w:val="0"/>
        <w:spacing w:line="440" w:lineRule="exact"/>
        <w:ind w:firstLine="480"/>
        <w:rPr>
          <w:rFonts w:ascii="Times New Roman"/>
          <w:snapToGrid w:val="0"/>
          <w:color w:val="auto"/>
          <w:kern w:val="0"/>
          <w:szCs w:val="24"/>
          <w:highlight w:val="none"/>
        </w:rPr>
      </w:pPr>
      <w:bookmarkStart w:id="118" w:name="_Hlt88974053"/>
      <w:bookmarkEnd w:id="118"/>
      <w:bookmarkStart w:id="119" w:name="_Hlt87951777"/>
      <w:bookmarkStart w:id="120" w:name="_Toc322793290"/>
      <w:bookmarkStart w:id="121" w:name="_Toc326916631"/>
      <w:r>
        <w:rPr>
          <w:rFonts w:ascii="Times New Roman"/>
          <w:b/>
          <w:bCs/>
          <w:snapToGrid w:val="0"/>
          <w:color w:val="auto"/>
          <w:kern w:val="0"/>
          <w:szCs w:val="24"/>
          <w:highlight w:val="none"/>
        </w:rPr>
        <w:t>2.1</w:t>
      </w:r>
      <w:r>
        <w:rPr>
          <w:rFonts w:ascii="Times New Roman"/>
          <w:snapToGrid w:val="0"/>
          <w:color w:val="auto"/>
          <w:kern w:val="0"/>
          <w:szCs w:val="24"/>
          <w:highlight w:val="none"/>
        </w:rPr>
        <w:t xml:space="preserve"> </w:t>
      </w:r>
      <w:r>
        <w:rPr>
          <w:rFonts w:ascii="Times New Roman"/>
          <w:snapToGrid w:val="0"/>
          <w:color w:val="auto"/>
          <w:kern w:val="0"/>
          <w:highlight w:val="none"/>
        </w:rPr>
        <w:t>承包</w:t>
      </w:r>
      <w:r>
        <w:rPr>
          <w:rFonts w:ascii="Times New Roman"/>
          <w:snapToGrid w:val="0"/>
          <w:color w:val="auto"/>
          <w:kern w:val="0"/>
          <w:szCs w:val="24"/>
          <w:highlight w:val="none"/>
        </w:rPr>
        <w:t>人的投标总价为中标价，即为签约合同价。</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2.2</w:t>
      </w:r>
      <w:r>
        <w:rPr>
          <w:rFonts w:ascii="Times New Roman"/>
          <w:snapToGrid w:val="0"/>
          <w:color w:val="auto"/>
          <w:kern w:val="0"/>
          <w:szCs w:val="24"/>
          <w:highlight w:val="none"/>
        </w:rPr>
        <w:t xml:space="preserve"> 招标工程量清单标明的工程量是投标人投标报价的共同基础，竣工结算的工程量按《建设工程工程量清单计价规范》（GB50500—2013）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w:t>
      </w:r>
      <w:r>
        <w:rPr>
          <w:rFonts w:ascii="Times New Roman"/>
          <w:snapToGrid w:val="0"/>
          <w:color w:val="auto"/>
          <w:kern w:val="0"/>
          <w:szCs w:val="24"/>
          <w:highlight w:val="none"/>
        </w:rPr>
        <w:t xml:space="preserve"> 施工合同履行期间，若出现下列情形的，发、承包双方应当按照以下规定调整合同价款：</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2.3.1</w:t>
      </w:r>
      <w:r>
        <w:rPr>
          <w:rFonts w:ascii="Times New Roman"/>
          <w:snapToGrid w:val="0"/>
          <w:color w:val="auto"/>
          <w:kern w:val="0"/>
          <w:szCs w:val="24"/>
          <w:highlight w:val="none"/>
        </w:rPr>
        <w:t xml:space="preserve"> 法律法规变化</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2.3.1.1</w:t>
      </w:r>
      <w:r>
        <w:rPr>
          <w:rFonts w:ascii="Times New Roman"/>
          <w:snapToGrid w:val="0"/>
          <w:color w:val="auto"/>
          <w:kern w:val="0"/>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pPr>
        <w:wordWrap w:val="0"/>
        <w:adjustRightInd w:val="0"/>
        <w:snapToGrid w:val="0"/>
        <w:spacing w:line="440" w:lineRule="exact"/>
        <w:ind w:firstLine="480"/>
        <w:rPr>
          <w:rFonts w:ascii="Times New Roman"/>
          <w:b/>
          <w:bCs/>
          <w:snapToGrid w:val="0"/>
          <w:color w:val="auto"/>
          <w:kern w:val="0"/>
          <w:highlight w:val="none"/>
        </w:rPr>
      </w:pPr>
      <w:r>
        <w:rPr>
          <w:rFonts w:ascii="Times New Roman"/>
          <w:b/>
          <w:bCs/>
          <w:snapToGrid w:val="0"/>
          <w:color w:val="auto"/>
          <w:kern w:val="0"/>
          <w:highlight w:val="none"/>
        </w:rPr>
        <w:t>注：本招标文件所称“基准日”，均指投标文件递交截止时间（见第一章第二节“重要事项时间地点一览表”）前28天。</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2.3.1.2</w:t>
      </w:r>
      <w:r>
        <w:rPr>
          <w:rFonts w:ascii="Times New Roman"/>
          <w:snapToGrid w:val="0"/>
          <w:color w:val="auto"/>
          <w:kern w:val="0"/>
          <w:szCs w:val="24"/>
          <w:highlight w:val="none"/>
        </w:rPr>
        <w:t xml:space="preserve"> 因承包人原因导致工程延误，本章第</w:t>
      </w:r>
      <w:r>
        <w:rPr>
          <w:rFonts w:ascii="Times New Roman"/>
          <w:b/>
          <w:bCs/>
          <w:snapToGrid w:val="0"/>
          <w:color w:val="auto"/>
          <w:kern w:val="0"/>
          <w:szCs w:val="24"/>
          <w:highlight w:val="none"/>
        </w:rPr>
        <w:t>2.3.1.1</w:t>
      </w:r>
      <w:r>
        <w:rPr>
          <w:rFonts w:ascii="Times New Roman"/>
          <w:snapToGrid w:val="0"/>
          <w:color w:val="auto"/>
          <w:kern w:val="0"/>
          <w:szCs w:val="24"/>
          <w:highlight w:val="none"/>
        </w:rPr>
        <w:t>子目中的法定机构根据国家法律法规变化发布新规的时间在合同工程原定竣工时间之后的，合同价款调增的不予调整，合同价款调减的予以调整。</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2.3.2</w:t>
      </w:r>
      <w:r>
        <w:rPr>
          <w:rFonts w:ascii="Times New Roman"/>
          <w:snapToGrid w:val="0"/>
          <w:color w:val="auto"/>
          <w:kern w:val="0"/>
          <w:szCs w:val="24"/>
          <w:highlight w:val="none"/>
        </w:rPr>
        <w:t xml:space="preserve"> 工程量偏差或变化</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2.3.2.1</w:t>
      </w:r>
      <w:r>
        <w:rPr>
          <w:rFonts w:ascii="Times New Roman"/>
          <w:snapToGrid w:val="0"/>
          <w:color w:val="auto"/>
          <w:kern w:val="0"/>
          <w:szCs w:val="24"/>
          <w:highlight w:val="none"/>
        </w:rPr>
        <w:t xml:space="preserve"> 合同履行期间，当应予计算的实际工程量与招标工程量清单出现偏差或因工程变更引起已标价工程量清单项目的工程数量发生变化时，工程量偏差或变化在15%以内（含15%）的，其综合单价不予调整；工程量偏差或变化超过15%的，按照以下规定调整：</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snapToGrid w:val="0"/>
          <w:color w:val="auto"/>
          <w:kern w:val="0"/>
          <w:szCs w:val="24"/>
          <w:highlight w:val="none"/>
        </w:rPr>
        <w:t>对于合理报价的清单项目，当工程量增加超过15%时，增加部分的工程量的综合单价以</w:t>
      </w:r>
      <w:r>
        <w:rPr>
          <w:rFonts w:ascii="Times New Roman"/>
          <w:snapToGrid w:val="0"/>
          <w:color w:val="auto"/>
          <w:kern w:val="0"/>
          <w:szCs w:val="24"/>
          <w:highlight w:val="none"/>
          <w:u w:val="single"/>
        </w:rPr>
        <w:t xml:space="preserve"> </w:t>
      </w:r>
      <w:r>
        <w:rPr>
          <w:rFonts w:ascii="Times New Roman"/>
          <w:b/>
          <w:bCs/>
          <w:snapToGrid w:val="0"/>
          <w:color w:val="auto"/>
          <w:kern w:val="0"/>
          <w:szCs w:val="24"/>
          <w:highlight w:val="none"/>
          <w:u w:val="single"/>
        </w:rPr>
        <w:t>该分部分项工程量清单项目原综合单价</w:t>
      </w:r>
      <w:r>
        <w:rPr>
          <w:rFonts w:ascii="Times New Roman"/>
          <w:snapToGrid w:val="0"/>
          <w:color w:val="auto"/>
          <w:kern w:val="0"/>
          <w:szCs w:val="24"/>
          <w:highlight w:val="none"/>
          <w:u w:val="single"/>
        </w:rPr>
        <w:t xml:space="preserve"> </w:t>
      </w:r>
      <w:r>
        <w:rPr>
          <w:rFonts w:ascii="Times New Roman"/>
          <w:snapToGrid w:val="0"/>
          <w:color w:val="auto"/>
          <w:kern w:val="0"/>
          <w:szCs w:val="24"/>
          <w:highlight w:val="none"/>
        </w:rPr>
        <w:t>为基价调低</w:t>
      </w:r>
      <w:r>
        <w:rPr>
          <w:rFonts w:hAnsi="宋体"/>
          <w:b/>
          <w:color w:val="auto"/>
          <w:szCs w:val="24"/>
          <w:highlight w:val="none"/>
          <w:u w:val="single"/>
        </w:rPr>
        <w:t>该分部分项工程量清单项目原综合单价的</w:t>
      </w:r>
      <w:r>
        <w:rPr>
          <w:rFonts w:ascii="Times New Roman"/>
          <w:snapToGrid w:val="0"/>
          <w:color w:val="auto"/>
          <w:kern w:val="0"/>
          <w:szCs w:val="24"/>
          <w:highlight w:val="none"/>
          <w:u w:val="single"/>
        </w:rPr>
        <w:t xml:space="preserve"> </w:t>
      </w:r>
      <w:r>
        <w:rPr>
          <w:rFonts w:ascii="Times New Roman"/>
          <w:b/>
          <w:bCs/>
          <w:snapToGrid w:val="0"/>
          <w:color w:val="auto"/>
          <w:kern w:val="0"/>
          <w:szCs w:val="24"/>
          <w:highlight w:val="none"/>
          <w:u w:val="single"/>
        </w:rPr>
        <w:t>3</w:t>
      </w:r>
      <w:r>
        <w:rPr>
          <w:rFonts w:ascii="Times New Roman"/>
          <w:snapToGrid w:val="0"/>
          <w:color w:val="auto"/>
          <w:kern w:val="0"/>
          <w:szCs w:val="24"/>
          <w:highlight w:val="none"/>
          <w:u w:val="single"/>
        </w:rPr>
        <w:t xml:space="preserve"> </w:t>
      </w:r>
      <w:r>
        <w:rPr>
          <w:rFonts w:ascii="Times New Roman"/>
          <w:snapToGrid w:val="0"/>
          <w:color w:val="auto"/>
          <w:kern w:val="0"/>
          <w:szCs w:val="24"/>
          <w:highlight w:val="none"/>
        </w:rPr>
        <w:t>%；当工程量减少超过15%时，减少后剩余部分的工程量的综合单价以</w:t>
      </w:r>
      <w:r>
        <w:rPr>
          <w:rFonts w:ascii="Times New Roman"/>
          <w:b/>
          <w:bCs/>
          <w:snapToGrid w:val="0"/>
          <w:color w:val="auto"/>
          <w:kern w:val="0"/>
          <w:szCs w:val="24"/>
          <w:highlight w:val="none"/>
          <w:u w:val="single"/>
        </w:rPr>
        <w:t xml:space="preserve">该分部分项工程量清单项目原综合单价 </w:t>
      </w:r>
      <w:r>
        <w:rPr>
          <w:rFonts w:ascii="Times New Roman"/>
          <w:snapToGrid w:val="0"/>
          <w:color w:val="auto"/>
          <w:kern w:val="0"/>
          <w:szCs w:val="24"/>
          <w:highlight w:val="none"/>
        </w:rPr>
        <w:t>为基价调高</w:t>
      </w:r>
      <w:r>
        <w:rPr>
          <w:rFonts w:hAnsi="宋体"/>
          <w:b/>
          <w:color w:val="auto"/>
          <w:szCs w:val="24"/>
          <w:highlight w:val="none"/>
          <w:u w:val="single"/>
        </w:rPr>
        <w:t>该分部分项工程量清单项目原综合单价的</w:t>
      </w:r>
      <w:r>
        <w:rPr>
          <w:rFonts w:ascii="Times New Roman"/>
          <w:snapToGrid w:val="0"/>
          <w:color w:val="auto"/>
          <w:kern w:val="0"/>
          <w:szCs w:val="24"/>
          <w:highlight w:val="none"/>
          <w:u w:val="single"/>
        </w:rPr>
        <w:t xml:space="preserve"> </w:t>
      </w:r>
      <w:r>
        <w:rPr>
          <w:rFonts w:ascii="Times New Roman"/>
          <w:b/>
          <w:bCs/>
          <w:snapToGrid w:val="0"/>
          <w:color w:val="auto"/>
          <w:kern w:val="0"/>
          <w:szCs w:val="24"/>
          <w:highlight w:val="none"/>
          <w:u w:val="single"/>
        </w:rPr>
        <w:t>3</w:t>
      </w:r>
      <w:r>
        <w:rPr>
          <w:rFonts w:ascii="Times New Roman"/>
          <w:snapToGrid w:val="0"/>
          <w:color w:val="auto"/>
          <w:kern w:val="0"/>
          <w:szCs w:val="24"/>
          <w:highlight w:val="none"/>
          <w:u w:val="single"/>
        </w:rPr>
        <w:t xml:space="preserve"> </w:t>
      </w:r>
      <w:r>
        <w:rPr>
          <w:rFonts w:ascii="Times New Roman"/>
          <w:snapToGrid w:val="0"/>
          <w:color w:val="auto"/>
          <w:kern w:val="0"/>
          <w:szCs w:val="24"/>
          <w:highlight w:val="none"/>
        </w:rPr>
        <w:t>%。</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对于按照第二章“中标人须知”第4.2条被认定为不平衡报价的清单项目，其综合单价按照以下方法调整：</w:t>
      </w:r>
      <w:r>
        <w:rPr>
          <w:rFonts w:ascii="Times New Roman"/>
          <w:snapToGrid w:val="0"/>
          <w:color w:val="auto"/>
          <w:kern w:val="0"/>
          <w:szCs w:val="24"/>
          <w:highlight w:val="none"/>
          <w:u w:val="single"/>
        </w:rPr>
        <w:t>以</w:t>
      </w:r>
      <w:r>
        <w:rPr>
          <w:rFonts w:ascii="Times New Roman"/>
          <w:snapToGrid w:val="0"/>
          <w:color w:val="auto"/>
          <w:kern w:val="0"/>
          <w:highlight w:val="none"/>
          <w:u w:val="single"/>
        </w:rPr>
        <w:t>招标控制价中的《分部分项工程和单价措施项目清单与计价表》子目相对应综合单价</w:t>
      </w:r>
      <w:r>
        <w:rPr>
          <w:rFonts w:hAnsi="宋体" w:cs="宋体"/>
          <w:snapToGrid w:val="0"/>
          <w:color w:val="auto"/>
          <w:kern w:val="0"/>
          <w:szCs w:val="24"/>
          <w:highlight w:val="none"/>
          <w:u w:val="single"/>
        </w:rPr>
        <w:t>×（1-中标下浮率）</w:t>
      </w:r>
      <w:r>
        <w:rPr>
          <w:rFonts w:ascii="Times New Roman"/>
          <w:snapToGrid w:val="0"/>
          <w:color w:val="auto"/>
          <w:kern w:val="0"/>
          <w:szCs w:val="24"/>
          <w:highlight w:val="none"/>
          <w:u w:val="single"/>
        </w:rPr>
        <w:t>。</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2.3.2.2</w:t>
      </w:r>
      <w:r>
        <w:rPr>
          <w:rFonts w:ascii="Times New Roman"/>
          <w:snapToGrid w:val="0"/>
          <w:color w:val="auto"/>
          <w:kern w:val="0"/>
          <w:szCs w:val="24"/>
          <w:highlight w:val="none"/>
        </w:rPr>
        <w:t xml:space="preserve"> 如果工程量出现本章第</w:t>
      </w:r>
      <w:r>
        <w:rPr>
          <w:rFonts w:ascii="Times New Roman"/>
          <w:b/>
          <w:bCs/>
          <w:snapToGrid w:val="0"/>
          <w:color w:val="auto"/>
          <w:kern w:val="0"/>
          <w:szCs w:val="24"/>
          <w:highlight w:val="none"/>
        </w:rPr>
        <w:t>2.3.2.1</w:t>
      </w:r>
      <w:r>
        <w:rPr>
          <w:rFonts w:ascii="Times New Roman"/>
          <w:snapToGrid w:val="0"/>
          <w:color w:val="auto"/>
          <w:kern w:val="0"/>
          <w:szCs w:val="24"/>
          <w:highlight w:val="none"/>
        </w:rPr>
        <w:t>子目的变化，且该变化引起相关措施项目相应发生变化时，按系数或单一总价方式计价的，工程量增加的措施项目费调增，工程量减少的措施项目费调减。</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2.3.3</w:t>
      </w:r>
      <w:r>
        <w:rPr>
          <w:rFonts w:ascii="Times New Roman"/>
          <w:snapToGrid w:val="0"/>
          <w:color w:val="auto"/>
          <w:kern w:val="0"/>
          <w:szCs w:val="24"/>
          <w:highlight w:val="none"/>
        </w:rPr>
        <w:t xml:space="preserve"> 工程变更</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2.3.3.1</w:t>
      </w:r>
      <w:r>
        <w:rPr>
          <w:rFonts w:ascii="Times New Roman"/>
          <w:snapToGrid w:val="0"/>
          <w:color w:val="auto"/>
          <w:kern w:val="0"/>
          <w:szCs w:val="24"/>
          <w:highlight w:val="none"/>
        </w:rPr>
        <w:t xml:space="preserve"> 合同履行期间，因工程变更引起已标价工程量清单项目发生变化时，按照以下规定调整：</w:t>
      </w:r>
    </w:p>
    <w:p>
      <w:pPr>
        <w:wordWrap w:val="0"/>
        <w:adjustRightInd w:val="0"/>
        <w:snapToGrid w:val="0"/>
        <w:spacing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（1）已标价工程量清单中有适用于变更工程项目的，采用该项目的单价。</w:t>
      </w:r>
      <w:r>
        <w:rPr>
          <w:rFonts w:ascii="Times New Roman"/>
          <w:b/>
          <w:bCs/>
          <w:snapToGrid w:val="0"/>
          <w:color w:val="auto"/>
          <w:kern w:val="0"/>
          <w:szCs w:val="24"/>
          <w:highlight w:val="none"/>
        </w:rPr>
        <w:t>但如果被采用的项目属于按照第二章“中标人须知”第4.2条被认定为不平衡报价的清单项目，变更工程项目的单价按照以下方法调整：</w:t>
      </w:r>
      <w:r>
        <w:rPr>
          <w:rFonts w:ascii="Times New Roman"/>
          <w:snapToGrid w:val="0"/>
          <w:color w:val="auto"/>
          <w:kern w:val="0"/>
          <w:szCs w:val="24"/>
          <w:highlight w:val="none"/>
          <w:u w:val="single"/>
        </w:rPr>
        <w:t>以</w:t>
      </w:r>
      <w:r>
        <w:rPr>
          <w:rFonts w:ascii="Times New Roman"/>
          <w:snapToGrid w:val="0"/>
          <w:color w:val="auto"/>
          <w:kern w:val="0"/>
          <w:highlight w:val="none"/>
          <w:u w:val="single"/>
        </w:rPr>
        <w:t>招标控制价中的《分部分项工程和单价措施项目清单与计价表》子目相对应综合单价</w:t>
      </w:r>
      <w:r>
        <w:rPr>
          <w:rFonts w:hAnsi="宋体" w:cs="宋体"/>
          <w:snapToGrid w:val="0"/>
          <w:color w:val="auto"/>
          <w:kern w:val="0"/>
          <w:szCs w:val="24"/>
          <w:highlight w:val="none"/>
          <w:u w:val="single"/>
        </w:rPr>
        <w:t>×（1-中标下浮率）</w:t>
      </w:r>
      <w:r>
        <w:rPr>
          <w:rFonts w:ascii="Times New Roman"/>
          <w:snapToGrid w:val="0"/>
          <w:color w:val="auto"/>
          <w:kern w:val="0"/>
          <w:szCs w:val="24"/>
          <w:highlight w:val="none"/>
          <w:u w:val="single"/>
        </w:rPr>
        <w:t>。</w:t>
      </w:r>
    </w:p>
    <w:p>
      <w:pPr>
        <w:wordWrap w:val="0"/>
        <w:adjustRightInd w:val="0"/>
        <w:snapToGrid w:val="0"/>
        <w:spacing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（2）已标价工程量清单中没有适用但有类似于变更工程项目的，可在合理范围内参照类似项目的单价。</w:t>
      </w:r>
      <w:r>
        <w:rPr>
          <w:rFonts w:ascii="Times New Roman"/>
          <w:b/>
          <w:bCs/>
          <w:snapToGrid w:val="0"/>
          <w:color w:val="auto"/>
          <w:kern w:val="0"/>
          <w:szCs w:val="24"/>
          <w:highlight w:val="none"/>
        </w:rPr>
        <w:t>但如果被参考的类似项目属于按照第二章“中标人须知”第4.2条被认定为不平衡报价的清单项目，变更工程项目的单价按照以下方法调整：</w:t>
      </w:r>
      <w:r>
        <w:rPr>
          <w:rFonts w:ascii="Times New Roman"/>
          <w:snapToGrid w:val="0"/>
          <w:color w:val="auto"/>
          <w:kern w:val="0"/>
          <w:szCs w:val="24"/>
          <w:highlight w:val="none"/>
          <w:u w:val="single"/>
        </w:rPr>
        <w:t>以</w:t>
      </w:r>
      <w:r>
        <w:rPr>
          <w:rFonts w:ascii="Times New Roman"/>
          <w:snapToGrid w:val="0"/>
          <w:color w:val="auto"/>
          <w:kern w:val="0"/>
          <w:highlight w:val="none"/>
          <w:u w:val="single"/>
        </w:rPr>
        <w:t>招标控制价中的《分部分项工程和单价措施项目清单与计价表》子目相对应综合单价</w:t>
      </w:r>
      <w:r>
        <w:rPr>
          <w:rFonts w:hAnsi="宋体" w:cs="宋体"/>
          <w:snapToGrid w:val="0"/>
          <w:color w:val="auto"/>
          <w:kern w:val="0"/>
          <w:szCs w:val="24"/>
          <w:highlight w:val="none"/>
          <w:u w:val="single"/>
        </w:rPr>
        <w:t>×（1-中标下浮率）</w:t>
      </w:r>
      <w:r>
        <w:rPr>
          <w:rFonts w:ascii="Times New Roman"/>
          <w:snapToGrid w:val="0"/>
          <w:color w:val="auto"/>
          <w:kern w:val="0"/>
          <w:szCs w:val="24"/>
          <w:highlight w:val="none"/>
          <w:u w:val="single"/>
        </w:rPr>
        <w:t>。</w:t>
      </w:r>
    </w:p>
    <w:p>
      <w:pPr>
        <w:wordWrap w:val="0"/>
        <w:adjustRightInd w:val="0"/>
        <w:snapToGrid w:val="0"/>
        <w:spacing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pPr>
        <w:wordWrap w:val="0"/>
        <w:adjustRightInd w:val="0"/>
        <w:snapToGrid w:val="0"/>
        <w:spacing w:line="440" w:lineRule="exact"/>
        <w:jc w:val="center"/>
        <w:rPr>
          <w:rFonts w:ascii="Times New Roman"/>
          <w:snapToGrid w:val="0"/>
          <w:color w:val="auto"/>
          <w:kern w:val="0"/>
          <w:szCs w:val="24"/>
          <w:highlight w:val="none"/>
          <w:u w:val="wave"/>
        </w:rPr>
      </w:pPr>
      <w:r>
        <w:rPr>
          <w:rFonts w:ascii="Times New Roman"/>
          <w:snapToGrid w:val="0"/>
          <w:color w:val="auto"/>
          <w:kern w:val="0"/>
          <w:szCs w:val="24"/>
          <w:highlight w:val="none"/>
        </w:rPr>
        <w:t>中标下浮率＝（1－中标价÷招标控制价）×100%</w:t>
      </w:r>
    </w:p>
    <w:p>
      <w:pPr>
        <w:numPr>
          <w:ilvl w:val="0"/>
          <w:numId w:val="6"/>
        </w:numPr>
        <w:wordWrap w:val="0"/>
        <w:adjustRightInd w:val="0"/>
        <w:snapToGrid w:val="0"/>
        <w:spacing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已标价工程量清单中没有适用也没有类似于变更工程项目，且施工当月项目所在地工程造价管理机构发布的价格信息缺项的，由承包人根据变更工程资料、计量规则、计价办法和通过依次参考佛山、广州、东莞、清远、肇庆等广东省内地区信息价执行，若以上城市均没有信息价则按厂商信息价、市场调查（优先从京东、国美、苏宁等大型电商平台查询取其平均价）、市场询价等取得有合法依据的市场价格提出变更工程项目的单价，报发包人确认后调整。</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2.3.3.2</w:t>
      </w:r>
      <w:r>
        <w:rPr>
          <w:rFonts w:ascii="Times New Roman"/>
          <w:snapToGrid w:val="0"/>
          <w:color w:val="auto"/>
          <w:kern w:val="0"/>
          <w:szCs w:val="24"/>
          <w:highlight w:val="none"/>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pPr>
        <w:wordWrap w:val="0"/>
        <w:adjustRightInd w:val="0"/>
        <w:snapToGrid w:val="0"/>
        <w:spacing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（1）绿色施工安全防护措施费应按照实际发生变化的措施项目计算。</w:t>
      </w:r>
    </w:p>
    <w:p>
      <w:pPr>
        <w:wordWrap w:val="0"/>
        <w:adjustRightInd w:val="0"/>
        <w:snapToGrid w:val="0"/>
        <w:spacing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（2）采用单价计算的措施项目费，应按照实际发生变化的措施项目，按本章第</w:t>
      </w:r>
      <w:r>
        <w:rPr>
          <w:rFonts w:ascii="Times New Roman"/>
          <w:b/>
          <w:bCs/>
          <w:snapToGrid w:val="0"/>
          <w:color w:val="auto"/>
          <w:kern w:val="0"/>
          <w:szCs w:val="24"/>
          <w:highlight w:val="none"/>
        </w:rPr>
        <w:t>2.3.3.1</w:t>
      </w:r>
      <w:r>
        <w:rPr>
          <w:rFonts w:ascii="Times New Roman"/>
          <w:snapToGrid w:val="0"/>
          <w:color w:val="auto"/>
          <w:kern w:val="0"/>
          <w:szCs w:val="24"/>
          <w:highlight w:val="none"/>
        </w:rPr>
        <w:t>子目的规定确定单价。</w:t>
      </w:r>
    </w:p>
    <w:p>
      <w:pPr>
        <w:wordWrap w:val="0"/>
        <w:adjustRightInd w:val="0"/>
        <w:snapToGrid w:val="0"/>
        <w:spacing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（3）按总价或系数计算的措施项目费，应按照实际发生变化的措施项目费调整并考虑中标下浮率因素，即调整金额</w:t>
      </w:r>
      <w:r>
        <w:rPr>
          <w:rFonts w:ascii="Times New Roman"/>
          <w:bCs/>
          <w:snapToGrid w:val="0"/>
          <w:color w:val="auto"/>
          <w:kern w:val="0"/>
          <w:szCs w:val="28"/>
          <w:highlight w:val="none"/>
        </w:rPr>
        <w:t>＝按照实际变化调整</w:t>
      </w:r>
      <w:r>
        <w:rPr>
          <w:rFonts w:ascii="Times New Roman"/>
          <w:snapToGrid w:val="0"/>
          <w:color w:val="auto"/>
          <w:kern w:val="0"/>
          <w:szCs w:val="24"/>
          <w:highlight w:val="none"/>
        </w:rPr>
        <w:t>后的金额</w:t>
      </w:r>
      <w:r>
        <w:rPr>
          <w:rFonts w:ascii="Times New Roman"/>
          <w:bCs/>
          <w:snapToGrid w:val="0"/>
          <w:color w:val="auto"/>
          <w:kern w:val="0"/>
          <w:szCs w:val="28"/>
          <w:highlight w:val="none"/>
        </w:rPr>
        <w:t>×</w:t>
      </w:r>
      <w:r>
        <w:rPr>
          <w:rFonts w:ascii="Times New Roman"/>
          <w:snapToGrid w:val="0"/>
          <w:color w:val="auto"/>
          <w:kern w:val="0"/>
          <w:szCs w:val="24"/>
          <w:highlight w:val="none"/>
        </w:rPr>
        <w:t>中标下浮率。</w:t>
      </w:r>
    </w:p>
    <w:p>
      <w:pPr>
        <w:wordWrap w:val="0"/>
        <w:adjustRightInd w:val="0"/>
        <w:snapToGrid w:val="0"/>
        <w:spacing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如果承包人未事先将拟实施的方案提交发包人确认，视为工程变更不引起措施项目费的调整或承包人放弃调整措施项目费的权利。</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2.3.3.3</w:t>
      </w:r>
      <w:r>
        <w:rPr>
          <w:rFonts w:ascii="Times New Roman"/>
          <w:snapToGrid w:val="0"/>
          <w:color w:val="auto"/>
          <w:kern w:val="0"/>
          <w:szCs w:val="24"/>
          <w:highlight w:val="none"/>
        </w:rPr>
        <w:t xml:space="preserve"> 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2.3.4</w:t>
      </w:r>
      <w:r>
        <w:rPr>
          <w:rFonts w:ascii="Times New Roman"/>
          <w:snapToGrid w:val="0"/>
          <w:color w:val="auto"/>
          <w:kern w:val="0"/>
          <w:szCs w:val="24"/>
          <w:highlight w:val="none"/>
        </w:rPr>
        <w:t xml:space="preserve"> 项目特征不符</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snapToGrid w:val="0"/>
          <w:color w:val="auto"/>
          <w:kern w:val="0"/>
          <w:szCs w:val="24"/>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ascii="Times New Roman"/>
          <w:b/>
          <w:bCs/>
          <w:snapToGrid w:val="0"/>
          <w:color w:val="auto"/>
          <w:kern w:val="0"/>
          <w:szCs w:val="24"/>
          <w:highlight w:val="none"/>
        </w:rPr>
        <w:t>2.3.3</w:t>
      </w:r>
      <w:r>
        <w:rPr>
          <w:rFonts w:ascii="Times New Roman"/>
          <w:snapToGrid w:val="0"/>
          <w:color w:val="auto"/>
          <w:kern w:val="0"/>
          <w:szCs w:val="24"/>
          <w:highlight w:val="none"/>
        </w:rPr>
        <w:t>目相关条款的规定重新确定相应工程量清单项目的综合单价，并调整合同价款。</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2.3.5</w:t>
      </w:r>
      <w:r>
        <w:rPr>
          <w:rFonts w:ascii="Times New Roman"/>
          <w:snapToGrid w:val="0"/>
          <w:color w:val="auto"/>
          <w:kern w:val="0"/>
          <w:szCs w:val="24"/>
          <w:highlight w:val="none"/>
        </w:rPr>
        <w:t xml:space="preserve"> 招标工程量清单缺项</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2.3.5.1</w:t>
      </w:r>
      <w:r>
        <w:rPr>
          <w:rFonts w:ascii="Times New Roman"/>
          <w:snapToGrid w:val="0"/>
          <w:color w:val="auto"/>
          <w:kern w:val="0"/>
          <w:szCs w:val="24"/>
          <w:highlight w:val="none"/>
        </w:rPr>
        <w:t xml:space="preserve"> 合同履行期间，由于招标工程量清单中缺项，新增分部分项工程清单项目，应按照本章第</w:t>
      </w:r>
      <w:r>
        <w:rPr>
          <w:rFonts w:ascii="Times New Roman"/>
          <w:b/>
          <w:bCs/>
          <w:snapToGrid w:val="0"/>
          <w:color w:val="auto"/>
          <w:kern w:val="0"/>
          <w:szCs w:val="24"/>
          <w:highlight w:val="none"/>
        </w:rPr>
        <w:t>2.3.3.1</w:t>
      </w:r>
      <w:r>
        <w:rPr>
          <w:rFonts w:ascii="Times New Roman"/>
          <w:snapToGrid w:val="0"/>
          <w:color w:val="auto"/>
          <w:kern w:val="0"/>
          <w:szCs w:val="24"/>
          <w:highlight w:val="none"/>
        </w:rPr>
        <w:t>子目的规定确定单价，并调整合同价款。</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2.3.5.2</w:t>
      </w:r>
      <w:r>
        <w:rPr>
          <w:rFonts w:ascii="Times New Roman"/>
          <w:snapToGrid w:val="0"/>
          <w:color w:val="auto"/>
          <w:kern w:val="0"/>
          <w:szCs w:val="24"/>
          <w:highlight w:val="none"/>
        </w:rPr>
        <w:t xml:space="preserve"> 新增分部分项工程清单项目后，引起措施项目发生变化的，应按照本章第</w:t>
      </w:r>
      <w:r>
        <w:rPr>
          <w:rFonts w:ascii="Times New Roman"/>
          <w:b/>
          <w:bCs/>
          <w:snapToGrid w:val="0"/>
          <w:color w:val="auto"/>
          <w:kern w:val="0"/>
          <w:szCs w:val="24"/>
          <w:highlight w:val="none"/>
        </w:rPr>
        <w:t>2.3.3.2</w:t>
      </w:r>
      <w:r>
        <w:rPr>
          <w:rFonts w:ascii="Times New Roman"/>
          <w:snapToGrid w:val="0"/>
          <w:color w:val="auto"/>
          <w:kern w:val="0"/>
          <w:szCs w:val="24"/>
          <w:highlight w:val="none"/>
        </w:rPr>
        <w:t>子目的规定，在承包人提交的实施方案被发包人批准后调整合同价款。</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2.3.5.3</w:t>
      </w:r>
      <w:r>
        <w:rPr>
          <w:rFonts w:ascii="Times New Roman"/>
          <w:snapToGrid w:val="0"/>
          <w:color w:val="auto"/>
          <w:kern w:val="0"/>
          <w:szCs w:val="24"/>
          <w:highlight w:val="none"/>
        </w:rPr>
        <w:t xml:space="preserve"> 由于招标工程量清单中措施项目缺项，承包人应将新增措施项目实施方案提交发包人批准后，按照本章第</w:t>
      </w:r>
      <w:r>
        <w:rPr>
          <w:rFonts w:ascii="Times New Roman"/>
          <w:b/>
          <w:bCs/>
          <w:snapToGrid w:val="0"/>
          <w:color w:val="auto"/>
          <w:kern w:val="0"/>
          <w:szCs w:val="24"/>
          <w:highlight w:val="none"/>
        </w:rPr>
        <w:t>2.3.3.1</w:t>
      </w:r>
      <w:r>
        <w:rPr>
          <w:rFonts w:ascii="Times New Roman"/>
          <w:snapToGrid w:val="0"/>
          <w:color w:val="auto"/>
          <w:kern w:val="0"/>
          <w:szCs w:val="24"/>
          <w:highlight w:val="none"/>
        </w:rPr>
        <w:t>子目、第</w:t>
      </w:r>
      <w:r>
        <w:rPr>
          <w:rFonts w:ascii="Times New Roman"/>
          <w:b/>
          <w:bCs/>
          <w:snapToGrid w:val="0"/>
          <w:color w:val="auto"/>
          <w:kern w:val="0"/>
          <w:szCs w:val="24"/>
          <w:highlight w:val="none"/>
        </w:rPr>
        <w:t>2.3.3.2</w:t>
      </w:r>
      <w:r>
        <w:rPr>
          <w:rFonts w:ascii="Times New Roman"/>
          <w:snapToGrid w:val="0"/>
          <w:color w:val="auto"/>
          <w:kern w:val="0"/>
          <w:szCs w:val="24"/>
          <w:highlight w:val="none"/>
        </w:rPr>
        <w:t>子目的规定调整合同价款。</w:t>
      </w:r>
    </w:p>
    <w:p>
      <w:pPr>
        <w:wordWrap w:val="0"/>
        <w:adjustRightInd w:val="0"/>
        <w:snapToGrid w:val="0"/>
        <w:spacing w:line="440" w:lineRule="exact"/>
        <w:ind w:firstLine="482" w:firstLineChars="200"/>
        <w:rPr>
          <w:rFonts w:ascii="Times New Roman"/>
          <w:bCs/>
          <w:snapToGrid w:val="0"/>
          <w:color w:val="auto"/>
          <w:kern w:val="0"/>
          <w:szCs w:val="28"/>
          <w:highlight w:val="none"/>
        </w:rPr>
      </w:pPr>
      <w:r>
        <w:rPr>
          <w:rFonts w:ascii="Times New Roman"/>
          <w:b/>
          <w:snapToGrid w:val="0"/>
          <w:color w:val="auto"/>
          <w:kern w:val="0"/>
          <w:szCs w:val="28"/>
          <w:highlight w:val="none"/>
        </w:rPr>
        <w:t>2.3.6</w:t>
      </w:r>
      <w:r>
        <w:rPr>
          <w:rFonts w:ascii="Times New Roman"/>
          <w:bCs/>
          <w:snapToGrid w:val="0"/>
          <w:color w:val="auto"/>
          <w:kern w:val="0"/>
          <w:szCs w:val="28"/>
          <w:highlight w:val="none"/>
        </w:rPr>
        <w:t xml:space="preserve"> 物价变化</w:t>
      </w:r>
    </w:p>
    <w:p>
      <w:pPr>
        <w:wordWrap w:val="0"/>
        <w:adjustRightInd w:val="0"/>
        <w:snapToGrid w:val="0"/>
        <w:spacing w:line="440" w:lineRule="exact"/>
        <w:ind w:firstLine="482" w:firstLineChars="200"/>
        <w:rPr>
          <w:rFonts w:ascii="Times New Roman"/>
          <w:bCs/>
          <w:snapToGrid w:val="0"/>
          <w:color w:val="auto"/>
          <w:kern w:val="0"/>
          <w:szCs w:val="28"/>
          <w:highlight w:val="none"/>
        </w:rPr>
      </w:pPr>
      <w:r>
        <w:rPr>
          <w:rFonts w:ascii="Times New Roman"/>
          <w:b/>
          <w:snapToGrid w:val="0"/>
          <w:color w:val="auto"/>
          <w:kern w:val="0"/>
          <w:szCs w:val="28"/>
          <w:highlight w:val="none"/>
        </w:rPr>
        <w:t>2.3.6.1</w:t>
      </w:r>
      <w:r>
        <w:rPr>
          <w:rFonts w:ascii="Times New Roman"/>
          <w:bCs/>
          <w:snapToGrid w:val="0"/>
          <w:color w:val="auto"/>
          <w:kern w:val="0"/>
          <w:szCs w:val="28"/>
          <w:highlight w:val="none"/>
        </w:rPr>
        <w:t xml:space="preserve"> 合同履行期间，项目所在地工程造价管理机构发布的动态人工调整系数发生变化时，如果承包人投标报价中人工费（</w:t>
      </w:r>
      <w:r>
        <w:rPr>
          <w:rFonts w:ascii="Times New Roman"/>
          <w:snapToGrid w:val="0"/>
          <w:color w:val="auto"/>
          <w:kern w:val="0"/>
          <w:szCs w:val="24"/>
          <w:highlight w:val="none"/>
        </w:rPr>
        <w:t>以下简称“中标人工费”</w:t>
      </w:r>
      <w:r>
        <w:rPr>
          <w:rFonts w:ascii="Times New Roman"/>
          <w:bCs/>
          <w:snapToGrid w:val="0"/>
          <w:color w:val="auto"/>
          <w:kern w:val="0"/>
          <w:szCs w:val="28"/>
          <w:highlight w:val="none"/>
        </w:rPr>
        <w:t>）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pPr>
        <w:wordWrap w:val="0"/>
        <w:adjustRightInd w:val="0"/>
        <w:snapToGrid w:val="0"/>
        <w:spacing w:line="440" w:lineRule="exact"/>
        <w:ind w:firstLine="480" w:firstLineChars="200"/>
        <w:rPr>
          <w:rFonts w:ascii="Times New Roman"/>
          <w:bCs/>
          <w:snapToGrid w:val="0"/>
          <w:color w:val="auto"/>
          <w:kern w:val="0"/>
          <w:szCs w:val="28"/>
          <w:highlight w:val="none"/>
        </w:rPr>
      </w:pPr>
      <w:r>
        <w:rPr>
          <w:rFonts w:ascii="Times New Roman"/>
          <w:bCs/>
          <w:snapToGrid w:val="0"/>
          <w:color w:val="auto"/>
          <w:kern w:val="0"/>
          <w:szCs w:val="28"/>
          <w:highlight w:val="none"/>
        </w:rPr>
        <w:t>结算人工费＝中标人工费×F</w:t>
      </w:r>
      <w:r>
        <w:rPr>
          <w:rFonts w:ascii="Times New Roman"/>
          <w:bCs/>
          <w:snapToGrid w:val="0"/>
          <w:color w:val="auto"/>
          <w:kern w:val="0"/>
          <w:szCs w:val="28"/>
          <w:highlight w:val="none"/>
          <w:vertAlign w:val="subscript"/>
        </w:rPr>
        <w:t>1</w:t>
      </w:r>
    </w:p>
    <w:p>
      <w:pPr>
        <w:wordWrap w:val="0"/>
        <w:adjustRightInd w:val="0"/>
        <w:snapToGrid w:val="0"/>
        <w:spacing w:line="440" w:lineRule="exact"/>
        <w:ind w:firstLine="480" w:firstLineChars="200"/>
        <w:rPr>
          <w:rFonts w:ascii="Times New Roman"/>
          <w:snapToGrid w:val="0"/>
          <w:color w:val="auto"/>
          <w:kern w:val="0"/>
          <w:szCs w:val="24"/>
          <w:highlight w:val="none"/>
        </w:rPr>
      </w:pPr>
      <w:r>
        <w:rPr>
          <w:rFonts w:ascii="Times New Roman"/>
          <w:bCs/>
          <w:snapToGrid w:val="0"/>
          <w:color w:val="auto"/>
          <w:kern w:val="0"/>
          <w:szCs w:val="28"/>
          <w:highlight w:val="none"/>
        </w:rPr>
        <w:t>式中，F</w:t>
      </w:r>
      <w:r>
        <w:rPr>
          <w:rFonts w:ascii="Times New Roman"/>
          <w:bCs/>
          <w:snapToGrid w:val="0"/>
          <w:color w:val="auto"/>
          <w:kern w:val="0"/>
          <w:szCs w:val="28"/>
          <w:highlight w:val="none"/>
          <w:vertAlign w:val="subscript"/>
        </w:rPr>
        <w:t>1</w:t>
      </w:r>
      <w:r>
        <w:rPr>
          <w:rFonts w:ascii="Times New Roman"/>
          <w:bCs/>
          <w:snapToGrid w:val="0"/>
          <w:color w:val="auto"/>
          <w:kern w:val="0"/>
          <w:szCs w:val="28"/>
          <w:highlight w:val="none"/>
        </w:rPr>
        <w:t>为施工当月项目所在地工程造价管理机构发布的动态人工调整系数。</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2.3.6.2</w:t>
      </w:r>
      <w:r>
        <w:rPr>
          <w:rFonts w:ascii="Times New Roman"/>
          <w:snapToGrid w:val="0"/>
          <w:color w:val="auto"/>
          <w:kern w:val="0"/>
          <w:szCs w:val="24"/>
          <w:highlight w:val="none"/>
        </w:rPr>
        <w:t xml:space="preserve"> 本招标项目约定，材料、工程设备单价涨跌风险幅度值A为</w:t>
      </w:r>
      <w:r>
        <w:rPr>
          <w:rFonts w:ascii="Times New Roman"/>
          <w:snapToGrid w:val="0"/>
          <w:color w:val="auto"/>
          <w:kern w:val="0"/>
          <w:szCs w:val="24"/>
          <w:highlight w:val="none"/>
          <w:u w:val="single"/>
        </w:rPr>
        <w:t xml:space="preserve"> 5% </w:t>
      </w:r>
      <w:r>
        <w:rPr>
          <w:rFonts w:ascii="Times New Roman"/>
          <w:snapToGrid w:val="0"/>
          <w:color w:val="auto"/>
          <w:kern w:val="0"/>
          <w:szCs w:val="24"/>
          <w:highlight w:val="none"/>
        </w:rPr>
        <w:t>。合同履行期间，当《承包人提供主要材料和工程设备一览表》（详见招标工程量清单）中的材料、工程设备单价涨跌幅度等于或低于A值时，该材料、工程设备单价不予调整；超过A值时，其超过部分可以调整。相关费用按有关规定进行相应调整。</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a</w:t>
      </w:r>
      <w:r>
        <w:rPr>
          <w:rFonts w:ascii="Times New Roman"/>
          <w:snapToGrid w:val="0"/>
          <w:color w:val="auto"/>
          <w:kern w:val="0"/>
          <w:szCs w:val="24"/>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涨价时，</w:t>
      </w:r>
      <w:r>
        <w:rPr>
          <w:rFonts w:ascii="Times New Roman"/>
          <w:snapToGrid w:val="0"/>
          <w:color w:val="auto"/>
          <w:kern w:val="0"/>
          <w:position w:val="-30"/>
          <w:szCs w:val="24"/>
          <w:highlight w:val="none"/>
        </w:rPr>
        <w:object>
          <v:shape id="_x0000_i1025" o:spt="75" type="#_x0000_t75" style="height:33.95pt;width:200.95pt;" o:ole="t" filled="f" stroked="f" coordsize="21600,21600">
            <v:path/>
            <v:fill on="f" focussize="0,0"/>
            <v:stroke on="f"/>
            <v:imagedata r:id="rId10" o:title=""/>
            <o:lock v:ext="edit" grouping="f" rotation="f" text="f" aspectratio="t"/>
            <w10:wrap type="none"/>
            <w10:anchorlock/>
          </v:shape>
          <o:OLEObject Type="Embed" ProgID="Equation.KSEE3" ShapeID="_x0000_i1025" DrawAspect="Content" ObjectID="_1468075725" r:id="rId9">
            <o:LockedField>false</o:LockedField>
          </o:OLEObject>
        </w:object>
      </w:r>
    </w:p>
    <w:p>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跌价时，</w:t>
      </w:r>
      <w:r>
        <w:rPr>
          <w:rFonts w:ascii="Times New Roman"/>
          <w:snapToGrid w:val="0"/>
          <w:color w:val="auto"/>
          <w:kern w:val="0"/>
          <w:position w:val="-30"/>
          <w:szCs w:val="24"/>
          <w:highlight w:val="none"/>
        </w:rPr>
        <w:object>
          <v:shape id="_x0000_i1026" o:spt="75" type="#_x0000_t75" style="height:33.95pt;width:198.95pt;" o:ole="t" filled="f" stroked="f" coordsize="21600,21600">
            <v:path/>
            <v:fill on="f" focussize="0,0"/>
            <v:stroke on="f"/>
            <v:imagedata r:id="rId12" o:title=""/>
            <o:lock v:ext="edit" grouping="f" rotation="f" text="f" aspectratio="t"/>
            <w10:wrap type="none"/>
            <w10:anchorlock/>
          </v:shape>
          <o:OLEObject Type="Embed" ProgID="Equation.KSEE3" ShapeID="_x0000_i1026" DrawAspect="Content" ObjectID="_1468075726" r:id="rId11">
            <o:LockedField>false</o:LockedField>
          </o:OLEObject>
        </w:objec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b</w:t>
      </w:r>
      <w:r>
        <w:rPr>
          <w:rFonts w:ascii="Times New Roman"/>
          <w:snapToGrid w:val="0"/>
          <w:color w:val="auto"/>
          <w:kern w:val="0"/>
          <w:szCs w:val="24"/>
          <w:highlight w:val="none"/>
        </w:rPr>
        <w:t>．如果中标单价高于基准单价，该材料、工程设备的结算单价调整公式为：</w:t>
      </w:r>
    </w:p>
    <w:p>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涨价时，</w:t>
      </w:r>
      <w:r>
        <w:rPr>
          <w:rFonts w:ascii="Times New Roman"/>
          <w:snapToGrid w:val="0"/>
          <w:color w:val="auto"/>
          <w:kern w:val="0"/>
          <w:position w:val="-30"/>
          <w:szCs w:val="24"/>
          <w:highlight w:val="none"/>
        </w:rPr>
        <w:object>
          <v:shape id="_x0000_i1027" o:spt="75" type="#_x0000_t75" style="height:33.95pt;width:198.95pt;" o:ole="t" filled="f" stroked="f" coordsize="21600,21600">
            <v:path/>
            <v:fill on="f" focussize="0,0"/>
            <v:stroke on="f"/>
            <v:imagedata r:id="rId14" o:title=""/>
            <o:lock v:ext="edit" grouping="f" rotation="f" text="f" aspectratio="t"/>
            <w10:wrap type="none"/>
            <w10:anchorlock/>
          </v:shape>
          <o:OLEObject Type="Embed" ProgID="Equation.KSEE3" ShapeID="_x0000_i1027" DrawAspect="Content" ObjectID="_1468075727" r:id="rId13">
            <o:LockedField>false</o:LockedField>
          </o:OLEObject>
        </w:object>
      </w:r>
    </w:p>
    <w:p>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跌价时，</w:t>
      </w:r>
      <w:r>
        <w:rPr>
          <w:rFonts w:ascii="Times New Roman"/>
          <w:snapToGrid w:val="0"/>
          <w:color w:val="auto"/>
          <w:kern w:val="0"/>
          <w:position w:val="-30"/>
          <w:szCs w:val="24"/>
          <w:highlight w:val="none"/>
        </w:rPr>
        <w:object>
          <v:shape id="_x0000_i1028" o:spt="75" type="#_x0000_t75" style="height:33.95pt;width:200.95pt;" o:ole="t" filled="f" stroked="f" coordsize="21600,21600">
            <v:path/>
            <v:fill on="f" focussize="0,0"/>
            <v:stroke on="f"/>
            <v:imagedata r:id="rId16" o:title=""/>
            <o:lock v:ext="edit" grouping="f" rotation="f" text="f" aspectratio="t"/>
            <w10:wrap type="none"/>
            <w10:anchorlock/>
          </v:shape>
          <o:OLEObject Type="Embed" ProgID="Equation.KSEE3" ShapeID="_x0000_i1028" DrawAspect="Content" ObjectID="_1468075728" r:id="rId15">
            <o:LockedField>false</o:LockedField>
          </o:OLEObject>
        </w:objec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c</w:t>
      </w:r>
      <w:r>
        <w:rPr>
          <w:rFonts w:ascii="Times New Roman"/>
          <w:snapToGrid w:val="0"/>
          <w:color w:val="auto"/>
          <w:kern w:val="0"/>
          <w:szCs w:val="24"/>
          <w:highlight w:val="none"/>
        </w:rPr>
        <w:t>．如果中标单价等于基准单价，该材料、工程设备的结算单价调整公式为：</w:t>
      </w:r>
    </w:p>
    <w:p>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涨价时，</w:t>
      </w:r>
      <w:r>
        <w:rPr>
          <w:rFonts w:ascii="Times New Roman"/>
          <w:snapToGrid w:val="0"/>
          <w:color w:val="auto"/>
          <w:kern w:val="0"/>
          <w:position w:val="-30"/>
          <w:szCs w:val="24"/>
          <w:highlight w:val="none"/>
        </w:rPr>
        <w:object>
          <v:shape id="_x0000_i1029" o:spt="75" type="#_x0000_t75" style="height:33.95pt;width:200.95pt;" o:ole="t" filled="f" stroked="f" coordsize="21600,21600">
            <v:path/>
            <v:fill on="f" focussize="0,0"/>
            <v:stroke on="f"/>
            <v:imagedata r:id="rId18" o:title=""/>
            <o:lock v:ext="edit" grouping="f" rotation="f" text="f" aspectratio="t"/>
            <w10:wrap type="none"/>
            <w10:anchorlock/>
          </v:shape>
          <o:OLEObject Type="Embed" ProgID="Equation.KSEE3" ShapeID="_x0000_i1029" DrawAspect="Content" ObjectID="_1468075729" r:id="rId17">
            <o:LockedField>false</o:LockedField>
          </o:OLEObject>
        </w:object>
      </w:r>
    </w:p>
    <w:p>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跌价时，</w:t>
      </w:r>
      <w:r>
        <w:rPr>
          <w:rFonts w:ascii="Times New Roman"/>
          <w:snapToGrid w:val="0"/>
          <w:color w:val="auto"/>
          <w:kern w:val="0"/>
          <w:position w:val="-30"/>
          <w:szCs w:val="24"/>
          <w:highlight w:val="none"/>
        </w:rPr>
        <w:object>
          <v:shape id="_x0000_i1030" o:spt="75" type="#_x0000_t75" style="height:33.95pt;width:200.95pt;" o:ole="t" filled="f" o:preferrelative="t" stroked="f" coordsize="21600,21600">
            <v:path/>
            <v:fill on="f" focussize="0,0"/>
            <v:stroke on="f"/>
            <v:imagedata r:id="rId20" o:title=""/>
            <o:lock v:ext="edit" grouping="f" rotation="f" text="f" aspectratio="t"/>
            <w10:wrap type="none"/>
            <w10:anchorlock/>
          </v:shape>
          <o:OLEObject Type="Embed" ProgID="Equation.KSEE3" ShapeID="_x0000_i1030" DrawAspect="Content" ObjectID="_1468075730" r:id="rId19">
            <o:LockedField>false</o:LockedField>
          </o:OLEObject>
        </w:object>
      </w:r>
    </w:p>
    <w:p>
      <w:pPr>
        <w:wordWrap w:val="0"/>
        <w:adjustRightInd w:val="0"/>
        <w:snapToGrid w:val="0"/>
        <w:spacing w:line="440" w:lineRule="exact"/>
        <w:ind w:firstLine="480" w:firstLineChars="200"/>
        <w:rPr>
          <w:rFonts w:ascii="Times New Roman"/>
          <w:bCs/>
          <w:snapToGrid w:val="0"/>
          <w:color w:val="auto"/>
          <w:kern w:val="0"/>
          <w:szCs w:val="28"/>
          <w:highlight w:val="none"/>
        </w:rPr>
      </w:pPr>
      <w:r>
        <w:rPr>
          <w:rFonts w:ascii="Times New Roman"/>
          <w:snapToGrid w:val="0"/>
          <w:color w:val="auto"/>
          <w:kern w:val="0"/>
          <w:szCs w:val="24"/>
          <w:highlight w:val="none"/>
        </w:rPr>
        <w:t>以上公式中，</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1</w:t>
      </w:r>
      <w:r>
        <w:rPr>
          <w:rFonts w:ascii="Times New Roman"/>
          <w:bCs/>
          <w:snapToGrid w:val="0"/>
          <w:color w:val="auto"/>
          <w:kern w:val="0"/>
          <w:szCs w:val="28"/>
          <w:highlight w:val="none"/>
        </w:rPr>
        <w:t>为中标单价；F</w:t>
      </w:r>
      <w:r>
        <w:rPr>
          <w:rFonts w:ascii="Times New Roman"/>
          <w:bCs/>
          <w:snapToGrid w:val="0"/>
          <w:color w:val="auto"/>
          <w:kern w:val="0"/>
          <w:szCs w:val="28"/>
          <w:highlight w:val="none"/>
          <w:vertAlign w:val="subscript"/>
        </w:rPr>
        <w:t>0</w:t>
      </w:r>
      <w:r>
        <w:rPr>
          <w:rFonts w:ascii="Times New Roman"/>
          <w:bCs/>
          <w:snapToGrid w:val="0"/>
          <w:color w:val="auto"/>
          <w:kern w:val="0"/>
          <w:szCs w:val="28"/>
          <w:highlight w:val="none"/>
        </w:rPr>
        <w:t>为基准单价、指项目所在地工程造价管理机构招标控制价审定当月发布的材料、工程设备单价； F</w:t>
      </w:r>
      <w:r>
        <w:rPr>
          <w:rFonts w:ascii="Times New Roman"/>
          <w:bCs/>
          <w:snapToGrid w:val="0"/>
          <w:color w:val="auto"/>
          <w:kern w:val="0"/>
          <w:szCs w:val="28"/>
          <w:highlight w:val="none"/>
          <w:vertAlign w:val="subscript"/>
        </w:rPr>
        <w:t>2</w:t>
      </w:r>
      <w:r>
        <w:rPr>
          <w:rFonts w:ascii="Times New Roman"/>
          <w:bCs/>
          <w:snapToGrid w:val="0"/>
          <w:color w:val="auto"/>
          <w:kern w:val="0"/>
          <w:szCs w:val="28"/>
          <w:highlight w:val="none"/>
        </w:rPr>
        <w:t>为施工当月项目所在地工程造价管理机构发布的材料、工程设备单价；A为合同约定的材料、工程设备单价涨跌风险幅度值。</w:t>
      </w:r>
    </w:p>
    <w:p>
      <w:pPr>
        <w:wordWrap w:val="0"/>
        <w:adjustRightInd w:val="0"/>
        <w:snapToGrid w:val="0"/>
        <w:spacing w:line="440" w:lineRule="exact"/>
        <w:ind w:firstLine="482" w:firstLineChars="200"/>
        <w:rPr>
          <w:rFonts w:ascii="Times New Roman"/>
          <w:bCs/>
          <w:snapToGrid w:val="0"/>
          <w:color w:val="auto"/>
          <w:kern w:val="0"/>
          <w:szCs w:val="28"/>
          <w:highlight w:val="none"/>
        </w:rPr>
      </w:pPr>
      <w:r>
        <w:rPr>
          <w:rFonts w:ascii="Times New Roman"/>
          <w:b/>
          <w:bCs/>
          <w:snapToGrid w:val="0"/>
          <w:color w:val="auto"/>
          <w:kern w:val="0"/>
          <w:szCs w:val="24"/>
          <w:highlight w:val="none"/>
        </w:rPr>
        <w:t>2.3.6.3</w:t>
      </w:r>
      <w:r>
        <w:rPr>
          <w:rFonts w:ascii="Times New Roman"/>
          <w:snapToGrid w:val="0"/>
          <w:color w:val="auto"/>
          <w:kern w:val="0"/>
          <w:szCs w:val="24"/>
          <w:highlight w:val="none"/>
        </w:rPr>
        <w:t xml:space="preserve"> 合同履行期间，当《发包人提供材料和工程设备一览表》（详见招标工程量清单）中的材料、工程设备单价发生变化时，由发包人按照实际变化调整，并列入合同价款。</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2.3.6.4</w:t>
      </w:r>
      <w:r>
        <w:rPr>
          <w:rFonts w:ascii="Times New Roman"/>
          <w:snapToGrid w:val="0"/>
          <w:color w:val="auto"/>
          <w:kern w:val="0"/>
          <w:szCs w:val="24"/>
          <w:highlight w:val="none"/>
        </w:rPr>
        <w:t xml:space="preserve"> 本招标项目约定，施工机具台班单价涨跌风险幅度值B为</w:t>
      </w:r>
      <w:r>
        <w:rPr>
          <w:rFonts w:ascii="Times New Roman"/>
          <w:snapToGrid w:val="0"/>
          <w:color w:val="auto"/>
          <w:kern w:val="0"/>
          <w:szCs w:val="24"/>
          <w:highlight w:val="none"/>
          <w:u w:val="single"/>
        </w:rPr>
        <w:t xml:space="preserve"> 10% </w:t>
      </w:r>
      <w:r>
        <w:rPr>
          <w:rFonts w:ascii="Times New Roman"/>
          <w:snapToGrid w:val="0"/>
          <w:color w:val="auto"/>
          <w:kern w:val="0"/>
          <w:szCs w:val="24"/>
          <w:highlight w:val="none"/>
        </w:rPr>
        <w:t>。合同履行期间，当施工机具台班单价涨跌幅度等于或低于B值时，该施工机具台班单价不予调整；超过B值时，其超过部分可以调整。相关费用按有关规定进行相应调整。</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a</w:t>
      </w:r>
      <w:r>
        <w:rPr>
          <w:rFonts w:ascii="Times New Roman"/>
          <w:snapToGrid w:val="0"/>
          <w:color w:val="auto"/>
          <w:kern w:val="0"/>
          <w:szCs w:val="24"/>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涨价时，</w:t>
      </w:r>
      <w:r>
        <w:rPr>
          <w:rFonts w:ascii="Times New Roman"/>
          <w:snapToGrid w:val="0"/>
          <w:color w:val="auto"/>
          <w:kern w:val="0"/>
          <w:position w:val="-30"/>
          <w:szCs w:val="24"/>
          <w:highlight w:val="none"/>
        </w:rPr>
        <w:object>
          <v:shape id="_x0000_i1031" o:spt="75" type="#_x0000_t75" style="height:33.95pt;width:200.95pt;" o:ole="t" filled="f" o:preferrelative="t" stroked="f" coordsize="21600,21600">
            <v:path/>
            <v:fill on="f" focussize="0,0"/>
            <v:stroke on="f"/>
            <v:imagedata r:id="rId22" o:title=""/>
            <o:lock v:ext="edit" grouping="f" rotation="f" text="f" aspectratio="t"/>
            <w10:wrap type="none"/>
            <w10:anchorlock/>
          </v:shape>
          <o:OLEObject Type="Embed" ProgID="Equation.KSEE3" ShapeID="_x0000_i1031" DrawAspect="Content" ObjectID="_1468075731" r:id="rId21">
            <o:LockedField>false</o:LockedField>
          </o:OLEObject>
        </w:object>
      </w:r>
    </w:p>
    <w:p>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跌价时，</w:t>
      </w:r>
      <w:r>
        <w:rPr>
          <w:rFonts w:ascii="Times New Roman"/>
          <w:snapToGrid w:val="0"/>
          <w:color w:val="auto"/>
          <w:kern w:val="0"/>
          <w:position w:val="-30"/>
          <w:szCs w:val="24"/>
          <w:highlight w:val="none"/>
        </w:rPr>
        <w:object>
          <v:shape id="_x0000_i1032" o:spt="75" type="#_x0000_t75" style="height:33.95pt;width:198pt;" o:ole="t" filled="f" o:preferrelative="t" stroked="f" coordsize="21600,21600">
            <v:path/>
            <v:fill on="f" focussize="0,0"/>
            <v:stroke on="f"/>
            <v:imagedata r:id="rId24" o:title=""/>
            <o:lock v:ext="edit" grouping="f" rotation="f" text="f" aspectratio="t"/>
            <w10:wrap type="none"/>
            <w10:anchorlock/>
          </v:shape>
          <o:OLEObject Type="Embed" ProgID="Equation.KSEE3" ShapeID="_x0000_i1032" DrawAspect="Content" ObjectID="_1468075732" r:id="rId23">
            <o:LockedField>false</o:LockedField>
          </o:OLEObject>
        </w:objec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b</w:t>
      </w:r>
      <w:r>
        <w:rPr>
          <w:rFonts w:ascii="Times New Roman"/>
          <w:snapToGrid w:val="0"/>
          <w:color w:val="auto"/>
          <w:kern w:val="0"/>
          <w:szCs w:val="24"/>
          <w:highlight w:val="none"/>
        </w:rPr>
        <w:t>．如果中标单价高于基准单价，该施工机具台班的结算单价调整公式为：</w:t>
      </w:r>
    </w:p>
    <w:p>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涨价时，</w:t>
      </w:r>
      <w:r>
        <w:rPr>
          <w:rFonts w:ascii="Times New Roman"/>
          <w:snapToGrid w:val="0"/>
          <w:color w:val="auto"/>
          <w:kern w:val="0"/>
          <w:position w:val="-30"/>
          <w:szCs w:val="24"/>
          <w:highlight w:val="none"/>
        </w:rPr>
        <w:object>
          <v:shape id="_x0000_i1033" o:spt="75" type="#_x0000_t75" style="height:33.95pt;width:198pt;" o:ole="t" filled="f" o:preferrelative="t" stroked="f" coordsize="21600,21600">
            <v:path/>
            <v:fill on="f" focussize="0,0"/>
            <v:stroke on="f"/>
            <v:imagedata r:id="rId26" o:title=""/>
            <o:lock v:ext="edit" grouping="f" rotation="f" text="f" aspectratio="t"/>
            <w10:wrap type="none"/>
            <w10:anchorlock/>
          </v:shape>
          <o:OLEObject Type="Embed" ProgID="Equation.KSEE3" ShapeID="_x0000_i1033" DrawAspect="Content" ObjectID="_1468075733" r:id="rId25">
            <o:LockedField>false</o:LockedField>
          </o:OLEObject>
        </w:object>
      </w:r>
    </w:p>
    <w:p>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跌价时，</w:t>
      </w:r>
      <w:r>
        <w:rPr>
          <w:rFonts w:ascii="Times New Roman"/>
          <w:snapToGrid w:val="0"/>
          <w:color w:val="auto"/>
          <w:kern w:val="0"/>
          <w:position w:val="-30"/>
          <w:szCs w:val="24"/>
          <w:highlight w:val="none"/>
        </w:rPr>
        <w:object>
          <v:shape id="_x0000_i1034" o:spt="75" type="#_x0000_t75" style="height:33.95pt;width:200.95pt;" o:ole="t" filled="f" o:preferrelative="t" stroked="f" coordsize="21600,21600">
            <v:path/>
            <v:fill on="f" focussize="0,0"/>
            <v:stroke on="f"/>
            <v:imagedata r:id="rId28" o:title=""/>
            <o:lock v:ext="edit" grouping="f" rotation="f" text="f" aspectratio="t"/>
            <w10:wrap type="none"/>
            <w10:anchorlock/>
          </v:shape>
          <o:OLEObject Type="Embed" ProgID="Equation.KSEE3" ShapeID="_x0000_i1034" DrawAspect="Content" ObjectID="_1468075734" r:id="rId27">
            <o:LockedField>false</o:LockedField>
          </o:OLEObject>
        </w:objec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c</w:t>
      </w:r>
      <w:r>
        <w:rPr>
          <w:rFonts w:ascii="Times New Roman"/>
          <w:snapToGrid w:val="0"/>
          <w:color w:val="auto"/>
          <w:kern w:val="0"/>
          <w:szCs w:val="24"/>
          <w:highlight w:val="none"/>
        </w:rPr>
        <w:t>．如果中标单价等于基准单价，该施工机具台班的结算单价调整公式为：</w:t>
      </w:r>
    </w:p>
    <w:p>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涨价时，</w:t>
      </w:r>
      <w:r>
        <w:rPr>
          <w:rFonts w:ascii="Times New Roman"/>
          <w:snapToGrid w:val="0"/>
          <w:color w:val="auto"/>
          <w:kern w:val="0"/>
          <w:position w:val="-30"/>
          <w:szCs w:val="24"/>
          <w:highlight w:val="none"/>
        </w:rPr>
        <w:object>
          <v:shape id="_x0000_i1035" o:spt="75" type="#_x0000_t75" style="height:33.95pt;width:200.95pt;" o:ole="t" filled="f" o:preferrelative="t" stroked="f" coordsize="21600,21600">
            <v:path/>
            <v:fill on="f" focussize="0,0"/>
            <v:stroke on="f"/>
            <v:imagedata r:id="rId30" o:title=""/>
            <o:lock v:ext="edit" grouping="f" rotation="f" text="f" aspectratio="t"/>
            <w10:wrap type="none"/>
            <w10:anchorlock/>
          </v:shape>
          <o:OLEObject Type="Embed" ProgID="Equation.KSEE3" ShapeID="_x0000_i1035" DrawAspect="Content" ObjectID="_1468075735" r:id="rId29">
            <o:LockedField>false</o:LockedField>
          </o:OLEObject>
        </w:object>
      </w:r>
    </w:p>
    <w:p>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ascii="Times New Roman"/>
          <w:snapToGrid w:val="0"/>
          <w:color w:val="auto"/>
          <w:kern w:val="0"/>
          <w:szCs w:val="24"/>
          <w:highlight w:val="none"/>
        </w:rPr>
        <w:t>跌价时，</w:t>
      </w:r>
      <w:r>
        <w:rPr>
          <w:rFonts w:ascii="Times New Roman"/>
          <w:snapToGrid w:val="0"/>
          <w:color w:val="auto"/>
          <w:kern w:val="0"/>
          <w:position w:val="-30"/>
          <w:szCs w:val="24"/>
          <w:highlight w:val="none"/>
        </w:rPr>
        <w:object>
          <v:shape id="_x0000_i1036" o:spt="75" type="#_x0000_t75" style="height:33.95pt;width:200.95pt;" o:ole="t" filled="f" o:preferrelative="t" stroked="f" coordsize="21600,21600">
            <v:path/>
            <v:fill on="f" focussize="0,0"/>
            <v:stroke on="f"/>
            <v:imagedata r:id="rId32" o:title=""/>
            <o:lock v:ext="edit" grouping="f" rotation="f" text="f" aspectratio="t"/>
            <w10:wrap type="none"/>
            <w10:anchorlock/>
          </v:shape>
          <o:OLEObject Type="Embed" ProgID="Equation.KSEE3" ShapeID="_x0000_i1036" DrawAspect="Content" ObjectID="_1468075736" r:id="rId31">
            <o:LockedField>false</o:LockedField>
          </o:OLEObject>
        </w:object>
      </w:r>
    </w:p>
    <w:p>
      <w:pPr>
        <w:wordWrap w:val="0"/>
        <w:adjustRightInd w:val="0"/>
        <w:snapToGrid w:val="0"/>
        <w:spacing w:line="440" w:lineRule="exact"/>
        <w:ind w:firstLine="480" w:firstLineChars="200"/>
        <w:rPr>
          <w:rFonts w:ascii="Times New Roman"/>
          <w:bCs/>
          <w:snapToGrid w:val="0"/>
          <w:color w:val="auto"/>
          <w:kern w:val="0"/>
          <w:szCs w:val="28"/>
          <w:highlight w:val="none"/>
        </w:rPr>
      </w:pPr>
      <w:r>
        <w:rPr>
          <w:rFonts w:ascii="Times New Roman"/>
          <w:snapToGrid w:val="0"/>
          <w:color w:val="auto"/>
          <w:kern w:val="0"/>
          <w:szCs w:val="24"/>
          <w:highlight w:val="none"/>
        </w:rPr>
        <w:t>以上公式中，</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1</w:t>
      </w:r>
      <w:r>
        <w:rPr>
          <w:rFonts w:ascii="Times New Roman"/>
          <w:bCs/>
          <w:snapToGrid w:val="0"/>
          <w:color w:val="auto"/>
          <w:kern w:val="0"/>
          <w:szCs w:val="28"/>
          <w:highlight w:val="none"/>
        </w:rPr>
        <w:t>为中标单价；F</w:t>
      </w:r>
      <w:r>
        <w:rPr>
          <w:rFonts w:ascii="Times New Roman"/>
          <w:bCs/>
          <w:snapToGrid w:val="0"/>
          <w:color w:val="auto"/>
          <w:kern w:val="0"/>
          <w:szCs w:val="28"/>
          <w:highlight w:val="none"/>
          <w:vertAlign w:val="subscript"/>
        </w:rPr>
        <w:t>0</w:t>
      </w:r>
      <w:r>
        <w:rPr>
          <w:rFonts w:ascii="Times New Roman"/>
          <w:bCs/>
          <w:snapToGrid w:val="0"/>
          <w:color w:val="auto"/>
          <w:kern w:val="0"/>
          <w:szCs w:val="28"/>
          <w:highlight w:val="none"/>
        </w:rPr>
        <w:t>为基准单价、指项目所在地工程造价管理机构招标控制价审定当月发布的施工机具台班单价；F</w:t>
      </w:r>
      <w:r>
        <w:rPr>
          <w:rFonts w:ascii="Times New Roman"/>
          <w:bCs/>
          <w:snapToGrid w:val="0"/>
          <w:color w:val="auto"/>
          <w:kern w:val="0"/>
          <w:szCs w:val="28"/>
          <w:highlight w:val="none"/>
          <w:vertAlign w:val="subscript"/>
        </w:rPr>
        <w:t>2</w:t>
      </w:r>
      <w:r>
        <w:rPr>
          <w:rFonts w:ascii="Times New Roman"/>
          <w:bCs/>
          <w:snapToGrid w:val="0"/>
          <w:color w:val="auto"/>
          <w:kern w:val="0"/>
          <w:szCs w:val="28"/>
          <w:highlight w:val="none"/>
        </w:rPr>
        <w:t>为施工当月项目所在地工程造价管理机构发布的施工机具台班单价；B为合同约定的施工机具台班单价涨跌风险幅度值。</w:t>
      </w:r>
    </w:p>
    <w:p>
      <w:pPr>
        <w:wordWrap w:val="0"/>
        <w:adjustRightInd w:val="0"/>
        <w:snapToGrid w:val="0"/>
        <w:spacing w:line="440" w:lineRule="atLeast"/>
        <w:ind w:firstLine="482" w:firstLineChars="200"/>
        <w:rPr>
          <w:rFonts w:ascii="Times New Roman"/>
          <w:bCs/>
          <w:snapToGrid w:val="0"/>
          <w:color w:val="auto"/>
          <w:kern w:val="0"/>
          <w:szCs w:val="28"/>
          <w:highlight w:val="none"/>
        </w:rPr>
      </w:pPr>
      <w:r>
        <w:rPr>
          <w:rFonts w:ascii="Times New Roman"/>
          <w:b/>
          <w:snapToGrid w:val="0"/>
          <w:color w:val="auto"/>
          <w:kern w:val="0"/>
          <w:szCs w:val="28"/>
          <w:highlight w:val="none"/>
        </w:rPr>
        <w:t>2.3.7</w:t>
      </w:r>
      <w:r>
        <w:rPr>
          <w:rFonts w:ascii="Times New Roman"/>
          <w:bCs/>
          <w:snapToGrid w:val="0"/>
          <w:color w:val="auto"/>
          <w:kern w:val="0"/>
          <w:szCs w:val="28"/>
          <w:highlight w:val="none"/>
        </w:rPr>
        <w:t xml:space="preserve"> 暂估价和暂列金额</w:t>
      </w:r>
    </w:p>
    <w:p>
      <w:pPr>
        <w:adjustRightInd w:val="0"/>
        <w:snapToGrid w:val="0"/>
        <w:spacing w:line="440" w:lineRule="atLeast"/>
        <w:ind w:firstLine="561"/>
        <w:rPr>
          <w:rFonts w:ascii="Times New Roman"/>
          <w:bCs/>
          <w:snapToGrid w:val="0"/>
          <w:color w:val="auto"/>
          <w:kern w:val="0"/>
          <w:szCs w:val="28"/>
          <w:highlight w:val="none"/>
        </w:rPr>
      </w:pPr>
      <w:r>
        <w:rPr>
          <w:rFonts w:ascii="Times New Roman"/>
          <w:b/>
          <w:snapToGrid w:val="0"/>
          <w:color w:val="auto"/>
          <w:kern w:val="0"/>
          <w:szCs w:val="28"/>
          <w:highlight w:val="none"/>
        </w:rPr>
        <w:t>2.3.7.1</w:t>
      </w:r>
      <w:r>
        <w:rPr>
          <w:rFonts w:ascii="Times New Roman"/>
          <w:bCs/>
          <w:snapToGrid w:val="0"/>
          <w:color w:val="auto"/>
          <w:kern w:val="0"/>
          <w:szCs w:val="28"/>
          <w:highlight w:val="none"/>
        </w:rPr>
        <w:t xml:space="preserve"> 暂估价项目按第一章第三节“投标人须知正文”第</w:t>
      </w:r>
      <w:r>
        <w:rPr>
          <w:rFonts w:ascii="Times New Roman"/>
          <w:b/>
          <w:bCs/>
          <w:snapToGrid w:val="0"/>
          <w:color w:val="auto"/>
          <w:kern w:val="0"/>
          <w:highlight w:val="none"/>
        </w:rPr>
        <w:t>8.5</w:t>
      </w:r>
      <w:r>
        <w:rPr>
          <w:rFonts w:ascii="Times New Roman"/>
          <w:bCs/>
          <w:snapToGrid w:val="0"/>
          <w:color w:val="auto"/>
          <w:kern w:val="0"/>
          <w:szCs w:val="28"/>
          <w:highlight w:val="none"/>
        </w:rPr>
        <w:t>条的规定确定专业工程承包人（或材料供应商、工程设备供应商）后，将专业工程合同价款（或材料单价、工程设备单价）取代相应暂估价，并调整合同价款。</w:t>
      </w:r>
    </w:p>
    <w:p>
      <w:pPr>
        <w:adjustRightInd w:val="0"/>
        <w:snapToGrid w:val="0"/>
        <w:spacing w:line="440" w:lineRule="atLeast"/>
        <w:ind w:firstLine="561"/>
        <w:rPr>
          <w:color w:val="auto"/>
          <w:szCs w:val="24"/>
          <w:highlight w:val="none"/>
        </w:rPr>
      </w:pPr>
      <w:r>
        <w:rPr>
          <w:color w:val="auto"/>
          <w:szCs w:val="24"/>
          <w:highlight w:val="none"/>
        </w:rPr>
        <w:t>结算时暂估价（若有）中所列的材料（设备）数量按实际发生数量计算；中标人须提供材料（设备）的发票及购销合同，以实际采购单价为结算价，但不得高于本次招标工程量清单中的材料（设备）单价。</w:t>
      </w:r>
    </w:p>
    <w:p>
      <w:pPr>
        <w:wordWrap w:val="0"/>
        <w:adjustRightInd w:val="0"/>
        <w:snapToGrid w:val="0"/>
        <w:spacing w:line="440" w:lineRule="exact"/>
        <w:ind w:firstLine="482" w:firstLineChars="200"/>
        <w:rPr>
          <w:rFonts w:ascii="Times New Roman"/>
          <w:bCs/>
          <w:snapToGrid w:val="0"/>
          <w:color w:val="auto"/>
          <w:kern w:val="0"/>
          <w:szCs w:val="28"/>
          <w:highlight w:val="none"/>
        </w:rPr>
      </w:pPr>
      <w:r>
        <w:rPr>
          <w:rFonts w:ascii="Times New Roman"/>
          <w:b/>
          <w:snapToGrid w:val="0"/>
          <w:color w:val="auto"/>
          <w:kern w:val="0"/>
          <w:szCs w:val="28"/>
          <w:highlight w:val="none"/>
        </w:rPr>
        <w:t>2.3.7.2</w:t>
      </w:r>
      <w:r>
        <w:rPr>
          <w:rFonts w:ascii="Times New Roman"/>
          <w:bCs/>
          <w:snapToGrid w:val="0"/>
          <w:color w:val="auto"/>
          <w:kern w:val="0"/>
          <w:szCs w:val="28"/>
          <w:highlight w:val="none"/>
        </w:rPr>
        <w:t xml:space="preserve"> 暂列金额由发包人掌握和使用。暂列金额项目若有发生，按第一章第三节“投标人须知正文”第</w:t>
      </w:r>
      <w:r>
        <w:rPr>
          <w:rFonts w:ascii="Times New Roman"/>
          <w:b/>
          <w:snapToGrid w:val="0"/>
          <w:color w:val="auto"/>
          <w:kern w:val="0"/>
          <w:szCs w:val="28"/>
          <w:highlight w:val="none"/>
        </w:rPr>
        <w:t>8.6</w:t>
      </w:r>
      <w:r>
        <w:rPr>
          <w:rFonts w:ascii="Times New Roman"/>
          <w:bCs/>
          <w:snapToGrid w:val="0"/>
          <w:color w:val="auto"/>
          <w:kern w:val="0"/>
          <w:szCs w:val="28"/>
          <w:highlight w:val="none"/>
        </w:rPr>
        <w:t>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pPr>
        <w:wordWrap w:val="0"/>
        <w:adjustRightInd w:val="0"/>
        <w:snapToGrid w:val="0"/>
        <w:spacing w:line="440" w:lineRule="exact"/>
        <w:ind w:firstLine="480" w:firstLineChars="200"/>
        <w:rPr>
          <w:rFonts w:ascii="Times New Roman"/>
          <w:bCs/>
          <w:snapToGrid w:val="0"/>
          <w:color w:val="auto"/>
          <w:kern w:val="0"/>
          <w:szCs w:val="28"/>
          <w:highlight w:val="none"/>
        </w:rPr>
      </w:pPr>
      <w:r>
        <w:rPr>
          <w:rFonts w:ascii="Times New Roman"/>
          <w:bCs/>
          <w:snapToGrid w:val="0"/>
          <w:color w:val="auto"/>
          <w:kern w:val="0"/>
          <w:szCs w:val="28"/>
          <w:highlight w:val="none"/>
        </w:rPr>
        <w:t>暂列金额用于以下情形：（1）施工合同签订时尚未确定或者不可预见的所需材料、设备、服务的采购，施工中可能发生的工程变更、合同约定调整因素出现时的工程价款调整以及发生的索赔、现场签证确认等的费用。（2）国家政策性人工价差调整；（3）当合同履行期间，因人工、材料、工程设备、机械台班价格波动影响合同价款时，引起工程所在地工程造价管理机构发布的价格信息中材料、工程设备价格（</w:t>
      </w:r>
      <w:r>
        <w:rPr>
          <w:rFonts w:hAnsi="宋体" w:cs="宋体"/>
          <w:color w:val="auto"/>
          <w:szCs w:val="24"/>
          <w:highlight w:val="none"/>
        </w:rPr>
        <w:t>材料指沥青混凝土、商品混凝土、水泥、砂、石，除上述材料外其他材料均不调差；工程设备、机械台班价格按施工同期</w:t>
      </w:r>
      <w:r>
        <w:rPr>
          <w:rFonts w:ascii="Times New Roman"/>
          <w:bCs/>
          <w:snapToGrid w:val="0"/>
          <w:color w:val="auto"/>
          <w:kern w:val="0"/>
          <w:szCs w:val="28"/>
          <w:highlight w:val="none"/>
        </w:rPr>
        <w:t>工程所在地工程造价管理机构发布的价格信息）变化超过5%或施工机械使用费变化超过10%时，招标人或中标人材料价格可调整5%以外的部分、施工机械使用费可调整10%以外的部分。（4）征拆后地表以下构筑物清运费用，预算未包含相关费用，结算时根据实际工程量在暂列金额中计算。（5）交通组织疏解费用按交警审批后的方案实施，结算时根据实际工程量在暂列金额中计算。（6）施工合同签订时尚未确定或者不可预见的所需材料、设备、服务的采购。结算时按实际发生根据本章“3．工程付款办法”有关条款进行结算。</w:t>
      </w:r>
    </w:p>
    <w:p>
      <w:pPr>
        <w:pStyle w:val="20"/>
        <w:spacing w:line="440" w:lineRule="exact"/>
        <w:ind w:firstLine="480"/>
        <w:jc w:val="left"/>
        <w:rPr>
          <w:rFonts w:hint="eastAsia" w:ascii="Times New Roman" w:hAnsi="Times New Roman" w:eastAsia="宋体" w:cs="Times New Roman"/>
          <w:b w:val="0"/>
          <w:bCs/>
          <w:snapToGrid w:val="0"/>
          <w:color w:val="auto"/>
          <w:kern w:val="0"/>
          <w:sz w:val="24"/>
          <w:szCs w:val="28"/>
          <w:highlight w:val="none"/>
          <w:lang w:val="en-US" w:eastAsia="zh-CN" w:bidi="ar-SA"/>
        </w:rPr>
      </w:pPr>
      <w:r>
        <w:rPr>
          <w:snapToGrid w:val="0"/>
          <w:color w:val="auto"/>
          <w:kern w:val="0"/>
          <w:szCs w:val="28"/>
          <w:highlight w:val="none"/>
        </w:rPr>
        <w:t>2.3.8</w:t>
      </w:r>
      <w:r>
        <w:rPr>
          <w:bCs/>
          <w:snapToGrid w:val="0"/>
          <w:color w:val="auto"/>
          <w:kern w:val="0"/>
          <w:szCs w:val="28"/>
          <w:highlight w:val="none"/>
        </w:rPr>
        <w:t xml:space="preserve"> </w:t>
      </w:r>
      <w:r>
        <w:rPr>
          <w:rFonts w:hint="eastAsia" w:ascii="Times New Roman" w:hAnsi="Times New Roman" w:eastAsia="宋体" w:cs="Times New Roman"/>
          <w:b w:val="0"/>
          <w:bCs/>
          <w:snapToGrid w:val="0"/>
          <w:color w:val="auto"/>
          <w:kern w:val="0"/>
          <w:sz w:val="24"/>
          <w:szCs w:val="28"/>
          <w:highlight w:val="none"/>
          <w:lang w:val="en-US" w:eastAsia="zh-CN" w:bidi="ar-SA"/>
        </w:rPr>
        <w:t>预算包干费：1.房屋建筑与装饰工程预算包干费按分部分项的人工费与施工机具费之和的7%计算，预算包干内容包括：施工雨水、污水的排除；因地形影响造成的场内料具二次运输；20米高以下的工程用水加压措施；施工材料堆放场地的整理；机电安装后的补洞(槽)工料费；工程成品保护费；施工中的临时停水停电；基础埋深2米以内挖土方的塌方；日间照明施工增加费(不包括地下室和特殊工程)；完工清场后的垃圾外运等。2.市政工程预算包干费按分部分项的人工费与施工机具费之和的6%计算，预算包干包括：施工雨(污)水的排除、因地形影响造成的场内料具二次运输、施工材料堆放场地的整理、施工中的临时停水停电、基础埋深2m以内挖土方的塌方、日间照明施工增加费(不包括地下室和特殊工程)、完工清场后的垃圾外运、地上(地下)设施，建筑物的临时保护设施费和二次加工基地设施费、雨季施工增加费、己完工程及设备保护等，包干的内容不再依据方案或签证计算费用。3.园林绿化工程预算包干费按分部分项的人工费与施工机具费之和的6%计算，预算包干内容包括：施工雨(污)水的排除；场内料具二次运输；树穴内的泥浆清除；工程用水加压措施；施工材料堆放场地的整理；工程成品的保护；施工中的临时停水停电；日间施工照明增加费；完工后的场地清理。4.安装工程预算包干费按分部分项的人工费与施工机具费之和的10%计算，预算包干内容包括：施工雨(污)水的排除、因地形影响造成的场内料具二次运输、20m高以下的工程用水加压措施、施工材料堆放场地的整理、机电安装后的补洞(槽)工料费、工程成品保护费、施工中的临时停水停电、基础埋深2m以内挖土方的塌方、日间照明施工增加费(不包括地下室和特殊工程)、完工清场后的垃圾外运等。对于以上预算包干内容，承包人不得提出额外付款或延长工期等要求。对此类要求，发包人不作任何考虑及答复。</w:t>
      </w:r>
    </w:p>
    <w:p>
      <w:pPr>
        <w:ind w:firstLine="472" w:firstLineChars="196"/>
        <w:rPr>
          <w:rFonts w:ascii="Times New Roman"/>
          <w:bCs/>
          <w:snapToGrid w:val="0"/>
          <w:color w:val="auto"/>
          <w:kern w:val="0"/>
          <w:szCs w:val="28"/>
          <w:highlight w:val="none"/>
        </w:rPr>
      </w:pPr>
      <w:r>
        <w:rPr>
          <w:rFonts w:ascii="Times New Roman"/>
          <w:b/>
          <w:snapToGrid w:val="0"/>
          <w:color w:val="auto"/>
          <w:kern w:val="0"/>
          <w:szCs w:val="28"/>
          <w:highlight w:val="none"/>
        </w:rPr>
        <w:t>2.3.9</w:t>
      </w:r>
      <w:r>
        <w:rPr>
          <w:rFonts w:ascii="Times New Roman"/>
          <w:bCs/>
          <w:snapToGrid w:val="0"/>
          <w:color w:val="auto"/>
          <w:kern w:val="0"/>
          <w:szCs w:val="28"/>
          <w:highlight w:val="none"/>
        </w:rPr>
        <w:t>其余事项（如不可抗力、索赔、现场签证等）的调整原则按照“中标人须知”及《建设工程工程量清单计价规范》（GB50500—2013）等有关规定执行。</w:t>
      </w:r>
    </w:p>
    <w:p>
      <w:pPr>
        <w:wordWrap w:val="0"/>
        <w:adjustRightInd w:val="0"/>
        <w:snapToGrid w:val="0"/>
        <w:spacing w:line="440" w:lineRule="exact"/>
        <w:ind w:firstLine="482" w:firstLineChars="200"/>
        <w:rPr>
          <w:rFonts w:ascii="Times New Roman"/>
          <w:b/>
          <w:snapToGrid w:val="0"/>
          <w:color w:val="auto"/>
          <w:kern w:val="0"/>
          <w:szCs w:val="28"/>
          <w:highlight w:val="none"/>
        </w:rPr>
      </w:pPr>
      <w:r>
        <w:rPr>
          <w:rFonts w:ascii="Times New Roman"/>
          <w:b/>
          <w:bCs/>
          <w:snapToGrid w:val="0"/>
          <w:color w:val="auto"/>
          <w:kern w:val="0"/>
          <w:szCs w:val="24"/>
          <w:highlight w:val="none"/>
        </w:rPr>
        <w:t>2.4</w:t>
      </w:r>
      <w:r>
        <w:rPr>
          <w:rFonts w:ascii="Times New Roman"/>
          <w:snapToGrid w:val="0"/>
          <w:color w:val="auto"/>
          <w:kern w:val="0"/>
          <w:szCs w:val="24"/>
          <w:highlight w:val="none"/>
        </w:rPr>
        <w:t xml:space="preserve"> </w:t>
      </w:r>
      <w:bookmarkStart w:id="122" w:name="_Hlt112206782"/>
      <w:bookmarkEnd w:id="122"/>
      <w:r>
        <w:rPr>
          <w:rFonts w:ascii="Times New Roman"/>
          <w:snapToGrid w:val="0"/>
          <w:color w:val="auto"/>
          <w:kern w:val="0"/>
          <w:szCs w:val="24"/>
          <w:highlight w:val="none"/>
        </w:rPr>
        <w:t>凡将引起合同价款调增的事项，承包人必须于拟实施14天前，将详细的报价书（含拟实施项目名称、变更部位、理由、预计造价等）报监理单位审核和发包人批准后方可实施。</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2.5</w:t>
      </w:r>
      <w:r>
        <w:rPr>
          <w:rFonts w:ascii="Times New Roman"/>
          <w:snapToGrid w:val="0"/>
          <w:color w:val="auto"/>
          <w:kern w:val="0"/>
          <w:szCs w:val="24"/>
          <w:highlight w:val="none"/>
        </w:rPr>
        <w:t xml:space="preserve"> </w:t>
      </w:r>
      <w:r>
        <w:rPr>
          <w:rFonts w:ascii="Times New Roman"/>
          <w:snapToGrid w:val="0"/>
          <w:color w:val="auto"/>
          <w:kern w:val="0"/>
          <w:highlight w:val="none"/>
        </w:rPr>
        <w:t>承包</w:t>
      </w:r>
      <w:r>
        <w:rPr>
          <w:rFonts w:ascii="Times New Roman"/>
          <w:snapToGrid w:val="0"/>
          <w:color w:val="auto"/>
          <w:kern w:val="0"/>
          <w:szCs w:val="24"/>
          <w:highlight w:val="none"/>
        </w:rPr>
        <w:t>人不得以不完全了解现场情况为理由，提出额外付款或延长工期等要求。对此类要求，发包人不作任何考虑及答复。</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2.6</w:t>
      </w:r>
      <w:r>
        <w:rPr>
          <w:rFonts w:ascii="Times New Roman"/>
          <w:snapToGrid w:val="0"/>
          <w:color w:val="auto"/>
          <w:kern w:val="0"/>
          <w:szCs w:val="24"/>
          <w:highlight w:val="none"/>
        </w:rPr>
        <w:t xml:space="preserve"> </w:t>
      </w:r>
      <w:r>
        <w:rPr>
          <w:rFonts w:ascii="Times New Roman"/>
          <w:snapToGrid w:val="0"/>
          <w:color w:val="auto"/>
          <w:kern w:val="0"/>
          <w:highlight w:val="none"/>
        </w:rPr>
        <w:t>承包</w:t>
      </w:r>
      <w:r>
        <w:rPr>
          <w:rFonts w:ascii="Times New Roman"/>
          <w:snapToGrid w:val="0"/>
          <w:color w:val="auto"/>
          <w:kern w:val="0"/>
          <w:szCs w:val="24"/>
          <w:highlight w:val="none"/>
        </w:rPr>
        <w:t>人已标价工程量清单中漏报、错报或少报的清单项目，其价格均视为已经包含在其它清单项目中，竣工结算时不得重新组价和调整。</w:t>
      </w:r>
    </w:p>
    <w:p>
      <w:pPr>
        <w:wordWrap w:val="0"/>
        <w:adjustRightInd w:val="0"/>
        <w:snapToGrid w:val="0"/>
        <w:spacing w:line="440" w:lineRule="exact"/>
        <w:ind w:firstLine="480"/>
        <w:rPr>
          <w:rFonts w:ascii="Times New Roman"/>
          <w:snapToGrid w:val="0"/>
          <w:color w:val="auto"/>
          <w:kern w:val="0"/>
          <w:szCs w:val="24"/>
          <w:highlight w:val="none"/>
        </w:rPr>
      </w:pPr>
      <w:r>
        <w:rPr>
          <w:rFonts w:ascii="Times New Roman"/>
          <w:b/>
          <w:bCs/>
          <w:snapToGrid w:val="0"/>
          <w:color w:val="auto"/>
          <w:kern w:val="0"/>
          <w:szCs w:val="24"/>
          <w:highlight w:val="none"/>
        </w:rPr>
        <w:t>2.7</w:t>
      </w:r>
      <w:r>
        <w:rPr>
          <w:rFonts w:ascii="Times New Roman"/>
          <w:snapToGrid w:val="0"/>
          <w:color w:val="auto"/>
          <w:kern w:val="0"/>
          <w:szCs w:val="24"/>
          <w:highlight w:val="none"/>
        </w:rPr>
        <w:t xml:space="preserve"> 工程完工后，发、承包双方和受其委托具备相应资质的工程造价咨询单位必须按照《建设工程工程量清单计价规范》（GB50500—2013）和国家、省、市的有关规定办理竣工结算。</w:t>
      </w:r>
    </w:p>
    <w:p>
      <w:pPr>
        <w:wordWrap w:val="0"/>
        <w:adjustRightInd w:val="0"/>
        <w:snapToGrid w:val="0"/>
        <w:spacing w:line="440" w:lineRule="exact"/>
        <w:ind w:firstLine="560"/>
        <w:rPr>
          <w:rFonts w:ascii="Times New Roman"/>
          <w:snapToGrid w:val="0"/>
          <w:color w:val="auto"/>
          <w:kern w:val="0"/>
          <w:szCs w:val="24"/>
          <w:highlight w:val="none"/>
        </w:rPr>
      </w:pPr>
      <w:r>
        <w:rPr>
          <w:rFonts w:ascii="Times New Roman"/>
          <w:b/>
          <w:bCs/>
          <w:snapToGrid w:val="0"/>
          <w:color w:val="auto"/>
          <w:kern w:val="0"/>
          <w:szCs w:val="24"/>
          <w:highlight w:val="none"/>
        </w:rPr>
        <w:t>2.8</w:t>
      </w:r>
      <w:r>
        <w:rPr>
          <w:rFonts w:ascii="Times New Roman"/>
          <w:snapToGrid w:val="0"/>
          <w:color w:val="auto"/>
          <w:kern w:val="0"/>
          <w:szCs w:val="24"/>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pPr>
        <w:wordWrap w:val="0"/>
        <w:adjustRightInd w:val="0"/>
        <w:snapToGrid w:val="0"/>
        <w:spacing w:line="440" w:lineRule="exact"/>
        <w:ind w:firstLine="560"/>
        <w:rPr>
          <w:rFonts w:ascii="Times New Roman"/>
          <w:bCs/>
          <w:snapToGrid w:val="0"/>
          <w:color w:val="auto"/>
          <w:kern w:val="0"/>
          <w:highlight w:val="none"/>
        </w:rPr>
      </w:pPr>
      <w:r>
        <w:rPr>
          <w:rFonts w:ascii="Times New Roman"/>
          <w:b/>
          <w:snapToGrid w:val="0"/>
          <w:color w:val="auto"/>
          <w:kern w:val="0"/>
          <w:highlight w:val="none"/>
        </w:rPr>
        <w:t xml:space="preserve">2.9 </w:t>
      </w:r>
      <w:r>
        <w:rPr>
          <w:rFonts w:ascii="Times New Roman"/>
          <w:bCs/>
          <w:snapToGrid w:val="0"/>
          <w:color w:val="auto"/>
          <w:kern w:val="0"/>
          <w:highlight w:val="none"/>
        </w:rPr>
        <w:t>暂估价的结算原则：本工程暂估价为招标人在工程量清单中提供的用于支付必然发生但暂时不能确定价格的材料、工程设备的单价以及专业工程的金额。材料暂估价结算时提供购买发票、转账凭证、合同等佐证依据，其结算原则按本章“2.工程结算原则”有关条款进行结算。各部分暂估价的结算价不得超过暂估价。</w:t>
      </w:r>
    </w:p>
    <w:p>
      <w:pPr>
        <w:wordWrap w:val="0"/>
        <w:adjustRightInd w:val="0"/>
        <w:snapToGrid w:val="0"/>
        <w:spacing w:line="440" w:lineRule="exact"/>
        <w:ind w:firstLine="560"/>
        <w:rPr>
          <w:rFonts w:ascii="Times New Roman"/>
          <w:bCs/>
          <w:snapToGrid w:val="0"/>
          <w:color w:val="auto"/>
          <w:kern w:val="0"/>
          <w:highlight w:val="none"/>
        </w:rPr>
      </w:pPr>
      <w:r>
        <w:rPr>
          <w:rFonts w:ascii="Times New Roman"/>
          <w:b/>
          <w:snapToGrid w:val="0"/>
          <w:color w:val="auto"/>
          <w:kern w:val="0"/>
          <w:highlight w:val="none"/>
        </w:rPr>
        <w:t>2.10</w:t>
      </w:r>
      <w:r>
        <w:rPr>
          <w:rFonts w:ascii="Times New Roman"/>
          <w:bCs/>
          <w:snapToGrid w:val="0"/>
          <w:color w:val="auto"/>
          <w:kern w:val="0"/>
          <w:highlight w:val="none"/>
        </w:rPr>
        <w:t xml:space="preserve"> 暂列金额的结算原则：</w:t>
      </w:r>
      <w:r>
        <w:rPr>
          <w:rFonts w:hAnsi="宋体"/>
          <w:color w:val="auto"/>
          <w:szCs w:val="21"/>
          <w:highlight w:val="none"/>
        </w:rPr>
        <w:t>工程暂列金</w:t>
      </w:r>
      <w:r>
        <w:rPr>
          <w:rFonts w:hAnsi="宋体"/>
          <w:color w:val="auto"/>
          <w:highlight w:val="none"/>
        </w:rPr>
        <w:t>为暂定计算项目，</w:t>
      </w:r>
      <w:r>
        <w:rPr>
          <w:rFonts w:hAnsi="宋体"/>
          <w:color w:val="auto"/>
          <w:szCs w:val="21"/>
          <w:highlight w:val="none"/>
        </w:rPr>
        <w:t>由发包人掌握使用，工程合同履行期间，由于发包人的要求（注：必须要有发包人的书面通知）导致发生设计变更或合同约定调整因素出现时的工程价款调整以及发生的索赔、现场签证等，结算时按实际</w:t>
      </w:r>
      <w:r>
        <w:rPr>
          <w:rFonts w:hAnsi="宋体"/>
          <w:color w:val="auto"/>
          <w:highlight w:val="none"/>
        </w:rPr>
        <w:t>施工工作量及招标文件建安工程结算原则约定结算，</w:t>
      </w:r>
      <w:r>
        <w:rPr>
          <w:rFonts w:hAnsi="宋体"/>
          <w:color w:val="auto"/>
          <w:szCs w:val="21"/>
          <w:highlight w:val="none"/>
        </w:rPr>
        <w:t>工程暂列金额如有余额归发包人</w:t>
      </w:r>
      <w:r>
        <w:rPr>
          <w:rFonts w:ascii="Times New Roman"/>
          <w:bCs/>
          <w:snapToGrid w:val="0"/>
          <w:color w:val="auto"/>
          <w:kern w:val="0"/>
          <w:highlight w:val="none"/>
        </w:rPr>
        <w:t>。</w:t>
      </w:r>
    </w:p>
    <w:p>
      <w:pPr>
        <w:wordWrap w:val="0"/>
        <w:adjustRightInd w:val="0"/>
        <w:snapToGrid w:val="0"/>
        <w:spacing w:line="440" w:lineRule="exact"/>
        <w:ind w:firstLine="560"/>
        <w:rPr>
          <w:rFonts w:hint="default" w:ascii="Times New Roman"/>
          <w:bCs/>
          <w:snapToGrid w:val="0"/>
          <w:color w:val="auto"/>
          <w:kern w:val="0"/>
          <w:highlight w:val="none"/>
        </w:rPr>
      </w:pPr>
      <w:r>
        <w:rPr>
          <w:rFonts w:ascii="Times New Roman"/>
          <w:bCs/>
          <w:snapToGrid w:val="0"/>
          <w:color w:val="auto"/>
          <w:kern w:val="0"/>
          <w:highlight w:val="none"/>
        </w:rPr>
        <w:t>2.11</w:t>
      </w:r>
      <w:r>
        <w:rPr>
          <w:rFonts w:hAnsi="宋体"/>
          <w:b/>
          <w:bCs/>
          <w:color w:val="auto"/>
          <w:highlight w:val="none"/>
          <w:u w:val="single"/>
        </w:rPr>
        <w:t>项目实施过程中涉及工程造价控制、计量、价差调整等事项，最终以</w:t>
      </w:r>
      <w:r>
        <w:rPr>
          <w:rFonts w:hAnsi="宋体"/>
          <w:b/>
          <w:bCs/>
          <w:color w:val="auto"/>
          <w:szCs w:val="21"/>
          <w:highlight w:val="none"/>
          <w:u w:val="single"/>
        </w:rPr>
        <w:t>发包人委托的第三方造价咨询机构或</w:t>
      </w:r>
      <w:r>
        <w:rPr>
          <w:rFonts w:hint="eastAsia" w:hAnsi="宋体"/>
          <w:b/>
          <w:bCs/>
          <w:color w:val="auto"/>
          <w:highlight w:val="none"/>
          <w:u w:val="single"/>
          <w:lang w:eastAsia="zh-CN"/>
        </w:rPr>
        <w:t>乐昌市</w:t>
      </w:r>
      <w:r>
        <w:rPr>
          <w:rFonts w:hAnsi="宋体"/>
          <w:b/>
          <w:bCs/>
          <w:color w:val="auto"/>
          <w:highlight w:val="none"/>
          <w:u w:val="single"/>
        </w:rPr>
        <w:t>财政局投资评审中心的审定意见为准。</w:t>
      </w:r>
    </w:p>
    <w:p>
      <w:pPr>
        <w:wordWrap w:val="0"/>
        <w:adjustRightInd w:val="0"/>
        <w:snapToGrid w:val="0"/>
        <w:spacing w:line="440" w:lineRule="exact"/>
        <w:ind w:firstLine="560"/>
        <w:rPr>
          <w:rFonts w:ascii="Times New Roman"/>
          <w:snapToGrid w:val="0"/>
          <w:color w:val="auto"/>
          <w:kern w:val="0"/>
          <w:szCs w:val="24"/>
          <w:highlight w:val="none"/>
        </w:rPr>
      </w:pPr>
    </w:p>
    <w:p>
      <w:pPr>
        <w:pStyle w:val="4"/>
        <w:wordWrap w:val="0"/>
        <w:autoSpaceDE/>
        <w:autoSpaceDN/>
        <w:snapToGrid w:val="0"/>
        <w:spacing w:line="440" w:lineRule="exact"/>
        <w:ind w:firstLine="480"/>
        <w:jc w:val="both"/>
        <w:rPr>
          <w:rFonts w:ascii="Times New Roman"/>
          <w:b/>
          <w:snapToGrid w:val="0"/>
          <w:color w:val="auto"/>
          <w:szCs w:val="22"/>
          <w:highlight w:val="none"/>
        </w:rPr>
      </w:pPr>
      <w:bookmarkStart w:id="123" w:name="_Toc29207"/>
      <w:r>
        <w:rPr>
          <w:rFonts w:ascii="Times New Roman"/>
          <w:b/>
          <w:snapToGrid w:val="0"/>
          <w:color w:val="auto"/>
          <w:szCs w:val="22"/>
          <w:highlight w:val="none"/>
        </w:rPr>
        <w:t>3．工程付款办法</w:t>
      </w:r>
      <w:bookmarkEnd w:id="119"/>
      <w:bookmarkEnd w:id="120"/>
      <w:bookmarkEnd w:id="121"/>
      <w:bookmarkEnd w:id="123"/>
      <w:bookmarkStart w:id="124" w:name="_Hlt69114106"/>
      <w:bookmarkEnd w:id="124"/>
      <w:bookmarkStart w:id="125" w:name="_Hlt69700007"/>
      <w:bookmarkEnd w:id="125"/>
      <w:bookmarkStart w:id="126" w:name="_Hlt66591689"/>
      <w:bookmarkEnd w:id="126"/>
      <w:bookmarkStart w:id="127" w:name="_Hlt66608388"/>
      <w:bookmarkEnd w:id="127"/>
      <w:bookmarkStart w:id="128" w:name="_Hlt88976467"/>
      <w:bookmarkEnd w:id="128"/>
      <w:bookmarkStart w:id="129" w:name="_Hlt66593437"/>
      <w:bookmarkEnd w:id="129"/>
      <w:bookmarkStart w:id="130" w:name="_Hlt69669774"/>
      <w:bookmarkEnd w:id="130"/>
      <w:bookmarkStart w:id="131" w:name="_Hlt70150985"/>
      <w:bookmarkEnd w:id="131"/>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560" w:firstLineChars="0"/>
        <w:jc w:val="both"/>
        <w:textAlignment w:val="auto"/>
        <w:outlineLvl w:val="9"/>
        <w:rPr>
          <w:rFonts w:hint="eastAsia" w:ascii="Times New Roman" w:hAnsi="Times New Roman" w:cs="Times New Roman"/>
          <w:b/>
          <w:caps w:val="0"/>
          <w:smallCaps w:val="0"/>
          <w:snapToGrid w:val="0"/>
          <w:color w:val="auto"/>
          <w:spacing w:val="0"/>
          <w:kern w:val="0"/>
          <w:highlight w:val="none"/>
        </w:rPr>
      </w:pPr>
      <w:r>
        <w:rPr>
          <w:rFonts w:hint="eastAsia" w:ascii="Times New Roman" w:hAnsi="Times New Roman" w:cs="Times New Roman"/>
          <w:b/>
          <w:caps w:val="0"/>
          <w:smallCaps w:val="0"/>
          <w:snapToGrid w:val="0"/>
          <w:color w:val="auto"/>
          <w:spacing w:val="0"/>
          <w:kern w:val="0"/>
          <w:highlight w:val="none"/>
        </w:rPr>
        <w:t>3</w:t>
      </w:r>
      <w:r>
        <w:rPr>
          <w:rFonts w:hint="eastAsia" w:ascii="Times New Roman" w:hAnsi="Times New Roman" w:cs="Times New Roman"/>
          <w:b/>
          <w:caps w:val="0"/>
          <w:smallCaps w:val="0"/>
          <w:snapToGrid w:val="0"/>
          <w:color w:val="auto"/>
          <w:spacing w:val="0"/>
          <w:kern w:val="0"/>
          <w:highlight w:val="none"/>
          <w:lang w:eastAsia="zh-CN"/>
        </w:rPr>
        <w:t>．</w:t>
      </w:r>
      <w:r>
        <w:rPr>
          <w:rFonts w:hint="eastAsia" w:ascii="Times New Roman" w:hAnsi="Times New Roman" w:cs="Times New Roman"/>
          <w:b/>
          <w:caps w:val="0"/>
          <w:smallCaps w:val="0"/>
          <w:snapToGrid w:val="0"/>
          <w:color w:val="auto"/>
          <w:spacing w:val="0"/>
          <w:kern w:val="0"/>
          <w:highlight w:val="none"/>
        </w:rPr>
        <w:t>工程付款办法</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560" w:firstLineChars="0"/>
        <w:jc w:val="both"/>
        <w:textAlignment w:val="auto"/>
        <w:outlineLvl w:val="9"/>
        <w:rPr>
          <w:rFonts w:hint="eastAsia" w:ascii="Times New Roman" w:hAnsi="Times New Roman" w:cs="Times New Roman"/>
          <w:caps w:val="0"/>
          <w:smallCaps w:val="0"/>
          <w:snapToGrid w:val="0"/>
          <w:color w:val="auto"/>
          <w:spacing w:val="0"/>
          <w:kern w:val="0"/>
          <w:highlight w:val="none"/>
        </w:rPr>
      </w:pPr>
      <w:r>
        <w:rPr>
          <w:rFonts w:hint="eastAsia" w:ascii="Times New Roman" w:hAnsi="Times New Roman" w:cs="Times New Roman"/>
          <w:b/>
          <w:bCs/>
          <w:caps w:val="0"/>
          <w:smallCaps w:val="0"/>
          <w:snapToGrid w:val="0"/>
          <w:color w:val="auto"/>
          <w:spacing w:val="0"/>
          <w:kern w:val="0"/>
          <w:szCs w:val="24"/>
          <w:highlight w:val="none"/>
          <w:lang w:val="en-US" w:eastAsia="zh-CN"/>
        </w:rPr>
        <w:t>3.1</w:t>
      </w:r>
      <w:r>
        <w:rPr>
          <w:rFonts w:hint="eastAsia" w:ascii="Times New Roman" w:hAnsi="Times New Roman" w:cs="Times New Roman"/>
          <w:caps w:val="0"/>
          <w:smallCaps w:val="0"/>
          <w:snapToGrid w:val="0"/>
          <w:color w:val="auto"/>
          <w:spacing w:val="0"/>
          <w:kern w:val="0"/>
          <w:highlight w:val="none"/>
        </w:rPr>
        <w:t xml:space="preserve"> 本</w:t>
      </w:r>
      <w:r>
        <w:rPr>
          <w:rFonts w:hint="eastAsia" w:ascii="Times New Roman" w:hAnsi="Times New Roman" w:cs="Times New Roman"/>
          <w:caps w:val="0"/>
          <w:smallCaps w:val="0"/>
          <w:snapToGrid w:val="0"/>
          <w:color w:val="auto"/>
          <w:spacing w:val="0"/>
          <w:kern w:val="0"/>
          <w:highlight w:val="none"/>
          <w:lang w:eastAsia="zh-CN"/>
        </w:rPr>
        <w:t>招标项目</w:t>
      </w:r>
      <w:r>
        <w:rPr>
          <w:rFonts w:hint="eastAsia" w:ascii="Times New Roman" w:hAnsi="Times New Roman" w:cs="Times New Roman"/>
          <w:caps w:val="0"/>
          <w:smallCaps w:val="0"/>
          <w:snapToGrid w:val="0"/>
          <w:color w:val="auto"/>
          <w:spacing w:val="0"/>
          <w:kern w:val="0"/>
          <w:highlight w:val="none"/>
          <w:u w:val="single"/>
          <w:lang w:val="en-US" w:eastAsia="zh-CN"/>
        </w:rPr>
        <w:t xml:space="preserve"> </w:t>
      </w:r>
      <w:r>
        <w:rPr>
          <w:rFonts w:hint="eastAsia" w:ascii="Times New Roman" w:hAnsi="Times New Roman" w:cs="Times New Roman"/>
          <w:caps w:val="0"/>
          <w:smallCaps w:val="0"/>
          <w:snapToGrid w:val="0"/>
          <w:color w:val="auto"/>
          <w:spacing w:val="0"/>
          <w:kern w:val="0"/>
          <w:highlight w:val="none"/>
          <w:u w:val="single"/>
        </w:rPr>
        <w:t>支付</w:t>
      </w:r>
      <w:r>
        <w:rPr>
          <w:rFonts w:hint="eastAsia" w:ascii="Times New Roman" w:hAnsi="Times New Roman" w:cs="Times New Roman"/>
          <w:caps w:val="0"/>
          <w:smallCaps w:val="0"/>
          <w:snapToGrid w:val="0"/>
          <w:color w:val="auto"/>
          <w:spacing w:val="0"/>
          <w:kern w:val="0"/>
          <w:highlight w:val="none"/>
          <w:u w:val="single"/>
          <w:lang w:val="en-US" w:eastAsia="zh-CN"/>
        </w:rPr>
        <w:t xml:space="preserve">  </w:t>
      </w:r>
      <w:r>
        <w:rPr>
          <w:rFonts w:hint="eastAsia" w:ascii="Times New Roman" w:hAnsi="Times New Roman" w:cs="Times New Roman"/>
          <w:caps w:val="0"/>
          <w:smallCaps w:val="0"/>
          <w:snapToGrid w:val="0"/>
          <w:color w:val="auto"/>
          <w:spacing w:val="0"/>
          <w:kern w:val="0"/>
          <w:highlight w:val="none"/>
        </w:rPr>
        <w:t>施工预付款。</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lang w:val="en-US" w:eastAsia="zh-CN"/>
        </w:rPr>
      </w:pPr>
      <w:r>
        <w:rPr>
          <w:rFonts w:hint="eastAsia" w:ascii="Times New Roman" w:hAnsi="Times New Roman" w:cs="Times New Roman"/>
          <w:b/>
          <w:bCs/>
          <w:caps w:val="0"/>
          <w:smallCaps w:val="0"/>
          <w:snapToGrid w:val="0"/>
          <w:color w:val="auto"/>
          <w:spacing w:val="0"/>
          <w:kern w:val="0"/>
          <w:szCs w:val="24"/>
          <w:highlight w:val="none"/>
          <w:lang w:val="en-US" w:eastAsia="zh-CN"/>
        </w:rPr>
        <w:t>3.2</w:t>
      </w:r>
      <w:r>
        <w:rPr>
          <w:rFonts w:hint="eastAsia" w:ascii="Times New Roman" w:hAnsi="Times New Roman" w:cs="Times New Roman"/>
          <w:caps w:val="0"/>
          <w:smallCaps w:val="0"/>
          <w:snapToGrid w:val="0"/>
          <w:color w:val="auto"/>
          <w:spacing w:val="0"/>
          <w:kern w:val="0"/>
          <w:highlight w:val="none"/>
          <w:lang w:val="en-US" w:eastAsia="zh-CN"/>
        </w:rPr>
        <w:t xml:space="preserve"> 施工预付款必须专用于合同工程，并按以下原则支付和抵扣：</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u w:val="none" w:color="auto"/>
        </w:rPr>
      </w:pPr>
      <w:r>
        <w:rPr>
          <w:rFonts w:hint="eastAsia" w:ascii="Times New Roman" w:hAnsi="Times New Roman" w:cs="Times New Roman"/>
          <w:b/>
          <w:bCs/>
          <w:caps w:val="0"/>
          <w:smallCaps w:val="0"/>
          <w:snapToGrid w:val="0"/>
          <w:color w:val="auto"/>
          <w:spacing w:val="0"/>
          <w:kern w:val="0"/>
          <w:szCs w:val="24"/>
          <w:highlight w:val="none"/>
          <w:lang w:val="en-US" w:eastAsia="zh-CN"/>
        </w:rPr>
        <w:t>3.2.1</w:t>
      </w:r>
      <w:r>
        <w:rPr>
          <w:rFonts w:hint="eastAsia" w:ascii="Times New Roman" w:hAnsi="Times New Roman" w:cs="Times New Roman"/>
          <w:caps w:val="0"/>
          <w:smallCaps w:val="0"/>
          <w:snapToGrid w:val="0"/>
          <w:color w:val="auto"/>
          <w:spacing w:val="0"/>
          <w:kern w:val="0"/>
          <w:highlight w:val="none"/>
          <w:lang w:val="en-US" w:eastAsia="zh-CN"/>
        </w:rPr>
        <w:t xml:space="preserve"> </w:t>
      </w:r>
      <w:r>
        <w:rPr>
          <w:rFonts w:hint="eastAsia" w:ascii="Times New Roman" w:hAnsi="Times New Roman" w:cs="Times New Roman"/>
          <w:caps w:val="0"/>
          <w:smallCaps w:val="0"/>
          <w:snapToGrid w:val="0"/>
          <w:color w:val="auto"/>
          <w:spacing w:val="0"/>
          <w:kern w:val="0"/>
          <w:highlight w:val="none"/>
        </w:rPr>
        <w:t>施工预付款支付比例为</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i w:val="0"/>
          <w:iCs w:val="0"/>
          <w:caps w:val="0"/>
          <w:smallCaps w:val="0"/>
          <w:snapToGrid w:val="0"/>
          <w:color w:val="auto"/>
          <w:spacing w:val="0"/>
          <w:kern w:val="0"/>
          <w:highlight w:val="none"/>
          <w:u w:val="none" w:color="auto"/>
          <w:lang w:val="en-US" w:eastAsia="zh-CN"/>
        </w:rPr>
        <w:t>按施工合同价的</w:t>
      </w:r>
      <w:r>
        <w:rPr>
          <w:rFonts w:hint="eastAsia" w:ascii="Times New Roman" w:hAnsi="Times New Roman" w:cs="Times New Roman"/>
          <w:i w:val="0"/>
          <w:iCs w:val="0"/>
          <w:caps w:val="0"/>
          <w:smallCaps w:val="0"/>
          <w:snapToGrid w:val="0"/>
          <w:color w:val="auto"/>
          <w:spacing w:val="0"/>
          <w:kern w:val="0"/>
          <w:szCs w:val="22"/>
          <w:highlight w:val="none"/>
          <w:u w:val="single" w:color="auto"/>
          <w:lang w:val="en-US" w:eastAsia="zh-CN"/>
        </w:rPr>
        <w:t xml:space="preserve"> 30% </w:t>
      </w:r>
      <w:r>
        <w:rPr>
          <w:rFonts w:hint="eastAsia" w:ascii="Times New Roman" w:hAnsi="Times New Roman" w:cs="Times New Roman"/>
          <w:i w:val="0"/>
          <w:iCs w:val="0"/>
          <w:caps w:val="0"/>
          <w:smallCaps w:val="0"/>
          <w:snapToGrid w:val="0"/>
          <w:color w:val="auto"/>
          <w:spacing w:val="0"/>
          <w:kern w:val="0"/>
          <w:szCs w:val="22"/>
          <w:highlight w:val="none"/>
          <w:u w:val="none" w:color="auto"/>
          <w:lang w:val="en-US" w:eastAsia="zh-CN"/>
        </w:rPr>
        <w:t>支</w:t>
      </w:r>
      <w:r>
        <w:rPr>
          <w:rFonts w:hint="eastAsia" w:ascii="Times New Roman" w:hAnsi="Times New Roman" w:cs="Times New Roman"/>
          <w:i w:val="0"/>
          <w:iCs w:val="0"/>
          <w:caps w:val="0"/>
          <w:smallCaps w:val="0"/>
          <w:snapToGrid w:val="0"/>
          <w:color w:val="auto"/>
          <w:spacing w:val="0"/>
          <w:kern w:val="0"/>
          <w:highlight w:val="none"/>
          <w:u w:val="none" w:color="auto"/>
          <w:lang w:val="en-US" w:eastAsia="zh-CN"/>
        </w:rPr>
        <w:t>付</w:t>
      </w:r>
      <w:r>
        <w:rPr>
          <w:rFonts w:hint="eastAsia" w:ascii="Times New Roman" w:hAnsi="Times New Roman" w:cs="Times New Roman"/>
          <w:caps w:val="0"/>
          <w:smallCaps w:val="0"/>
          <w:snapToGrid w:val="0"/>
          <w:color w:val="auto"/>
          <w:spacing w:val="0"/>
          <w:kern w:val="0"/>
          <w:highlight w:val="none"/>
          <w:u w:val="none" w:color="auto"/>
        </w:rPr>
        <w:t>。</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lang w:val="en-US" w:eastAsia="zh-CN"/>
        </w:rPr>
      </w:pPr>
      <w:r>
        <w:rPr>
          <w:rFonts w:hint="eastAsia" w:ascii="Times New Roman" w:hAnsi="Times New Roman" w:cs="Times New Roman"/>
          <w:b/>
          <w:bCs/>
          <w:caps w:val="0"/>
          <w:smallCaps w:val="0"/>
          <w:snapToGrid w:val="0"/>
          <w:color w:val="auto"/>
          <w:spacing w:val="0"/>
          <w:kern w:val="0"/>
          <w:szCs w:val="24"/>
          <w:highlight w:val="none"/>
          <w:lang w:val="en-US" w:eastAsia="zh-CN"/>
        </w:rPr>
        <w:t>3.2.2</w:t>
      </w:r>
      <w:r>
        <w:rPr>
          <w:rFonts w:hint="eastAsia" w:ascii="Times New Roman" w:hAnsi="Times New Roman" w:cs="Times New Roman"/>
          <w:caps w:val="0"/>
          <w:smallCaps w:val="0"/>
          <w:snapToGrid w:val="0"/>
          <w:color w:val="auto"/>
          <w:spacing w:val="0"/>
          <w:kern w:val="0"/>
          <w:highlight w:val="none"/>
          <w:lang w:val="en-US" w:eastAsia="zh-CN"/>
        </w:rPr>
        <w:t xml:space="preserve"> 本招标项目</w:t>
      </w:r>
      <w:r>
        <w:rPr>
          <w:rFonts w:hint="eastAsia" w:ascii="Times New Roman" w:hAnsi="Times New Roman" w:cs="Times New Roman"/>
          <w:i w:val="0"/>
          <w:iCs w:val="0"/>
          <w:caps w:val="0"/>
          <w:smallCaps w:val="0"/>
          <w:snapToGrid w:val="0"/>
          <w:color w:val="auto"/>
          <w:spacing w:val="0"/>
          <w:kern w:val="0"/>
          <w:highlight w:val="none"/>
          <w:u w:val="single" w:color="auto"/>
          <w:lang w:val="en-US" w:eastAsia="zh-CN"/>
        </w:rPr>
        <w:t xml:space="preserve"> 不要求 </w:t>
      </w:r>
      <w:r>
        <w:rPr>
          <w:rFonts w:hint="eastAsia" w:ascii="Times New Roman" w:hAnsi="Times New Roman" w:cs="Times New Roman"/>
          <w:i w:val="0"/>
          <w:iCs w:val="0"/>
          <w:caps w:val="0"/>
          <w:smallCaps w:val="0"/>
          <w:snapToGrid w:val="0"/>
          <w:color w:val="auto"/>
          <w:spacing w:val="0"/>
          <w:kern w:val="0"/>
          <w:highlight w:val="none"/>
          <w:lang w:val="en-US" w:eastAsia="zh-CN"/>
        </w:rPr>
        <w:t>承包人提</w:t>
      </w:r>
      <w:r>
        <w:rPr>
          <w:rFonts w:hint="eastAsia" w:ascii="Times New Roman" w:hAnsi="Times New Roman" w:cs="Times New Roman"/>
          <w:caps w:val="0"/>
          <w:smallCaps w:val="0"/>
          <w:snapToGrid w:val="0"/>
          <w:color w:val="auto"/>
          <w:spacing w:val="0"/>
          <w:kern w:val="0"/>
          <w:highlight w:val="none"/>
          <w:lang w:val="en-US" w:eastAsia="zh-CN"/>
        </w:rPr>
        <w:t>供与预付款等额的预付款保函。</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lang w:val="en-US" w:eastAsia="zh-CN"/>
        </w:rPr>
      </w:pPr>
      <w:r>
        <w:rPr>
          <w:rFonts w:hint="eastAsia" w:ascii="Times New Roman" w:hAnsi="Times New Roman" w:cs="Times New Roman"/>
          <w:b/>
          <w:bCs/>
          <w:caps w:val="0"/>
          <w:smallCaps w:val="0"/>
          <w:snapToGrid w:val="0"/>
          <w:color w:val="auto"/>
          <w:spacing w:val="0"/>
          <w:kern w:val="0"/>
          <w:szCs w:val="24"/>
          <w:highlight w:val="none"/>
          <w:lang w:val="en-US" w:eastAsia="zh-CN"/>
        </w:rPr>
        <w:t>3.2.3</w:t>
      </w:r>
      <w:r>
        <w:rPr>
          <w:rFonts w:hint="eastAsia" w:ascii="Times New Roman" w:hAnsi="Times New Roman" w:cs="Times New Roman"/>
          <w:caps w:val="0"/>
          <w:smallCaps w:val="0"/>
          <w:snapToGrid w:val="0"/>
          <w:color w:val="auto"/>
          <w:spacing w:val="0"/>
          <w:kern w:val="0"/>
          <w:highlight w:val="none"/>
          <w:lang w:val="en-US" w:eastAsia="zh-CN"/>
        </w:rPr>
        <w:t xml:space="preserve"> 承包人应在签订合同后，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lang w:val="en-US" w:eastAsia="zh-CN"/>
        </w:rPr>
      </w:pPr>
      <w:r>
        <w:rPr>
          <w:rFonts w:hint="eastAsia" w:ascii="Times New Roman" w:hAnsi="Times New Roman" w:cs="Times New Roman"/>
          <w:b/>
          <w:bCs/>
          <w:caps w:val="0"/>
          <w:smallCaps w:val="0"/>
          <w:snapToGrid w:val="0"/>
          <w:color w:val="auto"/>
          <w:spacing w:val="0"/>
          <w:kern w:val="0"/>
          <w:szCs w:val="24"/>
          <w:highlight w:val="none"/>
          <w:lang w:val="en-US" w:eastAsia="zh-CN"/>
        </w:rPr>
        <w:t>3.2.4</w:t>
      </w:r>
      <w:r>
        <w:rPr>
          <w:rFonts w:hint="eastAsia" w:ascii="Times New Roman" w:hAnsi="Times New Roman" w:cs="Times New Roman"/>
          <w:caps w:val="0"/>
          <w:smallCaps w:val="0"/>
          <w:snapToGrid w:val="0"/>
          <w:color w:val="auto"/>
          <w:spacing w:val="0"/>
          <w:kern w:val="0"/>
          <w:highlight w:val="none"/>
          <w:lang w:val="en-US" w:eastAsia="zh-CN"/>
        </w:rPr>
        <w:t xml:space="preserve"> 发包人没有按时支付预付款的，承包人可催告发包人支付；发包人在付款期满后的7天内仍未支付的，承包人可在付款期满后的第8天起暂停施工。发包人应向承包人支付应付款的利息（从付款期满后之日起计算，利率按同期银行贷款利率计算），并承担违约责任。</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u w:val="none" w:color="auto"/>
          <w:lang w:eastAsia="zh-CN"/>
        </w:rPr>
      </w:pPr>
      <w:r>
        <w:rPr>
          <w:rFonts w:hint="eastAsia" w:ascii="Times New Roman" w:hAnsi="Times New Roman" w:cs="Times New Roman"/>
          <w:b/>
          <w:bCs/>
          <w:caps w:val="0"/>
          <w:smallCaps w:val="0"/>
          <w:snapToGrid w:val="0"/>
          <w:color w:val="auto"/>
          <w:spacing w:val="0"/>
          <w:kern w:val="0"/>
          <w:szCs w:val="24"/>
          <w:highlight w:val="none"/>
          <w:lang w:val="en-US" w:eastAsia="zh-CN"/>
        </w:rPr>
        <w:t>3.2.5</w:t>
      </w:r>
      <w:r>
        <w:rPr>
          <w:rFonts w:hint="eastAsia" w:ascii="Times New Roman" w:hAnsi="Times New Roman" w:cs="Times New Roman"/>
          <w:caps w:val="0"/>
          <w:smallCaps w:val="0"/>
          <w:snapToGrid w:val="0"/>
          <w:color w:val="auto"/>
          <w:spacing w:val="0"/>
          <w:kern w:val="0"/>
          <w:highlight w:val="none"/>
          <w:lang w:val="en-US" w:eastAsia="zh-CN"/>
        </w:rPr>
        <w:t xml:space="preserve"> </w:t>
      </w:r>
      <w:r>
        <w:rPr>
          <w:rFonts w:hint="eastAsia" w:ascii="Times New Roman" w:hAnsi="Times New Roman" w:cs="Times New Roman"/>
          <w:caps w:val="0"/>
          <w:smallCaps w:val="0"/>
          <w:snapToGrid w:val="0"/>
          <w:color w:val="auto"/>
          <w:spacing w:val="0"/>
          <w:kern w:val="0"/>
          <w:highlight w:val="none"/>
          <w:u w:val="none" w:color="auto"/>
        </w:rPr>
        <w:t>预付款应从每支付期应支付给承包人的工程进度款中扣回，直到扣回的金额达到合同约定的预付款金额为止。</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rPr>
      </w:pPr>
      <w:r>
        <w:rPr>
          <w:rFonts w:hint="eastAsia" w:ascii="Times New Roman" w:hAnsi="Times New Roman" w:cs="Times New Roman"/>
          <w:b/>
          <w:bCs/>
          <w:caps w:val="0"/>
          <w:smallCaps w:val="0"/>
          <w:snapToGrid w:val="0"/>
          <w:color w:val="auto"/>
          <w:spacing w:val="0"/>
          <w:kern w:val="0"/>
          <w:szCs w:val="24"/>
          <w:highlight w:val="none"/>
          <w:lang w:val="en-US" w:eastAsia="zh-CN"/>
        </w:rPr>
        <w:t>3.3</w:t>
      </w:r>
      <w:r>
        <w:rPr>
          <w:rFonts w:hint="eastAsia" w:ascii="Times New Roman" w:hAnsi="Times New Roman" w:cs="Times New Roman"/>
          <w:caps w:val="0"/>
          <w:smallCaps w:val="0"/>
          <w:snapToGrid w:val="0"/>
          <w:color w:val="auto"/>
          <w:spacing w:val="0"/>
          <w:kern w:val="0"/>
          <w:highlight w:val="none"/>
        </w:rPr>
        <w:t xml:space="preserve"> 施工过程中按月支付工程进度款：承包</w:t>
      </w:r>
      <w:r>
        <w:rPr>
          <w:rFonts w:hint="eastAsia" w:ascii="Times New Roman" w:hAnsi="Times New Roman" w:cs="Times New Roman"/>
          <w:caps w:val="0"/>
          <w:smallCaps w:val="0"/>
          <w:snapToGrid w:val="0"/>
          <w:color w:val="auto"/>
          <w:spacing w:val="0"/>
          <w:kern w:val="0"/>
          <w:highlight w:val="none"/>
          <w:lang w:eastAsia="zh-CN"/>
        </w:rPr>
        <w:t>人</w:t>
      </w:r>
      <w:r>
        <w:rPr>
          <w:rFonts w:hint="eastAsia" w:ascii="Times New Roman" w:hAnsi="Times New Roman" w:cs="Times New Roman"/>
          <w:caps w:val="0"/>
          <w:smallCaps w:val="0"/>
          <w:snapToGrid w:val="0"/>
          <w:color w:val="auto"/>
          <w:spacing w:val="0"/>
          <w:kern w:val="0"/>
          <w:highlight w:val="none"/>
        </w:rPr>
        <w:t>每月按工程实际完成工程量</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rPr>
        <w:t>含变更及增加工程</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rPr>
        <w:t>申报，</w:t>
      </w:r>
      <w:r>
        <w:rPr>
          <w:rFonts w:hint="eastAsia" w:ascii="Times New Roman" w:hAnsi="Times New Roman" w:cs="Times New Roman"/>
          <w:caps w:val="0"/>
          <w:smallCaps w:val="0"/>
          <w:snapToGrid w:val="0"/>
          <w:color w:val="auto"/>
          <w:spacing w:val="0"/>
          <w:kern w:val="0"/>
          <w:highlight w:val="none"/>
          <w:lang w:eastAsia="zh-CN"/>
        </w:rPr>
        <w:t>承包</w:t>
      </w:r>
      <w:r>
        <w:rPr>
          <w:rFonts w:hint="eastAsia" w:ascii="Times New Roman" w:hAnsi="Times New Roman" w:cs="Times New Roman"/>
          <w:caps w:val="0"/>
          <w:smallCaps w:val="0"/>
          <w:snapToGrid w:val="0"/>
          <w:color w:val="auto"/>
          <w:spacing w:val="0"/>
          <w:kern w:val="0"/>
          <w:highlight w:val="none"/>
        </w:rPr>
        <w:t>人必须将《已完成工程量报表》和《工程付款申请书》于当月</w:t>
      </w:r>
      <w:r>
        <w:rPr>
          <w:rFonts w:hint="eastAsia" w:ascii="Times New Roman" w:hAnsi="Times New Roman" w:cs="Times New Roman"/>
          <w:caps w:val="0"/>
          <w:smallCaps w:val="0"/>
          <w:snapToGrid w:val="0"/>
          <w:color w:val="auto"/>
          <w:spacing w:val="0"/>
          <w:kern w:val="0"/>
          <w:highlight w:val="none"/>
          <w:lang w:val="en-US" w:eastAsia="zh-CN"/>
        </w:rPr>
        <w:t>26日前</w:t>
      </w:r>
      <w:r>
        <w:rPr>
          <w:rFonts w:hint="eastAsia" w:ascii="Times New Roman" w:hAnsi="Times New Roman" w:cs="Times New Roman"/>
          <w:caps w:val="0"/>
          <w:smallCaps w:val="0"/>
          <w:snapToGrid w:val="0"/>
          <w:color w:val="auto"/>
          <w:spacing w:val="0"/>
          <w:kern w:val="0"/>
          <w:highlight w:val="none"/>
        </w:rPr>
        <w:t>报监理</w:t>
      </w:r>
      <w:r>
        <w:rPr>
          <w:rFonts w:hint="eastAsia" w:ascii="Times New Roman" w:hAnsi="Times New Roman" w:cs="Times New Roman"/>
          <w:caps w:val="0"/>
          <w:smallCaps w:val="0"/>
          <w:snapToGrid w:val="0"/>
          <w:color w:val="auto"/>
          <w:spacing w:val="0"/>
          <w:kern w:val="0"/>
          <w:highlight w:val="none"/>
          <w:lang w:eastAsia="zh-CN"/>
        </w:rPr>
        <w:t>单位</w:t>
      </w:r>
      <w:r>
        <w:rPr>
          <w:rFonts w:hint="eastAsia" w:ascii="Times New Roman" w:hAnsi="Times New Roman" w:cs="Times New Roman"/>
          <w:caps w:val="0"/>
          <w:smallCaps w:val="0"/>
          <w:snapToGrid w:val="0"/>
          <w:color w:val="auto"/>
          <w:spacing w:val="0"/>
          <w:kern w:val="0"/>
          <w:highlight w:val="none"/>
        </w:rPr>
        <w:t>核实</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rPr>
        <w:t>经监理</w:t>
      </w:r>
      <w:r>
        <w:rPr>
          <w:rFonts w:hint="eastAsia" w:ascii="Times New Roman" w:hAnsi="Times New Roman" w:cs="Times New Roman"/>
          <w:caps w:val="0"/>
          <w:smallCaps w:val="0"/>
          <w:snapToGrid w:val="0"/>
          <w:color w:val="auto"/>
          <w:spacing w:val="0"/>
          <w:kern w:val="0"/>
          <w:highlight w:val="none"/>
          <w:lang w:eastAsia="zh-CN"/>
        </w:rPr>
        <w:t>单位审核、发包</w:t>
      </w:r>
      <w:r>
        <w:rPr>
          <w:rFonts w:hint="eastAsia" w:ascii="Times New Roman" w:hAnsi="Times New Roman" w:cs="Times New Roman"/>
          <w:caps w:val="0"/>
          <w:smallCaps w:val="0"/>
          <w:snapToGrid w:val="0"/>
          <w:color w:val="auto"/>
          <w:spacing w:val="0"/>
          <w:kern w:val="0"/>
          <w:highlight w:val="none"/>
        </w:rPr>
        <w:t>人</w:t>
      </w:r>
      <w:r>
        <w:rPr>
          <w:rFonts w:hint="eastAsia" w:ascii="Times New Roman" w:hAnsi="Times New Roman" w:cs="Times New Roman"/>
          <w:caps w:val="0"/>
          <w:smallCaps w:val="0"/>
          <w:snapToGrid w:val="0"/>
          <w:color w:val="auto"/>
          <w:spacing w:val="0"/>
          <w:kern w:val="0"/>
          <w:highlight w:val="none"/>
          <w:lang w:eastAsia="zh-CN"/>
        </w:rPr>
        <w:t>审定</w:t>
      </w:r>
      <w:r>
        <w:rPr>
          <w:rFonts w:hint="eastAsia" w:ascii="Times New Roman" w:hAnsi="Times New Roman" w:cs="Times New Roman"/>
          <w:caps w:val="0"/>
          <w:smallCaps w:val="0"/>
          <w:snapToGrid w:val="0"/>
          <w:color w:val="auto"/>
          <w:spacing w:val="0"/>
          <w:kern w:val="0"/>
          <w:highlight w:val="none"/>
        </w:rPr>
        <w:t>后</w:t>
      </w:r>
      <w:r>
        <w:rPr>
          <w:rFonts w:hint="eastAsia" w:ascii="Times New Roman" w:hAnsi="Times New Roman" w:cs="Times New Roman"/>
          <w:caps w:val="0"/>
          <w:smallCaps w:val="0"/>
          <w:snapToGrid w:val="0"/>
          <w:color w:val="auto"/>
          <w:spacing w:val="0"/>
          <w:kern w:val="0"/>
          <w:highlight w:val="none"/>
          <w:lang w:eastAsia="zh-CN"/>
        </w:rPr>
        <w:t>的工程进度款</w:t>
      </w:r>
      <w:r>
        <w:rPr>
          <w:rFonts w:hint="eastAsia" w:ascii="Times New Roman" w:hAnsi="Times New Roman" w:cs="Times New Roman"/>
          <w:caps w:val="0"/>
          <w:smallCaps w:val="0"/>
          <w:snapToGrid w:val="0"/>
          <w:color w:val="auto"/>
          <w:spacing w:val="0"/>
          <w:kern w:val="0"/>
          <w:highlight w:val="none"/>
          <w:u w:val="none"/>
          <w:lang w:eastAsia="zh-CN"/>
        </w:rPr>
        <w:t>（指已经按照合同约定，扣除该支付期内因承包人违约而应扣除的管理费）</w:t>
      </w:r>
      <w:r>
        <w:rPr>
          <w:rFonts w:hint="eastAsia" w:ascii="Times New Roman" w:hAnsi="Times New Roman" w:cs="Times New Roman"/>
          <w:caps w:val="0"/>
          <w:smallCaps w:val="0"/>
          <w:snapToGrid w:val="0"/>
          <w:color w:val="auto"/>
          <w:spacing w:val="0"/>
          <w:kern w:val="0"/>
          <w:highlight w:val="none"/>
          <w:u w:val="none"/>
        </w:rPr>
        <w:t>，</w:t>
      </w:r>
      <w:r>
        <w:rPr>
          <w:rFonts w:hint="eastAsia" w:ascii="Times New Roman" w:hAnsi="Times New Roman" w:cs="Times New Roman"/>
          <w:caps w:val="0"/>
          <w:smallCaps w:val="0"/>
          <w:snapToGrid w:val="0"/>
          <w:color w:val="auto"/>
          <w:spacing w:val="0"/>
          <w:kern w:val="0"/>
          <w:highlight w:val="none"/>
        </w:rPr>
        <w:t>于申报次月支付。</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eastAsia="宋体" w:cs="Times New Roman"/>
          <w:caps w:val="0"/>
          <w:smallCaps w:val="0"/>
          <w:snapToGrid w:val="0"/>
          <w:color w:val="auto"/>
          <w:spacing w:val="0"/>
          <w:kern w:val="0"/>
          <w:highlight w:val="none"/>
          <w:lang w:eastAsia="zh-CN"/>
        </w:rPr>
      </w:pPr>
      <w:r>
        <w:rPr>
          <w:rFonts w:hint="eastAsia" w:ascii="Times New Roman" w:hAnsi="Times New Roman" w:cs="Times New Roman"/>
          <w:b/>
          <w:bCs/>
          <w:caps w:val="0"/>
          <w:smallCaps w:val="0"/>
          <w:snapToGrid w:val="0"/>
          <w:color w:val="auto"/>
          <w:spacing w:val="0"/>
          <w:kern w:val="0"/>
          <w:szCs w:val="24"/>
          <w:highlight w:val="none"/>
          <w:lang w:val="en-US" w:eastAsia="zh-CN"/>
        </w:rPr>
        <w:t>3.4</w:t>
      </w:r>
      <w:r>
        <w:rPr>
          <w:rFonts w:hint="eastAsia" w:ascii="Times New Roman" w:hAnsi="Times New Roman" w:cs="Times New Roman"/>
          <w:caps w:val="0"/>
          <w:smallCaps w:val="0"/>
          <w:snapToGrid w:val="0"/>
          <w:color w:val="auto"/>
          <w:spacing w:val="0"/>
          <w:kern w:val="0"/>
          <w:highlight w:val="none"/>
        </w:rPr>
        <w:t xml:space="preserve"> 每月的工程进度款按应付金额的</w:t>
      </w:r>
      <w:r>
        <w:rPr>
          <w:rFonts w:hint="eastAsia" w:ascii="Times New Roman" w:hAnsi="Times New Roman" w:cs="Times New Roman"/>
          <w:caps w:val="0"/>
          <w:smallCaps w:val="0"/>
          <w:snapToGrid w:val="0"/>
          <w:color w:val="auto"/>
          <w:spacing w:val="0"/>
          <w:kern w:val="0"/>
          <w:highlight w:val="none"/>
          <w:u w:val="single" w:color="auto"/>
          <w:lang w:val="en-US" w:eastAsia="zh-CN"/>
        </w:rPr>
        <w:t>80%</w:t>
      </w:r>
      <w:r>
        <w:rPr>
          <w:rFonts w:hint="eastAsia" w:ascii="Times New Roman" w:hAnsi="Times New Roman" w:cs="Times New Roman"/>
          <w:caps w:val="0"/>
          <w:smallCaps w:val="0"/>
          <w:snapToGrid w:val="0"/>
          <w:color w:val="auto"/>
          <w:spacing w:val="0"/>
          <w:kern w:val="0"/>
          <w:highlight w:val="none"/>
          <w:u w:val="single"/>
          <w:lang w:val="en-US" w:eastAsia="zh-CN"/>
        </w:rPr>
        <w:t xml:space="preserve"> </w:t>
      </w:r>
      <w:r>
        <w:rPr>
          <w:rFonts w:hint="eastAsia" w:ascii="Times New Roman" w:hAnsi="Times New Roman" w:cs="Times New Roman"/>
          <w:caps w:val="0"/>
          <w:smallCaps w:val="0"/>
          <w:snapToGrid w:val="0"/>
          <w:color w:val="auto"/>
          <w:spacing w:val="0"/>
          <w:kern w:val="0"/>
          <w:highlight w:val="none"/>
        </w:rPr>
        <w:t>支付，支付方法：发包人和监理签发进度款支付申请，经市财政部门审核后支付。</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rPr>
      </w:pPr>
      <w:r>
        <w:rPr>
          <w:rFonts w:hint="eastAsia" w:ascii="Times New Roman" w:hAnsi="Times New Roman" w:cs="Times New Roman"/>
          <w:b/>
          <w:bCs/>
          <w:caps w:val="0"/>
          <w:smallCaps w:val="0"/>
          <w:snapToGrid w:val="0"/>
          <w:color w:val="auto"/>
          <w:spacing w:val="0"/>
          <w:kern w:val="0"/>
          <w:szCs w:val="24"/>
          <w:highlight w:val="none"/>
          <w:lang w:val="en-US" w:eastAsia="zh-CN"/>
        </w:rPr>
        <w:t>3.5</w:t>
      </w:r>
      <w:r>
        <w:rPr>
          <w:rFonts w:hint="eastAsia" w:ascii="Times New Roman" w:hAnsi="Times New Roman" w:cs="Times New Roman"/>
          <w:caps w:val="0"/>
          <w:smallCaps w:val="0"/>
          <w:snapToGrid w:val="0"/>
          <w:color w:val="auto"/>
          <w:spacing w:val="0"/>
          <w:kern w:val="0"/>
          <w:highlight w:val="none"/>
          <w:lang w:val="en-US" w:eastAsia="zh-CN"/>
        </w:rPr>
        <w:t xml:space="preserve"> </w:t>
      </w:r>
      <w:r>
        <w:rPr>
          <w:rFonts w:hint="eastAsia" w:ascii="Times New Roman" w:hAnsi="Times New Roman" w:cs="Times New Roman"/>
          <w:caps w:val="0"/>
          <w:smallCaps w:val="0"/>
          <w:snapToGrid w:val="0"/>
          <w:color w:val="auto"/>
          <w:spacing w:val="0"/>
          <w:kern w:val="0"/>
          <w:highlight w:val="none"/>
        </w:rPr>
        <w:t>措施项目费中的“</w:t>
      </w:r>
      <w:r>
        <w:rPr>
          <w:rFonts w:hint="eastAsia" w:ascii="Times New Roman" w:hAnsi="Times New Roman" w:cs="Times New Roman"/>
          <w:caps w:val="0"/>
          <w:smallCaps w:val="0"/>
          <w:snapToGrid w:val="0"/>
          <w:color w:val="auto"/>
          <w:spacing w:val="0"/>
          <w:kern w:val="0"/>
          <w:highlight w:val="none"/>
          <w:lang w:eastAsia="zh-CN"/>
        </w:rPr>
        <w:t>绿色施工安全防护措施费</w:t>
      </w:r>
      <w:r>
        <w:rPr>
          <w:rFonts w:hint="eastAsia" w:ascii="Times New Roman" w:hAnsi="Times New Roman" w:cs="Times New Roman"/>
          <w:caps w:val="0"/>
          <w:smallCaps w:val="0"/>
          <w:snapToGrid w:val="0"/>
          <w:color w:val="auto"/>
          <w:spacing w:val="0"/>
          <w:kern w:val="0"/>
          <w:highlight w:val="none"/>
        </w:rPr>
        <w:t>”拨付</w:t>
      </w:r>
      <w:r>
        <w:rPr>
          <w:rFonts w:hint="eastAsia" w:ascii="Times New Roman" w:hAnsi="Times New Roman" w:cs="Times New Roman"/>
          <w:caps w:val="0"/>
          <w:smallCaps w:val="0"/>
          <w:snapToGrid w:val="0"/>
          <w:color w:val="auto"/>
          <w:spacing w:val="0"/>
          <w:kern w:val="0"/>
          <w:highlight w:val="none"/>
          <w:lang w:eastAsia="zh-CN"/>
        </w:rPr>
        <w:t>按照《</w:t>
      </w:r>
      <w:r>
        <w:rPr>
          <w:rFonts w:hint="eastAsia" w:ascii="Times New Roman" w:hAnsi="Times New Roman" w:cs="Times New Roman"/>
          <w:caps w:val="0"/>
          <w:smallCaps w:val="0"/>
          <w:snapToGrid w:val="0"/>
          <w:color w:val="auto"/>
          <w:spacing w:val="0"/>
          <w:kern w:val="0"/>
          <w:highlight w:val="none"/>
        </w:rPr>
        <w:t>广东省建设工程计价依据</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lang w:val="en-US" w:eastAsia="zh-CN"/>
        </w:rPr>
        <w:t>2018</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rPr>
        <w:t>执行，按照</w:t>
      </w:r>
      <w:r>
        <w:rPr>
          <w:rFonts w:hint="eastAsia" w:ascii="Times New Roman" w:hAnsi="Times New Roman" w:cs="Times New Roman"/>
          <w:caps w:val="0"/>
          <w:smallCaps w:val="0"/>
          <w:snapToGrid w:val="0"/>
          <w:color w:val="auto"/>
          <w:spacing w:val="0"/>
          <w:kern w:val="0"/>
          <w:highlight w:val="none"/>
          <w:lang w:eastAsia="zh-CN"/>
        </w:rPr>
        <w:t>项目</w:t>
      </w:r>
      <w:r>
        <w:rPr>
          <w:rFonts w:hint="eastAsia" w:ascii="Times New Roman" w:hAnsi="Times New Roman" w:cs="Times New Roman"/>
          <w:caps w:val="0"/>
          <w:smallCaps w:val="0"/>
          <w:snapToGrid w:val="0"/>
          <w:color w:val="auto"/>
          <w:spacing w:val="0"/>
          <w:kern w:val="0"/>
          <w:highlight w:val="none"/>
        </w:rPr>
        <w:t>所在地的建设行政</w:t>
      </w:r>
      <w:r>
        <w:rPr>
          <w:rFonts w:hint="eastAsia" w:ascii="Times New Roman" w:hAnsi="Times New Roman" w:cs="Times New Roman"/>
          <w:caps w:val="0"/>
          <w:smallCaps w:val="0"/>
          <w:snapToGrid w:val="0"/>
          <w:color w:val="auto"/>
          <w:spacing w:val="0"/>
          <w:kern w:val="0"/>
          <w:highlight w:val="none"/>
          <w:lang w:eastAsia="zh-CN"/>
        </w:rPr>
        <w:t>主管</w:t>
      </w:r>
      <w:r>
        <w:rPr>
          <w:rFonts w:hint="eastAsia" w:ascii="Times New Roman" w:hAnsi="Times New Roman" w:cs="Times New Roman"/>
          <w:caps w:val="0"/>
          <w:smallCaps w:val="0"/>
          <w:snapToGrid w:val="0"/>
          <w:color w:val="auto"/>
          <w:spacing w:val="0"/>
          <w:kern w:val="0"/>
          <w:highlight w:val="none"/>
        </w:rPr>
        <w:t>部门有关规定支付。发生一般事故及以上等级重大安全事故的，</w:t>
      </w:r>
      <w:r>
        <w:rPr>
          <w:rFonts w:hint="eastAsia" w:ascii="Times New Roman" w:hAnsi="Times New Roman" w:cs="Times New Roman"/>
          <w:caps w:val="0"/>
          <w:smallCaps w:val="0"/>
          <w:snapToGrid w:val="0"/>
          <w:color w:val="auto"/>
          <w:spacing w:val="0"/>
          <w:kern w:val="0"/>
          <w:highlight w:val="none"/>
          <w:lang w:eastAsia="zh-CN"/>
        </w:rPr>
        <w:t>发包</w:t>
      </w:r>
      <w:r>
        <w:rPr>
          <w:rFonts w:hint="eastAsia" w:ascii="Times New Roman" w:hAnsi="Times New Roman" w:cs="Times New Roman"/>
          <w:caps w:val="0"/>
          <w:smallCaps w:val="0"/>
          <w:snapToGrid w:val="0"/>
          <w:color w:val="auto"/>
          <w:spacing w:val="0"/>
          <w:kern w:val="0"/>
          <w:highlight w:val="none"/>
        </w:rPr>
        <w:t>人可扣除承包人</w:t>
      </w:r>
      <w:r>
        <w:rPr>
          <w:rFonts w:hint="eastAsia" w:ascii="Times New Roman" w:hAnsi="Times New Roman" w:cs="Times New Roman"/>
          <w:caps w:val="0"/>
          <w:smallCaps w:val="0"/>
          <w:snapToGrid w:val="0"/>
          <w:color w:val="auto"/>
          <w:spacing w:val="0"/>
          <w:kern w:val="0"/>
          <w:highlight w:val="none"/>
          <w:lang w:eastAsia="zh-CN"/>
        </w:rPr>
        <w:t>金额</w:t>
      </w:r>
      <w:r>
        <w:rPr>
          <w:rFonts w:hint="eastAsia" w:ascii="Times New Roman" w:hAnsi="Times New Roman" w:cs="Times New Roman"/>
          <w:caps w:val="0"/>
          <w:smallCaps w:val="0"/>
          <w:snapToGrid w:val="0"/>
          <w:color w:val="auto"/>
          <w:spacing w:val="0"/>
          <w:kern w:val="0"/>
          <w:highlight w:val="none"/>
        </w:rPr>
        <w:t>相当于所有“</w:t>
      </w:r>
      <w:r>
        <w:rPr>
          <w:rFonts w:hint="eastAsia" w:ascii="Times New Roman" w:hAnsi="Times New Roman" w:cs="Times New Roman"/>
          <w:caps w:val="0"/>
          <w:smallCaps w:val="0"/>
          <w:snapToGrid w:val="0"/>
          <w:color w:val="auto"/>
          <w:spacing w:val="0"/>
          <w:kern w:val="0"/>
          <w:highlight w:val="none"/>
          <w:lang w:eastAsia="zh-CN"/>
        </w:rPr>
        <w:t>绿色施工安全防护措施费</w:t>
      </w:r>
      <w:r>
        <w:rPr>
          <w:rFonts w:hint="eastAsia" w:ascii="Times New Roman" w:hAnsi="Times New Roman" w:cs="Times New Roman"/>
          <w:caps w:val="0"/>
          <w:smallCaps w:val="0"/>
          <w:snapToGrid w:val="0"/>
          <w:color w:val="auto"/>
          <w:spacing w:val="0"/>
          <w:kern w:val="0"/>
          <w:highlight w:val="none"/>
        </w:rPr>
        <w:t>”的工程管理费。</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rPr>
      </w:pPr>
      <w:r>
        <w:rPr>
          <w:rFonts w:hint="eastAsia" w:ascii="Times New Roman" w:hAnsi="Times New Roman" w:cs="Times New Roman"/>
          <w:b/>
          <w:bCs/>
          <w:caps w:val="0"/>
          <w:smallCaps w:val="0"/>
          <w:snapToGrid w:val="0"/>
          <w:color w:val="auto"/>
          <w:spacing w:val="0"/>
          <w:kern w:val="0"/>
          <w:szCs w:val="24"/>
          <w:highlight w:val="none"/>
          <w:lang w:val="en-US" w:eastAsia="zh-CN"/>
        </w:rPr>
        <w:t>3.6</w:t>
      </w:r>
      <w:r>
        <w:rPr>
          <w:rFonts w:hint="eastAsia" w:ascii="Times New Roman" w:hAnsi="Times New Roman" w:cs="Times New Roman"/>
          <w:caps w:val="0"/>
          <w:smallCaps w:val="0"/>
          <w:snapToGrid w:val="0"/>
          <w:color w:val="auto"/>
          <w:spacing w:val="0"/>
          <w:kern w:val="0"/>
          <w:highlight w:val="none"/>
          <w:lang w:val="en-US" w:eastAsia="zh-CN"/>
        </w:rPr>
        <w:t xml:space="preserve"> </w:t>
      </w:r>
      <w:r>
        <w:rPr>
          <w:rFonts w:hint="eastAsia" w:ascii="Times New Roman" w:hAnsi="Times New Roman" w:cs="Times New Roman"/>
          <w:caps w:val="0"/>
          <w:smallCaps w:val="0"/>
          <w:snapToGrid w:val="0"/>
          <w:color w:val="auto"/>
          <w:spacing w:val="0"/>
          <w:kern w:val="0"/>
          <w:highlight w:val="none"/>
        </w:rPr>
        <w:t>变更工程造价必须经监理</w:t>
      </w:r>
      <w:r>
        <w:rPr>
          <w:rFonts w:hint="eastAsia" w:ascii="Times New Roman" w:hAnsi="Times New Roman" w:cs="Times New Roman"/>
          <w:caps w:val="0"/>
          <w:smallCaps w:val="0"/>
          <w:snapToGrid w:val="0"/>
          <w:color w:val="auto"/>
          <w:spacing w:val="0"/>
          <w:kern w:val="0"/>
          <w:highlight w:val="none"/>
          <w:lang w:eastAsia="zh-CN"/>
        </w:rPr>
        <w:t>单位</w:t>
      </w:r>
      <w:r>
        <w:rPr>
          <w:rFonts w:hint="eastAsia" w:ascii="Times New Roman" w:hAnsi="Times New Roman" w:cs="Times New Roman"/>
          <w:caps w:val="0"/>
          <w:smallCaps w:val="0"/>
          <w:snapToGrid w:val="0"/>
          <w:color w:val="auto"/>
          <w:spacing w:val="0"/>
          <w:kern w:val="0"/>
          <w:highlight w:val="none"/>
        </w:rPr>
        <w:t>核实，并经</w:t>
      </w:r>
      <w:r>
        <w:rPr>
          <w:rFonts w:hint="eastAsia" w:ascii="Times New Roman" w:hAnsi="Times New Roman" w:cs="Times New Roman"/>
          <w:caps w:val="0"/>
          <w:smallCaps w:val="0"/>
          <w:snapToGrid w:val="0"/>
          <w:color w:val="auto"/>
          <w:spacing w:val="0"/>
          <w:kern w:val="0"/>
          <w:highlight w:val="none"/>
          <w:lang w:eastAsia="zh-CN"/>
        </w:rPr>
        <w:t>发包</w:t>
      </w:r>
      <w:r>
        <w:rPr>
          <w:rFonts w:hint="eastAsia" w:ascii="Times New Roman" w:hAnsi="Times New Roman" w:cs="Times New Roman"/>
          <w:caps w:val="0"/>
          <w:smallCaps w:val="0"/>
          <w:snapToGrid w:val="0"/>
          <w:color w:val="auto"/>
          <w:spacing w:val="0"/>
          <w:kern w:val="0"/>
          <w:highlight w:val="none"/>
        </w:rPr>
        <w:t>人核定后方可支付。</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b w:val="0"/>
          <w:bCs/>
          <w:caps w:val="0"/>
          <w:smallCaps w:val="0"/>
          <w:snapToGrid w:val="0"/>
          <w:color w:val="auto"/>
          <w:spacing w:val="0"/>
          <w:kern w:val="0"/>
          <w:highlight w:val="none"/>
          <w:lang w:val="en-US" w:eastAsia="zh-CN"/>
        </w:rPr>
      </w:pPr>
      <w:r>
        <w:rPr>
          <w:rFonts w:hint="eastAsia" w:ascii="Times New Roman" w:hAnsi="Times New Roman" w:cs="Times New Roman"/>
          <w:b/>
          <w:bCs/>
          <w:caps w:val="0"/>
          <w:smallCaps w:val="0"/>
          <w:snapToGrid w:val="0"/>
          <w:color w:val="auto"/>
          <w:spacing w:val="0"/>
          <w:kern w:val="0"/>
          <w:szCs w:val="24"/>
          <w:highlight w:val="none"/>
          <w:lang w:val="en-US" w:eastAsia="zh-CN"/>
        </w:rPr>
        <w:t>3.7</w:t>
      </w:r>
      <w:r>
        <w:rPr>
          <w:rFonts w:hint="eastAsia" w:ascii="Times New Roman" w:hAnsi="Times New Roman" w:cs="Times New Roman"/>
          <w:caps w:val="0"/>
          <w:smallCaps w:val="0"/>
          <w:snapToGrid w:val="0"/>
          <w:color w:val="auto"/>
          <w:spacing w:val="0"/>
          <w:kern w:val="0"/>
          <w:highlight w:val="none"/>
          <w:lang w:val="en-US" w:eastAsia="zh-CN"/>
        </w:rPr>
        <w:t xml:space="preserve"> 竣工验收后一个月内支付至已完成工程量总价款的90%以内，</w:t>
      </w:r>
      <w:r>
        <w:rPr>
          <w:rFonts w:hint="eastAsia" w:ascii="Times New Roman" w:hAnsi="Times New Roman" w:cs="Times New Roman"/>
          <w:caps w:val="0"/>
          <w:smallCaps w:val="0"/>
          <w:snapToGrid w:val="0"/>
          <w:color w:val="auto"/>
          <w:spacing w:val="0"/>
          <w:kern w:val="0"/>
          <w:highlight w:val="none"/>
        </w:rPr>
        <w:t>结算审核完成后，于次月支付</w:t>
      </w:r>
      <w:r>
        <w:rPr>
          <w:rFonts w:hint="eastAsia" w:ascii="Times New Roman" w:hAnsi="Times New Roman" w:cs="Times New Roman"/>
          <w:caps w:val="0"/>
          <w:smallCaps w:val="0"/>
          <w:snapToGrid w:val="0"/>
          <w:color w:val="auto"/>
          <w:spacing w:val="0"/>
          <w:kern w:val="0"/>
          <w:highlight w:val="none"/>
          <w:lang w:eastAsia="zh-CN"/>
        </w:rPr>
        <w:t>至合同价格</w:t>
      </w:r>
      <w:r>
        <w:rPr>
          <w:rFonts w:hint="eastAsia" w:ascii="Times New Roman" w:hAnsi="Times New Roman" w:cs="Times New Roman"/>
          <w:caps w:val="0"/>
          <w:smallCaps w:val="0"/>
          <w:snapToGrid w:val="0"/>
          <w:color w:val="auto"/>
          <w:spacing w:val="0"/>
          <w:kern w:val="0"/>
          <w:highlight w:val="none"/>
        </w:rPr>
        <w:t>的97%</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rPr>
        <w:t>剩余3</w:t>
      </w:r>
      <w:r>
        <w:rPr>
          <w:rFonts w:ascii="Times New Roman" w:hAnsi="Times New Roman" w:cs="Times New Roman"/>
          <w:caps w:val="0"/>
          <w:smallCaps w:val="0"/>
          <w:snapToGrid w:val="0"/>
          <w:color w:val="auto"/>
          <w:spacing w:val="0"/>
          <w:kern w:val="0"/>
          <w:highlight w:val="none"/>
        </w:rPr>
        <w:t>%</w:t>
      </w:r>
      <w:r>
        <w:rPr>
          <w:rFonts w:hint="eastAsia" w:ascii="Times New Roman" w:hAnsi="Times New Roman" w:cs="Times New Roman"/>
          <w:caps w:val="0"/>
          <w:smallCaps w:val="0"/>
          <w:snapToGrid w:val="0"/>
          <w:color w:val="auto"/>
          <w:spacing w:val="0"/>
          <w:kern w:val="0"/>
          <w:highlight w:val="none"/>
          <w:lang w:eastAsia="zh-CN"/>
        </w:rPr>
        <w:t>转</w:t>
      </w:r>
      <w:r>
        <w:rPr>
          <w:rFonts w:hint="eastAsia" w:ascii="Times New Roman" w:hAnsi="Times New Roman" w:cs="Times New Roman"/>
          <w:caps w:val="0"/>
          <w:smallCaps w:val="0"/>
          <w:snapToGrid w:val="0"/>
          <w:color w:val="auto"/>
          <w:spacing w:val="0"/>
          <w:kern w:val="0"/>
          <w:highlight w:val="none"/>
        </w:rPr>
        <w:t>为质量保证金</w:t>
      </w:r>
      <w:r>
        <w:rPr>
          <w:rFonts w:hint="eastAsia" w:ascii="Times New Roman" w:hAnsi="Times New Roman" w:cs="Times New Roman"/>
          <w:caps w:val="0"/>
          <w:smallCaps w:val="0"/>
          <w:snapToGrid w:val="0"/>
          <w:color w:val="auto"/>
          <w:spacing w:val="0"/>
          <w:kern w:val="0"/>
          <w:highlight w:val="none"/>
          <w:lang w:eastAsia="zh-CN"/>
        </w:rPr>
        <w:t>；承包人提交了等额</w:t>
      </w:r>
      <w:r>
        <w:rPr>
          <w:rFonts w:hint="eastAsia" w:ascii="Times New Roman" w:hAnsi="Times New Roman" w:cs="Times New Roman"/>
          <w:b w:val="0"/>
          <w:bCs/>
          <w:caps w:val="0"/>
          <w:smallCaps w:val="0"/>
          <w:snapToGrid w:val="0"/>
          <w:color w:val="auto"/>
          <w:spacing w:val="0"/>
          <w:kern w:val="0"/>
          <w:highlight w:val="none"/>
          <w:lang w:val="en-US" w:eastAsia="zh-CN"/>
        </w:rPr>
        <w:t>质量保证担保或质量保证保险的，于次月一次性结清合同价格。</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lang w:val="en-US" w:eastAsia="zh-CN"/>
        </w:rPr>
      </w:pPr>
      <w:r>
        <w:rPr>
          <w:rFonts w:hint="eastAsia" w:ascii="Times New Roman" w:hAnsi="Times New Roman" w:cs="Times New Roman"/>
          <w:b/>
          <w:bCs w:val="0"/>
          <w:caps w:val="0"/>
          <w:smallCaps w:val="0"/>
          <w:snapToGrid w:val="0"/>
          <w:color w:val="auto"/>
          <w:spacing w:val="0"/>
          <w:kern w:val="0"/>
          <w:highlight w:val="none"/>
          <w:lang w:val="en-US" w:eastAsia="zh-CN"/>
        </w:rPr>
        <w:t>3.8</w:t>
      </w:r>
      <w:r>
        <w:rPr>
          <w:rFonts w:hint="eastAsia" w:ascii="Times New Roman" w:hAnsi="Times New Roman" w:cs="Times New Roman"/>
          <w:b w:val="0"/>
          <w:bCs/>
          <w:caps w:val="0"/>
          <w:smallCaps w:val="0"/>
          <w:snapToGrid w:val="0"/>
          <w:color w:val="auto"/>
          <w:spacing w:val="0"/>
          <w:kern w:val="0"/>
          <w:highlight w:val="none"/>
          <w:lang w:val="en-US" w:eastAsia="zh-CN"/>
        </w:rPr>
        <w:t xml:space="preserve"> 本招标项目缺陷责任期为</w:t>
      </w:r>
      <w:r>
        <w:rPr>
          <w:rFonts w:hint="eastAsia" w:ascii="Times New Roman" w:hAnsi="Times New Roman" w:cs="Times New Roman"/>
          <w:b w:val="0"/>
          <w:bCs/>
          <w:caps w:val="0"/>
          <w:smallCaps w:val="0"/>
          <w:snapToGrid w:val="0"/>
          <w:color w:val="auto"/>
          <w:spacing w:val="0"/>
          <w:kern w:val="0"/>
          <w:highlight w:val="none"/>
          <w:u w:val="single"/>
          <w:lang w:val="en-US" w:eastAsia="zh-CN"/>
        </w:rPr>
        <w:t xml:space="preserve"> </w:t>
      </w:r>
      <w:r>
        <w:rPr>
          <w:rFonts w:hint="eastAsia" w:ascii="Times New Roman" w:cs="Times New Roman"/>
          <w:b w:val="0"/>
          <w:bCs/>
          <w:caps w:val="0"/>
          <w:smallCaps w:val="0"/>
          <w:snapToGrid w:val="0"/>
          <w:color w:val="auto"/>
          <w:spacing w:val="0"/>
          <w:kern w:val="0"/>
          <w:highlight w:val="none"/>
          <w:u w:val="single"/>
          <w:lang w:val="en-US" w:eastAsia="zh-CN"/>
        </w:rPr>
        <w:t>1</w:t>
      </w:r>
      <w:r>
        <w:rPr>
          <w:rFonts w:hint="eastAsia" w:ascii="Times New Roman" w:hAnsi="Times New Roman" w:cs="Times New Roman"/>
          <w:b w:val="0"/>
          <w:bCs/>
          <w:caps w:val="0"/>
          <w:smallCaps w:val="0"/>
          <w:snapToGrid w:val="0"/>
          <w:color w:val="auto"/>
          <w:spacing w:val="0"/>
          <w:kern w:val="0"/>
          <w:highlight w:val="none"/>
          <w:lang w:val="en-US" w:eastAsia="zh-CN"/>
        </w:rPr>
        <w:t>年（自通过竣工验收之日起计）。</w:t>
      </w:r>
      <w:r>
        <w:rPr>
          <w:rFonts w:hint="eastAsia" w:ascii="Times New Roman" w:hAnsi="Times New Roman" w:cs="Times New Roman"/>
          <w:caps w:val="0"/>
          <w:smallCaps w:val="0"/>
          <w:snapToGrid w:val="0"/>
          <w:color w:val="auto"/>
          <w:spacing w:val="0"/>
          <w:kern w:val="0"/>
          <w:highlight w:val="none"/>
          <w:lang w:val="en-US" w:eastAsia="zh-CN"/>
        </w:rPr>
        <w:t>缺陷责任期到期后，承包人向发包人申请退还质量保证。发包人收到退还申请后，于14天内会同承包人进行核实。经双方核实且均无异议后，发包人在核实之日起</w:t>
      </w:r>
      <w:r>
        <w:rPr>
          <w:rFonts w:hint="eastAsia" w:ascii="Times New Roman" w:hAnsi="Times New Roman" w:cs="Times New Roman"/>
          <w:caps w:val="0"/>
          <w:smallCaps w:val="0"/>
          <w:snapToGrid w:val="0"/>
          <w:color w:val="auto"/>
          <w:spacing w:val="0"/>
          <w:kern w:val="0"/>
          <w:highlight w:val="none"/>
          <w:u w:val="single" w:color="auto"/>
          <w:lang w:val="en-US" w:eastAsia="zh-CN"/>
        </w:rPr>
        <w:t xml:space="preserve"> 14 </w:t>
      </w:r>
      <w:r>
        <w:rPr>
          <w:rFonts w:hint="eastAsia" w:ascii="Times New Roman" w:hAnsi="Times New Roman" w:cs="Times New Roman"/>
          <w:caps w:val="0"/>
          <w:smallCaps w:val="0"/>
          <w:snapToGrid w:val="0"/>
          <w:color w:val="auto"/>
          <w:spacing w:val="0"/>
          <w:kern w:val="0"/>
          <w:highlight w:val="none"/>
          <w:lang w:val="en-US" w:eastAsia="zh-CN"/>
        </w:rPr>
        <w:t>天内将应返保证金（或银行保函）退还承包人。</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rPr>
      </w:pPr>
      <w:r>
        <w:rPr>
          <w:rFonts w:hint="eastAsia" w:ascii="Times New Roman" w:hAnsi="Times New Roman" w:cs="Times New Roman"/>
          <w:b/>
          <w:bCs/>
          <w:caps w:val="0"/>
          <w:smallCaps w:val="0"/>
          <w:snapToGrid w:val="0"/>
          <w:color w:val="auto"/>
          <w:spacing w:val="0"/>
          <w:kern w:val="0"/>
          <w:szCs w:val="24"/>
          <w:highlight w:val="none"/>
          <w:lang w:val="en-US" w:eastAsia="zh-CN"/>
        </w:rPr>
        <w:t>3.9</w:t>
      </w:r>
      <w:r>
        <w:rPr>
          <w:rFonts w:hint="eastAsia" w:ascii="Times New Roman" w:hAnsi="Times New Roman" w:cs="Times New Roman"/>
          <w:caps w:val="0"/>
          <w:smallCaps w:val="0"/>
          <w:snapToGrid w:val="0"/>
          <w:color w:val="auto"/>
          <w:spacing w:val="0"/>
          <w:kern w:val="0"/>
          <w:highlight w:val="none"/>
          <w:lang w:val="en-US" w:eastAsia="zh-CN"/>
        </w:rPr>
        <w:t xml:space="preserve"> </w:t>
      </w:r>
      <w:r>
        <w:rPr>
          <w:rFonts w:hint="eastAsia" w:ascii="Times New Roman" w:hAnsi="Times New Roman" w:cs="Times New Roman"/>
          <w:b/>
          <w:bCs/>
          <w:caps w:val="0"/>
          <w:smallCaps w:val="0"/>
          <w:snapToGrid w:val="0"/>
          <w:color w:val="auto"/>
          <w:spacing w:val="0"/>
          <w:kern w:val="0"/>
          <w:highlight w:val="none"/>
          <w:lang w:val="en-US" w:eastAsia="zh-CN"/>
        </w:rPr>
        <w:t>发包人每次支付工程款前，承包人均应提供有效的增值税专用发票。如果承包人无法提供符合要求的发票，由此造成的相应损失由承包人承担</w:t>
      </w:r>
      <w:r>
        <w:rPr>
          <w:rFonts w:hint="eastAsia" w:ascii="Times New Roman" w:hAnsi="Times New Roman" w:cs="Times New Roman"/>
          <w:b/>
          <w:bCs/>
          <w:caps w:val="0"/>
          <w:smallCaps w:val="0"/>
          <w:snapToGrid w:val="0"/>
          <w:color w:val="auto"/>
          <w:spacing w:val="0"/>
          <w:kern w:val="0"/>
          <w:highlight w:val="none"/>
          <w:lang w:eastAsia="zh-CN"/>
        </w:rPr>
        <w:t>。</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3.10</w:t>
      </w:r>
      <w:r>
        <w:rPr>
          <w:rFonts w:ascii="Times New Roman"/>
          <w:snapToGrid w:val="0"/>
          <w:color w:val="auto"/>
          <w:kern w:val="0"/>
          <w:szCs w:val="24"/>
          <w:highlight w:val="none"/>
        </w:rPr>
        <w:t xml:space="preserve"> 暂列金额支付方式：</w:t>
      </w:r>
      <w:r>
        <w:rPr>
          <w:rFonts w:ascii="Times New Roman"/>
          <w:snapToGrid w:val="0"/>
          <w:color w:val="auto"/>
          <w:kern w:val="0"/>
          <w:szCs w:val="24"/>
          <w:highlight w:val="none"/>
          <w:u w:val="single"/>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暂停拨付。在暂列金额的范围内，最终经发包人确认后支付至该部分实际完成工程量的</w:t>
      </w:r>
      <w:r>
        <w:rPr>
          <w:rFonts w:hint="eastAsia" w:ascii="Times New Roman"/>
          <w:snapToGrid w:val="0"/>
          <w:color w:val="auto"/>
          <w:kern w:val="0"/>
          <w:szCs w:val="24"/>
          <w:highlight w:val="none"/>
          <w:u w:val="single"/>
          <w:lang w:val="en-US" w:eastAsia="zh-CN"/>
        </w:rPr>
        <w:t>90</w:t>
      </w:r>
      <w:r>
        <w:rPr>
          <w:rFonts w:ascii="Times New Roman"/>
          <w:snapToGrid w:val="0"/>
          <w:color w:val="auto"/>
          <w:kern w:val="0"/>
          <w:szCs w:val="24"/>
          <w:highlight w:val="none"/>
          <w:u w:val="single"/>
        </w:rPr>
        <w:t>％，其余部分待结算完成审核后支付至97%，剩余3%为工程质量保修金</w:t>
      </w:r>
      <w:r>
        <w:rPr>
          <w:rFonts w:ascii="Times New Roman"/>
          <w:snapToGrid w:val="0"/>
          <w:color w:val="auto"/>
          <w:kern w:val="0"/>
          <w:szCs w:val="24"/>
          <w:highlight w:val="none"/>
        </w:rPr>
        <w:t>。</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snapToGrid w:val="0"/>
          <w:color w:val="auto"/>
          <w:kern w:val="0"/>
          <w:szCs w:val="24"/>
          <w:highlight w:val="none"/>
        </w:rPr>
        <w:t xml:space="preserve">3.11 </w:t>
      </w:r>
      <w:r>
        <w:rPr>
          <w:rFonts w:ascii="Times New Roman"/>
          <w:snapToGrid w:val="0"/>
          <w:color w:val="auto"/>
          <w:kern w:val="0"/>
          <w:szCs w:val="24"/>
          <w:highlight w:val="none"/>
        </w:rPr>
        <w:t>材料暂估价、专业工程暂估价支付方式：</w:t>
      </w:r>
      <w:r>
        <w:rPr>
          <w:rFonts w:ascii="Times New Roman"/>
          <w:snapToGrid w:val="0"/>
          <w:color w:val="auto"/>
          <w:kern w:val="0"/>
          <w:szCs w:val="24"/>
          <w:highlight w:val="none"/>
          <w:u w:val="single"/>
        </w:rPr>
        <w:t>材料暂估价、专业工程暂估价与每个月的工程进度款一并报送，但需要列明详细项目内容，该部分材料暂估价、专业工程暂估价按该部分实际完成工程量的80%支付，剩余部分结算完成后支付至97%，剩余3%为工程质量保修金。</w:t>
      </w:r>
    </w:p>
    <w:p>
      <w:pPr>
        <w:wordWrap w:val="0"/>
        <w:adjustRightInd w:val="0"/>
        <w:snapToGrid w:val="0"/>
        <w:spacing w:line="440" w:lineRule="exact"/>
        <w:ind w:firstLine="480" w:firstLineChars="200"/>
        <w:rPr>
          <w:rFonts w:ascii="Times New Roman"/>
          <w:snapToGrid w:val="0"/>
          <w:color w:val="auto"/>
          <w:kern w:val="0"/>
          <w:szCs w:val="24"/>
          <w:highlight w:val="none"/>
        </w:rPr>
      </w:pPr>
    </w:p>
    <w:p>
      <w:pPr>
        <w:pStyle w:val="4"/>
        <w:wordWrap w:val="0"/>
        <w:autoSpaceDE/>
        <w:autoSpaceDN/>
        <w:snapToGrid w:val="0"/>
        <w:spacing w:line="440" w:lineRule="exact"/>
        <w:ind w:firstLine="480"/>
        <w:jc w:val="both"/>
        <w:rPr>
          <w:rFonts w:ascii="Times New Roman"/>
          <w:b/>
          <w:snapToGrid w:val="0"/>
          <w:color w:val="auto"/>
          <w:szCs w:val="22"/>
          <w:highlight w:val="none"/>
        </w:rPr>
      </w:pPr>
      <w:bookmarkStart w:id="132" w:name="_Toc24373"/>
      <w:r>
        <w:rPr>
          <w:rFonts w:ascii="Times New Roman"/>
          <w:b/>
          <w:snapToGrid w:val="0"/>
          <w:color w:val="auto"/>
          <w:szCs w:val="22"/>
          <w:highlight w:val="none"/>
        </w:rPr>
        <w:t>4．专用合同条款</w:t>
      </w:r>
      <w:bookmarkEnd w:id="132"/>
    </w:p>
    <w:bookmarkEnd w:id="106"/>
    <w:p>
      <w:pPr>
        <w:ind w:firstLine="475" w:firstLineChars="197"/>
        <w:rPr>
          <w:rFonts w:hAnsi="宋体" w:cs="宋体"/>
          <w:color w:val="auto"/>
          <w:szCs w:val="24"/>
          <w:highlight w:val="none"/>
        </w:rPr>
      </w:pPr>
      <w:bookmarkStart w:id="133" w:name="_Hlt69698796"/>
      <w:r>
        <w:rPr>
          <w:rFonts w:ascii="Times New Roman"/>
          <w:b/>
          <w:bCs/>
          <w:snapToGrid w:val="0"/>
          <w:color w:val="auto"/>
          <w:kern w:val="0"/>
          <w:szCs w:val="24"/>
          <w:highlight w:val="none"/>
        </w:rPr>
        <w:t xml:space="preserve">4.1 </w:t>
      </w:r>
      <w:r>
        <w:rPr>
          <w:rFonts w:hAnsi="宋体" w:cs="宋体"/>
          <w:color w:val="auto"/>
          <w:szCs w:val="24"/>
          <w:highlight w:val="none"/>
        </w:rPr>
        <w:t>工程移交延误违约</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4.1.1</w:t>
      </w:r>
      <w:r>
        <w:rPr>
          <w:rFonts w:hAnsi="宋体" w:cs="宋体"/>
          <w:color w:val="auto"/>
          <w:szCs w:val="24"/>
          <w:highlight w:val="none"/>
        </w:rPr>
        <w:t>因承包人原因，工程没有按期竣工时，承包人须在</w:t>
      </w:r>
      <w:r>
        <w:rPr>
          <w:rFonts w:ascii="Times New Roman"/>
          <w:snapToGrid w:val="0"/>
          <w:color w:val="auto"/>
          <w:kern w:val="0"/>
          <w:highlight w:val="none"/>
        </w:rPr>
        <w:t>逾期第壹天起每天按合同价的</w:t>
      </w:r>
      <w:r>
        <w:rPr>
          <w:rFonts w:ascii="Times New Roman"/>
          <w:snapToGrid w:val="0"/>
          <w:color w:val="auto"/>
          <w:kern w:val="0"/>
          <w:highlight w:val="none"/>
          <w:u w:val="single"/>
        </w:rPr>
        <w:t xml:space="preserve">  3‰ </w:t>
      </w:r>
      <w:r>
        <w:rPr>
          <w:rFonts w:ascii="Times New Roman"/>
          <w:snapToGrid w:val="0"/>
          <w:color w:val="auto"/>
          <w:kern w:val="0"/>
          <w:highlight w:val="none"/>
        </w:rPr>
        <w:t>向发包人返纳逾期竣工违约金。逾期竣工违约金的最高限额为合同价的</w:t>
      </w:r>
      <w:r>
        <w:rPr>
          <w:rFonts w:ascii="Times New Roman"/>
          <w:snapToGrid w:val="0"/>
          <w:color w:val="auto"/>
          <w:kern w:val="0"/>
          <w:highlight w:val="none"/>
          <w:u w:val="single"/>
        </w:rPr>
        <w:t xml:space="preserve"> 10%</w:t>
      </w:r>
      <w:r>
        <w:rPr>
          <w:rFonts w:ascii="Times New Roman"/>
          <w:snapToGrid w:val="0"/>
          <w:color w:val="auto"/>
          <w:kern w:val="0"/>
          <w:szCs w:val="24"/>
          <w:highlight w:val="none"/>
        </w:rPr>
        <w:t>。</w:t>
      </w:r>
    </w:p>
    <w:p>
      <w:pPr>
        <w:ind w:firstLine="475" w:firstLineChars="197"/>
        <w:rPr>
          <w:rFonts w:hAnsi="宋体" w:cs="宋体"/>
          <w:b/>
          <w:bCs/>
          <w:color w:val="auto"/>
          <w:kern w:val="0"/>
          <w:szCs w:val="24"/>
          <w:highlight w:val="none"/>
        </w:rPr>
      </w:pPr>
      <w:r>
        <w:rPr>
          <w:rFonts w:ascii="Times New Roman"/>
          <w:b/>
          <w:bCs/>
          <w:snapToGrid w:val="0"/>
          <w:color w:val="auto"/>
          <w:kern w:val="0"/>
          <w:szCs w:val="24"/>
          <w:highlight w:val="none"/>
        </w:rPr>
        <w:t>4.1.2</w:t>
      </w:r>
      <w:r>
        <w:rPr>
          <w:rFonts w:hAnsi="宋体" w:cs="宋体"/>
          <w:b/>
          <w:bCs/>
          <w:color w:val="auto"/>
          <w:kern w:val="0"/>
          <w:szCs w:val="24"/>
          <w:highlight w:val="none"/>
        </w:rPr>
        <w:t>投标报价应充分考虑在施工中由于发包人造成停工或工期延误等因素所产生的相关费用，发包人不予另计费；停工发生后，若可复工时，承包人应在收到发包人或监理单位发出的复工通知书后3日内复工，否则，逾期第壹天起每天按合同价款的1‰作误工违约处理。自该项目开工后，中标单位因自身原因导致停工（具体停工日期由发包人现场管理人员确定）累计超过3天，每月的工程进度款调整为按工程实际完成工程量的70%支付，剩余工程款结算审核定案后支付到97%。</w:t>
      </w:r>
    </w:p>
    <w:p>
      <w:pPr>
        <w:pStyle w:val="32"/>
        <w:snapToGrid w:val="0"/>
        <w:ind w:firstLine="560"/>
        <w:rPr>
          <w:rFonts w:hint="eastAsia" w:hAnsi="宋体" w:cs="宋体"/>
          <w:b/>
          <w:bCs/>
          <w:color w:val="auto"/>
          <w:kern w:val="0"/>
          <w:highlight w:val="none"/>
        </w:rPr>
      </w:pPr>
      <w:r>
        <w:rPr>
          <w:rFonts w:hint="eastAsia" w:ascii="Times New Roman"/>
          <w:b/>
          <w:bCs/>
          <w:snapToGrid w:val="0"/>
          <w:color w:val="auto"/>
          <w:kern w:val="0"/>
          <w:highlight w:val="none"/>
        </w:rPr>
        <w:t>4.1.3</w:t>
      </w:r>
      <w:r>
        <w:rPr>
          <w:rFonts w:hint="eastAsia" w:hAnsi="宋体"/>
          <w:color w:val="auto"/>
          <w:highlight w:val="none"/>
        </w:rPr>
        <w:t>承包人在进场后15天内提交施工进度计划，并注明</w:t>
      </w:r>
      <w:r>
        <w:rPr>
          <w:rFonts w:hint="eastAsia" w:hAnsi="宋体"/>
          <w:b/>
          <w:bCs/>
          <w:color w:val="auto"/>
          <w:highlight w:val="none"/>
        </w:rPr>
        <w:t>主要</w:t>
      </w:r>
      <w:r>
        <w:rPr>
          <w:rFonts w:hint="eastAsia" w:hAnsi="宋体"/>
          <w:color w:val="auto"/>
          <w:highlight w:val="none"/>
        </w:rPr>
        <w:t>施工节点时间，送监理单位及发包人审核后，作为工期考核的阶段性指标，若因承包人原因无法按进度节点完成的，逾期第壹天起每天按2000元向发包人返纳逾期违约金。</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 xml:space="preserve">4.2 </w:t>
      </w:r>
      <w:r>
        <w:rPr>
          <w:rFonts w:hAnsi="宋体" w:cs="宋体"/>
          <w:color w:val="auto"/>
          <w:szCs w:val="24"/>
          <w:highlight w:val="none"/>
        </w:rPr>
        <w:t>质量违约</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4.2.1</w:t>
      </w:r>
      <w:r>
        <w:rPr>
          <w:rFonts w:hAnsi="宋体" w:cs="宋体"/>
          <w:color w:val="auto"/>
          <w:szCs w:val="24"/>
          <w:highlight w:val="none"/>
        </w:rPr>
        <w:t>材料违约处理：若发现材料不符合国家标准或发包人在技术规范中规定的标准，视为承包人违约，按现行《建设工程质量管理条例》处理。</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4.2.2</w:t>
      </w:r>
      <w:r>
        <w:rPr>
          <w:rFonts w:hAnsi="宋体" w:cs="宋体"/>
          <w:color w:val="auto"/>
          <w:szCs w:val="24"/>
          <w:highlight w:val="none"/>
        </w:rPr>
        <w:t>工程质量违约：</w:t>
      </w:r>
    </w:p>
    <w:p>
      <w:pPr>
        <w:ind w:firstLine="352" w:firstLineChars="147"/>
        <w:rPr>
          <w:rFonts w:hAnsi="宋体" w:cs="宋体"/>
          <w:color w:val="auto"/>
          <w:szCs w:val="24"/>
          <w:highlight w:val="none"/>
        </w:rPr>
      </w:pPr>
      <w:r>
        <w:rPr>
          <w:rFonts w:hAnsi="宋体" w:cs="宋体"/>
          <w:color w:val="auto"/>
          <w:szCs w:val="24"/>
          <w:highlight w:val="none"/>
        </w:rPr>
        <w:t>如工程未达到合格标准，则按合同价款的1%向发包人缴纳质量违约金，并将工程整改至合格标准，整改所发生的一切费用均由中标人承担。</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4.3</w:t>
      </w:r>
      <w:r>
        <w:rPr>
          <w:rFonts w:hAnsi="宋体" w:cs="宋体"/>
          <w:color w:val="auto"/>
          <w:szCs w:val="24"/>
          <w:highlight w:val="none"/>
        </w:rPr>
        <w:t>重大责任事故违约</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4.3.1</w:t>
      </w:r>
      <w:r>
        <w:rPr>
          <w:rFonts w:hAnsi="宋体" w:cs="宋体"/>
          <w:color w:val="auto"/>
          <w:szCs w:val="24"/>
          <w:highlight w:val="none"/>
        </w:rPr>
        <w:t>承包人因违反国家安全质量法规及合同有关条款约定,出现火灾、坍塌、人员重伤、死亡等重大责任事故,则承包人应承担全部损失,并按相关法规接受行政处罚；如造成发包人及对第三人利益的损害,该等损害赔偿责任均由承包人承担。同时,每出现一次重大责任事故, 承包人应同时支付惩罚性违约金50万元。</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4.4</w:t>
      </w:r>
      <w:r>
        <w:rPr>
          <w:rFonts w:hAnsi="宋体" w:cs="宋体"/>
          <w:color w:val="auto"/>
          <w:szCs w:val="24"/>
          <w:highlight w:val="none"/>
        </w:rPr>
        <w:t>用工违约</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4.4.1</w:t>
      </w:r>
      <w:r>
        <w:rPr>
          <w:rFonts w:hAnsi="宋体" w:cs="宋体"/>
          <w:color w:val="auto"/>
          <w:szCs w:val="24"/>
          <w:highlight w:val="none"/>
        </w:rPr>
        <w:t>在合同履行期间，如经查实承包人拖欠或克扣农民工或劳务工工资，导致劳资纠纷或发生危及公共安全或正常社会秩序的事件的，按承包人违约处理，承包人应按拖欠或克扣农民工或劳务工工资总金额3倍的标准向发包人支付惩罚性违约金。</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 xml:space="preserve">4.5 </w:t>
      </w:r>
      <w:r>
        <w:rPr>
          <w:rFonts w:hAnsi="宋体" w:cs="宋体"/>
          <w:color w:val="auto"/>
          <w:szCs w:val="24"/>
          <w:highlight w:val="none"/>
        </w:rPr>
        <w:t>安全文明施工违约</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4.5.1</w:t>
      </w:r>
      <w:r>
        <w:rPr>
          <w:rFonts w:hAnsi="宋体" w:cs="宋体"/>
          <w:color w:val="auto"/>
          <w:szCs w:val="24"/>
          <w:highlight w:val="none"/>
        </w:rPr>
        <w:t>如承包人违反国家、广东省、发包人及合同关于安全文明施工的规定，但尚未造成安全责任事故，承包人应及时改正行为并赔偿相关方的损失，如未及时整改,针对每一违约行为每持续一天应支付违约金2000～5000元。</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4.5.2</w:t>
      </w:r>
      <w:r>
        <w:rPr>
          <w:rFonts w:hAnsi="宋体" w:cs="宋体"/>
          <w:color w:val="auto"/>
          <w:szCs w:val="24"/>
          <w:highlight w:val="none"/>
        </w:rPr>
        <w:t>承包人现场施工人员存在野蛮施工行为，经现场发包人（含监理单位）管理人员确认后，承包人须按2万元/次支付违约金，并承担因野蛮施工行为所造成的全部责任。</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4.5.3</w:t>
      </w:r>
      <w:r>
        <w:rPr>
          <w:rFonts w:hAnsi="宋体" w:cs="宋体"/>
          <w:color w:val="auto"/>
          <w:szCs w:val="24"/>
          <w:highlight w:val="none"/>
        </w:rPr>
        <w:t>承包人必须接受发包人组织的安全、文明施工的检查，检查中的不合格项目、安全隐患必须在规定的时间内整改完成，否则每拖延一天处以1万元人民币违约金，直至整改合格。</w:t>
      </w:r>
    </w:p>
    <w:p>
      <w:pPr>
        <w:ind w:firstLine="475" w:firstLineChars="197"/>
        <w:rPr>
          <w:rFonts w:hAnsi="宋体" w:cs="宋体"/>
          <w:color w:val="auto"/>
          <w:kern w:val="0"/>
          <w:szCs w:val="24"/>
          <w:highlight w:val="none"/>
        </w:rPr>
      </w:pPr>
      <w:r>
        <w:rPr>
          <w:rFonts w:ascii="Times New Roman"/>
          <w:b/>
          <w:bCs/>
          <w:snapToGrid w:val="0"/>
          <w:color w:val="auto"/>
          <w:kern w:val="0"/>
          <w:szCs w:val="24"/>
          <w:highlight w:val="none"/>
        </w:rPr>
        <w:t>4.5.4</w:t>
      </w:r>
      <w:r>
        <w:rPr>
          <w:rFonts w:hAnsi="宋体" w:cs="宋体"/>
          <w:color w:val="auto"/>
          <w:kern w:val="0"/>
          <w:szCs w:val="24"/>
          <w:highlight w:val="none"/>
        </w:rPr>
        <w:t>承包人施工现场发生工伤或其他责任事故的，承包人按下列标准支付违约金：</w:t>
      </w:r>
    </w:p>
    <w:p>
      <w:pPr>
        <w:ind w:firstLine="352" w:firstLineChars="147"/>
        <w:rPr>
          <w:rFonts w:hAnsi="宋体" w:cs="宋体"/>
          <w:color w:val="auto"/>
          <w:kern w:val="0"/>
          <w:szCs w:val="24"/>
          <w:highlight w:val="none"/>
        </w:rPr>
      </w:pPr>
      <w:r>
        <w:rPr>
          <w:rFonts w:hAnsi="宋体" w:cs="宋体"/>
          <w:color w:val="auto"/>
          <w:kern w:val="0"/>
          <w:szCs w:val="24"/>
          <w:highlight w:val="none"/>
        </w:rPr>
        <w:t>①一次事故或全年累计死亡3人及以上：安全第一责任人在韶关地区建设范围内公开检查；项目部必须撤换项目经理、主管安全副经理和安全主管，一次或全年累计支付违约金10万元至12万元；</w:t>
      </w:r>
    </w:p>
    <w:p>
      <w:pPr>
        <w:ind w:firstLine="352" w:firstLineChars="147"/>
        <w:rPr>
          <w:rFonts w:hAnsi="宋体" w:cs="宋体"/>
          <w:color w:val="auto"/>
          <w:kern w:val="0"/>
          <w:szCs w:val="24"/>
          <w:highlight w:val="none"/>
        </w:rPr>
      </w:pPr>
      <w:r>
        <w:rPr>
          <w:rFonts w:hAnsi="宋体" w:cs="宋体"/>
          <w:color w:val="auto"/>
          <w:kern w:val="0"/>
          <w:szCs w:val="24"/>
          <w:highlight w:val="none"/>
        </w:rPr>
        <w:t>②一次事故或全年累计死亡2人：安全第一责任人在韶关地区建设范围内公开检查；承包人必须撤换项目主管安全副经理或安全主管；一次或全年累计支付违约金7万至10万元人民币；</w:t>
      </w:r>
    </w:p>
    <w:p>
      <w:pPr>
        <w:ind w:firstLine="352" w:firstLineChars="147"/>
        <w:rPr>
          <w:rFonts w:hAnsi="宋体" w:cs="宋体"/>
          <w:color w:val="auto"/>
          <w:kern w:val="0"/>
          <w:szCs w:val="24"/>
          <w:highlight w:val="none"/>
        </w:rPr>
      </w:pPr>
      <w:r>
        <w:rPr>
          <w:rFonts w:hAnsi="宋体" w:cs="宋体"/>
          <w:color w:val="auto"/>
          <w:kern w:val="0"/>
          <w:szCs w:val="24"/>
          <w:highlight w:val="none"/>
        </w:rPr>
        <w:t>③全年死亡1人：安全第一责任人在韶关市地区建设范围内公开检查，并报其上级单位；建议承包人撤换项目安全主管；支付违约金5万至7万元人民币。</w:t>
      </w:r>
    </w:p>
    <w:p>
      <w:pPr>
        <w:ind w:firstLine="352" w:firstLineChars="147"/>
        <w:rPr>
          <w:rFonts w:hAnsi="宋体" w:cs="宋体"/>
          <w:color w:val="auto"/>
          <w:kern w:val="0"/>
          <w:szCs w:val="24"/>
          <w:highlight w:val="none"/>
        </w:rPr>
      </w:pPr>
      <w:r>
        <w:rPr>
          <w:rFonts w:hAnsi="宋体" w:cs="宋体"/>
          <w:color w:val="auto"/>
          <w:kern w:val="0"/>
          <w:szCs w:val="24"/>
          <w:highlight w:val="none"/>
        </w:rPr>
        <w:t>④重伤事故、造成10人及以上集体中毒住院、经济损失重大的火灾、设备及交通事故，支付违约金3万元人民币。</w:t>
      </w:r>
    </w:p>
    <w:p>
      <w:pPr>
        <w:ind w:firstLine="352" w:firstLineChars="147"/>
        <w:rPr>
          <w:rFonts w:hAnsi="宋体" w:cs="宋体"/>
          <w:color w:val="auto"/>
          <w:kern w:val="0"/>
          <w:szCs w:val="24"/>
          <w:highlight w:val="none"/>
        </w:rPr>
      </w:pPr>
      <w:r>
        <w:rPr>
          <w:rFonts w:hAnsi="宋体" w:cs="宋体"/>
          <w:color w:val="auto"/>
          <w:kern w:val="0"/>
          <w:szCs w:val="24"/>
          <w:highlight w:val="none"/>
        </w:rPr>
        <w:t>⑤因施工造成的道路交通中断、通讯中断、管线漏水漏气等全部责任事故，由承包人承担责任，并支付违约金2万元人民币。</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 xml:space="preserve">4.6 </w:t>
      </w:r>
      <w:r>
        <w:rPr>
          <w:rFonts w:hAnsi="宋体" w:cs="宋体"/>
          <w:color w:val="auto"/>
          <w:szCs w:val="24"/>
          <w:highlight w:val="none"/>
        </w:rPr>
        <w:t>其他违约</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4.6.1</w:t>
      </w:r>
      <w:r>
        <w:rPr>
          <w:rFonts w:hAnsi="宋体" w:cs="宋体"/>
          <w:color w:val="auto"/>
          <w:szCs w:val="24"/>
          <w:highlight w:val="none"/>
        </w:rPr>
        <w:t>承包人安排在施工场地的主要管理人员（主要指项目经理、项目技术负责人和专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考勤指模打卡每月累计不到位次数超过10天，按1万元/人/天支付违约金给发包人。</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4.6.2</w:t>
      </w:r>
      <w:r>
        <w:rPr>
          <w:rFonts w:hAnsi="宋体" w:cs="宋体"/>
          <w:color w:val="auto"/>
          <w:szCs w:val="24"/>
          <w:highlight w:val="none"/>
        </w:rPr>
        <w:t>发包人要求承包人替换项目部中不称职人员，而承包人不予替换，视为承包人违约，承包人须按承包人项目部主要管理人员（主要指项目经理、项目技术负责人和专职安全生产管理人员）10万元/人次支付违约金给发包人。</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4.6.3</w:t>
      </w:r>
      <w:r>
        <w:rPr>
          <w:rFonts w:hAnsi="宋体" w:cs="宋体"/>
          <w:color w:val="auto"/>
          <w:szCs w:val="24"/>
          <w:highlight w:val="none"/>
        </w:rPr>
        <w:t>发包人对上述约定中的规定并不免除承包人接受国家、地方政府相关部门依法对承包人的处罚。</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4.6.4</w:t>
      </w:r>
      <w:r>
        <w:rPr>
          <w:rFonts w:hAnsi="宋体" w:cs="宋体"/>
          <w:color w:val="auto"/>
          <w:szCs w:val="24"/>
          <w:highlight w:val="none"/>
        </w:rPr>
        <w:t>承包人没有正当合理的理由中途退场，可扣除承包人已递交的所有履约风险保证金。</w:t>
      </w:r>
    </w:p>
    <w:p>
      <w:pPr>
        <w:ind w:firstLine="475" w:firstLineChars="197"/>
        <w:rPr>
          <w:rFonts w:hAnsi="宋体" w:cs="宋体"/>
          <w:color w:val="auto"/>
          <w:szCs w:val="24"/>
          <w:highlight w:val="none"/>
        </w:rPr>
      </w:pPr>
      <w:r>
        <w:rPr>
          <w:rFonts w:ascii="Times New Roman"/>
          <w:b/>
          <w:bCs/>
          <w:snapToGrid w:val="0"/>
          <w:color w:val="auto"/>
          <w:kern w:val="0"/>
          <w:szCs w:val="24"/>
          <w:highlight w:val="none"/>
        </w:rPr>
        <w:t>4.6.5</w:t>
      </w:r>
      <w:r>
        <w:rPr>
          <w:rFonts w:hAnsi="宋体" w:cs="宋体"/>
          <w:color w:val="auto"/>
          <w:szCs w:val="24"/>
          <w:highlight w:val="none"/>
        </w:rPr>
        <w:t>有下列情况之一的，承包人在一年内不得参与发包人的任何工程任务，并勒令从现施工的工地退场，同时支付10万元违约金：</w:t>
      </w:r>
    </w:p>
    <w:p>
      <w:pPr>
        <w:ind w:firstLine="352" w:firstLineChars="147"/>
        <w:rPr>
          <w:rFonts w:hAnsi="宋体" w:cs="宋体"/>
          <w:color w:val="auto"/>
          <w:szCs w:val="24"/>
          <w:highlight w:val="none"/>
        </w:rPr>
      </w:pPr>
      <w:r>
        <w:rPr>
          <w:rFonts w:hAnsi="宋体" w:cs="宋体"/>
          <w:color w:val="auto"/>
          <w:szCs w:val="24"/>
          <w:highlight w:val="none"/>
        </w:rPr>
        <w:t>A、路面沉降、开裂超过规范要求并造成不良社会影响的；</w:t>
      </w:r>
    </w:p>
    <w:p>
      <w:pPr>
        <w:ind w:firstLine="352" w:firstLineChars="147"/>
        <w:rPr>
          <w:rFonts w:hAnsi="宋体" w:cs="宋体"/>
          <w:color w:val="auto"/>
          <w:szCs w:val="24"/>
          <w:highlight w:val="none"/>
        </w:rPr>
      </w:pPr>
      <w:r>
        <w:rPr>
          <w:rFonts w:hAnsi="宋体" w:cs="宋体"/>
          <w:color w:val="auto"/>
          <w:szCs w:val="24"/>
          <w:highlight w:val="none"/>
        </w:rPr>
        <w:t>B、发生重大责任安全事故的；</w:t>
      </w:r>
    </w:p>
    <w:p>
      <w:pPr>
        <w:ind w:firstLine="352" w:firstLineChars="147"/>
        <w:rPr>
          <w:rFonts w:hAnsi="宋体" w:cs="宋体"/>
          <w:color w:val="auto"/>
          <w:szCs w:val="24"/>
          <w:highlight w:val="none"/>
        </w:rPr>
      </w:pPr>
      <w:r>
        <w:rPr>
          <w:rFonts w:hAnsi="宋体" w:cs="宋体"/>
          <w:color w:val="auto"/>
          <w:szCs w:val="24"/>
          <w:highlight w:val="none"/>
        </w:rPr>
        <w:t>C、不能在合同规定的期限内竣工的；</w:t>
      </w:r>
    </w:p>
    <w:p>
      <w:pPr>
        <w:ind w:firstLine="352" w:firstLineChars="147"/>
        <w:rPr>
          <w:rFonts w:hAnsi="宋体" w:cs="宋体"/>
          <w:color w:val="auto"/>
          <w:szCs w:val="24"/>
          <w:highlight w:val="none"/>
        </w:rPr>
      </w:pPr>
      <w:r>
        <w:rPr>
          <w:rFonts w:hAnsi="宋体" w:cs="宋体"/>
          <w:color w:val="auto"/>
          <w:szCs w:val="24"/>
          <w:highlight w:val="none"/>
        </w:rPr>
        <w:t>D、承包人所承担的施工任务在施工期间，由于工程质量或工程进度原因，监理单位发出10个以上﹙含10个﹚停工令的；</w:t>
      </w:r>
    </w:p>
    <w:p>
      <w:pPr>
        <w:ind w:firstLine="352" w:firstLineChars="147"/>
        <w:rPr>
          <w:rFonts w:hAnsi="宋体" w:cs="宋体"/>
          <w:color w:val="auto"/>
          <w:szCs w:val="24"/>
          <w:highlight w:val="none"/>
        </w:rPr>
      </w:pPr>
      <w:r>
        <w:rPr>
          <w:rFonts w:hAnsi="宋体" w:cs="宋体"/>
          <w:color w:val="auto"/>
          <w:szCs w:val="24"/>
          <w:highlight w:val="none"/>
        </w:rPr>
        <w:t>E、质量监督部门在抽检时发出5个以上（含5个）由于工程质量原因通报的；</w:t>
      </w:r>
    </w:p>
    <w:p>
      <w:pPr>
        <w:ind w:firstLine="352" w:firstLineChars="147"/>
        <w:rPr>
          <w:rFonts w:hAnsi="宋体" w:cs="宋体"/>
          <w:color w:val="auto"/>
          <w:szCs w:val="24"/>
          <w:highlight w:val="none"/>
        </w:rPr>
      </w:pPr>
      <w:r>
        <w:rPr>
          <w:rFonts w:hAnsi="宋体" w:cs="宋体"/>
          <w:color w:val="auto"/>
          <w:szCs w:val="24"/>
          <w:highlight w:val="none"/>
        </w:rPr>
        <w:t>F、业主组织的质量大检查发现由于工程质量原因而通报二次以上（含二次）的。</w:t>
      </w:r>
    </w:p>
    <w:p>
      <w:pPr>
        <w:ind w:firstLine="352" w:firstLineChars="147"/>
        <w:rPr>
          <w:rFonts w:hAnsi="宋体" w:cs="宋体"/>
          <w:color w:val="auto"/>
          <w:szCs w:val="24"/>
          <w:highlight w:val="none"/>
        </w:rPr>
      </w:pPr>
      <w:r>
        <w:rPr>
          <w:rFonts w:hAnsi="宋体" w:cs="宋体"/>
          <w:color w:val="auto"/>
          <w:szCs w:val="24"/>
          <w:highlight w:val="none"/>
        </w:rPr>
        <w:t>G、承包人施工资料必须与形象进度同步，如发包人在日常检查中发现不同步的现象的，视为违约并扣除违约金5000元/每次。</w:t>
      </w:r>
    </w:p>
    <w:p>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 xml:space="preserve">4.7 </w:t>
      </w:r>
      <w:r>
        <w:rPr>
          <w:rFonts w:hAnsi="宋体" w:cs="宋体"/>
          <w:color w:val="auto"/>
          <w:szCs w:val="24"/>
          <w:highlight w:val="none"/>
        </w:rPr>
        <w:t>承包人因上述违约行为而须缴纳的违约金在工程进度款中和结算时一并扣除</w:t>
      </w:r>
      <w:r>
        <w:rPr>
          <w:rFonts w:ascii="Times New Roman"/>
          <w:snapToGrid w:val="0"/>
          <w:color w:val="auto"/>
          <w:kern w:val="0"/>
          <w:szCs w:val="24"/>
          <w:highlight w:val="none"/>
        </w:rPr>
        <w:t>。</w:t>
      </w:r>
    </w:p>
    <w:p>
      <w:pPr>
        <w:adjustRightInd w:val="0"/>
        <w:ind w:firstLine="480" w:firstLineChars="200"/>
        <w:rPr>
          <w:rFonts w:hint="eastAsia" w:ascii="宋体" w:hAnsi="宋体" w:eastAsia="宋体" w:cs="宋体"/>
          <w:b w:val="0"/>
          <w:snapToGrid/>
          <w:color w:val="auto"/>
          <w:sz w:val="24"/>
          <w:szCs w:val="24"/>
          <w:highlight w:val="none"/>
          <w:lang w:val="en-US" w:eastAsia="zh-CN"/>
        </w:rPr>
      </w:pPr>
      <w:r>
        <w:rPr>
          <w:rFonts w:hint="eastAsia" w:ascii="宋体" w:hAnsi="宋体" w:eastAsia="宋体" w:cs="宋体"/>
          <w:snapToGrid/>
          <w:color w:val="auto"/>
          <w:kern w:val="2"/>
          <w:szCs w:val="24"/>
          <w:highlight w:val="none"/>
          <w:lang w:val="en-US" w:eastAsia="zh-CN"/>
        </w:rPr>
        <w:t>4.8国家发生疫情或其他重大风险期间，承包人不执</w:t>
      </w:r>
      <w:r>
        <w:rPr>
          <w:rFonts w:hint="eastAsia" w:ascii="宋体" w:hAnsi="宋体" w:eastAsia="宋体" w:cs="宋体"/>
          <w:b w:val="0"/>
          <w:snapToGrid/>
          <w:color w:val="auto"/>
          <w:sz w:val="24"/>
          <w:szCs w:val="24"/>
          <w:highlight w:val="none"/>
          <w:lang w:eastAsia="zh-CN"/>
        </w:rPr>
        <w:t>行有关</w:t>
      </w:r>
      <w:bookmarkStart w:id="134" w:name="_Toc22587"/>
      <w:r>
        <w:rPr>
          <w:rFonts w:hint="eastAsia" w:ascii="宋体" w:hAnsi="宋体" w:eastAsia="宋体" w:cs="宋体"/>
          <w:b w:val="0"/>
          <w:snapToGrid/>
          <w:color w:val="auto"/>
          <w:sz w:val="24"/>
          <w:szCs w:val="24"/>
          <w:highlight w:val="none"/>
          <w:lang w:eastAsia="zh-CN"/>
        </w:rPr>
        <w:t>部门关于特殊时期管控规定、不落实相关措施的，承包人须按人民币种</w:t>
      </w:r>
      <w:r>
        <w:rPr>
          <w:rFonts w:hint="eastAsia" w:ascii="宋体" w:hAnsi="宋体" w:eastAsia="宋体" w:cs="宋体"/>
          <w:b w:val="0"/>
          <w:snapToGrid/>
          <w:color w:val="auto"/>
          <w:sz w:val="24"/>
          <w:szCs w:val="24"/>
          <w:highlight w:val="none"/>
          <w:lang w:val="en-US" w:eastAsia="zh-CN"/>
        </w:rPr>
        <w:t>1000元/次缴纳违约金给发包人。</w:t>
      </w:r>
    </w:p>
    <w:p>
      <w:pPr>
        <w:wordWrap w:val="0"/>
        <w:adjustRightInd w:val="0"/>
        <w:snapToGrid w:val="0"/>
        <w:spacing w:line="440" w:lineRule="exact"/>
        <w:ind w:firstLine="480" w:firstLineChars="200"/>
        <w:rPr>
          <w:rFonts w:hint="eastAsia" w:ascii="宋体" w:hAnsi="宋体" w:eastAsia="宋体" w:cs="宋体"/>
          <w:b w:val="0"/>
          <w:snapToGrid/>
          <w:color w:val="auto"/>
          <w:sz w:val="24"/>
          <w:szCs w:val="24"/>
          <w:highlight w:val="none"/>
          <w:lang w:val="en-US" w:eastAsia="zh-CN"/>
        </w:rPr>
      </w:pPr>
      <w:r>
        <w:rPr>
          <w:rFonts w:hint="eastAsia" w:ascii="宋体" w:hAnsi="宋体" w:eastAsia="宋体" w:cs="宋体"/>
          <w:b w:val="0"/>
          <w:snapToGrid/>
          <w:color w:val="auto"/>
          <w:sz w:val="24"/>
          <w:szCs w:val="24"/>
          <w:highlight w:val="none"/>
          <w:lang w:val="en-US" w:eastAsia="zh-CN"/>
        </w:rPr>
        <w:t>承包人因上述违约行为而须缴纳</w:t>
      </w:r>
      <w:r>
        <w:rPr>
          <w:rFonts w:hint="eastAsia" w:hAnsi="宋体" w:eastAsia="宋体" w:cs="宋体"/>
          <w:b w:val="0"/>
          <w:snapToGrid/>
          <w:color w:val="auto"/>
          <w:sz w:val="24"/>
          <w:szCs w:val="24"/>
          <w:highlight w:val="none"/>
          <w:lang w:val="en-US" w:eastAsia="zh-CN"/>
        </w:rPr>
        <w:t>的</w:t>
      </w:r>
      <w:r>
        <w:rPr>
          <w:rFonts w:hint="eastAsia" w:ascii="宋体" w:hAnsi="宋体" w:eastAsia="宋体" w:cs="宋体"/>
          <w:b w:val="0"/>
          <w:snapToGrid/>
          <w:color w:val="auto"/>
          <w:sz w:val="24"/>
          <w:szCs w:val="24"/>
          <w:highlight w:val="none"/>
          <w:lang w:val="en-US" w:eastAsia="zh-CN"/>
        </w:rPr>
        <w:t>违约金</w:t>
      </w:r>
      <w:r>
        <w:rPr>
          <w:rFonts w:hint="eastAsia" w:hAnsi="宋体" w:eastAsia="宋体" w:cs="宋体"/>
          <w:b w:val="0"/>
          <w:snapToGrid/>
          <w:color w:val="auto"/>
          <w:sz w:val="24"/>
          <w:szCs w:val="24"/>
          <w:highlight w:val="none"/>
          <w:lang w:val="en-US" w:eastAsia="zh-CN"/>
        </w:rPr>
        <w:t>在工程进度款中或结算时一并扣除。</w:t>
      </w: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pPr>
        <w:pStyle w:val="3"/>
        <w:tabs>
          <w:tab w:val="left" w:pos="885"/>
        </w:tabs>
        <w:wordWrap w:val="0"/>
        <w:autoSpaceDE/>
        <w:autoSpaceDN/>
        <w:snapToGrid w:val="0"/>
        <w:spacing w:line="440" w:lineRule="exact"/>
        <w:ind w:left="885" w:hanging="885"/>
        <w:jc w:val="center"/>
        <w:rPr>
          <w:rFonts w:hint="eastAsia" w:ascii="Times New Roman" w:eastAsia="宋体"/>
          <w:b/>
          <w:snapToGrid w:val="0"/>
          <w:color w:val="auto"/>
          <w:sz w:val="24"/>
          <w:highlight w:val="none"/>
          <w:lang w:eastAsia="zh-CN"/>
        </w:rPr>
      </w:pPr>
      <w:r>
        <w:rPr>
          <w:rFonts w:ascii="Times New Roman"/>
          <w:b/>
          <w:snapToGrid w:val="0"/>
          <w:color w:val="auto"/>
          <w:sz w:val="24"/>
          <w:highlight w:val="none"/>
        </w:rPr>
        <w:t>第四章</w:t>
      </w:r>
      <w:bookmarkStart w:id="135" w:name="_Hlt87793853"/>
      <w:bookmarkEnd w:id="135"/>
      <w:r>
        <w:rPr>
          <w:rFonts w:ascii="Times New Roman"/>
          <w:b/>
          <w:snapToGrid w:val="0"/>
          <w:color w:val="auto"/>
          <w:sz w:val="24"/>
          <w:highlight w:val="none"/>
        </w:rPr>
        <w:t xml:space="preserve"> 技术要求</w:t>
      </w:r>
      <w:bookmarkEnd w:id="134"/>
    </w:p>
    <w:bookmarkEnd w:id="133"/>
    <w:p>
      <w:pPr>
        <w:ind w:left="480"/>
        <w:rPr>
          <w:rFonts w:hint="eastAsia" w:ascii="Times New Roman" w:eastAsia="宋体"/>
          <w:b/>
          <w:snapToGrid w:val="0"/>
          <w:color w:val="auto"/>
          <w:kern w:val="0"/>
          <w:highlight w:val="none"/>
          <w:lang w:eastAsia="zh-CN"/>
        </w:rPr>
      </w:pP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b/>
          <w:bCs w:val="0"/>
          <w:caps w:val="0"/>
          <w:smallCaps w:val="0"/>
          <w:snapToGrid w:val="0"/>
          <w:color w:val="auto"/>
          <w:spacing w:val="0"/>
          <w:kern w:val="0"/>
          <w:highlight w:val="none"/>
        </w:rPr>
      </w:pPr>
      <w:r>
        <w:rPr>
          <w:rFonts w:hint="eastAsia" w:ascii="Times New Roman" w:hAnsi="Times New Roman" w:cs="Times New Roman"/>
          <w:b/>
          <w:bCs w:val="0"/>
          <w:caps w:val="0"/>
          <w:smallCaps w:val="0"/>
          <w:snapToGrid w:val="0"/>
          <w:color w:val="auto"/>
          <w:spacing w:val="0"/>
          <w:kern w:val="0"/>
          <w:highlight w:val="none"/>
        </w:rPr>
        <w:t>1</w:t>
      </w:r>
      <w:r>
        <w:rPr>
          <w:rFonts w:hint="eastAsia" w:ascii="Times New Roman" w:hAnsi="Times New Roman" w:cs="Times New Roman"/>
          <w:b/>
          <w:bCs w:val="0"/>
          <w:caps w:val="0"/>
          <w:smallCaps w:val="0"/>
          <w:snapToGrid w:val="0"/>
          <w:color w:val="auto"/>
          <w:spacing w:val="0"/>
          <w:kern w:val="0"/>
          <w:highlight w:val="none"/>
          <w:lang w:eastAsia="zh-CN"/>
        </w:rPr>
        <w:t>．房屋建筑工程建设项目</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lang w:eastAsia="zh-CN"/>
        </w:rPr>
      </w:pPr>
      <w:bookmarkStart w:id="136" w:name="_Hlt69116858"/>
      <w:bookmarkEnd w:id="136"/>
      <w:bookmarkStart w:id="137" w:name="_Hlt69359245"/>
      <w:bookmarkEnd w:id="137"/>
      <w:bookmarkStart w:id="138" w:name="_Hlt69359243"/>
      <w:bookmarkEnd w:id="138"/>
      <w:bookmarkStart w:id="139" w:name="_Hlt69635252"/>
      <w:bookmarkEnd w:id="139"/>
      <w:bookmarkStart w:id="140" w:name="_Hlt69359086"/>
      <w:bookmarkEnd w:id="140"/>
      <w:bookmarkStart w:id="141" w:name="_Hlt78709799"/>
      <w:bookmarkEnd w:id="141"/>
      <w:bookmarkStart w:id="142" w:name="_Hlt69358458"/>
      <w:bookmarkEnd w:id="142"/>
      <w:r>
        <w:rPr>
          <w:rFonts w:hint="eastAsia" w:ascii="Times New Roman" w:hAnsi="Times New Roman" w:cs="Times New Roman"/>
          <w:b w:val="0"/>
          <w:bCs/>
          <w:caps w:val="0"/>
          <w:smallCaps w:val="0"/>
          <w:snapToGrid w:val="0"/>
          <w:color w:val="auto"/>
          <w:spacing w:val="0"/>
          <w:kern w:val="0"/>
          <w:highlight w:val="none"/>
          <w:lang w:eastAsia="zh-CN"/>
        </w:rPr>
        <w:t>房屋建筑工程建设项目必须执行的现行技术规范，包括且不限于：</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1</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《建筑工程施工质量验收统一标准》；</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2</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《建筑地基基础工程施工质量验收规范》；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3</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《砌体工程施工质量验收规范》；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4</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《混凝土结构工程施工质量验收规范》；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5</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《屋面工程质量验收规范》；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6</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《地下防水工程质量验收规范》；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7</w:t>
      </w:r>
      <w:r>
        <w:rPr>
          <w:rFonts w:hint="eastAsia" w:ascii="Times New Roman" w:hAnsi="Times New Roman" w:cs="Times New Roman"/>
          <w:b w:val="0"/>
          <w:bCs/>
          <w:caps w:val="0"/>
          <w:smallCaps w:val="0"/>
          <w:snapToGrid w:val="0"/>
          <w:color w:val="auto"/>
          <w:spacing w:val="0"/>
          <w:kern w:val="0"/>
          <w:highlight w:val="none"/>
          <w:lang w:eastAsia="zh-CN"/>
        </w:rPr>
        <w:t>）</w:t>
      </w:r>
      <w:bookmarkStart w:id="143" w:name="_Hlt78795211"/>
      <w:bookmarkEnd w:id="143"/>
      <w:r>
        <w:rPr>
          <w:rFonts w:hint="eastAsia" w:ascii="Times New Roman" w:hAnsi="Times New Roman" w:cs="Times New Roman"/>
          <w:b w:val="0"/>
          <w:bCs/>
          <w:caps w:val="0"/>
          <w:smallCaps w:val="0"/>
          <w:snapToGrid w:val="0"/>
          <w:color w:val="auto"/>
          <w:spacing w:val="0"/>
          <w:kern w:val="0"/>
          <w:highlight w:val="none"/>
        </w:rPr>
        <w:t>《建筑地面工程施工质量验收规范》；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8</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《建筑装饰装修工程施工质量验收规范》；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9</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《建筑给排水及采暖工程施工质量验收规范》；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10</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《建筑电气工程施工质量验收规范》；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eastAsia="宋体" w:cs="Times New Roman"/>
          <w:b w:val="0"/>
          <w:bCs/>
          <w:caps w:val="0"/>
          <w:smallCaps w:val="0"/>
          <w:snapToGrid w:val="0"/>
          <w:color w:val="auto"/>
          <w:spacing w:val="0"/>
          <w:kern w:val="0"/>
          <w:highlight w:val="none"/>
          <w:lang w:val="en-US" w:eastAsia="zh-CN"/>
        </w:rPr>
      </w:pPr>
      <w:r>
        <w:rPr>
          <w:rFonts w:hint="eastAsia" w:ascii="Times New Roman" w:hAnsi="Times New Roman" w:eastAsia="宋体" w:cs="Times New Roman"/>
          <w:b w:val="0"/>
          <w:bCs/>
          <w:caps w:val="0"/>
          <w:smallCaps w:val="0"/>
          <w:snapToGrid w:val="0"/>
          <w:color w:val="auto"/>
          <w:spacing w:val="0"/>
          <w:kern w:val="0"/>
          <w:highlight w:val="none"/>
          <w:lang w:val="en-US" w:eastAsia="zh-CN"/>
        </w:rPr>
        <w:t>（11）《住建部绿色建筑评价标准》；</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eastAsia="宋体" w:cs="Times New Roman"/>
          <w:b w:val="0"/>
          <w:bCs/>
          <w:caps w:val="0"/>
          <w:smallCaps w:val="0"/>
          <w:snapToGrid w:val="0"/>
          <w:color w:val="auto"/>
          <w:spacing w:val="0"/>
          <w:kern w:val="0"/>
          <w:highlight w:val="none"/>
          <w:lang w:val="en-US" w:eastAsia="zh-CN"/>
        </w:rPr>
      </w:pPr>
      <w:r>
        <w:rPr>
          <w:rFonts w:hint="eastAsia" w:ascii="Times New Roman" w:hAnsi="Times New Roman" w:eastAsia="宋体" w:cs="Times New Roman"/>
          <w:b w:val="0"/>
          <w:bCs/>
          <w:caps w:val="0"/>
          <w:smallCaps w:val="0"/>
          <w:snapToGrid w:val="0"/>
          <w:color w:val="auto"/>
          <w:spacing w:val="0"/>
          <w:kern w:val="0"/>
          <w:highlight w:val="none"/>
          <w:lang w:val="en-US" w:eastAsia="zh-CN"/>
        </w:rPr>
        <w:t>（12）《建筑节能与可再生能源利用通用规范》；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default" w:ascii="Times New Roman" w:hAnsi="Times New Roman" w:eastAsia="宋体" w:cs="Times New Roman"/>
          <w:b w:val="0"/>
          <w:bCs/>
          <w:caps w:val="0"/>
          <w:smallCaps w:val="0"/>
          <w:snapToGrid w:val="0"/>
          <w:color w:val="auto"/>
          <w:spacing w:val="0"/>
          <w:kern w:val="0"/>
          <w:highlight w:val="none"/>
          <w:lang w:val="en-US" w:eastAsia="zh-CN"/>
        </w:rPr>
      </w:pPr>
      <w:r>
        <w:rPr>
          <w:rFonts w:hint="eastAsia" w:ascii="Times New Roman" w:hAnsi="Times New Roman" w:eastAsia="宋体" w:cs="Times New Roman"/>
          <w:b w:val="0"/>
          <w:bCs/>
          <w:caps w:val="0"/>
          <w:smallCaps w:val="0"/>
          <w:snapToGrid w:val="0"/>
          <w:color w:val="auto"/>
          <w:spacing w:val="0"/>
          <w:kern w:val="0"/>
          <w:highlight w:val="none"/>
          <w:lang w:val="en-US" w:eastAsia="zh-CN"/>
        </w:rPr>
        <w:t>（13）《建筑环境通用规范》；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eastAsia="宋体" w:cs="Times New Roman"/>
          <w:b w:val="0"/>
          <w:bCs/>
          <w:caps w:val="0"/>
          <w:smallCaps w:val="0"/>
          <w:snapToGrid w:val="0"/>
          <w:color w:val="auto"/>
          <w:spacing w:val="0"/>
          <w:kern w:val="0"/>
          <w:highlight w:val="none"/>
          <w:lang w:val="en-US" w:eastAsia="zh-CN"/>
        </w:rPr>
      </w:pPr>
      <w:r>
        <w:rPr>
          <w:rFonts w:hint="eastAsia" w:ascii="Times New Roman" w:hAnsi="Times New Roman" w:eastAsia="宋体" w:cs="Times New Roman"/>
          <w:b w:val="0"/>
          <w:bCs/>
          <w:caps w:val="0"/>
          <w:smallCaps w:val="0"/>
          <w:snapToGrid w:val="0"/>
          <w:color w:val="auto"/>
          <w:spacing w:val="0"/>
          <w:kern w:val="0"/>
          <w:highlight w:val="none"/>
          <w:lang w:eastAsia="zh-CN"/>
        </w:rPr>
        <w:t>（</w:t>
      </w:r>
      <w:r>
        <w:rPr>
          <w:rFonts w:hint="eastAsia" w:ascii="Times New Roman" w:hAnsi="Times New Roman" w:eastAsia="宋体" w:cs="Times New Roman"/>
          <w:b w:val="0"/>
          <w:bCs/>
          <w:caps w:val="0"/>
          <w:smallCaps w:val="0"/>
          <w:snapToGrid w:val="0"/>
          <w:color w:val="auto"/>
          <w:spacing w:val="0"/>
          <w:kern w:val="0"/>
          <w:highlight w:val="none"/>
          <w:lang w:val="en-US" w:eastAsia="zh-CN"/>
        </w:rPr>
        <w:t>14</w:t>
      </w:r>
      <w:r>
        <w:rPr>
          <w:rFonts w:hint="eastAsia" w:ascii="Times New Roman" w:hAnsi="Times New Roman" w:eastAsia="宋体" w:cs="Times New Roman"/>
          <w:b w:val="0"/>
          <w:bCs/>
          <w:caps w:val="0"/>
          <w:smallCaps w:val="0"/>
          <w:snapToGrid w:val="0"/>
          <w:color w:val="auto"/>
          <w:spacing w:val="0"/>
          <w:kern w:val="0"/>
          <w:highlight w:val="none"/>
          <w:lang w:eastAsia="zh-CN"/>
        </w:rPr>
        <w:t>）《广东省住房和城乡建设厅绿色施工导则》；</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eastAsia="宋体" w:cs="Times New Roman"/>
          <w:b w:val="0"/>
          <w:bCs/>
          <w:caps w:val="0"/>
          <w:smallCaps w:val="0"/>
          <w:snapToGrid w:val="0"/>
          <w:color w:val="auto"/>
          <w:spacing w:val="0"/>
          <w:kern w:val="0"/>
          <w:highlight w:val="none"/>
          <w:lang w:eastAsia="zh-CN"/>
        </w:rPr>
      </w:pPr>
      <w:r>
        <w:rPr>
          <w:rFonts w:hint="eastAsia" w:ascii="Times New Roman" w:hAnsi="Times New Roman" w:eastAsia="宋体" w:cs="Times New Roman"/>
          <w:b w:val="0"/>
          <w:bCs/>
          <w:caps w:val="0"/>
          <w:smallCaps w:val="0"/>
          <w:snapToGrid w:val="0"/>
          <w:color w:val="auto"/>
          <w:spacing w:val="0"/>
          <w:kern w:val="0"/>
          <w:highlight w:val="none"/>
          <w:lang w:eastAsia="zh-CN"/>
        </w:rPr>
        <w:t>（</w:t>
      </w:r>
      <w:r>
        <w:rPr>
          <w:rFonts w:hint="eastAsia" w:ascii="Times New Roman" w:hAnsi="Times New Roman" w:eastAsia="宋体" w:cs="Times New Roman"/>
          <w:b w:val="0"/>
          <w:bCs/>
          <w:caps w:val="0"/>
          <w:smallCaps w:val="0"/>
          <w:snapToGrid w:val="0"/>
          <w:color w:val="auto"/>
          <w:spacing w:val="0"/>
          <w:kern w:val="0"/>
          <w:highlight w:val="none"/>
          <w:lang w:val="en-US" w:eastAsia="zh-CN"/>
        </w:rPr>
        <w:t>15</w:t>
      </w:r>
      <w:r>
        <w:rPr>
          <w:rFonts w:hint="eastAsia" w:ascii="Times New Roman" w:hAnsi="Times New Roman" w:eastAsia="宋体" w:cs="Times New Roman"/>
          <w:b w:val="0"/>
          <w:bCs/>
          <w:caps w:val="0"/>
          <w:smallCaps w:val="0"/>
          <w:snapToGrid w:val="0"/>
          <w:color w:val="auto"/>
          <w:spacing w:val="0"/>
          <w:kern w:val="0"/>
          <w:highlight w:val="none"/>
          <w:lang w:eastAsia="zh-CN"/>
        </w:rPr>
        <w:t>）《广东省建筑工程绿色施工评价标准》；</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default" w:ascii="Times New Roman" w:hAnsi="Times New Roman" w:eastAsia="宋体" w:cs="Times New Roman"/>
          <w:b w:val="0"/>
          <w:bCs/>
          <w:caps w:val="0"/>
          <w:smallCaps w:val="0"/>
          <w:snapToGrid w:val="0"/>
          <w:color w:val="auto"/>
          <w:spacing w:val="0"/>
          <w:kern w:val="0"/>
          <w:highlight w:val="none"/>
          <w:lang w:val="en-US" w:eastAsia="zh-CN"/>
        </w:rPr>
      </w:pPr>
      <w:r>
        <w:rPr>
          <w:rFonts w:hint="eastAsia" w:ascii="Times New Roman" w:hAnsi="Times New Roman" w:eastAsia="宋体" w:cs="Times New Roman"/>
          <w:b w:val="0"/>
          <w:bCs/>
          <w:caps w:val="0"/>
          <w:smallCaps w:val="0"/>
          <w:snapToGrid w:val="0"/>
          <w:color w:val="auto"/>
          <w:spacing w:val="0"/>
          <w:kern w:val="0"/>
          <w:highlight w:val="none"/>
          <w:lang w:val="en-US" w:eastAsia="zh-CN"/>
        </w:rPr>
        <w:t>（16）《广东省建筑节能与绿色建筑工程施工质量验收规范》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17</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其他现行国家</w:t>
      </w:r>
      <w:r>
        <w:rPr>
          <w:rFonts w:hint="eastAsia" w:ascii="Times New Roman" w:hAnsi="Times New Roman" w:cs="Times New Roman"/>
          <w:b w:val="0"/>
          <w:bCs/>
          <w:caps w:val="0"/>
          <w:smallCaps w:val="0"/>
          <w:snapToGrid w:val="0"/>
          <w:color w:val="auto"/>
          <w:spacing w:val="0"/>
          <w:kern w:val="0"/>
          <w:highlight w:val="none"/>
          <w:lang w:eastAsia="zh-CN"/>
        </w:rPr>
        <w:t>、广东省关于房建工程的</w:t>
      </w:r>
      <w:r>
        <w:rPr>
          <w:rFonts w:hint="eastAsia" w:ascii="Times New Roman" w:hAnsi="Times New Roman" w:cs="Times New Roman"/>
          <w:b w:val="0"/>
          <w:bCs/>
          <w:caps w:val="0"/>
          <w:smallCaps w:val="0"/>
          <w:snapToGrid w:val="0"/>
          <w:color w:val="auto"/>
          <w:spacing w:val="0"/>
          <w:kern w:val="0"/>
          <w:highlight w:val="none"/>
        </w:rPr>
        <w:t>施工</w:t>
      </w:r>
      <w:r>
        <w:rPr>
          <w:rFonts w:hint="eastAsia" w:ascii="Times New Roman" w:hAnsi="Times New Roman" w:cs="Times New Roman"/>
          <w:b w:val="0"/>
          <w:bCs/>
          <w:caps w:val="0"/>
          <w:smallCaps w:val="0"/>
          <w:snapToGrid w:val="0"/>
          <w:color w:val="auto"/>
          <w:spacing w:val="0"/>
          <w:kern w:val="0"/>
          <w:highlight w:val="none"/>
          <w:lang w:eastAsia="zh-CN"/>
        </w:rPr>
        <w:t>及验收</w:t>
      </w:r>
      <w:r>
        <w:rPr>
          <w:rFonts w:hint="eastAsia" w:ascii="Times New Roman" w:hAnsi="Times New Roman" w:cs="Times New Roman"/>
          <w:b w:val="0"/>
          <w:bCs/>
          <w:caps w:val="0"/>
          <w:smallCaps w:val="0"/>
          <w:snapToGrid w:val="0"/>
          <w:color w:val="auto"/>
          <w:spacing w:val="0"/>
          <w:kern w:val="0"/>
          <w:highlight w:val="none"/>
        </w:rPr>
        <w:t>规范</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定额、</w:t>
      </w:r>
      <w:r>
        <w:rPr>
          <w:rFonts w:hint="eastAsia" w:ascii="Times New Roman" w:hAnsi="Times New Roman" w:cs="Times New Roman"/>
          <w:b w:val="0"/>
          <w:bCs/>
          <w:caps w:val="0"/>
          <w:smallCaps w:val="0"/>
          <w:snapToGrid w:val="0"/>
          <w:color w:val="auto"/>
          <w:spacing w:val="0"/>
          <w:kern w:val="0"/>
          <w:highlight w:val="none"/>
          <w:lang w:eastAsia="zh-CN"/>
        </w:rPr>
        <w:t>规程、</w:t>
      </w:r>
      <w:r>
        <w:rPr>
          <w:rFonts w:hint="eastAsia" w:ascii="Times New Roman" w:hAnsi="Times New Roman" w:cs="Times New Roman"/>
          <w:b w:val="0"/>
          <w:bCs/>
          <w:caps w:val="0"/>
          <w:smallCaps w:val="0"/>
          <w:snapToGrid w:val="0"/>
          <w:color w:val="auto"/>
          <w:spacing w:val="0"/>
          <w:kern w:val="0"/>
          <w:highlight w:val="none"/>
        </w:rPr>
        <w:t>标准。</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jc w:val="both"/>
        <w:textAlignment w:val="auto"/>
        <w:outlineLvl w:val="9"/>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bCs w:val="0"/>
          <w:caps w:val="0"/>
          <w:smallCaps w:val="0"/>
          <w:snapToGrid w:val="0"/>
          <w:color w:val="auto"/>
          <w:spacing w:val="0"/>
          <w:kern w:val="0"/>
          <w:highlight w:val="none"/>
          <w:lang w:val="en-US" w:eastAsia="zh-CN"/>
        </w:rPr>
        <w:t>2</w:t>
      </w:r>
      <w:r>
        <w:rPr>
          <w:rFonts w:hint="eastAsia" w:ascii="Times New Roman" w:hAnsi="Times New Roman" w:cs="Times New Roman"/>
          <w:b/>
          <w:bCs w:val="0"/>
          <w:caps w:val="0"/>
          <w:smallCaps w:val="0"/>
          <w:snapToGrid w:val="0"/>
          <w:color w:val="auto"/>
          <w:spacing w:val="0"/>
          <w:kern w:val="0"/>
          <w:highlight w:val="none"/>
          <w:lang w:eastAsia="zh-CN"/>
        </w:rPr>
        <w:t>．市政基础设施工程建设项目</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Cs w:val="28"/>
          <w:highlight w:val="none"/>
          <w:lang w:eastAsia="zh-CN"/>
        </w:rPr>
      </w:pPr>
      <w:r>
        <w:rPr>
          <w:rFonts w:hint="eastAsia" w:ascii="Times New Roman" w:hAnsi="Times New Roman" w:cs="Times New Roman"/>
          <w:b w:val="0"/>
          <w:bCs/>
          <w:caps w:val="0"/>
          <w:smallCaps w:val="0"/>
          <w:snapToGrid w:val="0"/>
          <w:color w:val="auto"/>
          <w:spacing w:val="0"/>
          <w:kern w:val="0"/>
          <w:highlight w:val="none"/>
          <w:lang w:eastAsia="zh-CN"/>
        </w:rPr>
        <w:t>市政基础设施工程建设项目必须执行的现行技术规范，包括且不限于：</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szCs w:val="28"/>
          <w:highlight w:val="none"/>
          <w:lang w:eastAsia="zh-CN"/>
        </w:rPr>
        <w:t>（</w:t>
      </w:r>
      <w:r>
        <w:rPr>
          <w:rFonts w:hint="eastAsia" w:ascii="Times New Roman" w:hAnsi="Times New Roman" w:cs="Times New Roman"/>
          <w:b w:val="0"/>
          <w:bCs/>
          <w:caps w:val="0"/>
          <w:smallCaps w:val="0"/>
          <w:snapToGrid w:val="0"/>
          <w:color w:val="auto"/>
          <w:spacing w:val="0"/>
          <w:kern w:val="0"/>
          <w:szCs w:val="28"/>
          <w:highlight w:val="none"/>
          <w:lang w:val="en-US" w:eastAsia="zh-CN"/>
        </w:rPr>
        <w:t>1</w:t>
      </w:r>
      <w:r>
        <w:rPr>
          <w:rFonts w:hint="eastAsia" w:ascii="Times New Roman" w:hAnsi="Times New Roman" w:cs="Times New Roman"/>
          <w:b w:val="0"/>
          <w:bCs/>
          <w:caps w:val="0"/>
          <w:smallCaps w:val="0"/>
          <w:snapToGrid w:val="0"/>
          <w:color w:val="auto"/>
          <w:spacing w:val="0"/>
          <w:kern w:val="0"/>
          <w:szCs w:val="28"/>
          <w:highlight w:val="none"/>
          <w:lang w:eastAsia="zh-CN"/>
        </w:rPr>
        <w:t>）</w:t>
      </w:r>
      <w:r>
        <w:rPr>
          <w:rFonts w:hint="eastAsia" w:ascii="Times New Roman" w:hAnsi="Times New Roman" w:cs="Times New Roman"/>
          <w:b w:val="0"/>
          <w:bCs/>
          <w:caps w:val="0"/>
          <w:smallCaps w:val="0"/>
          <w:snapToGrid w:val="0"/>
          <w:color w:val="auto"/>
          <w:spacing w:val="0"/>
          <w:kern w:val="0"/>
          <w:szCs w:val="28"/>
          <w:highlight w:val="none"/>
        </w:rPr>
        <w:t>《公路路基施工技术规范》</w:t>
      </w:r>
      <w:r>
        <w:rPr>
          <w:rFonts w:hint="eastAsia" w:ascii="Times New Roman" w:hAnsi="Times New Roman" w:cs="Times New Roman"/>
          <w:b w:val="0"/>
          <w:bCs/>
          <w:caps w:val="0"/>
          <w:smallCaps w:val="0"/>
          <w:snapToGrid w:val="0"/>
          <w:color w:val="auto"/>
          <w:spacing w:val="0"/>
          <w:kern w:val="0"/>
          <w:highlight w:val="none"/>
        </w:rPr>
        <w:t>；</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2</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《市政道路工程质量检验评定标准》；</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3</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《市政排水管渠工程质量检验评定标准》；</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4</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《给水排水管道工程施工及验收规范》；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5</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《城市道路路基工程施工及验收规范》；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6</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《水泥砼路面施工及验收规范》；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7</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《公路水泥砼路面施工技术规范》；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8</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《埋地硬聚氯乙烯排水管道工程技术规程》；</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9</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《沥青路面施工及验收规范》；</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10</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rPr>
        <w:t>《广东省</w:t>
      </w:r>
      <w:r>
        <w:rPr>
          <w:rFonts w:hint="eastAsia" w:ascii="Times New Roman" w:hAnsi="Times New Roman" w:cs="Times New Roman"/>
          <w:b w:val="0"/>
          <w:bCs/>
          <w:caps w:val="0"/>
          <w:smallCaps w:val="0"/>
          <w:snapToGrid w:val="0"/>
          <w:color w:val="auto"/>
          <w:spacing w:val="0"/>
          <w:kern w:val="0"/>
          <w:highlight w:val="none"/>
          <w:lang w:eastAsia="zh-CN"/>
        </w:rPr>
        <w:t>市政</w:t>
      </w:r>
      <w:r>
        <w:rPr>
          <w:rFonts w:hint="eastAsia" w:ascii="Times New Roman" w:hAnsi="Times New Roman" w:cs="Times New Roman"/>
          <w:b w:val="0"/>
          <w:bCs/>
          <w:caps w:val="0"/>
          <w:smallCaps w:val="0"/>
          <w:snapToGrid w:val="0"/>
          <w:color w:val="auto"/>
          <w:spacing w:val="0"/>
          <w:kern w:val="0"/>
          <w:highlight w:val="none"/>
        </w:rPr>
        <w:t>工程施工质量技术资料统一用表》。</w:t>
      </w:r>
    </w:p>
    <w:p>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0"/>
        <w:rPr>
          <w:rFonts w:hint="eastAsia" w:ascii="宋体" w:hAnsi="宋体" w:eastAsia="宋体" w:cs="宋体"/>
          <w:b w:val="0"/>
          <w:bCs/>
          <w:i w:val="0"/>
          <w:iCs w:val="0"/>
          <w:color w:val="auto"/>
          <w:kern w:val="0"/>
          <w:szCs w:val="21"/>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11</w:t>
      </w: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rPr>
        <w:t>《城市道路照明设计标准》（CJJ45-2015）；</w:t>
      </w:r>
    </w:p>
    <w:p>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0"/>
        <w:rPr>
          <w:rFonts w:ascii="宋体" w:hAnsi="宋体" w:cs="宋体"/>
          <w:b w:val="0"/>
          <w:bCs/>
          <w:i w:val="0"/>
          <w:iCs w:val="0"/>
          <w:color w:val="auto"/>
          <w:szCs w:val="21"/>
        </w:rPr>
      </w:pPr>
      <w:r>
        <w:rPr>
          <w:rFonts w:hint="eastAsia" w:hAnsi="宋体" w:eastAsia="宋体" w:cs="宋体"/>
          <w:b w:val="0"/>
          <w:bCs/>
          <w:i w:val="0"/>
          <w:iCs w:val="0"/>
          <w:color w:val="auto"/>
          <w:kern w:val="0"/>
          <w:szCs w:val="21"/>
          <w:lang w:eastAsia="zh-CN"/>
        </w:rPr>
        <w:t>（</w:t>
      </w:r>
      <w:r>
        <w:rPr>
          <w:rFonts w:hint="eastAsia" w:hAnsi="宋体" w:eastAsia="宋体" w:cs="宋体"/>
          <w:b w:val="0"/>
          <w:bCs/>
          <w:i w:val="0"/>
          <w:iCs w:val="0"/>
          <w:color w:val="auto"/>
          <w:kern w:val="0"/>
          <w:szCs w:val="21"/>
          <w:lang w:val="en-US" w:eastAsia="zh-CN"/>
        </w:rPr>
        <w:t>12</w:t>
      </w:r>
      <w:r>
        <w:rPr>
          <w:rFonts w:hint="eastAsia" w:hAnsi="宋体" w:eastAsia="宋体" w:cs="宋体"/>
          <w:b w:val="0"/>
          <w:bCs/>
          <w:i w:val="0"/>
          <w:iCs w:val="0"/>
          <w:color w:val="auto"/>
          <w:kern w:val="0"/>
          <w:szCs w:val="21"/>
          <w:lang w:eastAsia="zh-CN"/>
        </w:rPr>
        <w:t>）</w:t>
      </w:r>
      <w:r>
        <w:rPr>
          <w:rFonts w:hint="eastAsia" w:ascii="宋体" w:hAnsi="宋体" w:cs="宋体"/>
          <w:b w:val="0"/>
          <w:bCs/>
          <w:i w:val="0"/>
          <w:iCs w:val="0"/>
          <w:color w:val="auto"/>
          <w:kern w:val="0"/>
          <w:szCs w:val="21"/>
        </w:rPr>
        <w:t>《低压配电设计规范》（GB50054-2011）；</w:t>
      </w:r>
    </w:p>
    <w:p>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0"/>
        <w:rPr>
          <w:rFonts w:ascii="宋体" w:hAnsi="宋体" w:cs="宋体"/>
          <w:b w:val="0"/>
          <w:bCs/>
          <w:i w:val="0"/>
          <w:iCs w:val="0"/>
          <w:color w:val="auto"/>
          <w:szCs w:val="21"/>
        </w:rPr>
      </w:pPr>
      <w:r>
        <w:rPr>
          <w:rFonts w:hint="eastAsia" w:hAnsi="宋体" w:eastAsia="宋体" w:cs="宋体"/>
          <w:b w:val="0"/>
          <w:bCs/>
          <w:i w:val="0"/>
          <w:iCs w:val="0"/>
          <w:color w:val="auto"/>
          <w:kern w:val="0"/>
          <w:szCs w:val="21"/>
          <w:lang w:eastAsia="zh-CN"/>
        </w:rPr>
        <w:t>（</w:t>
      </w:r>
      <w:r>
        <w:rPr>
          <w:rFonts w:hint="eastAsia" w:hAnsi="宋体" w:eastAsia="宋体" w:cs="宋体"/>
          <w:b w:val="0"/>
          <w:bCs/>
          <w:i w:val="0"/>
          <w:iCs w:val="0"/>
          <w:color w:val="auto"/>
          <w:kern w:val="0"/>
          <w:szCs w:val="21"/>
          <w:lang w:val="en-US" w:eastAsia="zh-CN"/>
        </w:rPr>
        <w:t>13</w:t>
      </w:r>
      <w:r>
        <w:rPr>
          <w:rFonts w:hint="eastAsia" w:hAnsi="宋体" w:eastAsia="宋体" w:cs="宋体"/>
          <w:b w:val="0"/>
          <w:bCs/>
          <w:i w:val="0"/>
          <w:iCs w:val="0"/>
          <w:color w:val="auto"/>
          <w:kern w:val="0"/>
          <w:szCs w:val="21"/>
          <w:lang w:eastAsia="zh-CN"/>
        </w:rPr>
        <w:t>）</w:t>
      </w:r>
      <w:r>
        <w:rPr>
          <w:rFonts w:hint="eastAsia" w:ascii="宋体" w:hAnsi="宋体" w:cs="宋体"/>
          <w:b w:val="0"/>
          <w:bCs/>
          <w:i w:val="0"/>
          <w:iCs w:val="0"/>
          <w:color w:val="auto"/>
          <w:kern w:val="0"/>
          <w:szCs w:val="21"/>
        </w:rPr>
        <w:t>《城市道路照明工程施工及验收规程》（CJJ89-2012）；</w:t>
      </w:r>
    </w:p>
    <w:p>
      <w:pPr>
        <w:pStyle w:val="39"/>
        <w:keepNext w:val="0"/>
        <w:keepLines w:val="0"/>
        <w:pageBreakBefore w:val="0"/>
        <w:kinsoku/>
        <w:overflowPunct/>
        <w:topLinePunct w:val="0"/>
        <w:bidi w:val="0"/>
        <w:spacing w:line="500" w:lineRule="exact"/>
        <w:rPr>
          <w:rFonts w:hint="default" w:hAnsi="宋体" w:cs="宋体"/>
          <w:b w:val="0"/>
          <w:bCs/>
          <w:i w:val="0"/>
          <w:iCs w:val="0"/>
          <w:color w:val="auto"/>
          <w:kern w:val="0"/>
          <w:szCs w:val="21"/>
          <w:lang w:val="en-US" w:eastAsia="zh-CN"/>
        </w:rPr>
      </w:pPr>
      <w:r>
        <w:rPr>
          <w:rFonts w:hint="eastAsia" w:hAnsi="宋体" w:eastAsia="宋体" w:cs="宋体"/>
          <w:b w:val="0"/>
          <w:bCs/>
          <w:i w:val="0"/>
          <w:iCs w:val="0"/>
          <w:color w:val="auto"/>
          <w:kern w:val="0"/>
          <w:szCs w:val="21"/>
          <w:lang w:eastAsia="zh-CN"/>
        </w:rPr>
        <w:t>（</w:t>
      </w:r>
      <w:r>
        <w:rPr>
          <w:rFonts w:hint="eastAsia" w:hAnsi="宋体" w:eastAsia="宋体" w:cs="宋体"/>
          <w:b w:val="0"/>
          <w:bCs/>
          <w:i w:val="0"/>
          <w:iCs w:val="0"/>
          <w:color w:val="auto"/>
          <w:kern w:val="0"/>
          <w:szCs w:val="21"/>
          <w:lang w:val="en-US" w:eastAsia="zh-CN"/>
        </w:rPr>
        <w:t>14</w:t>
      </w:r>
      <w:r>
        <w:rPr>
          <w:rFonts w:hint="eastAsia" w:hAnsi="宋体" w:eastAsia="宋体" w:cs="宋体"/>
          <w:b w:val="0"/>
          <w:bCs/>
          <w:i w:val="0"/>
          <w:iCs w:val="0"/>
          <w:color w:val="auto"/>
          <w:kern w:val="0"/>
          <w:szCs w:val="21"/>
          <w:lang w:eastAsia="zh-CN"/>
        </w:rPr>
        <w:t>）</w:t>
      </w:r>
      <w:r>
        <w:rPr>
          <w:rFonts w:hint="eastAsia" w:hAnsi="宋体" w:cs="宋体"/>
          <w:b w:val="0"/>
          <w:bCs/>
          <w:i w:val="0"/>
          <w:iCs w:val="0"/>
          <w:color w:val="auto"/>
          <w:kern w:val="0"/>
          <w:szCs w:val="21"/>
          <w:lang w:eastAsia="zh-CN"/>
        </w:rPr>
        <w:t>《</w:t>
      </w:r>
      <w:r>
        <w:rPr>
          <w:rFonts w:hint="eastAsia" w:hAnsi="宋体" w:cs="宋体"/>
          <w:b w:val="0"/>
          <w:bCs/>
          <w:i w:val="0"/>
          <w:iCs w:val="0"/>
          <w:color w:val="auto"/>
          <w:kern w:val="0"/>
          <w:szCs w:val="21"/>
          <w:lang w:val="en-US" w:eastAsia="zh-CN"/>
        </w:rPr>
        <w:t>LED道路照明工程技术规范</w:t>
      </w:r>
      <w:r>
        <w:rPr>
          <w:rFonts w:hint="eastAsia" w:hAnsi="宋体" w:cs="宋体"/>
          <w:b w:val="0"/>
          <w:bCs/>
          <w:i w:val="0"/>
          <w:iCs w:val="0"/>
          <w:color w:val="auto"/>
          <w:kern w:val="0"/>
          <w:szCs w:val="21"/>
          <w:lang w:eastAsia="zh-CN"/>
        </w:rPr>
        <w:t>》（</w:t>
      </w:r>
      <w:r>
        <w:rPr>
          <w:rFonts w:hint="eastAsia" w:hAnsi="宋体" w:cs="宋体"/>
          <w:b w:val="0"/>
          <w:bCs/>
          <w:i w:val="0"/>
          <w:iCs w:val="0"/>
          <w:color w:val="auto"/>
          <w:kern w:val="0"/>
          <w:szCs w:val="21"/>
          <w:lang w:val="en-US" w:eastAsia="zh-CN"/>
        </w:rPr>
        <w:t>DB44/T 1898-2016</w:t>
      </w:r>
      <w:r>
        <w:rPr>
          <w:rFonts w:hint="eastAsia" w:hAnsi="宋体" w:cs="宋体"/>
          <w:b w:val="0"/>
          <w:bCs/>
          <w:i w:val="0"/>
          <w:iCs w:val="0"/>
          <w:color w:val="auto"/>
          <w:kern w:val="0"/>
          <w:szCs w:val="21"/>
          <w:lang w:eastAsia="zh-CN"/>
        </w:rPr>
        <w:t>）</w:t>
      </w:r>
      <w:r>
        <w:rPr>
          <w:rFonts w:hint="eastAsia" w:hAnsi="宋体" w:cs="宋体"/>
          <w:b w:val="0"/>
          <w:bCs/>
          <w:i w:val="0"/>
          <w:iCs w:val="0"/>
          <w:color w:val="auto"/>
          <w:kern w:val="0"/>
          <w:szCs w:val="21"/>
          <w:lang w:val="en-US" w:eastAsia="zh-CN"/>
        </w:rPr>
        <w:t>；</w:t>
      </w:r>
    </w:p>
    <w:p>
      <w:pPr>
        <w:pStyle w:val="39"/>
        <w:keepNext w:val="0"/>
        <w:keepLines w:val="0"/>
        <w:pageBreakBefore w:val="0"/>
        <w:kinsoku/>
        <w:overflowPunct/>
        <w:topLinePunct w:val="0"/>
        <w:bidi w:val="0"/>
        <w:spacing w:line="500" w:lineRule="exact"/>
        <w:rPr>
          <w:rFonts w:hint="eastAsia" w:hAnsi="宋体" w:cs="宋体"/>
          <w:b w:val="0"/>
          <w:bCs/>
          <w:i w:val="0"/>
          <w:iCs w:val="0"/>
          <w:color w:val="auto"/>
          <w:kern w:val="0"/>
          <w:szCs w:val="21"/>
          <w:lang w:val="en-US" w:eastAsia="zh-CN"/>
        </w:rPr>
      </w:pPr>
      <w:r>
        <w:rPr>
          <w:rFonts w:hint="eastAsia" w:hAnsi="宋体" w:cs="宋体"/>
          <w:b w:val="0"/>
          <w:bCs/>
          <w:i w:val="0"/>
          <w:iCs w:val="0"/>
          <w:color w:val="auto"/>
          <w:kern w:val="0"/>
          <w:szCs w:val="21"/>
          <w:lang w:eastAsia="zh-CN"/>
        </w:rPr>
        <w:t>（</w:t>
      </w:r>
      <w:r>
        <w:rPr>
          <w:rFonts w:hint="eastAsia" w:hAnsi="宋体" w:cs="宋体"/>
          <w:b w:val="0"/>
          <w:bCs/>
          <w:i w:val="0"/>
          <w:iCs w:val="0"/>
          <w:color w:val="auto"/>
          <w:kern w:val="0"/>
          <w:szCs w:val="21"/>
          <w:lang w:val="en-US" w:eastAsia="zh-CN"/>
        </w:rPr>
        <w:t>15</w:t>
      </w:r>
      <w:r>
        <w:rPr>
          <w:rFonts w:hint="eastAsia" w:hAnsi="宋体" w:cs="宋体"/>
          <w:b w:val="0"/>
          <w:bCs/>
          <w:i w:val="0"/>
          <w:iCs w:val="0"/>
          <w:color w:val="auto"/>
          <w:kern w:val="0"/>
          <w:szCs w:val="21"/>
          <w:lang w:eastAsia="zh-CN"/>
        </w:rPr>
        <w:t>）《灯具第</w:t>
      </w:r>
      <w:r>
        <w:rPr>
          <w:rFonts w:hint="eastAsia" w:hAnsi="宋体" w:cs="宋体"/>
          <w:b w:val="0"/>
          <w:bCs/>
          <w:i w:val="0"/>
          <w:iCs w:val="0"/>
          <w:color w:val="auto"/>
          <w:kern w:val="0"/>
          <w:szCs w:val="21"/>
          <w:lang w:val="en-US" w:eastAsia="zh-CN"/>
        </w:rPr>
        <w:t>1部分：一般要求与试验</w:t>
      </w:r>
      <w:r>
        <w:rPr>
          <w:rFonts w:hint="eastAsia" w:hAnsi="宋体" w:cs="宋体"/>
          <w:b w:val="0"/>
          <w:bCs/>
          <w:i w:val="0"/>
          <w:iCs w:val="0"/>
          <w:color w:val="auto"/>
          <w:kern w:val="0"/>
          <w:szCs w:val="21"/>
          <w:lang w:eastAsia="zh-CN"/>
        </w:rPr>
        <w:t>》（</w:t>
      </w:r>
      <w:r>
        <w:rPr>
          <w:rFonts w:hint="eastAsia" w:hAnsi="宋体" w:cs="宋体"/>
          <w:b w:val="0"/>
          <w:bCs/>
          <w:i w:val="0"/>
          <w:iCs w:val="0"/>
          <w:color w:val="auto"/>
          <w:kern w:val="0"/>
          <w:szCs w:val="21"/>
          <w:lang w:val="en-US" w:eastAsia="zh-CN"/>
        </w:rPr>
        <w:t>GB7000.1-2015</w:t>
      </w:r>
      <w:r>
        <w:rPr>
          <w:rFonts w:hint="eastAsia" w:hAnsi="宋体" w:cs="宋体"/>
          <w:b w:val="0"/>
          <w:bCs/>
          <w:i w:val="0"/>
          <w:iCs w:val="0"/>
          <w:color w:val="auto"/>
          <w:kern w:val="0"/>
          <w:szCs w:val="21"/>
          <w:lang w:eastAsia="zh-CN"/>
        </w:rPr>
        <w:t>）</w:t>
      </w:r>
      <w:r>
        <w:rPr>
          <w:rFonts w:hint="eastAsia" w:hAnsi="宋体" w:cs="宋体"/>
          <w:b w:val="0"/>
          <w:bCs/>
          <w:i w:val="0"/>
          <w:iCs w:val="0"/>
          <w:color w:val="auto"/>
          <w:kern w:val="0"/>
          <w:szCs w:val="21"/>
          <w:lang w:val="en-US"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default" w:hAnsi="宋体" w:cs="宋体"/>
          <w:b w:val="0"/>
          <w:bCs/>
          <w:i w:val="0"/>
          <w:iCs w:val="0"/>
          <w:color w:val="auto"/>
          <w:kern w:val="0"/>
          <w:szCs w:val="21"/>
          <w:lang w:val="en-US" w:eastAsia="zh-CN"/>
        </w:rPr>
      </w:pPr>
      <w:r>
        <w:rPr>
          <w:rFonts w:hint="eastAsia" w:hAnsi="宋体" w:cs="宋体"/>
          <w:b w:val="0"/>
          <w:bCs/>
          <w:i w:val="0"/>
          <w:iCs w:val="0"/>
          <w:color w:val="auto"/>
          <w:kern w:val="0"/>
          <w:szCs w:val="21"/>
          <w:lang w:eastAsia="zh-CN"/>
        </w:rPr>
        <w:t>（</w:t>
      </w:r>
      <w:r>
        <w:rPr>
          <w:rFonts w:hint="eastAsia" w:hAnsi="宋体" w:cs="宋体"/>
          <w:b w:val="0"/>
          <w:bCs/>
          <w:i w:val="0"/>
          <w:iCs w:val="0"/>
          <w:color w:val="auto"/>
          <w:kern w:val="0"/>
          <w:szCs w:val="21"/>
          <w:lang w:val="en-US" w:eastAsia="zh-CN"/>
        </w:rPr>
        <w:t>16</w:t>
      </w:r>
      <w:r>
        <w:rPr>
          <w:rFonts w:hint="eastAsia" w:hAnsi="宋体" w:cs="宋体"/>
          <w:b w:val="0"/>
          <w:bCs/>
          <w:i w:val="0"/>
          <w:iCs w:val="0"/>
          <w:color w:val="auto"/>
          <w:kern w:val="0"/>
          <w:szCs w:val="21"/>
          <w:lang w:eastAsia="zh-CN"/>
        </w:rPr>
        <w:t>）《电缆工程电缆设计标准》（</w:t>
      </w:r>
      <w:r>
        <w:rPr>
          <w:rFonts w:hint="eastAsia" w:hAnsi="宋体" w:cs="宋体"/>
          <w:b w:val="0"/>
          <w:bCs/>
          <w:i w:val="0"/>
          <w:iCs w:val="0"/>
          <w:color w:val="auto"/>
          <w:kern w:val="0"/>
          <w:szCs w:val="21"/>
          <w:lang w:val="en-US" w:eastAsia="zh-CN"/>
        </w:rPr>
        <w:t>GB50217-2018</w:t>
      </w:r>
      <w:r>
        <w:rPr>
          <w:rFonts w:hint="eastAsia" w:hAnsi="宋体" w:cs="宋体"/>
          <w:b w:val="0"/>
          <w:bCs/>
          <w:i w:val="0"/>
          <w:iCs w:val="0"/>
          <w:color w:val="auto"/>
          <w:kern w:val="0"/>
          <w:szCs w:val="21"/>
          <w:lang w:eastAsia="zh-CN"/>
        </w:rPr>
        <w:t>）；</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lang w:eastAsia="zh-CN"/>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17</w:t>
      </w:r>
      <w:r>
        <w:rPr>
          <w:rFonts w:hint="eastAsia" w:ascii="Times New Roman" w:hAnsi="Times New Roman" w:cs="Times New Roman"/>
          <w:b w:val="0"/>
          <w:bCs/>
          <w:caps w:val="0"/>
          <w:smallCaps w:val="0"/>
          <w:snapToGrid w:val="0"/>
          <w:color w:val="auto"/>
          <w:spacing w:val="0"/>
          <w:kern w:val="0"/>
          <w:highlight w:val="none"/>
          <w:lang w:eastAsia="zh-CN"/>
        </w:rPr>
        <w:t>）其他现行国家、广东省关于市政工程的技术及验收规范、</w:t>
      </w:r>
      <w:r>
        <w:rPr>
          <w:rFonts w:hint="eastAsia" w:ascii="Times New Roman" w:hAnsi="Times New Roman" w:cs="Times New Roman"/>
          <w:b w:val="0"/>
          <w:bCs/>
          <w:caps w:val="0"/>
          <w:smallCaps w:val="0"/>
          <w:snapToGrid w:val="0"/>
          <w:color w:val="auto"/>
          <w:spacing w:val="0"/>
          <w:kern w:val="0"/>
          <w:highlight w:val="none"/>
          <w:lang w:val="en-US" w:eastAsia="zh-CN"/>
        </w:rPr>
        <w:t>定额</w:t>
      </w:r>
      <w:r>
        <w:rPr>
          <w:rFonts w:hint="eastAsia" w:ascii="Times New Roman" w:hAnsi="Times New Roman" w:cs="Times New Roman"/>
          <w:b w:val="0"/>
          <w:bCs/>
          <w:caps w:val="0"/>
          <w:smallCaps w:val="0"/>
          <w:snapToGrid w:val="0"/>
          <w:color w:val="0000FF"/>
          <w:spacing w:val="0"/>
          <w:kern w:val="0"/>
          <w:highlight w:val="none"/>
          <w:lang w:val="en-US" w:eastAsia="zh-CN"/>
        </w:rPr>
        <w:t>、</w:t>
      </w:r>
      <w:r>
        <w:rPr>
          <w:rFonts w:hint="eastAsia" w:ascii="Times New Roman" w:hAnsi="Times New Roman" w:cs="Times New Roman"/>
          <w:b w:val="0"/>
          <w:bCs/>
          <w:caps w:val="0"/>
          <w:smallCaps w:val="0"/>
          <w:snapToGrid w:val="0"/>
          <w:color w:val="auto"/>
          <w:spacing w:val="0"/>
          <w:kern w:val="0"/>
          <w:highlight w:val="none"/>
          <w:lang w:eastAsia="zh-CN"/>
        </w:rPr>
        <w:t>规程、标准。</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lang w:eastAsia="zh-CN"/>
        </w:rPr>
      </w:pPr>
      <w:r>
        <w:rPr>
          <w:rFonts w:hint="eastAsia" w:ascii="Times New Roman" w:hAnsi="Times New Roman" w:cs="Times New Roman"/>
          <w:b w:val="0"/>
          <w:bCs/>
          <w:caps w:val="0"/>
          <w:smallCaps w:val="0"/>
          <w:snapToGrid w:val="0"/>
          <w:color w:val="auto"/>
          <w:spacing w:val="0"/>
          <w:kern w:val="0"/>
          <w:highlight w:val="none"/>
          <w:lang w:eastAsia="zh-CN"/>
        </w:rPr>
        <w:t>（</w:t>
      </w:r>
      <w:r>
        <w:rPr>
          <w:rFonts w:hint="eastAsia" w:ascii="Times New Roman" w:hAnsi="Times New Roman" w:cs="Times New Roman"/>
          <w:b w:val="0"/>
          <w:bCs/>
          <w:caps w:val="0"/>
          <w:smallCaps w:val="0"/>
          <w:snapToGrid w:val="0"/>
          <w:color w:val="auto"/>
          <w:spacing w:val="0"/>
          <w:kern w:val="0"/>
          <w:highlight w:val="none"/>
          <w:lang w:val="en-US" w:eastAsia="zh-CN"/>
        </w:rPr>
        <w:t>18</w:t>
      </w:r>
      <w:r>
        <w:rPr>
          <w:rFonts w:hint="eastAsia" w:ascii="Times New Roman" w:hAnsi="Times New Roman" w:cs="Times New Roman"/>
          <w:b w:val="0"/>
          <w:bCs/>
          <w:caps w:val="0"/>
          <w:smallCaps w:val="0"/>
          <w:snapToGrid w:val="0"/>
          <w:color w:val="auto"/>
          <w:spacing w:val="0"/>
          <w:kern w:val="0"/>
          <w:highlight w:val="none"/>
          <w:lang w:eastAsia="zh-CN"/>
        </w:rPr>
        <w:t>）《污水自然处理工程技术规程》(CJJT 54-2017)；</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lang w:val="en-US" w:eastAsia="zh-CN"/>
        </w:rPr>
      </w:pPr>
      <w:r>
        <w:rPr>
          <w:rFonts w:hint="eastAsia" w:ascii="Times New Roman" w:hAnsi="Times New Roman" w:cs="Times New Roman"/>
          <w:b w:val="0"/>
          <w:bCs/>
          <w:caps w:val="0"/>
          <w:smallCaps w:val="0"/>
          <w:snapToGrid w:val="0"/>
          <w:color w:val="auto"/>
          <w:spacing w:val="0"/>
          <w:kern w:val="0"/>
          <w:highlight w:val="none"/>
          <w:lang w:val="en-US" w:eastAsia="zh-CN"/>
        </w:rPr>
        <w:t>（19）《广东省农村生活污水处理设施建设技术规程》（DBJ T 15-206-2020）；</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default" w:ascii="Times New Roman" w:hAnsi="Times New Roman" w:cs="Times New Roman"/>
          <w:b w:val="0"/>
          <w:bCs/>
          <w:caps w:val="0"/>
          <w:smallCaps w:val="0"/>
          <w:snapToGrid w:val="0"/>
          <w:color w:val="auto"/>
          <w:spacing w:val="0"/>
          <w:kern w:val="0"/>
          <w:highlight w:val="none"/>
          <w:lang w:val="en-US" w:eastAsia="zh-CN"/>
        </w:rPr>
      </w:pPr>
      <w:r>
        <w:rPr>
          <w:rFonts w:hint="eastAsia" w:ascii="Times New Roman" w:hAnsi="Times New Roman" w:cs="Times New Roman"/>
          <w:b w:val="0"/>
          <w:bCs/>
          <w:caps w:val="0"/>
          <w:smallCaps w:val="0"/>
          <w:snapToGrid w:val="0"/>
          <w:color w:val="auto"/>
          <w:spacing w:val="0"/>
          <w:kern w:val="0"/>
          <w:highlight w:val="none"/>
          <w:lang w:val="en-US" w:eastAsia="zh-CN"/>
        </w:rPr>
        <w:t>（20）广东省《农村生活污水处理排放标准》（DB 442208-2019）。</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highlight w:val="none"/>
          <w:lang w:eastAsia="zh-CN"/>
        </w:rPr>
      </w:pPr>
    </w:p>
    <w:p>
      <w:pPr>
        <w:ind w:left="480"/>
        <w:rPr>
          <w:rFonts w:hAnsi="宋体" w:cs="楷体_GB2312"/>
          <w:b/>
          <w:color w:val="auto"/>
          <w:highlight w:val="none"/>
        </w:rPr>
      </w:pPr>
    </w:p>
    <w:p>
      <w:pPr>
        <w:ind w:left="480"/>
        <w:rPr>
          <w:rFonts w:hAnsi="宋体" w:cs="楷体_GB2312"/>
          <w:b/>
          <w:color w:val="auto"/>
          <w:highlight w:val="none"/>
        </w:rPr>
      </w:pPr>
      <w:r>
        <w:rPr>
          <w:rFonts w:hAnsi="宋体" w:cs="楷体_GB2312"/>
          <w:b/>
          <w:color w:val="auto"/>
          <w:highlight w:val="none"/>
        </w:rPr>
        <w:t>3．备查要求</w:t>
      </w:r>
    </w:p>
    <w:p>
      <w:pPr>
        <w:wordWrap w:val="0"/>
        <w:adjustRightInd w:val="0"/>
        <w:snapToGrid w:val="0"/>
        <w:spacing w:line="440" w:lineRule="exact"/>
        <w:ind w:firstLine="560"/>
        <w:rPr>
          <w:rFonts w:ascii="Times New Roman"/>
          <w:strike/>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r>
        <w:rPr>
          <w:rFonts w:ascii="Times New Roman"/>
          <w:bCs/>
          <w:snapToGrid w:val="0"/>
          <w:color w:val="auto"/>
          <w:kern w:val="0"/>
          <w:highlight w:val="none"/>
        </w:rPr>
        <w:t>承包人必须在施工现场准备至少一套上述规范，发包人和监理单位可随时检查承包人的上述规范，并监督承包人按规范要求执行。</w:t>
      </w:r>
      <w:bookmarkStart w:id="144" w:name="_Hlt69670335"/>
      <w:bookmarkEnd w:id="144"/>
    </w:p>
    <w:p>
      <w:pPr>
        <w:pStyle w:val="3"/>
        <w:tabs>
          <w:tab w:val="left" w:pos="885"/>
        </w:tabs>
        <w:wordWrap w:val="0"/>
        <w:autoSpaceDE/>
        <w:autoSpaceDN/>
        <w:snapToGrid w:val="0"/>
        <w:ind w:left="885" w:hanging="885"/>
        <w:jc w:val="center"/>
        <w:rPr>
          <w:rFonts w:ascii="Times New Roman"/>
          <w:b/>
          <w:snapToGrid w:val="0"/>
          <w:color w:val="auto"/>
          <w:sz w:val="24"/>
          <w:highlight w:val="none"/>
        </w:rPr>
      </w:pPr>
      <w:bookmarkStart w:id="145" w:name="_Hlt69338190"/>
      <w:bookmarkEnd w:id="145"/>
      <w:bookmarkStart w:id="146" w:name="_Hlt69358336"/>
      <w:bookmarkEnd w:id="146"/>
      <w:bookmarkStart w:id="147" w:name="_Hlt69635247"/>
      <w:bookmarkEnd w:id="147"/>
      <w:bookmarkStart w:id="148" w:name="_Hlt69116863"/>
      <w:bookmarkEnd w:id="148"/>
      <w:bookmarkStart w:id="149" w:name="_Hlt69265207"/>
      <w:bookmarkEnd w:id="149"/>
      <w:bookmarkStart w:id="150" w:name="_Hlt66848640"/>
      <w:bookmarkEnd w:id="150"/>
      <w:bookmarkStart w:id="151" w:name="_Toc14646"/>
      <w:r>
        <w:rPr>
          <w:rFonts w:ascii="Times New Roman"/>
          <w:b/>
          <w:snapToGrid w:val="0"/>
          <w:color w:val="auto"/>
          <w:sz w:val="24"/>
          <w:highlight w:val="none"/>
        </w:rPr>
        <w:t>第五章</w:t>
      </w:r>
      <w:bookmarkStart w:id="152" w:name="_Hlt87793860"/>
      <w:bookmarkEnd w:id="152"/>
      <w:r>
        <w:rPr>
          <w:rFonts w:ascii="Times New Roman"/>
          <w:b/>
          <w:snapToGrid w:val="0"/>
          <w:color w:val="auto"/>
          <w:sz w:val="24"/>
          <w:highlight w:val="none"/>
        </w:rPr>
        <w:t xml:space="preserve"> 图纸和招标工程</w:t>
      </w:r>
      <w:bookmarkStart w:id="153" w:name="_Hlt69669215"/>
      <w:bookmarkEnd w:id="153"/>
      <w:r>
        <w:rPr>
          <w:rFonts w:ascii="Times New Roman"/>
          <w:b/>
          <w:snapToGrid w:val="0"/>
          <w:color w:val="auto"/>
          <w:sz w:val="24"/>
          <w:highlight w:val="none"/>
        </w:rPr>
        <w:t>量清单</w:t>
      </w:r>
      <w:bookmarkEnd w:id="151"/>
    </w:p>
    <w:p>
      <w:pPr>
        <w:wordWrap w:val="0"/>
        <w:adjustRightInd w:val="0"/>
        <w:snapToGrid w:val="0"/>
        <w:spacing w:line="440" w:lineRule="exact"/>
        <w:ind w:firstLine="480" w:firstLineChars="200"/>
        <w:rPr>
          <w:rFonts w:ascii="Times New Roman"/>
          <w:snapToGrid w:val="0"/>
          <w:color w:val="auto"/>
          <w:kern w:val="0"/>
          <w:highlight w:val="none"/>
        </w:rPr>
      </w:pPr>
      <w:bookmarkStart w:id="154" w:name="_Hlt75747203"/>
      <w:bookmarkEnd w:id="154"/>
      <w:bookmarkStart w:id="155" w:name="_Hlt87793868"/>
      <w:bookmarkEnd w:id="155"/>
      <w:bookmarkStart w:id="156" w:name="_Hlt66104919"/>
      <w:bookmarkEnd w:id="156"/>
      <w:bookmarkStart w:id="157" w:name="_Hlt69669182"/>
      <w:bookmarkEnd w:id="157"/>
      <w:bookmarkStart w:id="158" w:name="_Hlt69698785"/>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1．图纸</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本招标文件随文另附施工图（电子文件）各一套。</w:t>
      </w:r>
    </w:p>
    <w:p>
      <w:pPr>
        <w:wordWrap w:val="0"/>
        <w:adjustRightInd w:val="0"/>
        <w:snapToGrid w:val="0"/>
        <w:spacing w:line="440" w:lineRule="exact"/>
        <w:ind w:firstLine="480" w:firstLineChars="200"/>
        <w:rPr>
          <w:rFonts w:ascii="Times New Roman"/>
          <w:snapToGrid w:val="0"/>
          <w:color w:val="auto"/>
          <w:kern w:val="0"/>
          <w:highlight w:val="none"/>
        </w:rPr>
      </w:pPr>
    </w:p>
    <w:p>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highlight w:val="none"/>
        </w:rPr>
        <w:t>2．招标工程量清单</w:t>
      </w:r>
    </w:p>
    <w:p>
      <w:pPr>
        <w:wordWrap w:val="0"/>
        <w:adjustRightInd w:val="0"/>
        <w:snapToGrid w:val="0"/>
        <w:spacing w:line="440" w:lineRule="exact"/>
        <w:ind w:firstLine="480"/>
        <w:rPr>
          <w:rFonts w:ascii="Times New Roman"/>
          <w:snapToGrid w:val="0"/>
          <w:color w:val="auto"/>
          <w:kern w:val="0"/>
          <w:highlight w:val="none"/>
        </w:rPr>
      </w:pPr>
      <w:r>
        <w:rPr>
          <w:rFonts w:ascii="Times New Roman"/>
          <w:b/>
          <w:bCs/>
          <w:snapToGrid w:val="0"/>
          <w:color w:val="auto"/>
          <w:kern w:val="0"/>
          <w:highlight w:val="none"/>
        </w:rPr>
        <w:t>2.1</w:t>
      </w:r>
      <w:r>
        <w:rPr>
          <w:rFonts w:ascii="Times New Roman"/>
          <w:snapToGrid w:val="0"/>
          <w:color w:val="auto"/>
          <w:kern w:val="0"/>
          <w:highlight w:val="none"/>
        </w:rPr>
        <w:t xml:space="preserve"> 本招标文件随文另附招标工程量清单（电子文件）一套。</w:t>
      </w:r>
    </w:p>
    <w:p>
      <w:pPr>
        <w:wordWrap w:val="0"/>
        <w:adjustRightInd w:val="0"/>
        <w:snapToGrid w:val="0"/>
        <w:spacing w:line="440" w:lineRule="exact"/>
        <w:ind w:firstLine="480"/>
        <w:rPr>
          <w:rFonts w:ascii="Times New Roman"/>
          <w:snapToGrid w:val="0"/>
          <w:color w:val="auto"/>
          <w:kern w:val="0"/>
          <w:highlight w:val="none"/>
        </w:rPr>
      </w:pPr>
      <w:r>
        <w:rPr>
          <w:rFonts w:ascii="Times New Roman"/>
          <w:b/>
          <w:bCs/>
          <w:snapToGrid w:val="0"/>
          <w:color w:val="auto"/>
          <w:kern w:val="0"/>
          <w:highlight w:val="none"/>
        </w:rPr>
        <w:t>2.2</w:t>
      </w:r>
      <w:r>
        <w:rPr>
          <w:rFonts w:ascii="Times New Roman"/>
          <w:snapToGrid w:val="0"/>
          <w:color w:val="auto"/>
          <w:kern w:val="0"/>
          <w:highlight w:val="none"/>
        </w:rPr>
        <w:t xml:space="preserve"> 本工程按照以下依据编制招标工程量清单：</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（1）《建设工程工程量清单计价规范》（GB50500—2013）；</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（2）有关工程量计量规范。具体包括：《房屋建筑与装饰工程工程量计算规范》（GB50854—2013）、《市政工程工程量计算规范》（ GB50857—2013）等；</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（4）施工图及相关资料；</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（5）招标文件；</w:t>
      </w:r>
    </w:p>
    <w:p>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（6）施工现场情况、地勘水文资料、工程特点及常规施工方案；</w:t>
      </w:r>
    </w:p>
    <w:p>
      <w:pPr>
        <w:wordWrap w:val="0"/>
        <w:adjustRightInd w:val="0"/>
        <w:snapToGrid w:val="0"/>
        <w:spacing w:line="440" w:lineRule="exact"/>
        <w:ind w:firstLine="480"/>
        <w:rPr>
          <w:rFonts w:ascii="Times New Roman"/>
          <w:snapToGrid w:val="0"/>
          <w:color w:val="auto"/>
          <w:kern w:val="0"/>
          <w:highlight w:val="none"/>
        </w:rPr>
      </w:pPr>
      <w:r>
        <w:rPr>
          <w:rFonts w:ascii="Times New Roman"/>
          <w:snapToGrid w:val="0"/>
          <w:color w:val="auto"/>
          <w:kern w:val="0"/>
          <w:highlight w:val="none"/>
        </w:rPr>
        <w:t>（7）与建设工程有关的标准、规范、技术资料。</w:t>
      </w:r>
    </w:p>
    <w:p>
      <w:pPr>
        <w:wordWrap w:val="0"/>
        <w:adjustRightInd w:val="0"/>
        <w:snapToGrid w:val="0"/>
        <w:spacing w:line="440" w:lineRule="exact"/>
        <w:ind w:firstLine="480"/>
        <w:rPr>
          <w:rFonts w:ascii="Times New Roman"/>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pPr>
        <w:pStyle w:val="3"/>
        <w:wordWrap w:val="0"/>
        <w:autoSpaceDE/>
        <w:autoSpaceDN/>
        <w:snapToGrid w:val="0"/>
        <w:spacing w:line="440" w:lineRule="exact"/>
        <w:jc w:val="center"/>
        <w:rPr>
          <w:rFonts w:hint="eastAsia" w:ascii="Times New Roman" w:eastAsia="宋体"/>
          <w:b/>
          <w:snapToGrid w:val="0"/>
          <w:color w:val="auto"/>
          <w:sz w:val="24"/>
          <w:highlight w:val="none"/>
          <w:lang w:eastAsia="zh-CN"/>
        </w:rPr>
      </w:pPr>
      <w:bookmarkStart w:id="159" w:name="_Toc19091"/>
      <w:r>
        <w:rPr>
          <w:rFonts w:ascii="Times New Roman"/>
          <w:b/>
          <w:snapToGrid w:val="0"/>
          <w:color w:val="auto"/>
          <w:sz w:val="24"/>
          <w:highlight w:val="none"/>
        </w:rPr>
        <w:t xml:space="preserve">第六章 </w:t>
      </w:r>
      <w:bookmarkStart w:id="160" w:name="_Hlt75747044"/>
      <w:bookmarkEnd w:id="160"/>
      <w:r>
        <w:rPr>
          <w:rFonts w:ascii="Times New Roman"/>
          <w:b/>
          <w:snapToGrid w:val="0"/>
          <w:color w:val="auto"/>
          <w:sz w:val="24"/>
          <w:highlight w:val="none"/>
        </w:rPr>
        <w:t>投标文件格式</w:t>
      </w:r>
      <w:bookmarkEnd w:id="159"/>
    </w:p>
    <w:p>
      <w:pPr>
        <w:rPr>
          <w:rFonts w:hint="eastAsia"/>
          <w:lang w:eastAsia="zh-CN"/>
        </w:rPr>
      </w:pPr>
    </w:p>
    <w:bookmarkEnd w:id="158"/>
    <w:p>
      <w:pPr>
        <w:pStyle w:val="33"/>
        <w:keepNext w:val="0"/>
        <w:keepLines w:val="0"/>
        <w:widowControl w:val="0"/>
        <w:wordWrap w:val="0"/>
        <w:adjustRightInd w:val="0"/>
        <w:snapToGrid w:val="0"/>
        <w:spacing w:before="0" w:after="0" w:line="240" w:lineRule="auto"/>
        <w:ind w:firstLine="0"/>
        <w:jc w:val="both"/>
        <w:rPr>
          <w:rFonts w:hint="eastAsia"/>
          <w:b/>
          <w:snapToGrid w:val="0"/>
          <w:color w:val="auto"/>
          <w:highlight w:val="none"/>
        </w:rPr>
      </w:pPr>
      <w:bookmarkStart w:id="161" w:name="_Toc28738"/>
      <w:bookmarkStart w:id="162" w:name="_Toc200338097"/>
      <w:bookmarkStart w:id="163" w:name="_Toc137621693"/>
      <w:bookmarkStart w:id="164" w:name="_Hlt66847557"/>
      <w:bookmarkStart w:id="165" w:name="_Toc66849200"/>
      <w:r>
        <w:rPr>
          <w:rFonts w:hint="eastAsia"/>
          <w:b/>
          <w:snapToGrid w:val="0"/>
          <w:color w:val="auto"/>
          <w:highlight w:val="none"/>
        </w:rPr>
        <w:t>格式一 封面</w:t>
      </w:r>
      <w:bookmarkEnd w:id="161"/>
    </w:p>
    <w:p>
      <w:pPr>
        <w:pStyle w:val="34"/>
        <w:widowControl w:val="0"/>
        <w:wordWrap w:val="0"/>
        <w:adjustRightInd w:val="0"/>
        <w:snapToGrid w:val="0"/>
        <w:spacing w:line="240" w:lineRule="auto"/>
        <w:rPr>
          <w:rFonts w:hint="eastAsia" w:ascii="Times New Roman"/>
          <w:b/>
          <w:snapToGrid w:val="0"/>
          <w:color w:val="auto"/>
          <w:sz w:val="24"/>
          <w:highlight w:val="none"/>
        </w:rPr>
      </w:pPr>
    </w:p>
    <w:p>
      <w:pPr>
        <w:pStyle w:val="34"/>
        <w:widowControl w:val="0"/>
        <w:wordWrap w:val="0"/>
        <w:adjustRightInd w:val="0"/>
        <w:snapToGrid w:val="0"/>
        <w:spacing w:line="240" w:lineRule="auto"/>
        <w:jc w:val="right"/>
        <w:rPr>
          <w:rFonts w:hint="eastAsia" w:ascii="Times New Roman"/>
          <w:b/>
          <w:snapToGrid w:val="0"/>
          <w:color w:val="auto"/>
          <w:sz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3416300</wp:posOffset>
                </wp:positionH>
                <wp:positionV relativeFrom="paragraph">
                  <wp:posOffset>104140</wp:posOffset>
                </wp:positionV>
                <wp:extent cx="2257425" cy="495300"/>
                <wp:effectExtent l="5080" t="4445" r="4445" b="14605"/>
                <wp:wrapNone/>
                <wp:docPr id="3" name="文本框 3"/>
                <wp:cNvGraphicFramePr/>
                <a:graphic xmlns:a="http://schemas.openxmlformats.org/drawingml/2006/main">
                  <a:graphicData uri="http://schemas.microsoft.com/office/word/2010/wordprocessingShape">
                    <wps:wsp>
                      <wps:cNvSpPr txBox="1"/>
                      <wps:spPr>
                        <a:xfrm>
                          <a:off x="0" y="0"/>
                          <a:ext cx="225742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bCs/>
                                <w:sz w:val="52"/>
                              </w:rPr>
                            </w:pPr>
                            <w:r>
                              <w:rPr>
                                <w:b/>
                                <w:bCs/>
                                <w:sz w:val="52"/>
                              </w:rPr>
                              <w:t>正本（或副本）</w:t>
                            </w:r>
                          </w:p>
                        </w:txbxContent>
                      </wps:txbx>
                      <wps:bodyPr upright="1"/>
                    </wps:wsp>
                  </a:graphicData>
                </a:graphic>
              </wp:anchor>
            </w:drawing>
          </mc:Choice>
          <mc:Fallback>
            <w:pict>
              <v:shape id="_x0000_s1026" o:spid="_x0000_s1026" o:spt="202" type="#_x0000_t202" style="position:absolute;left:0pt;margin-left:269pt;margin-top:8.2pt;height:39pt;width:177.75pt;z-index:251660288;mso-width-relative:page;mso-height-relative:page;" fillcolor="#FFFFFF" filled="t" stroked="t" coordsize="21600,21600" o:gfxdata="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zlckXZAAAACQEAAA8AAAAAAAAAAQAg&#10;AAAAIgAAAGRycy9kb3ducmV2LnhtbFBLAQIUABQAAAAIAIdO4kCPBno3DQIAADYEAAAOAAAAAAAA&#10;AAEAIAAAACgBAABkcnMvZTJvRG9jLnhtbFBLBQYAAAAABgAGAFkBAACnBQAAAAA=&#10;">
                <v:fill on="t" focussize="0,0"/>
                <v:stroke color="#000000" joinstyle="miter"/>
                <v:imagedata o:title=""/>
                <o:lock v:ext="edit" aspectratio="f"/>
                <v:textbox>
                  <w:txbxContent>
                    <w:p>
                      <w:pPr>
                        <w:rPr>
                          <w:b/>
                          <w:bCs/>
                          <w:sz w:val="52"/>
                        </w:rPr>
                      </w:pPr>
                      <w:r>
                        <w:rPr>
                          <w:b/>
                          <w:bCs/>
                          <w:sz w:val="52"/>
                        </w:rPr>
                        <w:t>正本（或副本）</w:t>
                      </w:r>
                    </w:p>
                  </w:txbxContent>
                </v:textbox>
              </v:shape>
            </w:pict>
          </mc:Fallback>
        </mc:AlternateContent>
      </w:r>
    </w:p>
    <w:p>
      <w:pPr>
        <w:pStyle w:val="34"/>
        <w:widowControl w:val="0"/>
        <w:wordWrap w:val="0"/>
        <w:adjustRightInd w:val="0"/>
        <w:snapToGrid w:val="0"/>
        <w:spacing w:line="240" w:lineRule="auto"/>
        <w:rPr>
          <w:rFonts w:hint="eastAsia" w:ascii="Times New Roman"/>
          <w:b/>
          <w:snapToGrid w:val="0"/>
          <w:color w:val="auto"/>
          <w:sz w:val="24"/>
          <w:highlight w:val="none"/>
        </w:rPr>
      </w:pPr>
    </w:p>
    <w:p>
      <w:pPr>
        <w:pStyle w:val="34"/>
        <w:widowControl w:val="0"/>
        <w:wordWrap w:val="0"/>
        <w:adjustRightInd w:val="0"/>
        <w:snapToGrid w:val="0"/>
        <w:spacing w:line="240" w:lineRule="auto"/>
        <w:rPr>
          <w:rFonts w:hint="eastAsia" w:ascii="Times New Roman"/>
          <w:b/>
          <w:snapToGrid w:val="0"/>
          <w:color w:val="auto"/>
          <w:sz w:val="24"/>
          <w:highlight w:val="none"/>
        </w:rPr>
      </w:pPr>
    </w:p>
    <w:p>
      <w:pPr>
        <w:pStyle w:val="34"/>
        <w:widowControl w:val="0"/>
        <w:wordWrap w:val="0"/>
        <w:adjustRightInd w:val="0"/>
        <w:snapToGrid w:val="0"/>
        <w:spacing w:line="240" w:lineRule="auto"/>
        <w:rPr>
          <w:rFonts w:hint="eastAsia" w:ascii="Times New Roman"/>
          <w:b/>
          <w:snapToGrid w:val="0"/>
          <w:color w:val="auto"/>
          <w:sz w:val="24"/>
          <w:highlight w:val="none"/>
        </w:rPr>
      </w:pPr>
    </w:p>
    <w:p>
      <w:pPr>
        <w:pStyle w:val="34"/>
        <w:widowControl w:val="0"/>
        <w:wordWrap w:val="0"/>
        <w:adjustRightInd w:val="0"/>
        <w:snapToGrid w:val="0"/>
        <w:spacing w:line="240" w:lineRule="auto"/>
        <w:rPr>
          <w:rFonts w:hint="eastAsia" w:ascii="Times New Roman"/>
          <w:b/>
          <w:snapToGrid w:val="0"/>
          <w:color w:val="auto"/>
          <w:sz w:val="24"/>
          <w:highlight w:val="none"/>
        </w:rPr>
      </w:pPr>
    </w:p>
    <w:p>
      <w:pPr>
        <w:pStyle w:val="34"/>
        <w:widowControl w:val="0"/>
        <w:wordWrap w:val="0"/>
        <w:adjustRightInd w:val="0"/>
        <w:snapToGrid w:val="0"/>
        <w:spacing w:line="240" w:lineRule="auto"/>
        <w:rPr>
          <w:rFonts w:hint="eastAsia" w:ascii="Times New Roman"/>
          <w:b/>
          <w:snapToGrid w:val="0"/>
          <w:color w:val="auto"/>
          <w:sz w:val="24"/>
          <w:highlight w:val="none"/>
        </w:rPr>
      </w:pPr>
    </w:p>
    <w:p>
      <w:pPr>
        <w:pStyle w:val="34"/>
        <w:widowControl w:val="0"/>
        <w:wordWrap w:val="0"/>
        <w:adjustRightInd w:val="0"/>
        <w:snapToGrid w:val="0"/>
        <w:spacing w:line="240" w:lineRule="auto"/>
        <w:rPr>
          <w:rFonts w:hint="eastAsia" w:ascii="Times New Roman"/>
          <w:b/>
          <w:snapToGrid w:val="0"/>
          <w:color w:val="auto"/>
          <w:sz w:val="24"/>
          <w:highlight w:val="none"/>
        </w:rPr>
      </w:pPr>
    </w:p>
    <w:p>
      <w:pPr>
        <w:pStyle w:val="34"/>
        <w:widowControl w:val="0"/>
        <w:wordWrap w:val="0"/>
        <w:adjustRightInd w:val="0"/>
        <w:snapToGrid w:val="0"/>
        <w:spacing w:line="240" w:lineRule="auto"/>
        <w:rPr>
          <w:rFonts w:hint="eastAsia" w:ascii="Times New Roman"/>
          <w:b/>
          <w:snapToGrid w:val="0"/>
          <w:color w:val="auto"/>
          <w:sz w:val="24"/>
          <w:highlight w:val="none"/>
        </w:rPr>
      </w:pPr>
    </w:p>
    <w:p>
      <w:pPr>
        <w:pStyle w:val="34"/>
        <w:widowControl w:val="0"/>
        <w:wordWrap w:val="0"/>
        <w:adjustRightInd w:val="0"/>
        <w:snapToGrid w:val="0"/>
        <w:spacing w:line="240" w:lineRule="auto"/>
        <w:rPr>
          <w:rFonts w:hint="eastAsia" w:ascii="Times New Roman"/>
          <w:b/>
          <w:snapToGrid w:val="0"/>
          <w:color w:val="auto"/>
          <w:sz w:val="24"/>
          <w:highlight w:val="none"/>
        </w:rPr>
      </w:pPr>
    </w:p>
    <w:p>
      <w:pPr>
        <w:pStyle w:val="34"/>
        <w:widowControl w:val="0"/>
        <w:wordWrap w:val="0"/>
        <w:adjustRightInd w:val="0"/>
        <w:snapToGrid w:val="0"/>
        <w:spacing w:line="240" w:lineRule="auto"/>
        <w:ind w:firstLine="0"/>
        <w:jc w:val="center"/>
        <w:rPr>
          <w:rFonts w:hint="eastAsia"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pPr>
        <w:pStyle w:val="34"/>
        <w:widowControl w:val="0"/>
        <w:wordWrap w:val="0"/>
        <w:adjustRightInd w:val="0"/>
        <w:snapToGrid w:val="0"/>
        <w:spacing w:line="240" w:lineRule="auto"/>
        <w:ind w:firstLine="0"/>
        <w:jc w:val="center"/>
        <w:rPr>
          <w:rFonts w:hint="eastAsia" w:ascii="Times New Roman"/>
          <w:b/>
          <w:snapToGrid w:val="0"/>
          <w:color w:val="auto"/>
          <w:sz w:val="32"/>
          <w:highlight w:val="none"/>
        </w:rPr>
      </w:pPr>
    </w:p>
    <w:p>
      <w:pPr>
        <w:pStyle w:val="34"/>
        <w:widowControl w:val="0"/>
        <w:wordWrap w:val="0"/>
        <w:adjustRightInd w:val="0"/>
        <w:snapToGrid w:val="0"/>
        <w:spacing w:line="240" w:lineRule="auto"/>
        <w:ind w:firstLine="0"/>
        <w:jc w:val="center"/>
        <w:rPr>
          <w:rFonts w:hint="eastAsia" w:ascii="Times New Roman"/>
          <w:b/>
          <w:snapToGrid w:val="0"/>
          <w:color w:val="auto"/>
          <w:sz w:val="72"/>
          <w:highlight w:val="none"/>
        </w:rPr>
      </w:pPr>
      <w:r>
        <w:rPr>
          <w:rFonts w:hint="eastAsia" w:ascii="Times New Roman"/>
          <w:b/>
          <w:snapToGrid w:val="0"/>
          <w:color w:val="auto"/>
          <w:sz w:val="72"/>
          <w:highlight w:val="none"/>
        </w:rPr>
        <w:t>投  标  文  件</w:t>
      </w:r>
    </w:p>
    <w:p>
      <w:pPr>
        <w:pStyle w:val="34"/>
        <w:widowControl w:val="0"/>
        <w:wordWrap w:val="0"/>
        <w:adjustRightInd w:val="0"/>
        <w:snapToGrid w:val="0"/>
        <w:spacing w:line="240" w:lineRule="auto"/>
        <w:ind w:firstLine="0"/>
        <w:jc w:val="center"/>
        <w:rPr>
          <w:rFonts w:hint="eastAsia" w:ascii="Times New Roman"/>
          <w:b/>
          <w:snapToGrid w:val="0"/>
          <w:color w:val="auto"/>
          <w:sz w:val="32"/>
          <w:highlight w:val="none"/>
        </w:rPr>
      </w:pPr>
    </w:p>
    <w:p>
      <w:pPr>
        <w:pStyle w:val="34"/>
        <w:widowControl w:val="0"/>
        <w:wordWrap w:val="0"/>
        <w:adjustRightInd w:val="0"/>
        <w:snapToGrid w:val="0"/>
        <w:spacing w:line="240" w:lineRule="auto"/>
        <w:ind w:firstLine="0"/>
        <w:jc w:val="center"/>
        <w:rPr>
          <w:rFonts w:hint="eastAsia" w:ascii="Times New Roman"/>
          <w:b/>
          <w:snapToGrid w:val="0"/>
          <w:color w:val="auto"/>
          <w:sz w:val="48"/>
          <w:szCs w:val="48"/>
          <w:highlight w:val="none"/>
        </w:rPr>
      </w:pPr>
      <w:r>
        <w:rPr>
          <w:rFonts w:hint="eastAsia" w:ascii="Times New Roman"/>
          <w:b/>
          <w:snapToGrid w:val="0"/>
          <w:color w:val="auto"/>
          <w:sz w:val="48"/>
          <w:szCs w:val="48"/>
          <w:highlight w:val="none"/>
        </w:rPr>
        <w:t>（商务标书／经济标书／施工组织设计）</w:t>
      </w:r>
    </w:p>
    <w:p>
      <w:pPr>
        <w:pStyle w:val="34"/>
        <w:widowControl w:val="0"/>
        <w:wordWrap w:val="0"/>
        <w:adjustRightInd w:val="0"/>
        <w:snapToGrid w:val="0"/>
        <w:spacing w:line="240" w:lineRule="auto"/>
        <w:rPr>
          <w:rFonts w:hint="eastAsia" w:ascii="Times New Roman"/>
          <w:b/>
          <w:snapToGrid w:val="0"/>
          <w:color w:val="auto"/>
          <w:highlight w:val="none"/>
        </w:rPr>
      </w:pPr>
    </w:p>
    <w:p>
      <w:pPr>
        <w:pStyle w:val="34"/>
        <w:widowControl w:val="0"/>
        <w:wordWrap w:val="0"/>
        <w:adjustRightInd w:val="0"/>
        <w:snapToGrid w:val="0"/>
        <w:spacing w:line="240" w:lineRule="auto"/>
        <w:rPr>
          <w:rFonts w:hint="eastAsia" w:ascii="Times New Roman"/>
          <w:b/>
          <w:snapToGrid w:val="0"/>
          <w:color w:val="auto"/>
          <w:sz w:val="32"/>
          <w:highlight w:val="none"/>
        </w:rPr>
      </w:pPr>
    </w:p>
    <w:p>
      <w:pPr>
        <w:pStyle w:val="34"/>
        <w:widowControl w:val="0"/>
        <w:wordWrap w:val="0"/>
        <w:adjustRightInd w:val="0"/>
        <w:snapToGrid w:val="0"/>
        <w:spacing w:line="240" w:lineRule="auto"/>
        <w:rPr>
          <w:rFonts w:hint="eastAsia" w:ascii="Times New Roman"/>
          <w:b/>
          <w:snapToGrid w:val="0"/>
          <w:color w:val="auto"/>
          <w:sz w:val="32"/>
          <w:highlight w:val="none"/>
        </w:rPr>
      </w:pPr>
    </w:p>
    <w:p>
      <w:pPr>
        <w:pStyle w:val="34"/>
        <w:widowControl w:val="0"/>
        <w:wordWrap w:val="0"/>
        <w:adjustRightInd w:val="0"/>
        <w:snapToGrid w:val="0"/>
        <w:spacing w:line="240" w:lineRule="auto"/>
        <w:rPr>
          <w:rFonts w:hint="eastAsia" w:ascii="Times New Roman"/>
          <w:b/>
          <w:snapToGrid w:val="0"/>
          <w:color w:val="auto"/>
          <w:sz w:val="32"/>
          <w:highlight w:val="none"/>
        </w:rPr>
      </w:pPr>
    </w:p>
    <w:p>
      <w:pPr>
        <w:pStyle w:val="34"/>
        <w:widowControl w:val="0"/>
        <w:wordWrap w:val="0"/>
        <w:adjustRightInd w:val="0"/>
        <w:snapToGrid w:val="0"/>
        <w:spacing w:line="240" w:lineRule="auto"/>
        <w:rPr>
          <w:rFonts w:hint="eastAsia" w:ascii="Times New Roman"/>
          <w:b/>
          <w:snapToGrid w:val="0"/>
          <w:color w:val="auto"/>
          <w:sz w:val="32"/>
          <w:highlight w:val="none"/>
        </w:rPr>
      </w:pPr>
    </w:p>
    <w:p>
      <w:pPr>
        <w:pStyle w:val="34"/>
        <w:widowControl w:val="0"/>
        <w:wordWrap w:val="0"/>
        <w:adjustRightInd w:val="0"/>
        <w:snapToGrid w:val="0"/>
        <w:spacing w:line="240" w:lineRule="auto"/>
        <w:rPr>
          <w:rFonts w:hint="eastAsia" w:ascii="Times New Roman"/>
          <w:b/>
          <w:snapToGrid w:val="0"/>
          <w:color w:val="auto"/>
          <w:sz w:val="32"/>
          <w:highlight w:val="none"/>
        </w:rPr>
      </w:pPr>
    </w:p>
    <w:p>
      <w:pPr>
        <w:pStyle w:val="34"/>
        <w:widowControl w:val="0"/>
        <w:wordWrap w:val="0"/>
        <w:adjustRightInd w:val="0"/>
        <w:snapToGrid w:val="0"/>
        <w:spacing w:line="240" w:lineRule="auto"/>
        <w:rPr>
          <w:rFonts w:hint="eastAsia" w:ascii="Times New Roman"/>
          <w:b/>
          <w:snapToGrid w:val="0"/>
          <w:color w:val="auto"/>
          <w:sz w:val="32"/>
          <w:highlight w:val="none"/>
        </w:rPr>
      </w:pPr>
    </w:p>
    <w:p>
      <w:pPr>
        <w:pStyle w:val="34"/>
        <w:widowControl w:val="0"/>
        <w:wordWrap w:val="0"/>
        <w:adjustRightInd w:val="0"/>
        <w:snapToGrid w:val="0"/>
        <w:spacing w:line="240" w:lineRule="auto"/>
        <w:rPr>
          <w:rFonts w:hint="eastAsia" w:ascii="Times New Roman"/>
          <w:b/>
          <w:snapToGrid w:val="0"/>
          <w:color w:val="auto"/>
          <w:sz w:val="32"/>
          <w:highlight w:val="none"/>
        </w:rPr>
      </w:pPr>
    </w:p>
    <w:p>
      <w:pPr>
        <w:pStyle w:val="34"/>
        <w:widowControl w:val="0"/>
        <w:wordWrap w:val="0"/>
        <w:adjustRightInd w:val="0"/>
        <w:snapToGrid w:val="0"/>
        <w:spacing w:line="240" w:lineRule="auto"/>
        <w:rPr>
          <w:rFonts w:hint="eastAsia" w:ascii="Times New Roman"/>
          <w:b/>
          <w:snapToGrid w:val="0"/>
          <w:color w:val="auto"/>
          <w:sz w:val="32"/>
          <w:highlight w:val="none"/>
        </w:rPr>
      </w:pPr>
    </w:p>
    <w:p>
      <w:pPr>
        <w:pStyle w:val="34"/>
        <w:widowControl w:val="0"/>
        <w:wordWrap w:val="0"/>
        <w:adjustRightInd w:val="0"/>
        <w:snapToGrid w:val="0"/>
        <w:spacing w:line="240" w:lineRule="auto"/>
        <w:ind w:firstLine="0"/>
        <w:jc w:val="center"/>
        <w:rPr>
          <w:rFonts w:hint="eastAsia"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pPr>
        <w:pStyle w:val="34"/>
        <w:widowControl w:val="0"/>
        <w:wordWrap w:val="0"/>
        <w:adjustRightInd w:val="0"/>
        <w:snapToGrid w:val="0"/>
        <w:spacing w:line="240" w:lineRule="auto"/>
        <w:ind w:firstLine="0"/>
        <w:jc w:val="center"/>
        <w:rPr>
          <w:rFonts w:hint="eastAsia" w:ascii="Times New Roman"/>
          <w:bCs/>
          <w:snapToGrid w:val="0"/>
          <w:color w:val="auto"/>
          <w:sz w:val="32"/>
          <w:highlight w:val="none"/>
        </w:rPr>
      </w:pPr>
    </w:p>
    <w:p>
      <w:pPr>
        <w:pStyle w:val="34"/>
        <w:widowControl w:val="0"/>
        <w:wordWrap w:val="0"/>
        <w:adjustRightInd w:val="0"/>
        <w:snapToGrid w:val="0"/>
        <w:spacing w:line="240" w:lineRule="auto"/>
        <w:ind w:firstLine="0"/>
        <w:jc w:val="center"/>
        <w:rPr>
          <w:rFonts w:hint="eastAsia" w:ascii="Times New Roman"/>
          <w:bCs/>
          <w:snapToGrid w:val="0"/>
          <w:color w:val="auto"/>
          <w:sz w:val="32"/>
          <w:highlight w:val="none"/>
        </w:rPr>
      </w:pPr>
    </w:p>
    <w:p>
      <w:pPr>
        <w:pStyle w:val="34"/>
        <w:widowControl w:val="0"/>
        <w:wordWrap w:val="0"/>
        <w:adjustRightInd w:val="0"/>
        <w:snapToGrid w:val="0"/>
        <w:spacing w:line="240" w:lineRule="auto"/>
        <w:ind w:firstLine="0"/>
        <w:jc w:val="center"/>
        <w:rPr>
          <w:rFonts w:hint="eastAsia" w:ascii="Times New Roman"/>
          <w:bCs/>
          <w:snapToGrid w:val="0"/>
          <w:color w:val="auto"/>
          <w:sz w:val="32"/>
          <w:highlight w:val="none"/>
        </w:rPr>
      </w:pPr>
    </w:p>
    <w:p>
      <w:pPr>
        <w:pStyle w:val="34"/>
        <w:widowControl w:val="0"/>
        <w:wordWrap w:val="0"/>
        <w:adjustRightInd w:val="0"/>
        <w:snapToGrid w:val="0"/>
        <w:spacing w:line="240" w:lineRule="auto"/>
        <w:ind w:firstLine="0"/>
        <w:jc w:val="center"/>
        <w:rPr>
          <w:rFonts w:hint="eastAsia"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pPr>
        <w:pStyle w:val="34"/>
        <w:widowControl w:val="0"/>
        <w:wordWrap w:val="0"/>
        <w:adjustRightInd w:val="0"/>
        <w:snapToGrid w:val="0"/>
        <w:spacing w:line="240" w:lineRule="auto"/>
        <w:ind w:firstLine="0"/>
        <w:jc w:val="center"/>
        <w:rPr>
          <w:rFonts w:hint="eastAsia" w:ascii="Times New Roman"/>
          <w:bCs/>
          <w:snapToGrid w:val="0"/>
          <w:color w:val="auto"/>
          <w:sz w:val="32"/>
          <w:highlight w:val="none"/>
        </w:rPr>
      </w:pPr>
    </w:p>
    <w:p>
      <w:pPr>
        <w:pStyle w:val="34"/>
        <w:widowControl w:val="0"/>
        <w:wordWrap w:val="0"/>
        <w:adjustRightInd w:val="0"/>
        <w:snapToGrid w:val="0"/>
        <w:spacing w:line="240" w:lineRule="auto"/>
        <w:ind w:firstLine="0"/>
        <w:jc w:val="center"/>
        <w:rPr>
          <w:rFonts w:hint="eastAsia" w:ascii="Times New Roman"/>
          <w:bCs/>
          <w:snapToGrid w:val="0"/>
          <w:color w:val="auto"/>
          <w:sz w:val="32"/>
          <w:highlight w:val="none"/>
          <w:u w:val="single"/>
        </w:rPr>
      </w:pPr>
    </w:p>
    <w:p>
      <w:pPr>
        <w:pStyle w:val="34"/>
        <w:widowControl w:val="0"/>
        <w:wordWrap w:val="0"/>
        <w:adjustRightInd w:val="0"/>
        <w:snapToGrid w:val="0"/>
        <w:spacing w:line="240" w:lineRule="auto"/>
        <w:ind w:firstLine="0"/>
        <w:jc w:val="center"/>
        <w:rPr>
          <w:rFonts w:hint="eastAsia"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pPr>
        <w:pStyle w:val="34"/>
        <w:widowControl w:val="0"/>
        <w:wordWrap w:val="0"/>
        <w:adjustRightInd w:val="0"/>
        <w:snapToGrid w:val="0"/>
        <w:rPr>
          <w:rFonts w:hint="eastAsia" w:ascii="Times New Roman"/>
          <w:b/>
          <w:snapToGrid w:val="0"/>
          <w:color w:val="auto"/>
          <w:highlight w:val="none"/>
        </w:rPr>
      </w:pPr>
    </w:p>
    <w:p>
      <w:pPr>
        <w:pStyle w:val="34"/>
        <w:widowControl w:val="0"/>
        <w:wordWrap w:val="0"/>
        <w:adjustRightInd w:val="0"/>
        <w:snapToGrid w:val="0"/>
        <w:rPr>
          <w:rFonts w:hint="eastAsia" w:ascii="Times New Roman"/>
          <w:b/>
          <w:snapToGrid w:val="0"/>
          <w:color w:val="auto"/>
          <w:highlight w:val="none"/>
        </w:rPr>
      </w:pPr>
    </w:p>
    <w:p>
      <w:pPr>
        <w:pStyle w:val="34"/>
        <w:widowControl w:val="0"/>
        <w:wordWrap w:val="0"/>
        <w:adjustRightInd w:val="0"/>
        <w:snapToGrid w:val="0"/>
        <w:rPr>
          <w:rFonts w:hint="eastAsia" w:ascii="Times New Roman"/>
          <w:b/>
          <w:snapToGrid w:val="0"/>
          <w:color w:val="auto"/>
          <w:highlight w:val="none"/>
        </w:rPr>
        <w:sectPr>
          <w:endnotePr>
            <w:numFmt w:val="decimal"/>
          </w:endnotePr>
          <w:pgSz w:w="11906" w:h="16838"/>
          <w:pgMar w:top="1701" w:right="1531" w:bottom="1417" w:left="1531" w:header="850" w:footer="992" w:gutter="0"/>
          <w:cols w:space="720" w:num="1"/>
          <w:docGrid w:linePitch="327" w:charSpace="0"/>
        </w:sectPr>
      </w:pPr>
    </w:p>
    <w:p>
      <w:pPr>
        <w:pStyle w:val="5"/>
        <w:keepNext w:val="0"/>
        <w:keepLines w:val="0"/>
        <w:widowControl w:val="0"/>
        <w:wordWrap w:val="0"/>
        <w:adjustRightInd w:val="0"/>
        <w:snapToGrid w:val="0"/>
        <w:spacing w:before="0" w:after="0" w:line="440" w:lineRule="exact"/>
        <w:ind w:firstLine="0"/>
        <w:jc w:val="left"/>
        <w:rPr>
          <w:rFonts w:ascii="Times New Roman"/>
          <w:b/>
          <w:snapToGrid w:val="0"/>
          <w:color w:val="auto"/>
          <w:highlight w:val="none"/>
        </w:rPr>
      </w:pPr>
      <w:bookmarkStart w:id="166" w:name="_Toc19921"/>
      <w:bookmarkStart w:id="167" w:name="_Toc104711098"/>
      <w:bookmarkStart w:id="168" w:name="_Toc106418843"/>
      <w:r>
        <w:rPr>
          <w:rFonts w:ascii="Times New Roman"/>
          <w:b/>
          <w:snapToGrid w:val="0"/>
          <w:color w:val="auto"/>
          <w:highlight w:val="none"/>
        </w:rPr>
        <w:t>格式</w:t>
      </w:r>
      <w:bookmarkStart w:id="169" w:name="_Hlt97526007"/>
      <w:bookmarkEnd w:id="169"/>
      <w:r>
        <w:rPr>
          <w:rFonts w:ascii="Times New Roman"/>
          <w:b/>
          <w:snapToGrid w:val="0"/>
          <w:color w:val="auto"/>
          <w:highlight w:val="none"/>
        </w:rPr>
        <w:t>二（1） 投标函</w:t>
      </w:r>
      <w:bookmarkEnd w:id="166"/>
    </w:p>
    <w:p>
      <w:pPr>
        <w:wordWrap w:val="0"/>
        <w:adjustRightInd w:val="0"/>
        <w:snapToGrid w:val="0"/>
        <w:spacing w:before="260" w:after="260" w:line="440" w:lineRule="exact"/>
        <w:jc w:val="center"/>
        <w:rPr>
          <w:rFonts w:ascii="Times New Roman"/>
          <w:b/>
          <w:snapToGrid w:val="0"/>
          <w:color w:val="auto"/>
          <w:kern w:val="0"/>
          <w:sz w:val="30"/>
          <w:highlight w:val="none"/>
        </w:rPr>
      </w:pPr>
      <w:r>
        <w:rPr>
          <w:rFonts w:ascii="Times New Roman"/>
          <w:b/>
          <w:snapToGrid w:val="0"/>
          <w:color w:val="auto"/>
          <w:kern w:val="0"/>
          <w:sz w:val="30"/>
          <w:highlight w:val="none"/>
        </w:rPr>
        <w:t>投  标  函</w:t>
      </w:r>
      <w:bookmarkEnd w:id="167"/>
      <w:bookmarkEnd w:id="168"/>
    </w:p>
    <w:p>
      <w:pPr>
        <w:wordWrap w:val="0"/>
        <w:adjustRightInd w:val="0"/>
        <w:snapToGrid w:val="0"/>
        <w:spacing w:line="440" w:lineRule="exact"/>
        <w:jc w:val="center"/>
        <w:rPr>
          <w:rFonts w:ascii="Times New Roman"/>
          <w:b/>
          <w:snapToGrid w:val="0"/>
          <w:color w:val="auto"/>
          <w:kern w:val="0"/>
          <w:highlight w:val="none"/>
        </w:rPr>
      </w:pPr>
    </w:p>
    <w:p>
      <w:pPr>
        <w:wordWrap w:val="0"/>
        <w:adjustRightInd w:val="0"/>
        <w:snapToGrid w:val="0"/>
        <w:spacing w:line="440" w:lineRule="exact"/>
        <w:rPr>
          <w:rFonts w:ascii="Times New Roman"/>
          <w:snapToGrid w:val="0"/>
          <w:color w:val="auto"/>
          <w:kern w:val="0"/>
          <w:highlight w:val="none"/>
        </w:rPr>
      </w:pPr>
      <w:r>
        <w:rPr>
          <w:rFonts w:ascii="Times New Roman"/>
          <w:snapToGrid w:val="0"/>
          <w:color w:val="auto"/>
          <w:kern w:val="0"/>
          <w:highlight w:val="none"/>
        </w:rPr>
        <w:t>致：</w:t>
      </w:r>
      <w:r>
        <w:rPr>
          <w:rFonts w:ascii="Times New Roman"/>
          <w:snapToGrid w:val="0"/>
          <w:color w:val="auto"/>
          <w:kern w:val="0"/>
          <w:highlight w:val="none"/>
          <w:u w:val="single"/>
        </w:rPr>
        <w:t xml:space="preserve">                   </w:t>
      </w:r>
      <w:r>
        <w:rPr>
          <w:rFonts w:ascii="Times New Roman"/>
          <w:snapToGrid w:val="0"/>
          <w:color w:val="auto"/>
          <w:kern w:val="0"/>
          <w:highlight w:val="none"/>
        </w:rPr>
        <w:t>（招标人名称）</w:t>
      </w:r>
    </w:p>
    <w:p>
      <w:pPr>
        <w:wordWrap w:val="0"/>
        <w:adjustRightInd w:val="0"/>
        <w:snapToGrid w:val="0"/>
        <w:spacing w:line="440" w:lineRule="exact"/>
        <w:ind w:firstLine="570"/>
        <w:rPr>
          <w:rFonts w:ascii="Times New Roman"/>
          <w:snapToGrid w:val="0"/>
          <w:color w:val="auto"/>
          <w:kern w:val="0"/>
          <w:highlight w:val="none"/>
        </w:rPr>
      </w:pPr>
      <w:r>
        <w:rPr>
          <w:rFonts w:ascii="Times New Roman"/>
          <w:snapToGrid w:val="0"/>
          <w:color w:val="auto"/>
          <w:kern w:val="0"/>
          <w:highlight w:val="none"/>
        </w:rPr>
        <w:t xml:space="preserve">1. </w:t>
      </w:r>
      <w:r>
        <w:rPr>
          <w:rFonts w:ascii="Times New Roman"/>
          <w:snapToGrid w:val="0"/>
          <w:color w:val="auto"/>
          <w:kern w:val="0"/>
          <w:szCs w:val="22"/>
          <w:highlight w:val="none"/>
        </w:rPr>
        <w:t>我方</w:t>
      </w:r>
      <w:r>
        <w:rPr>
          <w:rFonts w:ascii="Times New Roman"/>
          <w:snapToGrid w:val="0"/>
          <w:color w:val="auto"/>
          <w:kern w:val="0"/>
          <w:highlight w:val="none"/>
        </w:rPr>
        <w:t>考察现场并充分研究</w:t>
      </w:r>
      <w:r>
        <w:rPr>
          <w:rFonts w:ascii="Times New Roman"/>
          <w:snapToGrid w:val="0"/>
          <w:color w:val="auto"/>
          <w:kern w:val="0"/>
          <w:highlight w:val="none"/>
          <w:u w:val="single"/>
        </w:rPr>
        <w:t xml:space="preserve">            </w:t>
      </w:r>
      <w:r>
        <w:rPr>
          <w:rFonts w:ascii="Times New Roman"/>
          <w:snapToGrid w:val="0"/>
          <w:color w:val="auto"/>
          <w:kern w:val="0"/>
          <w:highlight w:val="none"/>
        </w:rPr>
        <w:t>（项目名称）（以下简称“本项目”）招标文件</w:t>
      </w:r>
      <w:r>
        <w:rPr>
          <w:rFonts w:ascii="Times New Roman"/>
          <w:snapToGrid w:val="0"/>
          <w:color w:val="auto"/>
          <w:kern w:val="0"/>
          <w:szCs w:val="22"/>
          <w:highlight w:val="none"/>
        </w:rPr>
        <w:t>所有内容后</w:t>
      </w:r>
      <w:r>
        <w:rPr>
          <w:rFonts w:ascii="Times New Roman"/>
          <w:snapToGrid w:val="0"/>
          <w:color w:val="auto"/>
          <w:kern w:val="0"/>
          <w:highlight w:val="none"/>
        </w:rPr>
        <w:t>，结合自身资质、能力和特点，愿意接受招标文件的全部内容和条件，兹以人民币（大写）：</w:t>
      </w:r>
      <w:r>
        <w:rPr>
          <w:rFonts w:ascii="Times New Roman"/>
          <w:snapToGrid w:val="0"/>
          <w:color w:val="auto"/>
          <w:kern w:val="0"/>
          <w:highlight w:val="none"/>
          <w:u w:val="single"/>
        </w:rPr>
        <w:t xml:space="preserve">           </w:t>
      </w:r>
      <w:r>
        <w:rPr>
          <w:rFonts w:ascii="Times New Roman"/>
          <w:snapToGrid w:val="0"/>
          <w:color w:val="auto"/>
          <w:kern w:val="0"/>
          <w:highlight w:val="none"/>
        </w:rPr>
        <w:t>（</w:t>
      </w:r>
      <w:r>
        <w:rPr>
          <w:rFonts w:ascii="Arial" w:hAnsi="Arial" w:cs="Arial"/>
          <w:snapToGrid w:val="0"/>
          <w:color w:val="auto"/>
          <w:kern w:val="0"/>
          <w:highlight w:val="none"/>
        </w:rPr>
        <w:t>¥</w:t>
      </w:r>
      <w:r>
        <w:rPr>
          <w:rFonts w:ascii="Times New Roman"/>
          <w:snapToGrid w:val="0"/>
          <w:color w:val="auto"/>
          <w:kern w:val="0"/>
          <w:highlight w:val="none"/>
          <w:u w:val="single"/>
        </w:rPr>
        <w:t xml:space="preserve">         </w:t>
      </w:r>
      <w:r>
        <w:rPr>
          <w:rFonts w:ascii="Times New Roman"/>
          <w:snapToGrid w:val="0"/>
          <w:color w:val="auto"/>
          <w:kern w:val="0"/>
          <w:highlight w:val="none"/>
        </w:rPr>
        <w:t>）</w:t>
      </w:r>
      <w:r>
        <w:rPr>
          <w:rFonts w:ascii="Times New Roman"/>
          <w:snapToGrid w:val="0"/>
          <w:color w:val="auto"/>
          <w:kern w:val="0"/>
          <w:szCs w:val="22"/>
          <w:highlight w:val="none"/>
        </w:rPr>
        <w:t>的投标总价</w:t>
      </w:r>
      <w:r>
        <w:rPr>
          <w:rFonts w:ascii="Times New Roman"/>
          <w:snapToGrid w:val="0"/>
          <w:color w:val="auto"/>
          <w:kern w:val="0"/>
          <w:highlight w:val="none"/>
        </w:rPr>
        <w:t>竞投本项目施工。</w:t>
      </w:r>
    </w:p>
    <w:p>
      <w:pPr>
        <w:wordWrap w:val="0"/>
        <w:adjustRightInd w:val="0"/>
        <w:snapToGrid w:val="0"/>
        <w:spacing w:line="440" w:lineRule="exact"/>
        <w:ind w:firstLine="570"/>
        <w:rPr>
          <w:rFonts w:ascii="Times New Roman"/>
          <w:snapToGrid w:val="0"/>
          <w:color w:val="auto"/>
          <w:kern w:val="0"/>
          <w:highlight w:val="none"/>
        </w:rPr>
      </w:pPr>
      <w:r>
        <w:rPr>
          <w:rFonts w:ascii="Times New Roman"/>
          <w:snapToGrid w:val="0"/>
          <w:color w:val="auto"/>
          <w:kern w:val="0"/>
          <w:highlight w:val="none"/>
        </w:rPr>
        <w:t>在我方的上述投标总价中，包括：绿色施工安全防护措施费¥</w:t>
      </w:r>
      <w:r>
        <w:rPr>
          <w:rFonts w:ascii="Times New Roman"/>
          <w:snapToGrid w:val="0"/>
          <w:color w:val="auto"/>
          <w:kern w:val="0"/>
          <w:highlight w:val="none"/>
          <w:u w:val="single"/>
        </w:rPr>
        <w:t xml:space="preserve">        </w:t>
      </w:r>
      <w:r>
        <w:rPr>
          <w:rFonts w:ascii="Times New Roman"/>
          <w:snapToGrid w:val="0"/>
          <w:color w:val="auto"/>
          <w:kern w:val="0"/>
          <w:highlight w:val="none"/>
        </w:rPr>
        <w:t>，暂列金额¥</w:t>
      </w:r>
      <w:r>
        <w:rPr>
          <w:rFonts w:ascii="Times New Roman"/>
          <w:snapToGrid w:val="0"/>
          <w:color w:val="auto"/>
          <w:kern w:val="0"/>
          <w:highlight w:val="none"/>
          <w:u w:val="single"/>
        </w:rPr>
        <w:t xml:space="preserve">        </w:t>
      </w:r>
      <w:r>
        <w:rPr>
          <w:rFonts w:ascii="Times New Roman"/>
          <w:snapToGrid w:val="0"/>
          <w:color w:val="auto"/>
          <w:kern w:val="0"/>
          <w:highlight w:val="none"/>
        </w:rPr>
        <w:t>，暂估价¥</w:t>
      </w:r>
      <w:r>
        <w:rPr>
          <w:rFonts w:ascii="Times New Roman"/>
          <w:snapToGrid w:val="0"/>
          <w:color w:val="auto"/>
          <w:kern w:val="0"/>
          <w:highlight w:val="none"/>
          <w:u w:val="single"/>
        </w:rPr>
        <w:t xml:space="preserve">         </w:t>
      </w:r>
      <w:r>
        <w:rPr>
          <w:rFonts w:ascii="Times New Roman"/>
          <w:snapToGrid w:val="0"/>
          <w:color w:val="auto"/>
          <w:kern w:val="0"/>
          <w:highlight w:val="none"/>
        </w:rPr>
        <w:t>。</w:t>
      </w:r>
    </w:p>
    <w:p>
      <w:pPr>
        <w:wordWrap w:val="0"/>
        <w:adjustRightInd w:val="0"/>
        <w:snapToGrid w:val="0"/>
        <w:spacing w:line="440" w:lineRule="exact"/>
        <w:ind w:firstLine="570"/>
        <w:rPr>
          <w:rFonts w:ascii="Times New Roman"/>
          <w:snapToGrid w:val="0"/>
          <w:color w:val="auto"/>
          <w:kern w:val="0"/>
          <w:highlight w:val="none"/>
        </w:rPr>
      </w:pPr>
      <w:r>
        <w:rPr>
          <w:rFonts w:ascii="Times New Roman"/>
          <w:snapToGrid w:val="0"/>
          <w:color w:val="auto"/>
          <w:kern w:val="0"/>
          <w:highlight w:val="none"/>
        </w:rPr>
        <w:t>2. 如果我方中标，我方保证按照合同约定的开工日期开始本项目的施工，</w:t>
      </w:r>
      <w:r>
        <w:rPr>
          <w:rFonts w:ascii="Times New Roman"/>
          <w:snapToGrid w:val="0"/>
          <w:color w:val="auto"/>
          <w:kern w:val="0"/>
          <w:highlight w:val="none"/>
          <w:u w:val="single"/>
        </w:rPr>
        <w:t xml:space="preserve">  </w:t>
      </w:r>
      <w:r>
        <w:rPr>
          <w:rFonts w:ascii="Times New Roman"/>
          <w:snapToGrid w:val="0"/>
          <w:color w:val="auto"/>
          <w:kern w:val="0"/>
          <w:highlight w:val="none"/>
        </w:rPr>
        <w:t>个日历天内竣工，并确保工程质量达到</w:t>
      </w:r>
      <w:r>
        <w:rPr>
          <w:rFonts w:ascii="Times New Roman"/>
          <w:snapToGrid w:val="0"/>
          <w:color w:val="auto"/>
          <w:kern w:val="0"/>
          <w:highlight w:val="none"/>
          <w:u w:val="single"/>
        </w:rPr>
        <w:t xml:space="preserve">      </w:t>
      </w:r>
      <w:r>
        <w:rPr>
          <w:rFonts w:ascii="Times New Roman"/>
          <w:snapToGrid w:val="0"/>
          <w:color w:val="auto"/>
          <w:kern w:val="0"/>
          <w:highlight w:val="none"/>
        </w:rPr>
        <w:t>标准和维修其中的任何缺陷。</w:t>
      </w:r>
    </w:p>
    <w:p>
      <w:pPr>
        <w:wordWrap w:val="0"/>
        <w:adjustRightInd w:val="0"/>
        <w:snapToGrid w:val="0"/>
        <w:spacing w:line="440" w:lineRule="exact"/>
        <w:ind w:firstLine="570"/>
        <w:rPr>
          <w:rFonts w:ascii="Times New Roman"/>
          <w:snapToGrid w:val="0"/>
          <w:color w:val="auto"/>
          <w:kern w:val="0"/>
          <w:highlight w:val="none"/>
        </w:rPr>
      </w:pPr>
      <w:r>
        <w:rPr>
          <w:rFonts w:ascii="Times New Roman"/>
          <w:snapToGrid w:val="0"/>
          <w:color w:val="auto"/>
          <w:kern w:val="0"/>
          <w:highlight w:val="none"/>
        </w:rPr>
        <w:t>3. 本投标函在你方接收我方递交的投标文件之日起、到招标文件规定的投标有效期期满前对我方具有约束力。我方随时准备接受你方发出的中标通知书。</w:t>
      </w:r>
    </w:p>
    <w:p>
      <w:pPr>
        <w:wordWrap w:val="0"/>
        <w:adjustRightInd w:val="0"/>
        <w:snapToGrid w:val="0"/>
        <w:spacing w:line="440" w:lineRule="exact"/>
        <w:ind w:firstLine="570"/>
        <w:rPr>
          <w:rFonts w:ascii="Times New Roman"/>
          <w:snapToGrid w:val="0"/>
          <w:color w:val="auto"/>
          <w:kern w:val="0"/>
          <w:highlight w:val="none"/>
        </w:rPr>
      </w:pPr>
      <w:r>
        <w:rPr>
          <w:rFonts w:ascii="Times New Roman"/>
          <w:snapToGrid w:val="0"/>
          <w:color w:val="auto"/>
          <w:kern w:val="0"/>
          <w:highlight w:val="none"/>
        </w:rPr>
        <w:t>4．我方在此声明，我方不存在本项目招标文件第一章第三节第</w:t>
      </w:r>
      <w:r>
        <w:rPr>
          <w:rFonts w:ascii="Times New Roman"/>
          <w:b/>
          <w:bCs/>
          <w:snapToGrid w:val="0"/>
          <w:color w:val="auto"/>
          <w:kern w:val="0"/>
          <w:highlight w:val="none"/>
        </w:rPr>
        <w:t>2.4</w:t>
      </w:r>
      <w:r>
        <w:rPr>
          <w:rFonts w:ascii="Times New Roman"/>
          <w:snapToGrid w:val="0"/>
          <w:color w:val="auto"/>
          <w:kern w:val="0"/>
          <w:highlight w:val="none"/>
        </w:rPr>
        <w:t>条“禁止投标条款”所列出的任何一种情形，并愿意承担因我方就此弄虚作假所引起的一切法律后果。</w:t>
      </w:r>
    </w:p>
    <w:p>
      <w:pPr>
        <w:wordWrap w:val="0"/>
        <w:adjustRightInd w:val="0"/>
        <w:snapToGrid w:val="0"/>
        <w:spacing w:line="440" w:lineRule="exact"/>
        <w:ind w:firstLine="570"/>
        <w:rPr>
          <w:rFonts w:ascii="Times New Roman"/>
          <w:snapToGrid w:val="0"/>
          <w:color w:val="auto"/>
          <w:kern w:val="0"/>
          <w:highlight w:val="none"/>
        </w:rPr>
      </w:pPr>
      <w:r>
        <w:rPr>
          <w:rFonts w:ascii="Times New Roman"/>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pPr>
        <w:wordWrap w:val="0"/>
        <w:adjustRightInd w:val="0"/>
        <w:snapToGrid w:val="0"/>
        <w:spacing w:line="440" w:lineRule="exact"/>
        <w:ind w:firstLine="570"/>
        <w:rPr>
          <w:rFonts w:ascii="Times New Roman"/>
          <w:snapToGrid w:val="0"/>
          <w:color w:val="auto"/>
          <w:kern w:val="0"/>
          <w:highlight w:val="none"/>
        </w:rPr>
      </w:pPr>
      <w:bookmarkStart w:id="170" w:name="_Hlt68771070"/>
      <w:bookmarkEnd w:id="170"/>
      <w:r>
        <w:rPr>
          <w:rFonts w:ascii="Times New Roman"/>
          <w:snapToGrid w:val="0"/>
          <w:color w:val="auto"/>
          <w:kern w:val="0"/>
          <w:highlight w:val="none"/>
        </w:rPr>
        <w:t>6. 我方理解你方不一定要接纳收到的最低投标总价或任何投标总价的投标人中标，也不要求你方解释我方是否中标的原因。</w:t>
      </w:r>
    </w:p>
    <w:p>
      <w:pPr>
        <w:wordWrap w:val="0"/>
        <w:adjustRightInd w:val="0"/>
        <w:snapToGrid w:val="0"/>
        <w:spacing w:line="440" w:lineRule="exact"/>
        <w:ind w:firstLine="570"/>
        <w:rPr>
          <w:rFonts w:ascii="Times New Roman"/>
          <w:snapToGrid w:val="0"/>
          <w:color w:val="auto"/>
          <w:kern w:val="0"/>
          <w:highlight w:val="none"/>
        </w:rPr>
      </w:pPr>
      <w:r>
        <w:rPr>
          <w:rFonts w:ascii="Times New Roman"/>
          <w:snapToGrid w:val="0"/>
          <w:color w:val="auto"/>
          <w:kern w:val="0"/>
          <w:highlight w:val="none"/>
        </w:rPr>
        <w:t xml:space="preserve">  </w:t>
      </w:r>
    </w:p>
    <w:p>
      <w:pPr>
        <w:wordWrap w:val="0"/>
        <w:adjustRightInd w:val="0"/>
        <w:snapToGrid w:val="0"/>
        <w:spacing w:line="440" w:lineRule="exact"/>
        <w:rPr>
          <w:rFonts w:ascii="Times New Roman"/>
          <w:snapToGrid w:val="0"/>
          <w:color w:val="auto"/>
          <w:kern w:val="0"/>
          <w:highlight w:val="none"/>
        </w:rPr>
      </w:pPr>
    </w:p>
    <w:p>
      <w:pPr>
        <w:wordWrap w:val="0"/>
        <w:adjustRightInd w:val="0"/>
        <w:snapToGrid w:val="0"/>
        <w:spacing w:line="440" w:lineRule="exact"/>
        <w:jc w:val="right"/>
        <w:rPr>
          <w:rFonts w:ascii="Times New Roman"/>
          <w:snapToGrid w:val="0"/>
          <w:color w:val="auto"/>
          <w:kern w:val="0"/>
          <w:highlight w:val="none"/>
        </w:rPr>
      </w:pPr>
      <w:r>
        <w:rPr>
          <w:rFonts w:ascii="Times New Roman"/>
          <w:snapToGrid w:val="0"/>
          <w:color w:val="auto"/>
          <w:kern w:val="0"/>
          <w:highlight w:val="none"/>
        </w:rPr>
        <w:t xml:space="preserve">    投标人：</w:t>
      </w:r>
      <w:r>
        <w:rPr>
          <w:rFonts w:ascii="Times New Roman"/>
          <w:snapToGrid w:val="0"/>
          <w:color w:val="auto"/>
          <w:kern w:val="0"/>
          <w:highlight w:val="none"/>
          <w:u w:val="single"/>
        </w:rPr>
        <w:t xml:space="preserve">                              </w:t>
      </w:r>
      <w:r>
        <w:rPr>
          <w:rFonts w:ascii="Times New Roman"/>
          <w:snapToGrid w:val="0"/>
          <w:color w:val="auto"/>
          <w:kern w:val="0"/>
          <w:highlight w:val="none"/>
        </w:rPr>
        <w:t>（盖单位章）</w:t>
      </w:r>
    </w:p>
    <w:p>
      <w:pPr>
        <w:wordWrap w:val="0"/>
        <w:adjustRightInd w:val="0"/>
        <w:snapToGrid w:val="0"/>
        <w:spacing w:line="440" w:lineRule="exact"/>
        <w:jc w:val="right"/>
        <w:rPr>
          <w:rFonts w:ascii="Times New Roman"/>
          <w:snapToGrid w:val="0"/>
          <w:color w:val="auto"/>
          <w:kern w:val="0"/>
          <w:highlight w:val="none"/>
        </w:rPr>
      </w:pPr>
    </w:p>
    <w:p>
      <w:pPr>
        <w:wordWrap w:val="0"/>
        <w:adjustRightInd w:val="0"/>
        <w:snapToGrid w:val="0"/>
        <w:spacing w:line="440" w:lineRule="exact"/>
        <w:jc w:val="right"/>
        <w:rPr>
          <w:rFonts w:ascii="Times New Roman"/>
          <w:snapToGrid w:val="0"/>
          <w:color w:val="auto"/>
          <w:kern w:val="0"/>
          <w:highlight w:val="none"/>
        </w:rPr>
      </w:pPr>
    </w:p>
    <w:p>
      <w:pPr>
        <w:wordWrap w:val="0"/>
        <w:adjustRightInd w:val="0"/>
        <w:snapToGrid w:val="0"/>
        <w:spacing w:line="440" w:lineRule="exact"/>
        <w:ind w:firstLine="480" w:firstLineChars="200"/>
        <w:jc w:val="right"/>
        <w:rPr>
          <w:rFonts w:ascii="Times New Roman"/>
          <w:snapToGrid w:val="0"/>
          <w:color w:val="auto"/>
          <w:kern w:val="0"/>
          <w:highlight w:val="none"/>
        </w:rPr>
      </w:pPr>
      <w:r>
        <w:rPr>
          <w:rFonts w:ascii="Times New Roman"/>
          <w:snapToGrid w:val="0"/>
          <w:color w:val="auto"/>
          <w:kern w:val="0"/>
          <w:highlight w:val="none"/>
        </w:rPr>
        <w:t>法定代表人或其委托代理人：</w:t>
      </w:r>
      <w:r>
        <w:rPr>
          <w:rFonts w:ascii="Times New Roman"/>
          <w:snapToGrid w:val="0"/>
          <w:color w:val="auto"/>
          <w:kern w:val="0"/>
          <w:highlight w:val="none"/>
          <w:u w:val="single"/>
        </w:rPr>
        <w:t xml:space="preserve">          </w:t>
      </w:r>
      <w:r>
        <w:rPr>
          <w:rFonts w:ascii="Times New Roman"/>
          <w:snapToGrid w:val="0"/>
          <w:color w:val="auto"/>
          <w:kern w:val="0"/>
          <w:highlight w:val="none"/>
        </w:rPr>
        <w:t>（签字或盖章）</w:t>
      </w:r>
    </w:p>
    <w:p>
      <w:pPr>
        <w:wordWrap w:val="0"/>
        <w:adjustRightInd w:val="0"/>
        <w:snapToGrid w:val="0"/>
        <w:spacing w:line="440" w:lineRule="exact"/>
        <w:ind w:firstLine="480" w:firstLineChars="200"/>
        <w:jc w:val="right"/>
        <w:rPr>
          <w:rFonts w:ascii="Times New Roman"/>
          <w:snapToGrid w:val="0"/>
          <w:color w:val="auto"/>
          <w:kern w:val="0"/>
          <w:highlight w:val="none"/>
        </w:rPr>
      </w:pPr>
    </w:p>
    <w:p>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r>
        <w:rPr>
          <w:rFonts w:ascii="Times New Roman"/>
          <w:snapToGrid w:val="0"/>
          <w:color w:val="auto"/>
          <w:kern w:val="0"/>
          <w:highlight w:val="none"/>
        </w:rPr>
        <w:t xml:space="preserve">                                       </w:t>
      </w:r>
      <w:r>
        <w:rPr>
          <w:rFonts w:ascii="Times New Roman"/>
          <w:snapToGrid w:val="0"/>
          <w:color w:val="auto"/>
          <w:kern w:val="0"/>
          <w:highlight w:val="none"/>
          <w:u w:val="single"/>
        </w:rPr>
        <w:t xml:space="preserve">       </w:t>
      </w:r>
      <w:r>
        <w:rPr>
          <w:rFonts w:ascii="Times New Roman"/>
          <w:snapToGrid w:val="0"/>
          <w:color w:val="auto"/>
          <w:kern w:val="0"/>
          <w:highlight w:val="none"/>
        </w:rPr>
        <w:t>年</w:t>
      </w:r>
      <w:r>
        <w:rPr>
          <w:rFonts w:ascii="Times New Roman"/>
          <w:snapToGrid w:val="0"/>
          <w:color w:val="auto"/>
          <w:kern w:val="0"/>
          <w:highlight w:val="none"/>
          <w:u w:val="single"/>
        </w:rPr>
        <w:t xml:space="preserve">     </w:t>
      </w:r>
      <w:r>
        <w:rPr>
          <w:rFonts w:ascii="Times New Roman"/>
          <w:snapToGrid w:val="0"/>
          <w:color w:val="auto"/>
          <w:kern w:val="0"/>
          <w:highlight w:val="none"/>
        </w:rPr>
        <w:t>月</w:t>
      </w:r>
      <w:r>
        <w:rPr>
          <w:rFonts w:ascii="Times New Roman"/>
          <w:snapToGrid w:val="0"/>
          <w:color w:val="auto"/>
          <w:kern w:val="0"/>
          <w:highlight w:val="none"/>
          <w:u w:val="single"/>
        </w:rPr>
        <w:t xml:space="preserve">     </w:t>
      </w:r>
      <w:r>
        <w:rPr>
          <w:rFonts w:ascii="Times New Roman"/>
          <w:snapToGrid w:val="0"/>
          <w:color w:val="auto"/>
          <w:kern w:val="0"/>
          <w:highlight w:val="none"/>
        </w:rPr>
        <w:t>日</w:t>
      </w:r>
    </w:p>
    <w:p>
      <w:pPr>
        <w:pStyle w:val="5"/>
        <w:keepNext w:val="0"/>
        <w:keepLines w:val="0"/>
        <w:widowControl w:val="0"/>
        <w:wordWrap w:val="0"/>
        <w:adjustRightInd w:val="0"/>
        <w:snapToGrid w:val="0"/>
        <w:spacing w:before="0" w:after="0" w:line="440" w:lineRule="exact"/>
        <w:ind w:firstLine="0"/>
        <w:jc w:val="left"/>
        <w:rPr>
          <w:rFonts w:ascii="Times New Roman"/>
          <w:b/>
          <w:snapToGrid w:val="0"/>
          <w:color w:val="auto"/>
          <w:highlight w:val="none"/>
        </w:rPr>
      </w:pPr>
      <w:bookmarkStart w:id="171" w:name="_Toc30944"/>
      <w:r>
        <w:rPr>
          <w:rFonts w:ascii="Times New Roman"/>
          <w:b/>
          <w:snapToGrid w:val="0"/>
          <w:color w:val="auto"/>
          <w:highlight w:val="none"/>
        </w:rPr>
        <w:t>格式三 各项承诺一览表</w:t>
      </w:r>
      <w:bookmarkEnd w:id="171"/>
    </w:p>
    <w:p>
      <w:pPr>
        <w:wordWrap w:val="0"/>
        <w:adjustRightInd w:val="0"/>
        <w:snapToGrid w:val="0"/>
        <w:spacing w:before="260" w:after="260" w:line="440" w:lineRule="exact"/>
        <w:jc w:val="center"/>
        <w:rPr>
          <w:rFonts w:ascii="Times New Roman"/>
          <w:b/>
          <w:snapToGrid w:val="0"/>
          <w:color w:val="auto"/>
          <w:kern w:val="0"/>
          <w:sz w:val="30"/>
          <w:highlight w:val="none"/>
        </w:rPr>
      </w:pPr>
      <w:r>
        <w:rPr>
          <w:rFonts w:ascii="Times New Roman"/>
          <w:b/>
          <w:snapToGrid w:val="0"/>
          <w:color w:val="auto"/>
          <w:kern w:val="0"/>
          <w:sz w:val="30"/>
          <w:highlight w:val="none"/>
        </w:rPr>
        <w:t>各项承诺一览表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noWrap w:val="0"/>
            <w:vAlign w:val="center"/>
          </w:tcPr>
          <w:p>
            <w:pPr>
              <w:pStyle w:val="35"/>
              <w:wordWrap w:val="0"/>
              <w:adjustRightInd w:val="0"/>
              <w:snapToGrid w:val="0"/>
              <w:spacing w:line="380" w:lineRule="exact"/>
              <w:jc w:val="center"/>
              <w:rPr>
                <w:rFonts w:hint="eastAsia"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序号</w:t>
            </w:r>
          </w:p>
        </w:tc>
        <w:tc>
          <w:tcPr>
            <w:tcW w:w="1573" w:type="dxa"/>
            <w:noWrap w:val="0"/>
            <w:vAlign w:val="center"/>
          </w:tcPr>
          <w:p>
            <w:pPr>
              <w:pStyle w:val="35"/>
              <w:wordWrap w:val="0"/>
              <w:adjustRightInd w:val="0"/>
              <w:snapToGrid w:val="0"/>
              <w:spacing w:line="380" w:lineRule="exact"/>
              <w:jc w:val="center"/>
              <w:rPr>
                <w:rFonts w:hint="eastAsia"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承诺事项</w:t>
            </w:r>
          </w:p>
        </w:tc>
        <w:tc>
          <w:tcPr>
            <w:tcW w:w="2923" w:type="dxa"/>
            <w:noWrap w:val="0"/>
            <w:vAlign w:val="center"/>
          </w:tcPr>
          <w:p>
            <w:pPr>
              <w:pStyle w:val="35"/>
              <w:wordWrap w:val="0"/>
              <w:adjustRightInd w:val="0"/>
              <w:snapToGrid w:val="0"/>
              <w:spacing w:line="380" w:lineRule="exact"/>
              <w:jc w:val="center"/>
              <w:rPr>
                <w:rFonts w:hint="eastAsia"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承诺内容</w:t>
            </w:r>
          </w:p>
        </w:tc>
        <w:tc>
          <w:tcPr>
            <w:tcW w:w="4019" w:type="dxa"/>
            <w:noWrap w:val="0"/>
            <w:vAlign w:val="center"/>
          </w:tcPr>
          <w:p>
            <w:pPr>
              <w:pStyle w:val="35"/>
              <w:wordWrap w:val="0"/>
              <w:adjustRightInd w:val="0"/>
              <w:snapToGrid w:val="0"/>
              <w:spacing w:line="380" w:lineRule="exact"/>
              <w:jc w:val="center"/>
              <w:rPr>
                <w:rFonts w:hint="eastAsia"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违约承诺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716" w:type="dxa"/>
            <w:noWrap w:val="0"/>
            <w:vAlign w:val="center"/>
          </w:tcPr>
          <w:p>
            <w:pPr>
              <w:pStyle w:val="35"/>
              <w:wordWrap w:val="0"/>
              <w:adjustRightInd w:val="0"/>
              <w:snapToGrid w:val="0"/>
              <w:spacing w:line="380" w:lineRule="exact"/>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73" w:type="dxa"/>
            <w:noWrap w:val="0"/>
            <w:vAlign w:val="center"/>
          </w:tcPr>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自愿接受招标</w:t>
            </w:r>
          </w:p>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文件条款的承诺</w:t>
            </w:r>
          </w:p>
        </w:tc>
        <w:tc>
          <w:tcPr>
            <w:tcW w:w="2923"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我方自愿接受招标文件的所有条款，所递交的投标文件已经充分响应招标文件的实质性要求。</w:t>
            </w:r>
          </w:p>
        </w:tc>
        <w:tc>
          <w:tcPr>
            <w:tcW w:w="4019"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716" w:type="dxa"/>
            <w:noWrap w:val="0"/>
            <w:vAlign w:val="center"/>
          </w:tcPr>
          <w:p>
            <w:pPr>
              <w:pStyle w:val="35"/>
              <w:wordWrap w:val="0"/>
              <w:adjustRightInd w:val="0"/>
              <w:snapToGrid w:val="0"/>
              <w:spacing w:line="380" w:lineRule="exact"/>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73" w:type="dxa"/>
            <w:noWrap w:val="0"/>
            <w:vAlign w:val="center"/>
          </w:tcPr>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无禁止投标</w:t>
            </w:r>
          </w:p>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情形的承诺</w:t>
            </w:r>
          </w:p>
        </w:tc>
        <w:tc>
          <w:tcPr>
            <w:tcW w:w="2923"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我方不存在招标文件第一章第三节第</w:t>
            </w:r>
            <w:r>
              <w:rPr>
                <w:rFonts w:hint="eastAsia" w:ascii="Times New Roman"/>
                <w:b/>
                <w:bCs/>
                <w:snapToGrid w:val="0"/>
                <w:color w:val="auto"/>
                <w:kern w:val="0"/>
                <w:sz w:val="21"/>
                <w:szCs w:val="21"/>
                <w:highlight w:val="none"/>
              </w:rPr>
              <w:t>2.4</w:t>
            </w:r>
            <w:r>
              <w:rPr>
                <w:rFonts w:hint="eastAsia" w:ascii="Times New Roman"/>
                <w:snapToGrid w:val="0"/>
                <w:color w:val="auto"/>
                <w:kern w:val="0"/>
                <w:sz w:val="21"/>
                <w:szCs w:val="21"/>
                <w:highlight w:val="none"/>
              </w:rPr>
              <w:t>条“禁止投标条款”规定的任何一种情形。</w:t>
            </w:r>
          </w:p>
        </w:tc>
        <w:tc>
          <w:tcPr>
            <w:tcW w:w="4019"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如果我方有招标文件第一章第三节第</w:t>
            </w:r>
            <w:r>
              <w:rPr>
                <w:rFonts w:hint="eastAsia" w:ascii="Times New Roman"/>
                <w:b/>
                <w:bCs/>
                <w:snapToGrid w:val="0"/>
                <w:color w:val="auto"/>
                <w:kern w:val="0"/>
                <w:sz w:val="21"/>
                <w:szCs w:val="21"/>
                <w:highlight w:val="none"/>
              </w:rPr>
              <w:t>2.4</w:t>
            </w:r>
            <w:r>
              <w:rPr>
                <w:rFonts w:hint="eastAsia" w:ascii="Times New Roman"/>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716" w:type="dxa"/>
            <w:noWrap w:val="0"/>
            <w:vAlign w:val="center"/>
          </w:tcPr>
          <w:p>
            <w:pPr>
              <w:pStyle w:val="35"/>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573" w:type="dxa"/>
            <w:noWrap w:val="0"/>
            <w:vAlign w:val="center"/>
          </w:tcPr>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自觉抵制围标</w:t>
            </w:r>
          </w:p>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串标和弄虚</w:t>
            </w:r>
          </w:p>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作假行为的承诺</w:t>
            </w:r>
          </w:p>
        </w:tc>
        <w:tc>
          <w:tcPr>
            <w:tcW w:w="2923"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我方合法正当、诚实守信地参与投标，不组织、不参加围标串标违法行为，不通过弄虚作假行为骗取中标。</w:t>
            </w:r>
          </w:p>
        </w:tc>
        <w:tc>
          <w:tcPr>
            <w:tcW w:w="4019"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16" w:type="dxa"/>
            <w:noWrap w:val="0"/>
            <w:vAlign w:val="center"/>
          </w:tcPr>
          <w:p>
            <w:pPr>
              <w:pStyle w:val="35"/>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4</w:t>
            </w:r>
          </w:p>
        </w:tc>
        <w:tc>
          <w:tcPr>
            <w:tcW w:w="1573" w:type="dxa"/>
            <w:noWrap w:val="0"/>
            <w:vAlign w:val="center"/>
          </w:tcPr>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项目经理</w:t>
            </w:r>
          </w:p>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任职承诺</w:t>
            </w:r>
          </w:p>
        </w:tc>
        <w:tc>
          <w:tcPr>
            <w:tcW w:w="2923"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我方拟派项目经理现阶段没有担任任何在施（包括已中标未开工、已开工未竣工）建设工程项目的项目经理。</w:t>
            </w:r>
          </w:p>
        </w:tc>
        <w:tc>
          <w:tcPr>
            <w:tcW w:w="4019"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16" w:type="dxa"/>
            <w:noWrap w:val="0"/>
            <w:vAlign w:val="center"/>
          </w:tcPr>
          <w:p>
            <w:pPr>
              <w:pStyle w:val="35"/>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5</w:t>
            </w:r>
          </w:p>
        </w:tc>
        <w:tc>
          <w:tcPr>
            <w:tcW w:w="1573" w:type="dxa"/>
            <w:noWrap w:val="0"/>
            <w:vAlign w:val="center"/>
          </w:tcPr>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投标文件</w:t>
            </w:r>
          </w:p>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真实性承诺</w:t>
            </w:r>
          </w:p>
        </w:tc>
        <w:tc>
          <w:tcPr>
            <w:tcW w:w="2923"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我方所递交投标文件的全部内容均为真实、有效、准确的。</w:t>
            </w:r>
          </w:p>
        </w:tc>
        <w:tc>
          <w:tcPr>
            <w:tcW w:w="4019"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noWrap w:val="0"/>
            <w:vAlign w:val="center"/>
          </w:tcPr>
          <w:p>
            <w:pPr>
              <w:pStyle w:val="35"/>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6</w:t>
            </w:r>
          </w:p>
        </w:tc>
        <w:tc>
          <w:tcPr>
            <w:tcW w:w="1573" w:type="dxa"/>
            <w:noWrap w:val="0"/>
            <w:vAlign w:val="center"/>
          </w:tcPr>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投标文件</w:t>
            </w:r>
          </w:p>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信息公开承诺</w:t>
            </w:r>
          </w:p>
        </w:tc>
        <w:tc>
          <w:tcPr>
            <w:tcW w:w="2923"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我方提供完整的、与纸质投标文件一致的电子文件。如果我方成为本项目中标候选人，我方同意并授权招标人在评标结果公示期内公开我方商务标书的全部内容。</w:t>
            </w:r>
          </w:p>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如果我方提供的电子文件不完整或与纸质投标文件内容不一致，我方保证在收到招标人的核对意见后24小时内对电子文件进行补充或修改，确保补充或修改后的电子文件与纸质版投标文件一致后重新提交。</w:t>
            </w:r>
          </w:p>
        </w:tc>
        <w:tc>
          <w:tcPr>
            <w:tcW w:w="4019" w:type="dxa"/>
            <w:tcBorders>
              <w:bottom w:val="single" w:color="auto" w:sz="4" w:space="0"/>
            </w:tcBorders>
            <w:noWrap w:val="0"/>
            <w:vAlign w:val="center"/>
          </w:tcPr>
          <w:p>
            <w:pPr>
              <w:pStyle w:val="36"/>
              <w:wordWrap w:val="0"/>
              <w:adjustRightInd w:val="0"/>
              <w:snapToGrid w:val="0"/>
              <w:spacing w:line="380" w:lineRule="exact"/>
              <w:ind w:firstLine="0" w:firstLineChars="0"/>
              <w:jc w:val="left"/>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 xml:space="preserve">    如果我方提供的电子文件不完整或与纸质版投标文件内容不一致，又不按招标文件规定重新修正和提交电子文件，我方接受招标人依据招标文件作出的相应处理。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jc w:val="center"/>
        </w:trPr>
        <w:tc>
          <w:tcPr>
            <w:tcW w:w="716" w:type="dxa"/>
            <w:noWrap w:val="0"/>
            <w:vAlign w:val="center"/>
          </w:tcPr>
          <w:p>
            <w:pPr>
              <w:pStyle w:val="35"/>
              <w:wordWrap w:val="0"/>
              <w:adjustRightInd w:val="0"/>
              <w:snapToGrid w:val="0"/>
              <w:spacing w:line="380" w:lineRule="exact"/>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7</w:t>
            </w:r>
          </w:p>
        </w:tc>
        <w:tc>
          <w:tcPr>
            <w:tcW w:w="1573" w:type="dxa"/>
            <w:noWrap w:val="0"/>
            <w:vAlign w:val="center"/>
          </w:tcPr>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对不正常报价</w:t>
            </w:r>
          </w:p>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的确认承诺</w:t>
            </w:r>
          </w:p>
        </w:tc>
        <w:tc>
          <w:tcPr>
            <w:tcW w:w="2923"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019" w:type="dxa"/>
            <w:tcBorders>
              <w:tr2bl w:val="single" w:color="auto" w:sz="4" w:space="0"/>
            </w:tcBorders>
            <w:noWrap w:val="0"/>
            <w:vAlign w:val="center"/>
          </w:tcPr>
          <w:p>
            <w:pPr>
              <w:pStyle w:val="36"/>
              <w:wordWrap w:val="0"/>
              <w:adjustRightInd w:val="0"/>
              <w:snapToGrid w:val="0"/>
              <w:spacing w:line="380" w:lineRule="exact"/>
              <w:ind w:firstLine="0" w:firstLineChars="0"/>
              <w:jc w:val="left"/>
              <w:rPr>
                <w:rFonts w:hint="eastAsia" w:ascii="Times New Roman"/>
                <w:snapToGrid w:val="0"/>
                <w:color w:val="auto"/>
                <w:kern w:val="0"/>
                <w:sz w:val="21"/>
                <w:szCs w:val="21"/>
                <w:highlight w:val="none"/>
              </w:rPr>
            </w:pPr>
          </w:p>
          <w:p>
            <w:pPr>
              <w:pStyle w:val="36"/>
              <w:wordWrap w:val="0"/>
              <w:adjustRightInd w:val="0"/>
              <w:snapToGrid w:val="0"/>
              <w:spacing w:line="380" w:lineRule="exact"/>
              <w:ind w:firstLine="0" w:firstLineChars="0"/>
              <w:jc w:val="left"/>
              <w:rPr>
                <w:rFonts w:hint="eastAsia"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716" w:type="dxa"/>
            <w:noWrap w:val="0"/>
            <w:vAlign w:val="center"/>
          </w:tcPr>
          <w:p>
            <w:pPr>
              <w:pStyle w:val="35"/>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8</w:t>
            </w:r>
          </w:p>
        </w:tc>
        <w:tc>
          <w:tcPr>
            <w:tcW w:w="1573" w:type="dxa"/>
            <w:noWrap w:val="0"/>
            <w:vAlign w:val="center"/>
          </w:tcPr>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按时提交履约</w:t>
            </w:r>
          </w:p>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保证的承诺</w:t>
            </w:r>
          </w:p>
        </w:tc>
        <w:tc>
          <w:tcPr>
            <w:tcW w:w="2923"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如果我方中标，我方保证在招标文件规定的时限内全额提交履约保证。</w:t>
            </w:r>
          </w:p>
        </w:tc>
        <w:tc>
          <w:tcPr>
            <w:tcW w:w="4019" w:type="dxa"/>
            <w:noWrap w:val="0"/>
            <w:vAlign w:val="center"/>
          </w:tcPr>
          <w:p>
            <w:pPr>
              <w:pStyle w:val="36"/>
              <w:wordWrap w:val="0"/>
              <w:adjustRightInd w:val="0"/>
              <w:snapToGrid w:val="0"/>
              <w:spacing w:line="380" w:lineRule="exact"/>
              <w:ind w:firstLine="0" w:firstLineChars="0"/>
              <w:jc w:val="left"/>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pPr>
              <w:pStyle w:val="35"/>
              <w:wordWrap w:val="0"/>
              <w:adjustRightInd w:val="0"/>
              <w:snapToGrid w:val="0"/>
              <w:spacing w:line="380" w:lineRule="exact"/>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9</w:t>
            </w:r>
          </w:p>
        </w:tc>
        <w:tc>
          <w:tcPr>
            <w:tcW w:w="1573" w:type="dxa"/>
            <w:noWrap w:val="0"/>
            <w:vAlign w:val="center"/>
          </w:tcPr>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按时签订合同</w:t>
            </w:r>
          </w:p>
          <w:p>
            <w:pPr>
              <w:pStyle w:val="36"/>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的承诺</w:t>
            </w:r>
          </w:p>
        </w:tc>
        <w:tc>
          <w:tcPr>
            <w:tcW w:w="2923"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noWrap w:val="0"/>
            <w:vAlign w:val="center"/>
          </w:tcPr>
          <w:p>
            <w:pPr>
              <w:pStyle w:val="36"/>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pPr>
        <w:pStyle w:val="35"/>
        <w:wordWrap w:val="0"/>
        <w:adjustRightInd w:val="0"/>
        <w:snapToGrid w:val="0"/>
        <w:spacing w:line="420" w:lineRule="exact"/>
        <w:jc w:val="left"/>
        <w:rPr>
          <w:rFonts w:hint="eastAsia" w:ascii="Times New Roman"/>
          <w:snapToGrid w:val="0"/>
          <w:color w:val="auto"/>
          <w:kern w:val="0"/>
          <w:highlight w:val="none"/>
        </w:rPr>
      </w:pPr>
    </w:p>
    <w:p>
      <w:pPr>
        <w:pStyle w:val="12"/>
        <w:wordWrap w:val="0"/>
        <w:adjustRightInd w:val="0"/>
        <w:snapToGrid w:val="0"/>
        <w:spacing w:line="420" w:lineRule="exact"/>
        <w:ind w:firstLine="480" w:firstLineChars="200"/>
        <w:jc w:val="right"/>
        <w:rPr>
          <w:rFonts w:ascii="Times New Roman"/>
          <w:snapToGrid w:val="0"/>
          <w:color w:val="auto"/>
          <w:kern w:val="0"/>
          <w:szCs w:val="24"/>
          <w:highlight w:val="none"/>
        </w:rPr>
      </w:pPr>
      <w:r>
        <w:rPr>
          <w:rFonts w:ascii="Times New Roman"/>
          <w:snapToGrid w:val="0"/>
          <w:color w:val="auto"/>
          <w:kern w:val="0"/>
          <w:szCs w:val="24"/>
          <w:highlight w:val="none"/>
        </w:rPr>
        <w:t>投标人：</w:t>
      </w:r>
      <w:r>
        <w:rPr>
          <w:rFonts w:ascii="Times New Roman"/>
          <w:snapToGrid w:val="0"/>
          <w:color w:val="auto"/>
          <w:kern w:val="0"/>
          <w:szCs w:val="24"/>
          <w:highlight w:val="none"/>
          <w:u w:val="single"/>
        </w:rPr>
        <w:t xml:space="preserve">                                   </w:t>
      </w:r>
      <w:r>
        <w:rPr>
          <w:rFonts w:ascii="Times New Roman"/>
          <w:snapToGrid w:val="0"/>
          <w:color w:val="auto"/>
          <w:kern w:val="0"/>
          <w:szCs w:val="24"/>
          <w:highlight w:val="none"/>
        </w:rPr>
        <w:t>（盖单位章）</w:t>
      </w:r>
    </w:p>
    <w:p>
      <w:pPr>
        <w:pStyle w:val="12"/>
        <w:wordWrap w:val="0"/>
        <w:adjustRightInd w:val="0"/>
        <w:snapToGrid w:val="0"/>
        <w:spacing w:line="420" w:lineRule="exact"/>
        <w:ind w:firstLine="480" w:firstLineChars="200"/>
        <w:jc w:val="right"/>
        <w:rPr>
          <w:rFonts w:ascii="Times New Roman"/>
          <w:snapToGrid w:val="0"/>
          <w:color w:val="auto"/>
          <w:kern w:val="0"/>
          <w:szCs w:val="24"/>
          <w:highlight w:val="none"/>
        </w:rPr>
      </w:pPr>
    </w:p>
    <w:p>
      <w:pPr>
        <w:pStyle w:val="12"/>
        <w:wordWrap w:val="0"/>
        <w:adjustRightInd w:val="0"/>
        <w:snapToGrid w:val="0"/>
        <w:spacing w:line="420" w:lineRule="exact"/>
        <w:ind w:firstLine="480" w:firstLineChars="200"/>
        <w:jc w:val="right"/>
        <w:rPr>
          <w:rFonts w:ascii="Times New Roman"/>
          <w:snapToGrid w:val="0"/>
          <w:color w:val="auto"/>
          <w:kern w:val="0"/>
          <w:szCs w:val="24"/>
          <w:highlight w:val="none"/>
        </w:rPr>
      </w:pPr>
    </w:p>
    <w:p>
      <w:pPr>
        <w:pStyle w:val="12"/>
        <w:wordWrap w:val="0"/>
        <w:adjustRightInd w:val="0"/>
        <w:snapToGrid w:val="0"/>
        <w:spacing w:line="420" w:lineRule="exact"/>
        <w:ind w:firstLine="480" w:firstLineChars="200"/>
        <w:jc w:val="right"/>
        <w:rPr>
          <w:rFonts w:ascii="Times New Roman"/>
          <w:snapToGrid w:val="0"/>
          <w:color w:val="auto"/>
          <w:kern w:val="0"/>
          <w:szCs w:val="24"/>
          <w:highlight w:val="none"/>
        </w:rPr>
      </w:pPr>
      <w:r>
        <w:rPr>
          <w:rFonts w:ascii="Times New Roman"/>
          <w:snapToGrid w:val="0"/>
          <w:color w:val="auto"/>
          <w:kern w:val="0"/>
          <w:szCs w:val="24"/>
          <w:highlight w:val="none"/>
        </w:rPr>
        <w:t>法定代表人或其委托代理人：</w:t>
      </w:r>
      <w:r>
        <w:rPr>
          <w:rFonts w:ascii="Times New Roman"/>
          <w:snapToGrid w:val="0"/>
          <w:color w:val="auto"/>
          <w:kern w:val="0"/>
          <w:szCs w:val="24"/>
          <w:highlight w:val="none"/>
          <w:u w:val="single"/>
        </w:rPr>
        <w:t xml:space="preserve">               </w:t>
      </w:r>
      <w:r>
        <w:rPr>
          <w:rFonts w:ascii="Times New Roman"/>
          <w:snapToGrid w:val="0"/>
          <w:color w:val="auto"/>
          <w:kern w:val="0"/>
          <w:szCs w:val="24"/>
          <w:highlight w:val="none"/>
        </w:rPr>
        <w:t>（签字或盖章）</w:t>
      </w:r>
    </w:p>
    <w:p>
      <w:pPr>
        <w:pStyle w:val="12"/>
        <w:wordWrap w:val="0"/>
        <w:adjustRightInd w:val="0"/>
        <w:snapToGrid w:val="0"/>
        <w:spacing w:line="420" w:lineRule="exact"/>
        <w:ind w:firstLine="480" w:firstLineChars="200"/>
        <w:rPr>
          <w:rFonts w:ascii="Times New Roman"/>
          <w:snapToGrid w:val="0"/>
          <w:color w:val="auto"/>
          <w:kern w:val="0"/>
          <w:szCs w:val="24"/>
          <w:highlight w:val="none"/>
        </w:rPr>
      </w:pPr>
    </w:p>
    <w:p>
      <w:pPr>
        <w:pStyle w:val="12"/>
        <w:wordWrap w:val="0"/>
        <w:adjustRightInd w:val="0"/>
        <w:snapToGrid w:val="0"/>
        <w:spacing w:line="420" w:lineRule="exact"/>
        <w:ind w:firstLine="480" w:firstLineChars="200"/>
        <w:jc w:val="center"/>
        <w:rPr>
          <w:rFonts w:ascii="Times New Roman"/>
          <w:snapToGrid w:val="0"/>
          <w:color w:val="auto"/>
          <w:kern w:val="0"/>
          <w:szCs w:val="24"/>
          <w:highlight w:val="none"/>
        </w:rPr>
      </w:pPr>
      <w:r>
        <w:rPr>
          <w:rFonts w:ascii="Times New Roman"/>
          <w:snapToGrid w:val="0"/>
          <w:color w:val="auto"/>
          <w:kern w:val="0"/>
          <w:szCs w:val="24"/>
          <w:highlight w:val="none"/>
        </w:rPr>
        <w:t xml:space="preserve">                      </w:t>
      </w:r>
      <w:r>
        <w:rPr>
          <w:rFonts w:ascii="Times New Roman"/>
          <w:snapToGrid w:val="0"/>
          <w:color w:val="auto"/>
          <w:kern w:val="0"/>
          <w:szCs w:val="24"/>
          <w:highlight w:val="none"/>
          <w:u w:val="single"/>
        </w:rPr>
        <w:t xml:space="preserve">        </w:t>
      </w:r>
      <w:r>
        <w:rPr>
          <w:rFonts w:ascii="Times New Roman"/>
          <w:snapToGrid w:val="0"/>
          <w:color w:val="auto"/>
          <w:kern w:val="0"/>
          <w:szCs w:val="24"/>
          <w:highlight w:val="none"/>
        </w:rPr>
        <w:t>年</w:t>
      </w:r>
      <w:r>
        <w:rPr>
          <w:rFonts w:ascii="Times New Roman"/>
          <w:snapToGrid w:val="0"/>
          <w:color w:val="auto"/>
          <w:kern w:val="0"/>
          <w:szCs w:val="24"/>
          <w:highlight w:val="none"/>
          <w:u w:val="single"/>
        </w:rPr>
        <w:t xml:space="preserve">    </w:t>
      </w:r>
      <w:r>
        <w:rPr>
          <w:rFonts w:ascii="Times New Roman"/>
          <w:snapToGrid w:val="0"/>
          <w:color w:val="auto"/>
          <w:kern w:val="0"/>
          <w:szCs w:val="24"/>
          <w:highlight w:val="none"/>
        </w:rPr>
        <w:t>月</w:t>
      </w:r>
      <w:r>
        <w:rPr>
          <w:rFonts w:ascii="Times New Roman"/>
          <w:snapToGrid w:val="0"/>
          <w:color w:val="auto"/>
          <w:kern w:val="0"/>
          <w:szCs w:val="24"/>
          <w:highlight w:val="none"/>
          <w:u w:val="single"/>
        </w:rPr>
        <w:t xml:space="preserve">    </w:t>
      </w:r>
      <w:r>
        <w:rPr>
          <w:rFonts w:ascii="Times New Roman"/>
          <w:snapToGrid w:val="0"/>
          <w:color w:val="auto"/>
          <w:kern w:val="0"/>
          <w:szCs w:val="24"/>
          <w:highlight w:val="none"/>
        </w:rPr>
        <w:t>日</w:t>
      </w:r>
    </w:p>
    <w:p>
      <w:pPr>
        <w:wordWrap w:val="0"/>
        <w:adjustRightInd w:val="0"/>
        <w:snapToGrid w:val="0"/>
        <w:spacing w:line="420" w:lineRule="exact"/>
        <w:jc w:val="left"/>
        <w:outlineLvl w:val="2"/>
        <w:rPr>
          <w:rFonts w:ascii="Times New Roman"/>
          <w:b/>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pPr>
        <w:pStyle w:val="5"/>
        <w:keepNext w:val="0"/>
        <w:keepLines w:val="0"/>
        <w:widowControl w:val="0"/>
        <w:wordWrap w:val="0"/>
        <w:adjustRightInd w:val="0"/>
        <w:snapToGrid w:val="0"/>
        <w:spacing w:before="0" w:after="0" w:line="440" w:lineRule="exact"/>
        <w:ind w:firstLine="0"/>
        <w:jc w:val="left"/>
        <w:rPr>
          <w:rFonts w:ascii="Times New Roman"/>
          <w:b/>
          <w:snapToGrid w:val="0"/>
          <w:color w:val="auto"/>
          <w:highlight w:val="none"/>
        </w:rPr>
      </w:pPr>
      <w:bookmarkStart w:id="172" w:name="_Toc3376"/>
      <w:r>
        <w:rPr>
          <w:rFonts w:ascii="Times New Roman"/>
          <w:b/>
          <w:snapToGrid w:val="0"/>
          <w:color w:val="auto"/>
          <w:highlight w:val="none"/>
        </w:rPr>
        <w:t>格式四 授权委托书</w:t>
      </w:r>
      <w:bookmarkEnd w:id="172"/>
    </w:p>
    <w:p>
      <w:pPr>
        <w:wordWrap w:val="0"/>
        <w:adjustRightInd w:val="0"/>
        <w:snapToGrid w:val="0"/>
        <w:spacing w:before="260" w:after="260" w:line="440" w:lineRule="exact"/>
        <w:jc w:val="center"/>
        <w:rPr>
          <w:rFonts w:ascii="Times New Roman"/>
          <w:b/>
          <w:snapToGrid w:val="0"/>
          <w:color w:val="auto"/>
          <w:kern w:val="0"/>
          <w:highlight w:val="none"/>
        </w:rPr>
      </w:pPr>
      <w:r>
        <w:rPr>
          <w:rFonts w:ascii="Times New Roman"/>
          <w:b/>
          <w:snapToGrid w:val="0"/>
          <w:color w:val="auto"/>
          <w:kern w:val="0"/>
          <w:sz w:val="30"/>
          <w:highlight w:val="none"/>
        </w:rPr>
        <w:t>授权委托书</w:t>
      </w:r>
    </w:p>
    <w:p>
      <w:pPr>
        <w:wordWrap w:val="0"/>
        <w:adjustRightInd w:val="0"/>
        <w:snapToGrid w:val="0"/>
        <w:spacing w:line="440" w:lineRule="exact"/>
        <w:rPr>
          <w:rFonts w:ascii="Times New Roman"/>
          <w:snapToGrid w:val="0"/>
          <w:color w:val="auto"/>
          <w:kern w:val="0"/>
          <w:szCs w:val="28"/>
          <w:highlight w:val="none"/>
        </w:rPr>
      </w:pPr>
    </w:p>
    <w:p>
      <w:pPr>
        <w:wordWrap w:val="0"/>
        <w:adjustRightInd w:val="0"/>
        <w:snapToGrid w:val="0"/>
        <w:spacing w:line="440" w:lineRule="exact"/>
        <w:rPr>
          <w:rFonts w:ascii="Times New Roman"/>
          <w:snapToGrid w:val="0"/>
          <w:color w:val="auto"/>
          <w:kern w:val="0"/>
          <w:szCs w:val="21"/>
          <w:highlight w:val="none"/>
        </w:rPr>
      </w:pPr>
      <w:r>
        <w:rPr>
          <w:rFonts w:ascii="Times New Roman"/>
          <w:snapToGrid w:val="0"/>
          <w:color w:val="auto"/>
          <w:kern w:val="0"/>
          <w:szCs w:val="21"/>
          <w:highlight w:val="none"/>
        </w:rPr>
        <w:t xml:space="preserve">    本人</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（姓名）系</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（投标人名称）的法定代表人，现委托</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（姓名）为我方代理人。代理人根据授权，以我方名义签署、澄清、说明、补正、递交、撤回、修改</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（项目名称）施工投标文件、签订合同和处理有关事宜，其法律后果由我方承担。</w:t>
      </w:r>
    </w:p>
    <w:p>
      <w:pPr>
        <w:wordWrap w:val="0"/>
        <w:adjustRightInd w:val="0"/>
        <w:snapToGrid w:val="0"/>
        <w:spacing w:line="440" w:lineRule="exact"/>
        <w:ind w:firstLine="480" w:firstLineChars="200"/>
        <w:rPr>
          <w:rFonts w:ascii="Times New Roman"/>
          <w:snapToGrid w:val="0"/>
          <w:color w:val="auto"/>
          <w:kern w:val="0"/>
          <w:szCs w:val="21"/>
          <w:highlight w:val="none"/>
        </w:rPr>
      </w:pPr>
      <w:r>
        <w:rPr>
          <w:rFonts w:ascii="Times New Roman"/>
          <w:snapToGrid w:val="0"/>
          <w:color w:val="auto"/>
          <w:kern w:val="0"/>
          <w:szCs w:val="21"/>
          <w:highlight w:val="none"/>
        </w:rPr>
        <w:t>委托期限：</w:t>
      </w:r>
      <w:r>
        <w:rPr>
          <w:rFonts w:hAnsi="宋体" w:cs="宋体"/>
          <w:color w:val="auto"/>
          <w:szCs w:val="21"/>
          <w:highlight w:val="none"/>
        </w:rPr>
        <w:t>至投标有效期的期满之日止。</w:t>
      </w:r>
    </w:p>
    <w:p>
      <w:pPr>
        <w:wordWrap w:val="0"/>
        <w:adjustRightInd w:val="0"/>
        <w:snapToGrid w:val="0"/>
        <w:spacing w:line="440" w:lineRule="exact"/>
        <w:rPr>
          <w:rFonts w:ascii="Times New Roman"/>
          <w:snapToGrid w:val="0"/>
          <w:color w:val="auto"/>
          <w:kern w:val="0"/>
          <w:szCs w:val="21"/>
          <w:highlight w:val="none"/>
        </w:rPr>
      </w:pPr>
      <w:r>
        <w:rPr>
          <w:rFonts w:ascii="Times New Roman"/>
          <w:snapToGrid w:val="0"/>
          <w:color w:val="auto"/>
          <w:kern w:val="0"/>
          <w:szCs w:val="21"/>
          <w:highlight w:val="none"/>
        </w:rPr>
        <w:t xml:space="preserve">    代理人无转委托权。</w:t>
      </w:r>
    </w:p>
    <w:p>
      <w:pPr>
        <w:wordWrap w:val="0"/>
        <w:adjustRightInd w:val="0"/>
        <w:snapToGrid w:val="0"/>
        <w:spacing w:line="440" w:lineRule="exact"/>
        <w:ind w:firstLine="480" w:firstLineChars="200"/>
        <w:rPr>
          <w:rFonts w:ascii="Times New Roman"/>
          <w:snapToGrid w:val="0"/>
          <w:color w:val="auto"/>
          <w:kern w:val="0"/>
          <w:szCs w:val="21"/>
          <w:highlight w:val="none"/>
        </w:rPr>
      </w:pPr>
    </w:p>
    <w:p>
      <w:pPr>
        <w:wordWrap w:val="0"/>
        <w:adjustRightInd w:val="0"/>
        <w:snapToGrid w:val="0"/>
        <w:spacing w:line="440" w:lineRule="exact"/>
        <w:ind w:firstLine="480" w:firstLineChars="200"/>
        <w:rPr>
          <w:rFonts w:ascii="Times New Roman"/>
          <w:snapToGrid w:val="0"/>
          <w:color w:val="auto"/>
          <w:kern w:val="0"/>
          <w:szCs w:val="21"/>
          <w:highlight w:val="none"/>
        </w:rPr>
      </w:pPr>
    </w:p>
    <w:p>
      <w:pPr>
        <w:wordWrap w:val="0"/>
        <w:adjustRightInd w:val="0"/>
        <w:snapToGrid w:val="0"/>
        <w:spacing w:line="440" w:lineRule="exact"/>
        <w:ind w:firstLine="480" w:firstLineChars="200"/>
        <w:rPr>
          <w:rFonts w:ascii="Times New Roman"/>
          <w:snapToGrid w:val="0"/>
          <w:color w:val="auto"/>
          <w:kern w:val="0"/>
          <w:szCs w:val="21"/>
          <w:highlight w:val="none"/>
        </w:rPr>
      </w:pPr>
      <w:r>
        <w:rPr>
          <w:rFonts w:ascii="Times New Roman"/>
          <w:snapToGrid w:val="0"/>
          <w:color w:val="auto"/>
          <w:kern w:val="0"/>
          <w:szCs w:val="21"/>
          <w:highlight w:val="none"/>
        </w:rPr>
        <w:t>　　　　　　　　　　　投  标  人：</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（盖单位章）</w:t>
      </w:r>
    </w:p>
    <w:p>
      <w:pPr>
        <w:wordWrap w:val="0"/>
        <w:adjustRightInd w:val="0"/>
        <w:snapToGrid w:val="0"/>
        <w:spacing w:line="440" w:lineRule="exact"/>
        <w:ind w:firstLine="480" w:firstLineChars="200"/>
        <w:rPr>
          <w:rFonts w:ascii="Times New Roman"/>
          <w:snapToGrid w:val="0"/>
          <w:color w:val="auto"/>
          <w:kern w:val="0"/>
          <w:szCs w:val="21"/>
          <w:highlight w:val="none"/>
        </w:rPr>
      </w:pPr>
      <w:r>
        <w:rPr>
          <w:rFonts w:ascii="Times New Roman"/>
          <w:snapToGrid w:val="0"/>
          <w:color w:val="auto"/>
          <w:kern w:val="0"/>
          <w:szCs w:val="21"/>
          <w:highlight w:val="none"/>
        </w:rPr>
        <w:t>　　　　　　　　　　　　　　　　　</w:t>
      </w:r>
    </w:p>
    <w:p>
      <w:pPr>
        <w:wordWrap w:val="0"/>
        <w:adjustRightInd w:val="0"/>
        <w:snapToGrid w:val="0"/>
        <w:spacing w:line="440" w:lineRule="exact"/>
        <w:ind w:firstLine="480" w:firstLineChars="200"/>
        <w:rPr>
          <w:rFonts w:ascii="Times New Roman"/>
          <w:snapToGrid w:val="0"/>
          <w:color w:val="auto"/>
          <w:kern w:val="0"/>
          <w:szCs w:val="21"/>
          <w:highlight w:val="none"/>
        </w:rPr>
      </w:pPr>
    </w:p>
    <w:p>
      <w:pPr>
        <w:wordWrap w:val="0"/>
        <w:adjustRightInd w:val="0"/>
        <w:snapToGrid w:val="0"/>
        <w:spacing w:line="440" w:lineRule="exact"/>
        <w:ind w:firstLine="480" w:firstLineChars="200"/>
        <w:rPr>
          <w:rFonts w:ascii="Times New Roman"/>
          <w:snapToGrid w:val="0"/>
          <w:color w:val="auto"/>
          <w:kern w:val="0"/>
          <w:szCs w:val="21"/>
          <w:highlight w:val="none"/>
        </w:rPr>
      </w:pPr>
      <w:r>
        <w:rPr>
          <w:rFonts w:ascii="Times New Roman"/>
          <w:snapToGrid w:val="0"/>
          <w:color w:val="auto"/>
          <w:kern w:val="0"/>
          <w:szCs w:val="21"/>
          <w:highlight w:val="none"/>
        </w:rPr>
        <w:t>　　　　　　　　　　　法定代表人：</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（签字或盖章）</w:t>
      </w:r>
    </w:p>
    <w:p>
      <w:pPr>
        <w:wordWrap w:val="0"/>
        <w:adjustRightInd w:val="0"/>
        <w:snapToGrid w:val="0"/>
        <w:spacing w:line="440" w:lineRule="exact"/>
        <w:ind w:firstLine="480" w:firstLineChars="200"/>
        <w:rPr>
          <w:rFonts w:ascii="Times New Roman"/>
          <w:snapToGrid w:val="0"/>
          <w:color w:val="auto"/>
          <w:kern w:val="0"/>
          <w:szCs w:val="21"/>
          <w:highlight w:val="none"/>
        </w:rPr>
      </w:pPr>
    </w:p>
    <w:p>
      <w:pPr>
        <w:wordWrap w:val="0"/>
        <w:adjustRightInd w:val="0"/>
        <w:snapToGrid w:val="0"/>
        <w:spacing w:line="440" w:lineRule="exact"/>
        <w:ind w:firstLine="480" w:firstLineChars="200"/>
        <w:rPr>
          <w:rFonts w:ascii="Times New Roman"/>
          <w:snapToGrid w:val="0"/>
          <w:color w:val="auto"/>
          <w:kern w:val="0"/>
          <w:szCs w:val="21"/>
          <w:highlight w:val="none"/>
        </w:rPr>
      </w:pPr>
      <w:r>
        <w:rPr>
          <w:rFonts w:ascii="Times New Roman"/>
          <w:snapToGrid w:val="0"/>
          <w:color w:val="auto"/>
          <w:kern w:val="0"/>
          <w:szCs w:val="21"/>
          <w:highlight w:val="none"/>
        </w:rPr>
        <w:t>　　　　　　　　　　　　　　　　　　　　　　　　　　　　　　　　　　　　 　　　　　　　　　　 委托代理人：</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（签字或盖章）</w:t>
      </w:r>
    </w:p>
    <w:p>
      <w:pPr>
        <w:wordWrap w:val="0"/>
        <w:adjustRightInd w:val="0"/>
        <w:snapToGrid w:val="0"/>
        <w:spacing w:line="440" w:lineRule="exact"/>
        <w:ind w:firstLine="480" w:firstLineChars="200"/>
        <w:rPr>
          <w:rFonts w:ascii="Times New Roman"/>
          <w:snapToGrid w:val="0"/>
          <w:color w:val="auto"/>
          <w:kern w:val="0"/>
          <w:szCs w:val="21"/>
          <w:highlight w:val="none"/>
        </w:rPr>
      </w:pPr>
      <w:r>
        <w:rPr>
          <w:rFonts w:ascii="Times New Roman"/>
          <w:snapToGrid w:val="0"/>
          <w:color w:val="auto"/>
          <w:kern w:val="0"/>
          <w:szCs w:val="21"/>
          <w:highlight w:val="none"/>
        </w:rPr>
        <w:t>　　　　　　　　　　　　　　　　　　　　　　　　　　　　　　　　　　</w:t>
      </w:r>
    </w:p>
    <w:p>
      <w:pPr>
        <w:wordWrap w:val="0"/>
        <w:adjustRightInd w:val="0"/>
        <w:snapToGrid w:val="0"/>
        <w:spacing w:line="440" w:lineRule="exact"/>
        <w:ind w:firstLine="480" w:firstLineChars="200"/>
        <w:rPr>
          <w:rFonts w:ascii="Times New Roman"/>
          <w:snapToGrid w:val="0"/>
          <w:color w:val="auto"/>
          <w:kern w:val="0"/>
          <w:szCs w:val="21"/>
          <w:highlight w:val="none"/>
        </w:rPr>
      </w:pPr>
      <w:r>
        <w:rPr>
          <w:rFonts w:ascii="Times New Roman"/>
          <w:snapToGrid w:val="0"/>
          <w:color w:val="auto"/>
          <w:kern w:val="0"/>
          <w:szCs w:val="21"/>
          <w:highlight w:val="none"/>
        </w:rPr>
        <w:t>　　　　　　　　　　　　　 　　</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年</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月</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日</w:t>
      </w:r>
    </w:p>
    <w:p>
      <w:pPr>
        <w:wordWrap w:val="0"/>
        <w:adjustRightInd w:val="0"/>
        <w:snapToGrid w:val="0"/>
        <w:spacing w:line="440" w:lineRule="exact"/>
        <w:ind w:firstLine="480" w:firstLineChars="200"/>
        <w:rPr>
          <w:rFonts w:ascii="Times New Roman"/>
          <w:snapToGrid w:val="0"/>
          <w:color w:val="auto"/>
          <w:kern w:val="0"/>
          <w:szCs w:val="21"/>
          <w:highlight w:val="none"/>
        </w:rPr>
      </w:pPr>
    </w:p>
    <w:p>
      <w:pPr>
        <w:wordWrap w:val="0"/>
        <w:adjustRightInd w:val="0"/>
        <w:snapToGrid w:val="0"/>
        <w:spacing w:line="440" w:lineRule="exact"/>
        <w:ind w:firstLine="480" w:firstLineChars="200"/>
        <w:rPr>
          <w:rFonts w:ascii="Times New Roman"/>
          <w:snapToGrid w:val="0"/>
          <w:color w:val="auto"/>
          <w:kern w:val="0"/>
          <w:szCs w:val="21"/>
          <w:highlight w:val="none"/>
        </w:rPr>
      </w:pPr>
    </w:p>
    <w:p>
      <w:pPr>
        <w:wordWrap w:val="0"/>
        <w:adjustRightInd w:val="0"/>
        <w:snapToGrid w:val="0"/>
        <w:ind w:firstLine="6440" w:firstLineChars="2300"/>
        <w:rPr>
          <w:rFonts w:ascii="Times New Roman"/>
          <w:snapToGrid w:val="0"/>
          <w:color w:val="auto"/>
          <w:kern w:val="0"/>
          <w:szCs w:val="24"/>
          <w:highlight w:val="none"/>
        </w:rPr>
      </w:pPr>
      <w:r>
        <w:rPr>
          <w:rFonts w:ascii="Times New Roman"/>
          <w:snapToGrid w:val="0"/>
          <w:color w:val="auto"/>
          <w:kern w:val="0"/>
          <w:sz w:val="28"/>
          <w:szCs w:val="28"/>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szCs w:val="21"/>
                              </w:rPr>
                              <w:t>委托代理人身份证复印件正、反面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1312;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zAfFSoCAABQBAAADgAAAAAAAAABACAAAAAnAQAAZHJzL2Uyb0RvYy54bWxQSwUG&#10;AAAAAAYABgBZAQAAwwU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szCs w:val="21"/>
                        </w:rPr>
                        <w:t>委托代理人身份证复印件正、反面</w:t>
                      </w:r>
                    </w:p>
                  </w:txbxContent>
                </v:textbox>
              </v:shape>
            </w:pict>
          </mc:Fallback>
        </mc:AlternateContent>
      </w:r>
    </w:p>
    <w:p>
      <w:pPr>
        <w:pStyle w:val="8"/>
        <w:wordWrap w:val="0"/>
        <w:adjustRightInd w:val="0"/>
        <w:snapToGrid w:val="0"/>
        <w:rPr>
          <w:rFonts w:hint="eastAsia" w:ascii="Times New Roman"/>
          <w:snapToGrid w:val="0"/>
          <w:color w:val="auto"/>
          <w:kern w:val="0"/>
          <w:szCs w:val="24"/>
          <w:highlight w:val="none"/>
        </w:rPr>
      </w:pPr>
    </w:p>
    <w:p>
      <w:pPr>
        <w:pStyle w:val="6"/>
        <w:widowControl w:val="0"/>
        <w:wordWrap w:val="0"/>
        <w:adjustRightInd w:val="0"/>
        <w:snapToGrid w:val="0"/>
        <w:rPr>
          <w:rFonts w:ascii="Times New Roman"/>
          <w:snapToGrid w:val="0"/>
          <w:color w:val="auto"/>
          <w:highlight w:val="none"/>
        </w:rPr>
        <w:sectPr>
          <w:endnotePr>
            <w:numFmt w:val="decimal"/>
          </w:endnotePr>
          <w:pgSz w:w="11906" w:h="16838"/>
          <w:pgMar w:top="1701" w:right="1531" w:bottom="1417" w:left="1531" w:header="850" w:footer="992" w:gutter="0"/>
          <w:cols w:space="720" w:num="1"/>
          <w:docGrid w:linePitch="327" w:charSpace="0"/>
        </w:sectPr>
      </w:pPr>
    </w:p>
    <w:p>
      <w:pPr>
        <w:pStyle w:val="5"/>
        <w:keepNext w:val="0"/>
        <w:keepLines w:val="0"/>
        <w:widowControl w:val="0"/>
        <w:wordWrap w:val="0"/>
        <w:adjustRightInd w:val="0"/>
        <w:snapToGrid w:val="0"/>
        <w:spacing w:before="0" w:after="0" w:line="440" w:lineRule="exact"/>
        <w:ind w:firstLine="0"/>
        <w:jc w:val="left"/>
        <w:rPr>
          <w:rFonts w:ascii="Times New Roman"/>
          <w:b/>
          <w:snapToGrid w:val="0"/>
          <w:color w:val="auto"/>
          <w:highlight w:val="none"/>
        </w:rPr>
      </w:pPr>
      <w:bookmarkStart w:id="173" w:name="_Toc3013"/>
      <w:r>
        <w:rPr>
          <w:rFonts w:ascii="Times New Roman"/>
          <w:b/>
          <w:snapToGrid w:val="0"/>
          <w:color w:val="auto"/>
          <w:highlight w:val="none"/>
        </w:rPr>
        <w:t>格式五 法定代表人身份证明</w:t>
      </w:r>
      <w:bookmarkEnd w:id="173"/>
    </w:p>
    <w:p>
      <w:pPr>
        <w:wordWrap w:val="0"/>
        <w:adjustRightInd w:val="0"/>
        <w:snapToGrid w:val="0"/>
        <w:spacing w:before="260" w:after="260" w:line="440" w:lineRule="exact"/>
        <w:jc w:val="center"/>
        <w:rPr>
          <w:rFonts w:ascii="Times New Roman"/>
          <w:b/>
          <w:snapToGrid w:val="0"/>
          <w:color w:val="auto"/>
          <w:kern w:val="0"/>
          <w:sz w:val="30"/>
          <w:highlight w:val="none"/>
        </w:rPr>
      </w:pPr>
    </w:p>
    <w:p>
      <w:pPr>
        <w:wordWrap w:val="0"/>
        <w:adjustRightInd w:val="0"/>
        <w:snapToGrid w:val="0"/>
        <w:spacing w:before="260" w:after="260" w:line="440" w:lineRule="exact"/>
        <w:jc w:val="center"/>
        <w:rPr>
          <w:rFonts w:ascii="Times New Roman"/>
          <w:b/>
          <w:snapToGrid w:val="0"/>
          <w:color w:val="auto"/>
          <w:kern w:val="0"/>
          <w:highlight w:val="none"/>
        </w:rPr>
      </w:pPr>
      <w:r>
        <w:rPr>
          <w:rFonts w:ascii="Times New Roman"/>
          <w:b/>
          <w:snapToGrid w:val="0"/>
          <w:color w:val="auto"/>
          <w:kern w:val="0"/>
          <w:sz w:val="30"/>
          <w:highlight w:val="none"/>
        </w:rPr>
        <w:t>法定代表人身份证明</w:t>
      </w:r>
    </w:p>
    <w:p>
      <w:pPr>
        <w:wordWrap w:val="0"/>
        <w:adjustRightInd w:val="0"/>
        <w:snapToGrid w:val="0"/>
        <w:spacing w:line="440" w:lineRule="exact"/>
        <w:rPr>
          <w:rFonts w:ascii="Times New Roman"/>
          <w:snapToGrid w:val="0"/>
          <w:color w:val="auto"/>
          <w:kern w:val="0"/>
          <w:szCs w:val="21"/>
          <w:highlight w:val="none"/>
        </w:rPr>
      </w:pPr>
    </w:p>
    <w:p>
      <w:pPr>
        <w:wordWrap w:val="0"/>
        <w:adjustRightInd w:val="0"/>
        <w:snapToGrid w:val="0"/>
        <w:spacing w:line="440" w:lineRule="exact"/>
        <w:rPr>
          <w:rFonts w:ascii="Times New Roman"/>
          <w:snapToGrid w:val="0"/>
          <w:color w:val="auto"/>
          <w:kern w:val="0"/>
          <w:szCs w:val="21"/>
          <w:highlight w:val="none"/>
          <w:u w:val="single"/>
        </w:rPr>
      </w:pPr>
      <w:r>
        <w:rPr>
          <w:rFonts w:ascii="Times New Roman"/>
          <w:snapToGrid w:val="0"/>
          <w:color w:val="auto"/>
          <w:kern w:val="0"/>
          <w:szCs w:val="21"/>
          <w:highlight w:val="none"/>
        </w:rPr>
        <w:t>投标人名称：</w:t>
      </w:r>
      <w:r>
        <w:rPr>
          <w:rFonts w:ascii="Times New Roman"/>
          <w:snapToGrid w:val="0"/>
          <w:color w:val="auto"/>
          <w:kern w:val="0"/>
          <w:szCs w:val="21"/>
          <w:highlight w:val="none"/>
          <w:u w:val="single"/>
        </w:rPr>
        <w:t xml:space="preserve">                  </w:t>
      </w:r>
    </w:p>
    <w:p>
      <w:pPr>
        <w:wordWrap w:val="0"/>
        <w:adjustRightInd w:val="0"/>
        <w:snapToGrid w:val="0"/>
        <w:spacing w:line="440" w:lineRule="exact"/>
        <w:rPr>
          <w:rFonts w:ascii="Times New Roman"/>
          <w:snapToGrid w:val="0"/>
          <w:color w:val="auto"/>
          <w:kern w:val="0"/>
          <w:szCs w:val="21"/>
          <w:highlight w:val="none"/>
          <w:u w:val="single"/>
        </w:rPr>
      </w:pPr>
      <w:r>
        <w:rPr>
          <w:rFonts w:ascii="Times New Roman"/>
          <w:snapToGrid w:val="0"/>
          <w:color w:val="auto"/>
          <w:kern w:val="0"/>
          <w:szCs w:val="21"/>
          <w:highlight w:val="none"/>
        </w:rPr>
        <w:t>姓名：</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性别：</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年龄：</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职务：</w:t>
      </w:r>
      <w:r>
        <w:rPr>
          <w:rFonts w:ascii="Times New Roman"/>
          <w:snapToGrid w:val="0"/>
          <w:color w:val="auto"/>
          <w:kern w:val="0"/>
          <w:szCs w:val="21"/>
          <w:highlight w:val="none"/>
          <w:u w:val="single"/>
        </w:rPr>
        <w:t xml:space="preserve">           </w:t>
      </w:r>
    </w:p>
    <w:p>
      <w:pPr>
        <w:wordWrap w:val="0"/>
        <w:adjustRightInd w:val="0"/>
        <w:snapToGrid w:val="0"/>
        <w:spacing w:line="440" w:lineRule="exact"/>
        <w:rPr>
          <w:rFonts w:ascii="Times New Roman"/>
          <w:snapToGrid w:val="0"/>
          <w:color w:val="auto"/>
          <w:kern w:val="0"/>
          <w:szCs w:val="21"/>
          <w:highlight w:val="none"/>
        </w:rPr>
      </w:pPr>
      <w:r>
        <w:rPr>
          <w:rFonts w:ascii="Times New Roman"/>
          <w:snapToGrid w:val="0"/>
          <w:color w:val="auto"/>
          <w:kern w:val="0"/>
          <w:szCs w:val="21"/>
          <w:highlight w:val="none"/>
        </w:rPr>
        <w:t>系</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（投标人名称）的法定代表人。</w:t>
      </w:r>
    </w:p>
    <w:p>
      <w:pPr>
        <w:wordWrap w:val="0"/>
        <w:adjustRightInd w:val="0"/>
        <w:snapToGrid w:val="0"/>
        <w:spacing w:line="440" w:lineRule="exact"/>
        <w:rPr>
          <w:rFonts w:ascii="Times New Roman"/>
          <w:snapToGrid w:val="0"/>
          <w:color w:val="auto"/>
          <w:kern w:val="0"/>
          <w:szCs w:val="21"/>
          <w:highlight w:val="none"/>
        </w:rPr>
      </w:pPr>
      <w:r>
        <w:rPr>
          <w:rFonts w:ascii="Times New Roman"/>
          <w:snapToGrid w:val="0"/>
          <w:color w:val="auto"/>
          <w:kern w:val="0"/>
          <w:szCs w:val="21"/>
          <w:highlight w:val="none"/>
        </w:rPr>
        <w:t xml:space="preserve">    特此证明。</w:t>
      </w:r>
    </w:p>
    <w:p>
      <w:pPr>
        <w:wordWrap w:val="0"/>
        <w:adjustRightInd w:val="0"/>
        <w:snapToGrid w:val="0"/>
        <w:spacing w:line="440" w:lineRule="exact"/>
        <w:rPr>
          <w:rFonts w:ascii="Times New Roman"/>
          <w:snapToGrid w:val="0"/>
          <w:color w:val="auto"/>
          <w:kern w:val="0"/>
          <w:szCs w:val="21"/>
          <w:highlight w:val="none"/>
        </w:rPr>
      </w:pPr>
    </w:p>
    <w:p>
      <w:pPr>
        <w:wordWrap w:val="0"/>
        <w:adjustRightInd w:val="0"/>
        <w:snapToGrid w:val="0"/>
        <w:spacing w:line="440" w:lineRule="exact"/>
        <w:rPr>
          <w:rFonts w:ascii="Times New Roman"/>
          <w:snapToGrid w:val="0"/>
          <w:color w:val="auto"/>
          <w:kern w:val="0"/>
          <w:szCs w:val="21"/>
          <w:highlight w:val="none"/>
        </w:rPr>
      </w:pPr>
    </w:p>
    <w:p>
      <w:pPr>
        <w:wordWrap w:val="0"/>
        <w:adjustRightInd w:val="0"/>
        <w:snapToGrid w:val="0"/>
        <w:spacing w:line="440" w:lineRule="exact"/>
        <w:jc w:val="right"/>
        <w:rPr>
          <w:rFonts w:ascii="Times New Roman"/>
          <w:snapToGrid w:val="0"/>
          <w:color w:val="auto"/>
          <w:kern w:val="0"/>
          <w:szCs w:val="21"/>
          <w:highlight w:val="none"/>
        </w:rPr>
      </w:pPr>
      <w:r>
        <w:rPr>
          <w:rFonts w:ascii="Times New Roman"/>
          <w:snapToGrid w:val="0"/>
          <w:color w:val="auto"/>
          <w:kern w:val="0"/>
          <w:szCs w:val="21"/>
          <w:highlight w:val="none"/>
        </w:rPr>
        <w:t>投标人：</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（盖单位章）</w:t>
      </w:r>
    </w:p>
    <w:p>
      <w:pPr>
        <w:wordWrap w:val="0"/>
        <w:adjustRightInd w:val="0"/>
        <w:snapToGrid w:val="0"/>
        <w:spacing w:line="440" w:lineRule="exact"/>
        <w:jc w:val="right"/>
        <w:rPr>
          <w:rFonts w:ascii="Times New Roman"/>
          <w:snapToGrid w:val="0"/>
          <w:color w:val="auto"/>
          <w:kern w:val="0"/>
          <w:szCs w:val="21"/>
          <w:highlight w:val="none"/>
        </w:rPr>
      </w:pPr>
    </w:p>
    <w:p>
      <w:pPr>
        <w:wordWrap w:val="0"/>
        <w:adjustRightInd w:val="0"/>
        <w:snapToGrid w:val="0"/>
        <w:spacing w:line="440" w:lineRule="exact"/>
        <w:jc w:val="right"/>
        <w:rPr>
          <w:rFonts w:ascii="Times New Roman"/>
          <w:snapToGrid w:val="0"/>
          <w:color w:val="auto"/>
          <w:kern w:val="0"/>
          <w:szCs w:val="21"/>
          <w:highlight w:val="none"/>
        </w:rPr>
      </w:pPr>
    </w:p>
    <w:p>
      <w:pPr>
        <w:wordWrap w:val="0"/>
        <w:adjustRightInd w:val="0"/>
        <w:snapToGrid w:val="0"/>
        <w:spacing w:line="440" w:lineRule="exact"/>
        <w:jc w:val="right"/>
        <w:rPr>
          <w:rFonts w:ascii="Times New Roman"/>
          <w:snapToGrid w:val="0"/>
          <w:color w:val="auto"/>
          <w:kern w:val="0"/>
          <w:szCs w:val="21"/>
          <w:highlight w:val="none"/>
        </w:rPr>
      </w:pPr>
      <w:r>
        <w:rPr>
          <w:rFonts w:ascii="Times New Roman"/>
          <w:snapToGrid w:val="0"/>
          <w:color w:val="auto"/>
          <w:kern w:val="0"/>
          <w:szCs w:val="21"/>
          <w:highlight w:val="none"/>
        </w:rPr>
        <w:t xml:space="preserve">                           法定代表人：</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（签字或盖章）</w:t>
      </w:r>
    </w:p>
    <w:p>
      <w:pPr>
        <w:wordWrap w:val="0"/>
        <w:adjustRightInd w:val="0"/>
        <w:snapToGrid w:val="0"/>
        <w:spacing w:line="440" w:lineRule="exact"/>
        <w:jc w:val="center"/>
        <w:rPr>
          <w:rFonts w:ascii="Times New Roman"/>
          <w:snapToGrid w:val="0"/>
          <w:color w:val="auto"/>
          <w:kern w:val="0"/>
          <w:szCs w:val="21"/>
          <w:highlight w:val="none"/>
        </w:rPr>
      </w:pPr>
      <w:r>
        <w:rPr>
          <w:rFonts w:ascii="Times New Roman"/>
          <w:snapToGrid w:val="0"/>
          <w:color w:val="auto"/>
          <w:kern w:val="0"/>
          <w:szCs w:val="21"/>
          <w:highlight w:val="none"/>
        </w:rPr>
        <w:t xml:space="preserve">                        </w:t>
      </w:r>
    </w:p>
    <w:p>
      <w:pPr>
        <w:wordWrap w:val="0"/>
        <w:adjustRightInd w:val="0"/>
        <w:snapToGrid w:val="0"/>
        <w:spacing w:line="440" w:lineRule="exact"/>
        <w:jc w:val="center"/>
        <w:rPr>
          <w:rFonts w:ascii="Times New Roman"/>
          <w:snapToGrid w:val="0"/>
          <w:color w:val="auto"/>
          <w:kern w:val="0"/>
          <w:szCs w:val="21"/>
          <w:highlight w:val="none"/>
        </w:rPr>
      </w:pPr>
      <w:r>
        <w:rPr>
          <w:rFonts w:ascii="Times New Roman"/>
          <w:snapToGrid w:val="0"/>
          <w:color w:val="auto"/>
          <w:kern w:val="0"/>
          <w:szCs w:val="21"/>
          <w:highlight w:val="none"/>
        </w:rPr>
        <w:t xml:space="preserve">                            </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年</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月</w:t>
      </w:r>
      <w:r>
        <w:rPr>
          <w:rFonts w:ascii="Times New Roman"/>
          <w:snapToGrid w:val="0"/>
          <w:color w:val="auto"/>
          <w:kern w:val="0"/>
          <w:szCs w:val="21"/>
          <w:highlight w:val="none"/>
          <w:u w:val="single"/>
        </w:rPr>
        <w:t xml:space="preserve">      </w:t>
      </w:r>
      <w:r>
        <w:rPr>
          <w:rFonts w:ascii="Times New Roman"/>
          <w:snapToGrid w:val="0"/>
          <w:color w:val="auto"/>
          <w:kern w:val="0"/>
          <w:szCs w:val="21"/>
          <w:highlight w:val="none"/>
        </w:rPr>
        <w:t xml:space="preserve">日       </w:t>
      </w:r>
    </w:p>
    <w:p>
      <w:pPr>
        <w:wordWrap w:val="0"/>
        <w:adjustRightInd w:val="0"/>
        <w:snapToGrid w:val="0"/>
        <w:spacing w:line="440" w:lineRule="exact"/>
        <w:ind w:firstLine="240" w:firstLineChars="100"/>
        <w:rPr>
          <w:rFonts w:ascii="Times New Roman"/>
          <w:snapToGrid w:val="0"/>
          <w:color w:val="auto"/>
          <w:kern w:val="0"/>
          <w:szCs w:val="21"/>
          <w:highlight w:val="none"/>
        </w:rPr>
      </w:pPr>
      <w:r>
        <w:rPr>
          <w:rFonts w:ascii="Times New Roman"/>
          <w:snapToGrid w:val="0"/>
          <w:color w:val="auto"/>
          <w:kern w:val="0"/>
          <w:szCs w:val="21"/>
          <w:highlight w:val="none"/>
        </w:rPr>
        <w:t xml:space="preserve">     </w:t>
      </w:r>
    </w:p>
    <w:p>
      <w:pPr>
        <w:wordWrap w:val="0"/>
        <w:adjustRightInd w:val="0"/>
        <w:snapToGrid w:val="0"/>
        <w:spacing w:line="440" w:lineRule="exact"/>
        <w:ind w:firstLine="720" w:firstLineChars="300"/>
        <w:rPr>
          <w:rFonts w:ascii="Times New Roman"/>
          <w:i/>
          <w:iCs/>
          <w:snapToGrid w:val="0"/>
          <w:color w:val="auto"/>
          <w:kern w:val="0"/>
          <w:szCs w:val="21"/>
          <w:highlight w:val="none"/>
        </w:rPr>
      </w:pPr>
      <w:r>
        <w:rPr>
          <w:rFonts w:ascii="Times New Roman"/>
          <w:snapToGrid w:val="0"/>
          <w:color w:val="auto"/>
          <w:kern w:val="0"/>
          <w:szCs w:val="21"/>
          <w:highlight w:val="none"/>
        </w:rPr>
        <w:t xml:space="preserve">  </w:t>
      </w:r>
      <w:r>
        <w:rPr>
          <w:rFonts w:ascii="Times New Roman"/>
          <w:i/>
          <w:iCs/>
          <w:snapToGrid w:val="0"/>
          <w:color w:val="auto"/>
          <w:kern w:val="0"/>
          <w:szCs w:val="21"/>
          <w:highlight w:val="none"/>
        </w:rPr>
        <w:t xml:space="preserve"> </w:t>
      </w:r>
    </w:p>
    <w:p>
      <w:pPr>
        <w:wordWrap w:val="0"/>
        <w:adjustRightInd w:val="0"/>
        <w:snapToGrid w:val="0"/>
        <w:spacing w:line="440" w:lineRule="exact"/>
        <w:ind w:firstLine="720" w:firstLineChars="300"/>
        <w:rPr>
          <w:rFonts w:ascii="Times New Roman"/>
          <w:i/>
          <w:iCs/>
          <w:snapToGrid w:val="0"/>
          <w:color w:val="auto"/>
          <w:kern w:val="0"/>
          <w:szCs w:val="21"/>
          <w:highlight w:val="none"/>
        </w:rPr>
      </w:pPr>
    </w:p>
    <w:p>
      <w:pPr>
        <w:wordWrap w:val="0"/>
        <w:adjustRightInd w:val="0"/>
        <w:snapToGrid w:val="0"/>
        <w:spacing w:line="440" w:lineRule="exact"/>
        <w:ind w:firstLine="720" w:firstLineChars="300"/>
        <w:rPr>
          <w:rFonts w:ascii="Times New Roman"/>
          <w:i/>
          <w:iCs/>
          <w:snapToGrid w:val="0"/>
          <w:color w:val="auto"/>
          <w:kern w:val="0"/>
          <w:szCs w:val="21"/>
          <w:highlight w:val="none"/>
        </w:rPr>
      </w:pPr>
    </w:p>
    <w:p>
      <w:pPr>
        <w:wordWrap w:val="0"/>
        <w:adjustRightInd w:val="0"/>
        <w:snapToGrid w:val="0"/>
        <w:rPr>
          <w:rFonts w:ascii="Times New Roman"/>
          <w:b/>
          <w:snapToGrid w:val="0"/>
          <w:color w:val="auto"/>
          <w:kern w:val="0"/>
          <w:szCs w:val="21"/>
          <w:highlight w:val="none"/>
        </w:rPr>
      </w:pPr>
      <w:r>
        <w:rPr>
          <w:rFonts w:ascii="Times New Roman"/>
          <w:b/>
          <w:snapToGrid w:val="0"/>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4V1KbYAAAACQEAAA8AAAAAAAAAAQAgAAAAIgAAAGRycy9kb3ducmV2LnhtbFBLAQIUABQA&#10;AAAIAIdO4kCep3LuKQIAAFAEAAAOAAAAAAAAAAEAIAAAACcBAABkcnMvZTJvRG9jLnhtbFBLBQYA&#10;AAAABgAGAFkBAADCBQ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szCs w:val="21"/>
                        </w:rPr>
                        <w:t>法定代表人身份证复印件正、反面</w:t>
                      </w:r>
                    </w:p>
                  </w:txbxContent>
                </v:textbox>
              </v:shape>
            </w:pict>
          </mc:Fallback>
        </mc:AlternateContent>
      </w:r>
    </w:p>
    <w:p>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ascii="Times New Roman"/>
          <w:snapToGrid w:val="0"/>
          <w:color w:val="auto"/>
          <w:kern w:val="0"/>
          <w:sz w:val="28"/>
          <w:szCs w:val="28"/>
          <w:highlight w:val="none"/>
        </w:rPr>
      </w:pPr>
    </w:p>
    <w:p>
      <w:pPr>
        <w:wordWrap w:val="0"/>
        <w:adjustRightInd w:val="0"/>
        <w:snapToGrid w:val="0"/>
        <w:spacing w:line="480" w:lineRule="exact"/>
        <w:jc w:val="center"/>
        <w:rPr>
          <w:rFonts w:ascii="Times New Roman"/>
          <w:b/>
          <w:snapToGrid w:val="0"/>
          <w:color w:val="auto"/>
          <w:kern w:val="0"/>
          <w:sz w:val="28"/>
          <w:szCs w:val="28"/>
          <w:highlight w:val="none"/>
        </w:rPr>
      </w:pPr>
    </w:p>
    <w:p>
      <w:pPr>
        <w:wordWrap w:val="0"/>
        <w:adjustRightInd w:val="0"/>
        <w:snapToGrid w:val="0"/>
        <w:spacing w:line="480" w:lineRule="exact"/>
        <w:jc w:val="center"/>
        <w:rPr>
          <w:rFonts w:ascii="Times New Roman"/>
          <w:b/>
          <w:snapToGrid w:val="0"/>
          <w:color w:val="auto"/>
          <w:kern w:val="0"/>
          <w:sz w:val="28"/>
          <w:szCs w:val="28"/>
          <w:highlight w:val="none"/>
        </w:rPr>
      </w:pPr>
    </w:p>
    <w:p>
      <w:pPr>
        <w:wordWrap w:val="0"/>
        <w:adjustRightInd w:val="0"/>
        <w:snapToGrid w:val="0"/>
        <w:spacing w:line="480" w:lineRule="exact"/>
        <w:jc w:val="center"/>
        <w:rPr>
          <w:rFonts w:ascii="Times New Roman"/>
          <w:b/>
          <w:snapToGrid w:val="0"/>
          <w:color w:val="auto"/>
          <w:kern w:val="0"/>
          <w:sz w:val="28"/>
          <w:szCs w:val="28"/>
          <w:highlight w:val="none"/>
        </w:rPr>
        <w:sectPr>
          <w:endnotePr>
            <w:numFmt w:val="decimal"/>
          </w:endnotePr>
          <w:pgSz w:w="11906" w:h="16838"/>
          <w:pgMar w:top="1701" w:right="1531" w:bottom="1417" w:left="1531" w:header="850" w:footer="992" w:gutter="0"/>
          <w:cols w:space="720" w:num="1"/>
          <w:docGrid w:linePitch="327" w:charSpace="0"/>
        </w:sectPr>
      </w:pPr>
    </w:p>
    <w:p>
      <w:pPr>
        <w:pStyle w:val="5"/>
        <w:keepNext w:val="0"/>
        <w:keepLines w:val="0"/>
        <w:widowControl w:val="0"/>
        <w:wordWrap w:val="0"/>
        <w:adjustRightInd w:val="0"/>
        <w:snapToGrid w:val="0"/>
        <w:spacing w:before="0" w:after="0" w:line="440" w:lineRule="exact"/>
        <w:ind w:firstLine="0"/>
        <w:jc w:val="left"/>
        <w:rPr>
          <w:rFonts w:hint="eastAsia" w:ascii="Times New Roman" w:eastAsia="宋体"/>
          <w:b/>
          <w:snapToGrid w:val="0"/>
          <w:color w:val="auto"/>
          <w:highlight w:val="none"/>
          <w:lang w:eastAsia="zh-CN"/>
        </w:rPr>
      </w:pPr>
      <w:bookmarkStart w:id="174" w:name="_Toc22696"/>
      <w:r>
        <w:rPr>
          <w:rFonts w:ascii="Times New Roman"/>
          <w:b/>
          <w:snapToGrid w:val="0"/>
          <w:color w:val="auto"/>
          <w:highlight w:val="none"/>
        </w:rPr>
        <w:t>格式六 联合体协议书</w:t>
      </w:r>
      <w:bookmarkEnd w:id="174"/>
      <w:r>
        <w:rPr>
          <w:rFonts w:hint="eastAsia" w:ascii="Times New Roman"/>
          <w:b/>
          <w:snapToGrid w:val="0"/>
          <w:color w:val="auto"/>
          <w:highlight w:val="none"/>
          <w:lang w:eastAsia="zh-CN"/>
        </w:rPr>
        <w:t>（本项目不适用）</w:t>
      </w:r>
    </w:p>
    <w:p>
      <w:pPr>
        <w:pStyle w:val="34"/>
        <w:widowControl w:val="0"/>
        <w:wordWrap w:val="0"/>
        <w:adjustRightInd w:val="0"/>
        <w:snapToGrid w:val="0"/>
        <w:spacing w:line="440" w:lineRule="exact"/>
        <w:ind w:firstLine="0"/>
        <w:rPr>
          <w:rFonts w:ascii="Times New Roman"/>
          <w:b/>
          <w:bCs/>
          <w:snapToGrid w:val="0"/>
          <w:color w:val="auto"/>
          <w:sz w:val="24"/>
          <w:szCs w:val="24"/>
          <w:highlight w:val="none"/>
        </w:rPr>
      </w:pPr>
    </w:p>
    <w:p>
      <w:pPr>
        <w:pStyle w:val="34"/>
        <w:widowControl w:val="0"/>
        <w:wordWrap w:val="0"/>
        <w:adjustRightInd w:val="0"/>
        <w:snapToGrid w:val="0"/>
        <w:spacing w:before="240" w:after="240" w:line="440" w:lineRule="exact"/>
        <w:ind w:firstLine="0"/>
        <w:jc w:val="center"/>
        <w:rPr>
          <w:rFonts w:hint="eastAsia" w:ascii="Times New Roman"/>
          <w:snapToGrid w:val="0"/>
          <w:color w:val="auto"/>
          <w:sz w:val="24"/>
          <w:szCs w:val="21"/>
          <w:highlight w:val="none"/>
        </w:rPr>
      </w:pPr>
      <w:r>
        <w:rPr>
          <w:rFonts w:hint="eastAsia" w:ascii="Times New Roman"/>
          <w:b/>
          <w:snapToGrid w:val="0"/>
          <w:color w:val="auto"/>
          <w:sz w:val="30"/>
          <w:highlight w:val="none"/>
        </w:rPr>
        <w:t>联合体协议书</w:t>
      </w:r>
    </w:p>
    <w:p>
      <w:pPr>
        <w:pStyle w:val="34"/>
        <w:widowControl w:val="0"/>
        <w:wordWrap w:val="0"/>
        <w:adjustRightInd w:val="0"/>
        <w:snapToGrid w:val="0"/>
        <w:spacing w:line="440" w:lineRule="exact"/>
        <w:rPr>
          <w:rFonts w:hint="eastAsia" w:ascii="Times New Roman"/>
          <w:snapToGrid w:val="0"/>
          <w:color w:val="auto"/>
          <w:sz w:val="24"/>
          <w:szCs w:val="24"/>
          <w:highlight w:val="none"/>
        </w:rPr>
      </w:pPr>
    </w:p>
    <w:p>
      <w:pPr>
        <w:pStyle w:val="34"/>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牵头人名称：</w:t>
      </w:r>
      <w:r>
        <w:rPr>
          <w:rFonts w:hint="eastAsia" w:ascii="Times New Roman"/>
          <w:snapToGrid w:val="0"/>
          <w:color w:val="auto"/>
          <w:sz w:val="24"/>
          <w:szCs w:val="24"/>
          <w:highlight w:val="none"/>
          <w:u w:val="single"/>
        </w:rPr>
        <w:t xml:space="preserve">                                                  </w:t>
      </w:r>
    </w:p>
    <w:p>
      <w:pPr>
        <w:pStyle w:val="34"/>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pPr>
        <w:pStyle w:val="34"/>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pPr>
        <w:pStyle w:val="34"/>
        <w:widowControl w:val="0"/>
        <w:wordWrap w:val="0"/>
        <w:adjustRightInd w:val="0"/>
        <w:snapToGrid w:val="0"/>
        <w:spacing w:line="440" w:lineRule="exact"/>
        <w:rPr>
          <w:rFonts w:hint="eastAsia" w:ascii="Times New Roman"/>
          <w:snapToGrid w:val="0"/>
          <w:color w:val="auto"/>
          <w:sz w:val="24"/>
          <w:szCs w:val="24"/>
          <w:highlight w:val="none"/>
        </w:rPr>
      </w:pPr>
    </w:p>
    <w:p>
      <w:pPr>
        <w:pStyle w:val="34"/>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成员二名称：</w:t>
      </w:r>
      <w:r>
        <w:rPr>
          <w:rFonts w:hint="eastAsia" w:ascii="Times New Roman"/>
          <w:snapToGrid w:val="0"/>
          <w:color w:val="auto"/>
          <w:sz w:val="24"/>
          <w:szCs w:val="24"/>
          <w:highlight w:val="none"/>
          <w:u w:val="single"/>
        </w:rPr>
        <w:t xml:space="preserve">                                                  </w:t>
      </w:r>
    </w:p>
    <w:p>
      <w:pPr>
        <w:pStyle w:val="34"/>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pPr>
        <w:pStyle w:val="34"/>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pPr>
        <w:pStyle w:val="34"/>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w:t>
      </w:r>
    </w:p>
    <w:p>
      <w:pPr>
        <w:pStyle w:val="34"/>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上述各成员单位经过友好协商，自愿组成联合体，共同参加</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（项目名称）（以下简称“本项目”）的施工投标并争取赢得本项目施工承包合同（以下简称合同）。现就联合体投标事宜订立如下协议：</w:t>
      </w:r>
    </w:p>
    <w:p>
      <w:pPr>
        <w:pStyle w:val="34"/>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1．</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（某成员单位名称）为联合体牵头人。</w:t>
      </w:r>
    </w:p>
    <w:p>
      <w:pPr>
        <w:pStyle w:val="34"/>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pStyle w:val="34"/>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Style w:val="34"/>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4．联合体各成员单位内部的职责分工如下：</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。按照本条上述分工，联合体成员单位各自所承担的合同工作量比例如下：</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w:t>
      </w:r>
    </w:p>
    <w:p>
      <w:pPr>
        <w:pStyle w:val="34"/>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5．投标工作和联合体在中标后工程实施过程中的有关费用按各自承担的工作量分摊。</w:t>
      </w:r>
    </w:p>
    <w:p>
      <w:pPr>
        <w:pStyle w:val="34"/>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6．联合体中标后，本联合体协议是合同的附件，对联合体各成员单位有合同约束力。</w:t>
      </w:r>
    </w:p>
    <w:p>
      <w:pPr>
        <w:pStyle w:val="34"/>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7．本协议书自签署之日起生效，联合体未中标或者中标时合同履行完毕后自动失效。</w:t>
      </w:r>
    </w:p>
    <w:p>
      <w:pPr>
        <w:pStyle w:val="34"/>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8．本协议书一式</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份，联合体成员和招标人各执一份。</w:t>
      </w:r>
    </w:p>
    <w:p>
      <w:pPr>
        <w:pStyle w:val="34"/>
        <w:widowControl w:val="0"/>
        <w:wordWrap w:val="0"/>
        <w:adjustRightInd w:val="0"/>
        <w:snapToGrid w:val="0"/>
        <w:spacing w:line="440" w:lineRule="exact"/>
        <w:rPr>
          <w:rFonts w:hint="eastAsia" w:ascii="Times New Roman"/>
          <w:snapToGrid w:val="0"/>
          <w:color w:val="auto"/>
          <w:sz w:val="24"/>
          <w:szCs w:val="24"/>
          <w:highlight w:val="none"/>
        </w:rPr>
      </w:pPr>
    </w:p>
    <w:p>
      <w:pPr>
        <w:pStyle w:val="34"/>
        <w:widowControl w:val="0"/>
        <w:wordWrap w:val="0"/>
        <w:adjustRightInd w:val="0"/>
        <w:snapToGrid w:val="0"/>
        <w:spacing w:line="440" w:lineRule="exact"/>
        <w:rPr>
          <w:rFonts w:hint="eastAsia" w:ascii="Times New Roman"/>
          <w:snapToGrid w:val="0"/>
          <w:color w:val="auto"/>
          <w:sz w:val="24"/>
          <w:szCs w:val="24"/>
          <w:highlight w:val="none"/>
        </w:rPr>
      </w:pP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牵头人名称：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成员二名称：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p>
    <w:p>
      <w:pPr>
        <w:pStyle w:val="34"/>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pPr>
        <w:pStyle w:val="34"/>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pPr>
        <w:pStyle w:val="34"/>
        <w:widowControl w:val="0"/>
        <w:wordWrap w:val="0"/>
        <w:adjustRightInd w:val="0"/>
        <w:snapToGrid w:val="0"/>
        <w:spacing w:line="440" w:lineRule="exact"/>
        <w:rPr>
          <w:rFonts w:hint="eastAsia" w:ascii="Times New Roman"/>
          <w:snapToGrid w:val="0"/>
          <w:color w:val="auto"/>
          <w:sz w:val="24"/>
          <w:szCs w:val="24"/>
          <w:highlight w:val="none"/>
        </w:rPr>
      </w:pPr>
    </w:p>
    <w:p>
      <w:pPr>
        <w:pStyle w:val="34"/>
        <w:widowControl w:val="0"/>
        <w:wordWrap w:val="0"/>
        <w:adjustRightInd w:val="0"/>
        <w:snapToGrid w:val="0"/>
        <w:spacing w:line="440" w:lineRule="exact"/>
        <w:jc w:val="center"/>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年</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月</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日</w:t>
      </w:r>
    </w:p>
    <w:p>
      <w:pPr>
        <w:pStyle w:val="34"/>
        <w:widowControl w:val="0"/>
        <w:wordWrap w:val="0"/>
        <w:adjustRightInd w:val="0"/>
        <w:snapToGrid w:val="0"/>
        <w:spacing w:line="440" w:lineRule="exact"/>
        <w:jc w:val="center"/>
        <w:rPr>
          <w:rFonts w:hint="eastAsia" w:ascii="Times New Roman"/>
          <w:snapToGrid w:val="0"/>
          <w:color w:val="auto"/>
          <w:sz w:val="24"/>
          <w:szCs w:val="24"/>
          <w:highlight w:val="none"/>
        </w:rPr>
      </w:pPr>
    </w:p>
    <w:p>
      <w:pPr>
        <w:pStyle w:val="34"/>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1"/>
          <w:szCs w:val="21"/>
          <w:highlight w:val="none"/>
        </w:rPr>
        <w:t>说明：《联合体协议书》由委托代理人签字或盖章的，应附法定代表人签字或盖章的授权委托书。</w:t>
      </w:r>
    </w:p>
    <w:p>
      <w:pPr>
        <w:pStyle w:val="34"/>
        <w:widowControl w:val="0"/>
        <w:wordWrap w:val="0"/>
        <w:adjustRightInd w:val="0"/>
        <w:snapToGrid w:val="0"/>
        <w:spacing w:line="440" w:lineRule="exact"/>
        <w:rPr>
          <w:rFonts w:hint="eastAsia" w:ascii="Times New Roman"/>
          <w:snapToGrid w:val="0"/>
          <w:color w:val="auto"/>
          <w:sz w:val="24"/>
          <w:szCs w:val="24"/>
          <w:highlight w:val="none"/>
        </w:rPr>
        <w:sectPr>
          <w:endnotePr>
            <w:numFmt w:val="decimal"/>
          </w:endnotePr>
          <w:pgSz w:w="11906" w:h="16838"/>
          <w:pgMar w:top="1701" w:right="1531" w:bottom="1417" w:left="1531" w:header="850" w:footer="992" w:gutter="0"/>
          <w:cols w:space="720" w:num="1"/>
          <w:docGrid w:linePitch="327" w:charSpace="0"/>
        </w:sectPr>
      </w:pPr>
    </w:p>
    <w:p>
      <w:pPr>
        <w:pStyle w:val="5"/>
        <w:keepNext w:val="0"/>
        <w:keepLines w:val="0"/>
        <w:widowControl w:val="0"/>
        <w:wordWrap w:val="0"/>
        <w:adjustRightInd w:val="0"/>
        <w:snapToGrid w:val="0"/>
        <w:spacing w:before="0" w:after="0" w:line="440" w:lineRule="exact"/>
        <w:ind w:firstLine="0"/>
        <w:jc w:val="left"/>
        <w:rPr>
          <w:rFonts w:ascii="Times New Roman"/>
          <w:b/>
          <w:snapToGrid w:val="0"/>
          <w:color w:val="auto"/>
          <w:highlight w:val="none"/>
        </w:rPr>
      </w:pPr>
      <w:bookmarkStart w:id="175" w:name="_Toc26252"/>
      <w:r>
        <w:rPr>
          <w:rFonts w:ascii="Times New Roman"/>
          <w:b/>
          <w:snapToGrid w:val="0"/>
          <w:color w:val="auto"/>
          <w:highlight w:val="none"/>
        </w:rPr>
        <w:t>格式七 投标人基本情况表</w:t>
      </w:r>
      <w:bookmarkEnd w:id="175"/>
    </w:p>
    <w:p>
      <w:pPr>
        <w:pStyle w:val="34"/>
        <w:widowControl w:val="0"/>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投标人基本情况表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投标人名称</w:t>
            </w:r>
          </w:p>
        </w:tc>
        <w:tc>
          <w:tcPr>
            <w:tcW w:w="7020" w:type="dxa"/>
            <w:gridSpan w:val="8"/>
            <w:noWrap w:val="0"/>
            <w:vAlign w:val="center"/>
          </w:tcPr>
          <w:p>
            <w:pPr>
              <w:pStyle w:val="37"/>
              <w:wordWrap w:val="0"/>
              <w:adjustRightInd w:val="0"/>
              <w:snapToGrid w:val="0"/>
              <w:jc w:val="center"/>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注册地址</w:t>
            </w:r>
          </w:p>
        </w:tc>
        <w:tc>
          <w:tcPr>
            <w:tcW w:w="3389" w:type="dxa"/>
            <w:gridSpan w:val="3"/>
            <w:noWrap w:val="0"/>
            <w:vAlign w:val="center"/>
          </w:tcPr>
          <w:p>
            <w:pPr>
              <w:pStyle w:val="37"/>
              <w:wordWrap w:val="0"/>
              <w:adjustRightInd w:val="0"/>
              <w:snapToGrid w:val="0"/>
              <w:jc w:val="center"/>
              <w:rPr>
                <w:snapToGrid w:val="0"/>
                <w:color w:val="auto"/>
                <w:kern w:val="0"/>
                <w:szCs w:val="21"/>
                <w:highlight w:val="none"/>
              </w:rPr>
            </w:pPr>
          </w:p>
        </w:tc>
        <w:tc>
          <w:tcPr>
            <w:tcW w:w="1246" w:type="dxa"/>
            <w:gridSpan w:val="2"/>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邮政编码</w:t>
            </w:r>
          </w:p>
        </w:tc>
        <w:tc>
          <w:tcPr>
            <w:tcW w:w="2385" w:type="dxa"/>
            <w:gridSpan w:val="3"/>
            <w:noWrap w:val="0"/>
            <w:vAlign w:val="center"/>
          </w:tcPr>
          <w:p>
            <w:pPr>
              <w:pStyle w:val="37"/>
              <w:wordWrap w:val="0"/>
              <w:adjustRightInd w:val="0"/>
              <w:snapToGrid w:val="0"/>
              <w:jc w:val="center"/>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联系方式</w:t>
            </w:r>
          </w:p>
        </w:tc>
        <w:tc>
          <w:tcPr>
            <w:tcW w:w="897"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联系人</w:t>
            </w:r>
          </w:p>
        </w:tc>
        <w:tc>
          <w:tcPr>
            <w:tcW w:w="2492" w:type="dxa"/>
            <w:gridSpan w:val="2"/>
            <w:noWrap w:val="0"/>
            <w:vAlign w:val="center"/>
          </w:tcPr>
          <w:p>
            <w:pPr>
              <w:pStyle w:val="37"/>
              <w:wordWrap w:val="0"/>
              <w:adjustRightInd w:val="0"/>
              <w:snapToGrid w:val="0"/>
              <w:jc w:val="center"/>
              <w:rPr>
                <w:snapToGrid w:val="0"/>
                <w:color w:val="auto"/>
                <w:kern w:val="0"/>
                <w:szCs w:val="21"/>
                <w:highlight w:val="none"/>
              </w:rPr>
            </w:pPr>
          </w:p>
        </w:tc>
        <w:tc>
          <w:tcPr>
            <w:tcW w:w="1246" w:type="dxa"/>
            <w:gridSpan w:val="2"/>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电  话</w:t>
            </w:r>
          </w:p>
        </w:tc>
        <w:tc>
          <w:tcPr>
            <w:tcW w:w="2385" w:type="dxa"/>
            <w:gridSpan w:val="3"/>
            <w:noWrap w:val="0"/>
            <w:vAlign w:val="center"/>
          </w:tcPr>
          <w:p>
            <w:pPr>
              <w:pStyle w:val="37"/>
              <w:wordWrap w:val="0"/>
              <w:adjustRightInd w:val="0"/>
              <w:snapToGrid w:val="0"/>
              <w:jc w:val="center"/>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pPr>
              <w:pStyle w:val="37"/>
              <w:wordWrap w:val="0"/>
              <w:adjustRightInd w:val="0"/>
              <w:snapToGrid w:val="0"/>
              <w:jc w:val="center"/>
              <w:rPr>
                <w:snapToGrid w:val="0"/>
                <w:color w:val="auto"/>
                <w:kern w:val="0"/>
                <w:szCs w:val="21"/>
                <w:highlight w:val="none"/>
              </w:rPr>
            </w:pPr>
          </w:p>
        </w:tc>
        <w:tc>
          <w:tcPr>
            <w:tcW w:w="897"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传  真</w:t>
            </w:r>
          </w:p>
        </w:tc>
        <w:tc>
          <w:tcPr>
            <w:tcW w:w="2492" w:type="dxa"/>
            <w:gridSpan w:val="2"/>
            <w:noWrap w:val="0"/>
            <w:vAlign w:val="center"/>
          </w:tcPr>
          <w:p>
            <w:pPr>
              <w:pStyle w:val="37"/>
              <w:wordWrap w:val="0"/>
              <w:adjustRightInd w:val="0"/>
              <w:snapToGrid w:val="0"/>
              <w:jc w:val="center"/>
              <w:rPr>
                <w:snapToGrid w:val="0"/>
                <w:color w:val="auto"/>
                <w:kern w:val="0"/>
                <w:szCs w:val="21"/>
                <w:highlight w:val="none"/>
              </w:rPr>
            </w:pPr>
          </w:p>
        </w:tc>
        <w:tc>
          <w:tcPr>
            <w:tcW w:w="1246" w:type="dxa"/>
            <w:gridSpan w:val="2"/>
            <w:noWrap w:val="0"/>
            <w:vAlign w:val="center"/>
          </w:tcPr>
          <w:p>
            <w:pPr>
              <w:pStyle w:val="37"/>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电子邮箱</w:t>
            </w:r>
          </w:p>
        </w:tc>
        <w:tc>
          <w:tcPr>
            <w:tcW w:w="2385" w:type="dxa"/>
            <w:gridSpan w:val="3"/>
            <w:noWrap w:val="0"/>
            <w:vAlign w:val="center"/>
          </w:tcPr>
          <w:p>
            <w:pPr>
              <w:pStyle w:val="37"/>
              <w:wordWrap w:val="0"/>
              <w:adjustRightInd w:val="0"/>
              <w:snapToGrid w:val="0"/>
              <w:jc w:val="center"/>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单位性质</w:t>
            </w:r>
          </w:p>
        </w:tc>
        <w:tc>
          <w:tcPr>
            <w:tcW w:w="7020" w:type="dxa"/>
            <w:gridSpan w:val="8"/>
            <w:noWrap w:val="0"/>
            <w:vAlign w:val="center"/>
          </w:tcPr>
          <w:p>
            <w:pPr>
              <w:pStyle w:val="37"/>
              <w:wordWrap w:val="0"/>
              <w:adjustRightInd w:val="0"/>
              <w:snapToGrid w:val="0"/>
              <w:jc w:val="center"/>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法定代表人</w:t>
            </w:r>
          </w:p>
        </w:tc>
        <w:tc>
          <w:tcPr>
            <w:tcW w:w="897"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姓名</w:t>
            </w:r>
          </w:p>
        </w:tc>
        <w:tc>
          <w:tcPr>
            <w:tcW w:w="1689" w:type="dxa"/>
            <w:noWrap w:val="0"/>
            <w:vAlign w:val="center"/>
          </w:tcPr>
          <w:p>
            <w:pPr>
              <w:pStyle w:val="37"/>
              <w:wordWrap w:val="0"/>
              <w:adjustRightInd w:val="0"/>
              <w:snapToGrid w:val="0"/>
              <w:jc w:val="center"/>
              <w:rPr>
                <w:snapToGrid w:val="0"/>
                <w:color w:val="auto"/>
                <w:kern w:val="0"/>
                <w:szCs w:val="21"/>
                <w:highlight w:val="none"/>
              </w:rPr>
            </w:pPr>
          </w:p>
        </w:tc>
        <w:tc>
          <w:tcPr>
            <w:tcW w:w="1089" w:type="dxa"/>
            <w:gridSpan w:val="2"/>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技术职称</w:t>
            </w:r>
          </w:p>
        </w:tc>
        <w:tc>
          <w:tcPr>
            <w:tcW w:w="1220" w:type="dxa"/>
            <w:gridSpan w:val="2"/>
            <w:noWrap w:val="0"/>
            <w:vAlign w:val="center"/>
          </w:tcPr>
          <w:p>
            <w:pPr>
              <w:pStyle w:val="37"/>
              <w:wordWrap w:val="0"/>
              <w:adjustRightInd w:val="0"/>
              <w:snapToGrid w:val="0"/>
              <w:jc w:val="center"/>
              <w:rPr>
                <w:snapToGrid w:val="0"/>
                <w:color w:val="auto"/>
                <w:kern w:val="0"/>
                <w:szCs w:val="21"/>
                <w:highlight w:val="none"/>
              </w:rPr>
            </w:pPr>
          </w:p>
        </w:tc>
        <w:tc>
          <w:tcPr>
            <w:tcW w:w="709"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电话</w:t>
            </w:r>
          </w:p>
        </w:tc>
        <w:tc>
          <w:tcPr>
            <w:tcW w:w="1416" w:type="dxa"/>
            <w:noWrap w:val="0"/>
            <w:vAlign w:val="center"/>
          </w:tcPr>
          <w:p>
            <w:pPr>
              <w:pStyle w:val="37"/>
              <w:wordWrap w:val="0"/>
              <w:adjustRightInd w:val="0"/>
              <w:snapToGrid w:val="0"/>
              <w:jc w:val="center"/>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成立时间</w:t>
            </w:r>
          </w:p>
        </w:tc>
        <w:tc>
          <w:tcPr>
            <w:tcW w:w="2586" w:type="dxa"/>
            <w:gridSpan w:val="2"/>
            <w:noWrap w:val="0"/>
            <w:vAlign w:val="center"/>
          </w:tcPr>
          <w:p>
            <w:pPr>
              <w:pStyle w:val="37"/>
              <w:wordWrap w:val="0"/>
              <w:adjustRightInd w:val="0"/>
              <w:snapToGrid w:val="0"/>
              <w:jc w:val="center"/>
              <w:rPr>
                <w:snapToGrid w:val="0"/>
                <w:color w:val="auto"/>
                <w:kern w:val="0"/>
                <w:szCs w:val="21"/>
                <w:highlight w:val="none"/>
              </w:rPr>
            </w:pPr>
          </w:p>
        </w:tc>
        <w:tc>
          <w:tcPr>
            <w:tcW w:w="4434" w:type="dxa"/>
            <w:gridSpan w:val="6"/>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员工总人数</w:t>
            </w:r>
            <w:r>
              <w:rPr>
                <w:rFonts w:hint="eastAsia"/>
                <w:snapToGrid w:val="0"/>
                <w:color w:val="auto"/>
                <w:kern w:val="0"/>
                <w:szCs w:val="21"/>
                <w:highlight w:val="none"/>
              </w:rPr>
              <w:t>（个）</w:t>
            </w:r>
            <w:r>
              <w:rPr>
                <w:snapToGrid w:val="0"/>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85"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企业资质</w:t>
            </w:r>
          </w:p>
          <w:p>
            <w:pPr>
              <w:pStyle w:val="37"/>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类型和</w:t>
            </w:r>
            <w:r>
              <w:rPr>
                <w:snapToGrid w:val="0"/>
                <w:color w:val="auto"/>
                <w:kern w:val="0"/>
                <w:szCs w:val="21"/>
                <w:highlight w:val="none"/>
              </w:rPr>
              <w:t>等级</w:t>
            </w:r>
          </w:p>
        </w:tc>
        <w:tc>
          <w:tcPr>
            <w:tcW w:w="2586" w:type="dxa"/>
            <w:gridSpan w:val="2"/>
            <w:noWrap w:val="0"/>
            <w:vAlign w:val="center"/>
          </w:tcPr>
          <w:p>
            <w:pPr>
              <w:pStyle w:val="37"/>
              <w:wordWrap w:val="0"/>
              <w:adjustRightInd w:val="0"/>
              <w:snapToGrid w:val="0"/>
              <w:jc w:val="center"/>
              <w:rPr>
                <w:snapToGrid w:val="0"/>
                <w:color w:val="auto"/>
                <w:kern w:val="0"/>
                <w:szCs w:val="21"/>
                <w:highlight w:val="none"/>
              </w:rPr>
            </w:pPr>
          </w:p>
        </w:tc>
        <w:tc>
          <w:tcPr>
            <w:tcW w:w="1089" w:type="dxa"/>
            <w:gridSpan w:val="2"/>
            <w:vMerge w:val="restart"/>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其中</w:t>
            </w:r>
          </w:p>
        </w:tc>
        <w:tc>
          <w:tcPr>
            <w:tcW w:w="1929" w:type="dxa"/>
            <w:gridSpan w:val="3"/>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项目经理</w:t>
            </w:r>
          </w:p>
        </w:tc>
        <w:tc>
          <w:tcPr>
            <w:tcW w:w="1416" w:type="dxa"/>
            <w:noWrap w:val="0"/>
            <w:vAlign w:val="center"/>
          </w:tcPr>
          <w:p>
            <w:pPr>
              <w:pStyle w:val="37"/>
              <w:wordWrap w:val="0"/>
              <w:adjustRightInd w:val="0"/>
              <w:snapToGrid w:val="0"/>
              <w:jc w:val="center"/>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营业执照号</w:t>
            </w:r>
          </w:p>
        </w:tc>
        <w:tc>
          <w:tcPr>
            <w:tcW w:w="2586" w:type="dxa"/>
            <w:gridSpan w:val="2"/>
            <w:noWrap w:val="0"/>
            <w:vAlign w:val="center"/>
          </w:tcPr>
          <w:p>
            <w:pPr>
              <w:pStyle w:val="37"/>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pPr>
              <w:pStyle w:val="37"/>
              <w:wordWrap w:val="0"/>
              <w:adjustRightInd w:val="0"/>
              <w:snapToGrid w:val="0"/>
              <w:jc w:val="center"/>
              <w:rPr>
                <w:snapToGrid w:val="0"/>
                <w:color w:val="auto"/>
                <w:kern w:val="0"/>
                <w:szCs w:val="21"/>
                <w:highlight w:val="none"/>
              </w:rPr>
            </w:pPr>
          </w:p>
        </w:tc>
        <w:tc>
          <w:tcPr>
            <w:tcW w:w="1929" w:type="dxa"/>
            <w:gridSpan w:val="3"/>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高级职称人员</w:t>
            </w:r>
          </w:p>
        </w:tc>
        <w:tc>
          <w:tcPr>
            <w:tcW w:w="1416" w:type="dxa"/>
            <w:noWrap w:val="0"/>
            <w:vAlign w:val="center"/>
          </w:tcPr>
          <w:p>
            <w:pPr>
              <w:pStyle w:val="37"/>
              <w:wordWrap w:val="0"/>
              <w:adjustRightInd w:val="0"/>
              <w:snapToGrid w:val="0"/>
              <w:jc w:val="center"/>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注册资金</w:t>
            </w:r>
          </w:p>
        </w:tc>
        <w:tc>
          <w:tcPr>
            <w:tcW w:w="2586" w:type="dxa"/>
            <w:gridSpan w:val="2"/>
            <w:noWrap w:val="0"/>
            <w:vAlign w:val="center"/>
          </w:tcPr>
          <w:p>
            <w:pPr>
              <w:pStyle w:val="37"/>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pPr>
              <w:pStyle w:val="37"/>
              <w:wordWrap w:val="0"/>
              <w:adjustRightInd w:val="0"/>
              <w:snapToGrid w:val="0"/>
              <w:jc w:val="center"/>
              <w:rPr>
                <w:snapToGrid w:val="0"/>
                <w:color w:val="auto"/>
                <w:kern w:val="0"/>
                <w:szCs w:val="21"/>
                <w:highlight w:val="none"/>
              </w:rPr>
            </w:pPr>
          </w:p>
        </w:tc>
        <w:tc>
          <w:tcPr>
            <w:tcW w:w="1929" w:type="dxa"/>
            <w:gridSpan w:val="3"/>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中级职称人员</w:t>
            </w:r>
          </w:p>
        </w:tc>
        <w:tc>
          <w:tcPr>
            <w:tcW w:w="1416" w:type="dxa"/>
            <w:noWrap w:val="0"/>
            <w:vAlign w:val="center"/>
          </w:tcPr>
          <w:p>
            <w:pPr>
              <w:pStyle w:val="37"/>
              <w:wordWrap w:val="0"/>
              <w:adjustRightInd w:val="0"/>
              <w:snapToGrid w:val="0"/>
              <w:jc w:val="center"/>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485" w:type="dxa"/>
            <w:noWrap w:val="0"/>
            <w:vAlign w:val="center"/>
          </w:tcPr>
          <w:p>
            <w:pPr>
              <w:pStyle w:val="37"/>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基本账户</w:t>
            </w:r>
          </w:p>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开户银行</w:t>
            </w:r>
          </w:p>
        </w:tc>
        <w:tc>
          <w:tcPr>
            <w:tcW w:w="2586" w:type="dxa"/>
            <w:gridSpan w:val="2"/>
            <w:noWrap w:val="0"/>
            <w:vAlign w:val="center"/>
          </w:tcPr>
          <w:p>
            <w:pPr>
              <w:pStyle w:val="37"/>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pPr>
              <w:pStyle w:val="37"/>
              <w:wordWrap w:val="0"/>
              <w:adjustRightInd w:val="0"/>
              <w:snapToGrid w:val="0"/>
              <w:jc w:val="center"/>
              <w:rPr>
                <w:snapToGrid w:val="0"/>
                <w:color w:val="auto"/>
                <w:kern w:val="0"/>
                <w:szCs w:val="21"/>
                <w:highlight w:val="none"/>
              </w:rPr>
            </w:pPr>
          </w:p>
        </w:tc>
        <w:tc>
          <w:tcPr>
            <w:tcW w:w="1929" w:type="dxa"/>
            <w:gridSpan w:val="3"/>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初级职称人员</w:t>
            </w:r>
          </w:p>
        </w:tc>
        <w:tc>
          <w:tcPr>
            <w:tcW w:w="1416" w:type="dxa"/>
            <w:noWrap w:val="0"/>
            <w:vAlign w:val="center"/>
          </w:tcPr>
          <w:p>
            <w:pPr>
              <w:pStyle w:val="37"/>
              <w:wordWrap w:val="0"/>
              <w:adjustRightInd w:val="0"/>
              <w:snapToGrid w:val="0"/>
              <w:jc w:val="center"/>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85" w:type="dxa"/>
            <w:noWrap w:val="0"/>
            <w:vAlign w:val="center"/>
          </w:tcPr>
          <w:p>
            <w:pPr>
              <w:pStyle w:val="37"/>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基本账户</w:t>
            </w:r>
          </w:p>
          <w:p>
            <w:pPr>
              <w:pStyle w:val="37"/>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银行</w:t>
            </w:r>
            <w:r>
              <w:rPr>
                <w:snapToGrid w:val="0"/>
                <w:color w:val="auto"/>
                <w:kern w:val="0"/>
                <w:szCs w:val="21"/>
                <w:highlight w:val="none"/>
              </w:rPr>
              <w:t>账号</w:t>
            </w:r>
          </w:p>
        </w:tc>
        <w:tc>
          <w:tcPr>
            <w:tcW w:w="2586" w:type="dxa"/>
            <w:gridSpan w:val="2"/>
            <w:noWrap w:val="0"/>
            <w:vAlign w:val="center"/>
          </w:tcPr>
          <w:p>
            <w:pPr>
              <w:pStyle w:val="37"/>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pPr>
              <w:pStyle w:val="37"/>
              <w:wordWrap w:val="0"/>
              <w:adjustRightInd w:val="0"/>
              <w:snapToGrid w:val="0"/>
              <w:jc w:val="center"/>
              <w:rPr>
                <w:snapToGrid w:val="0"/>
                <w:color w:val="auto"/>
                <w:kern w:val="0"/>
                <w:szCs w:val="21"/>
                <w:highlight w:val="none"/>
              </w:rPr>
            </w:pPr>
          </w:p>
        </w:tc>
        <w:tc>
          <w:tcPr>
            <w:tcW w:w="1929" w:type="dxa"/>
            <w:gridSpan w:val="3"/>
            <w:noWrap w:val="0"/>
            <w:vAlign w:val="center"/>
          </w:tcPr>
          <w:p>
            <w:pPr>
              <w:pStyle w:val="37"/>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技术员</w:t>
            </w:r>
          </w:p>
        </w:tc>
        <w:tc>
          <w:tcPr>
            <w:tcW w:w="1416" w:type="dxa"/>
            <w:noWrap w:val="0"/>
            <w:vAlign w:val="center"/>
          </w:tcPr>
          <w:p>
            <w:pPr>
              <w:pStyle w:val="37"/>
              <w:wordWrap w:val="0"/>
              <w:adjustRightInd w:val="0"/>
              <w:snapToGrid w:val="0"/>
              <w:jc w:val="center"/>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485" w:type="dxa"/>
            <w:noWrap w:val="0"/>
            <w:vAlign w:val="center"/>
          </w:tcPr>
          <w:p>
            <w:pPr>
              <w:pStyle w:val="37"/>
              <w:wordWrap w:val="0"/>
              <w:adjustRightInd w:val="0"/>
              <w:snapToGrid w:val="0"/>
              <w:jc w:val="center"/>
              <w:rPr>
                <w:snapToGrid w:val="0"/>
                <w:color w:val="auto"/>
                <w:kern w:val="0"/>
                <w:szCs w:val="21"/>
                <w:highlight w:val="none"/>
              </w:rPr>
            </w:pPr>
            <w:r>
              <w:rPr>
                <w:snapToGrid w:val="0"/>
                <w:color w:val="auto"/>
                <w:kern w:val="0"/>
                <w:szCs w:val="21"/>
                <w:highlight w:val="none"/>
              </w:rPr>
              <w:t>经营范围</w:t>
            </w:r>
          </w:p>
        </w:tc>
        <w:tc>
          <w:tcPr>
            <w:tcW w:w="7020" w:type="dxa"/>
            <w:gridSpan w:val="8"/>
            <w:noWrap w:val="0"/>
            <w:vAlign w:val="center"/>
          </w:tcPr>
          <w:p>
            <w:pPr>
              <w:pStyle w:val="37"/>
              <w:wordWrap w:val="0"/>
              <w:adjustRightInd w:val="0"/>
              <w:snapToGrid w:val="0"/>
              <w:jc w:val="left"/>
              <w:rPr>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85" w:type="dxa"/>
            <w:noWrap w:val="0"/>
            <w:vAlign w:val="center"/>
          </w:tcPr>
          <w:p>
            <w:pPr>
              <w:pStyle w:val="37"/>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关联企业情况</w:t>
            </w:r>
          </w:p>
        </w:tc>
        <w:tc>
          <w:tcPr>
            <w:tcW w:w="7020" w:type="dxa"/>
            <w:gridSpan w:val="8"/>
            <w:noWrap w:val="0"/>
            <w:vAlign w:val="center"/>
          </w:tcPr>
          <w:p>
            <w:pPr>
              <w:pStyle w:val="37"/>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包括但不限于与投标人存在以下关系的不同单位：</w:t>
            </w:r>
          </w:p>
          <w:p>
            <w:pPr>
              <w:pStyle w:val="37"/>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1．法定代表人为同一人的。</w:t>
            </w:r>
          </w:p>
          <w:p>
            <w:pPr>
              <w:pStyle w:val="37"/>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2．存在控股、管理关系的。</w:t>
            </w:r>
          </w:p>
          <w:p>
            <w:pPr>
              <w:pStyle w:val="37"/>
              <w:wordWrap w:val="0"/>
              <w:adjustRightInd w:val="0"/>
              <w:snapToGrid w:val="0"/>
              <w:rPr>
                <w:snapToGrid w:val="0"/>
                <w:color w:val="auto"/>
                <w:kern w:val="0"/>
                <w:szCs w:val="21"/>
                <w:highlight w:val="none"/>
              </w:rPr>
            </w:pPr>
            <w:r>
              <w:rPr>
                <w:rFonts w:hint="eastAsia"/>
                <w:snapToGrid w:val="0"/>
                <w:color w:val="auto"/>
                <w:kern w:val="0"/>
                <w:szCs w:val="21"/>
                <w:highlight w:val="none"/>
              </w:rPr>
              <w:t>3．主要人员相互任职的。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5" w:type="dxa"/>
            <w:noWrap w:val="0"/>
            <w:vAlign w:val="center"/>
          </w:tcPr>
          <w:p>
            <w:pPr>
              <w:pStyle w:val="37"/>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备注</w:t>
            </w:r>
          </w:p>
        </w:tc>
        <w:tc>
          <w:tcPr>
            <w:tcW w:w="7020" w:type="dxa"/>
            <w:gridSpan w:val="8"/>
            <w:noWrap w:val="0"/>
            <w:vAlign w:val="center"/>
          </w:tcPr>
          <w:p>
            <w:pPr>
              <w:pStyle w:val="37"/>
              <w:wordWrap w:val="0"/>
              <w:adjustRightInd w:val="0"/>
              <w:snapToGrid w:val="0"/>
              <w:jc w:val="center"/>
              <w:rPr>
                <w:snapToGrid w:val="0"/>
                <w:color w:val="auto"/>
                <w:kern w:val="0"/>
                <w:szCs w:val="21"/>
                <w:highlight w:val="none"/>
              </w:rPr>
            </w:pPr>
          </w:p>
        </w:tc>
      </w:tr>
    </w:tbl>
    <w:p>
      <w:pPr>
        <w:pStyle w:val="37"/>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pPr>
        <w:pStyle w:val="37"/>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1．《投标人基本情况表》后应附以下资料：</w:t>
      </w:r>
    </w:p>
    <w:p>
      <w:pPr>
        <w:pStyle w:val="37"/>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（1）企业营业执照、资质证书、安全生产许可证的证书复印件（因推行电子证照，部分企业已不存在副本等纸质证书。可打印件 营业执照、资质证书、安全生产许可证实时网页查询页）；</w:t>
      </w:r>
    </w:p>
    <w:p>
      <w:pPr>
        <w:pStyle w:val="37"/>
        <w:wordWrap w:val="0"/>
        <w:adjustRightInd w:val="0"/>
        <w:snapToGrid w:val="0"/>
        <w:spacing w:line="400" w:lineRule="exact"/>
        <w:ind w:firstLine="420" w:firstLineChars="200"/>
        <w:rPr>
          <w:snapToGrid w:val="0"/>
          <w:color w:val="auto"/>
          <w:kern w:val="0"/>
          <w:highlight w:val="none"/>
        </w:rPr>
      </w:pPr>
      <w:r>
        <w:rPr>
          <w:rFonts w:hint="eastAsia"/>
          <w:snapToGrid w:val="0"/>
          <w:color w:val="auto"/>
          <w:kern w:val="0"/>
          <w:szCs w:val="21"/>
          <w:highlight w:val="none"/>
        </w:rPr>
        <w:t>（2）</w:t>
      </w:r>
      <w:r>
        <w:rPr>
          <w:rFonts w:hint="eastAsia"/>
          <w:snapToGrid w:val="0"/>
          <w:color w:val="auto"/>
          <w:kern w:val="0"/>
          <w:highlight w:val="none"/>
        </w:rPr>
        <w:t>“进粤企业和人员诚信信息登记平台”企业信息情况打印页。（适用于省外建筑企业）；</w:t>
      </w:r>
    </w:p>
    <w:p>
      <w:pPr>
        <w:pStyle w:val="37"/>
        <w:wordWrap w:val="0"/>
        <w:adjustRightInd w:val="0"/>
        <w:snapToGrid w:val="0"/>
        <w:spacing w:line="400" w:lineRule="exact"/>
        <w:rPr>
          <w:snapToGrid w:val="0"/>
          <w:color w:val="auto"/>
          <w:kern w:val="0"/>
          <w:szCs w:val="21"/>
          <w:highlight w:val="none"/>
        </w:rPr>
      </w:pPr>
      <w:r>
        <w:rPr>
          <w:rFonts w:hint="eastAsia"/>
          <w:snapToGrid w:val="0"/>
          <w:color w:val="auto"/>
          <w:kern w:val="0"/>
          <w:highlight w:val="none"/>
        </w:rPr>
        <w:t xml:space="preserve">    </w:t>
      </w:r>
      <w:r>
        <w:rPr>
          <w:rFonts w:hint="eastAsia"/>
          <w:snapToGrid w:val="0"/>
          <w:color w:val="auto"/>
          <w:kern w:val="0"/>
          <w:szCs w:val="21"/>
          <w:highlight w:val="none"/>
        </w:rPr>
        <w:t>2．联合体投标的，联合体成员单位均应填写《投标人基本情况表》并提供以上所需资料</w:t>
      </w:r>
      <w:r>
        <w:rPr>
          <w:snapToGrid w:val="0"/>
          <w:color w:val="auto"/>
          <w:kern w:val="0"/>
          <w:szCs w:val="21"/>
          <w:highlight w:val="none"/>
        </w:rPr>
        <w:t>。</w:t>
      </w:r>
    </w:p>
    <w:p>
      <w:pPr>
        <w:pStyle w:val="34"/>
        <w:widowControl w:val="0"/>
        <w:wordWrap w:val="0"/>
        <w:adjustRightInd w:val="0"/>
        <w:snapToGrid w:val="0"/>
        <w:spacing w:line="400" w:lineRule="exact"/>
        <w:jc w:val="center"/>
        <w:rPr>
          <w:rFonts w:hint="eastAsia" w:ascii="Times New Roman"/>
          <w:snapToGrid w:val="0"/>
          <w:color w:val="auto"/>
          <w:sz w:val="21"/>
          <w:szCs w:val="21"/>
          <w:highlight w:val="none"/>
        </w:rPr>
        <w:sectPr>
          <w:endnotePr>
            <w:numFmt w:val="decimal"/>
          </w:endnotePr>
          <w:pgSz w:w="11906" w:h="16838"/>
          <w:pgMar w:top="1701" w:right="1531" w:bottom="1417" w:left="1531" w:header="850" w:footer="992" w:gutter="0"/>
          <w:cols w:space="720" w:num="1"/>
          <w:docGrid w:linePitch="327" w:charSpace="0"/>
        </w:sectPr>
      </w:pPr>
    </w:p>
    <w:p>
      <w:pPr>
        <w:pStyle w:val="5"/>
        <w:keepNext w:val="0"/>
        <w:keepLines w:val="0"/>
        <w:widowControl w:val="0"/>
        <w:wordWrap w:val="0"/>
        <w:adjustRightInd w:val="0"/>
        <w:snapToGrid w:val="0"/>
        <w:spacing w:before="0" w:after="0" w:line="440" w:lineRule="exact"/>
        <w:ind w:firstLine="0"/>
        <w:jc w:val="left"/>
        <w:rPr>
          <w:rFonts w:hint="eastAsia" w:ascii="Times New Roman" w:eastAsia="宋体"/>
          <w:b/>
          <w:snapToGrid w:val="0"/>
          <w:color w:val="auto"/>
          <w:highlight w:val="none"/>
          <w:lang w:eastAsia="zh-CN"/>
        </w:rPr>
      </w:pPr>
      <w:bookmarkStart w:id="176" w:name="_Toc13287"/>
      <w:r>
        <w:rPr>
          <w:rFonts w:ascii="Times New Roman"/>
          <w:b/>
          <w:snapToGrid w:val="0"/>
          <w:color w:val="auto"/>
          <w:highlight w:val="none"/>
        </w:rPr>
        <w:t>格式八 项目经理简历表</w:t>
      </w:r>
      <w:bookmarkEnd w:id="176"/>
    </w:p>
    <w:p>
      <w:pPr>
        <w:pStyle w:val="6"/>
        <w:rPr>
          <w:rFonts w:hint="eastAsia"/>
          <w:lang w:eastAsia="zh-CN"/>
        </w:rPr>
      </w:pPr>
    </w:p>
    <w:tbl>
      <w:tblPr>
        <w:tblStyle w:val="18"/>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以项目经理身份参与过的主要业绩（已完工项目）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质量等级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3</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bl>
    <w:p>
      <w:pPr>
        <w:jc w:val="center"/>
        <w:rPr>
          <w:color w:val="auto"/>
          <w:highlight w:val="none"/>
        </w:rPr>
      </w:pPr>
      <w:r>
        <w:rPr>
          <w:b/>
          <w:bCs/>
          <w:color w:val="auto"/>
          <w:sz w:val="30"/>
          <w:szCs w:val="30"/>
          <w:highlight w:val="none"/>
        </w:rPr>
        <w:t>项目经理简历表</w:t>
      </w:r>
    </w:p>
    <w:p>
      <w:pPr>
        <w:wordWrap w:val="0"/>
        <w:adjustRightInd w:val="0"/>
        <w:snapToGrid w:val="0"/>
        <w:spacing w:line="440" w:lineRule="exact"/>
        <w:ind w:firstLine="570"/>
        <w:rPr>
          <w:rFonts w:ascii="Times New Roman"/>
          <w:snapToGrid w:val="0"/>
          <w:color w:val="auto"/>
          <w:kern w:val="0"/>
          <w:szCs w:val="28"/>
          <w:highlight w:val="none"/>
        </w:rPr>
      </w:pPr>
    </w:p>
    <w:p>
      <w:pPr>
        <w:pStyle w:val="35"/>
        <w:wordWrap w:val="0"/>
        <w:adjustRightInd w:val="0"/>
        <w:snapToGrid w:val="0"/>
        <w:spacing w:line="440" w:lineRule="exact"/>
        <w:jc w:val="right"/>
        <w:rPr>
          <w:rFonts w:hint="eastAsia" w:ascii="Times New Roman"/>
          <w:snapToGrid w:val="0"/>
          <w:color w:val="auto"/>
          <w:kern w:val="0"/>
          <w:highlight w:val="none"/>
        </w:rPr>
      </w:pPr>
    </w:p>
    <w:p>
      <w:pPr>
        <w:pStyle w:val="35"/>
        <w:wordWrap w:val="0"/>
        <w:adjustRightInd w:val="0"/>
        <w:snapToGrid w:val="0"/>
        <w:spacing w:line="440" w:lineRule="exact"/>
        <w:jc w:val="right"/>
        <w:rPr>
          <w:rFonts w:hint="eastAsia" w:ascii="Times New Roman"/>
          <w:snapToGrid w:val="0"/>
          <w:color w:val="auto"/>
          <w:kern w:val="0"/>
          <w:highlight w:val="none"/>
        </w:rPr>
      </w:pPr>
      <w:r>
        <w:rPr>
          <w:rFonts w:hint="eastAsia" w:ascii="Times New Roman"/>
          <w:snapToGrid w:val="0"/>
          <w:color w:val="auto"/>
          <w:kern w:val="0"/>
          <w:highlight w:val="none"/>
        </w:rPr>
        <w:t>项目经理：</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pPr>
        <w:pStyle w:val="35"/>
        <w:wordWrap w:val="0"/>
        <w:adjustRightInd w:val="0"/>
        <w:snapToGrid w:val="0"/>
        <w:spacing w:line="440" w:lineRule="exact"/>
        <w:jc w:val="right"/>
        <w:rPr>
          <w:rFonts w:hint="eastAsia" w:ascii="Times New Roman"/>
          <w:snapToGrid w:val="0"/>
          <w:color w:val="auto"/>
          <w:kern w:val="0"/>
          <w:highlight w:val="none"/>
        </w:rPr>
      </w:pPr>
    </w:p>
    <w:p>
      <w:pPr>
        <w:pStyle w:val="35"/>
        <w:wordWrap w:val="0"/>
        <w:adjustRightInd w:val="0"/>
        <w:snapToGrid w:val="0"/>
        <w:spacing w:line="44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pPr>
        <w:wordWrap w:val="0"/>
        <w:adjustRightInd w:val="0"/>
        <w:snapToGrid w:val="0"/>
        <w:spacing w:line="400" w:lineRule="exact"/>
        <w:ind w:firstLine="570"/>
        <w:rPr>
          <w:rFonts w:ascii="Times New Roman"/>
          <w:snapToGrid w:val="0"/>
          <w:color w:val="auto"/>
          <w:kern w:val="0"/>
          <w:szCs w:val="28"/>
          <w:highlight w:val="none"/>
        </w:rPr>
      </w:pPr>
    </w:p>
    <w:p>
      <w:pPr>
        <w:wordWrap w:val="0"/>
        <w:adjustRightInd w:val="0"/>
        <w:snapToGrid w:val="0"/>
        <w:spacing w:line="400" w:lineRule="exact"/>
        <w:rPr>
          <w:rFonts w:ascii="Times New Roman"/>
          <w:snapToGrid w:val="0"/>
          <w:color w:val="auto"/>
          <w:kern w:val="0"/>
          <w:sz w:val="21"/>
          <w:szCs w:val="28"/>
          <w:highlight w:val="none"/>
        </w:rPr>
      </w:pPr>
      <w:r>
        <w:rPr>
          <w:rFonts w:ascii="Times New Roman"/>
          <w:snapToGrid w:val="0"/>
          <w:color w:val="auto"/>
          <w:kern w:val="0"/>
          <w:sz w:val="21"/>
          <w:szCs w:val="28"/>
          <w:highlight w:val="none"/>
        </w:rPr>
        <w:t xml:space="preserve">   </w:t>
      </w:r>
      <w:r>
        <w:rPr>
          <w:rFonts w:hint="eastAsia" w:ascii="Times New Roman"/>
          <w:snapToGrid w:val="0"/>
          <w:color w:val="auto"/>
          <w:kern w:val="0"/>
          <w:sz w:val="21"/>
          <w:szCs w:val="28"/>
          <w:highlight w:val="none"/>
        </w:rPr>
        <w:t xml:space="preserve"> 说明：《项目经理简历表》后应附拟派项目经理以下资料：</w:t>
      </w:r>
    </w:p>
    <w:p>
      <w:pPr>
        <w:wordWrap w:val="0"/>
        <w:adjustRightInd w:val="0"/>
        <w:snapToGrid w:val="0"/>
        <w:spacing w:line="400" w:lineRule="exact"/>
        <w:rPr>
          <w:rFonts w:ascii="Times New Roman"/>
          <w:snapToGrid w:val="0"/>
          <w:color w:val="auto"/>
          <w:kern w:val="0"/>
          <w:sz w:val="21"/>
          <w:szCs w:val="28"/>
          <w:highlight w:val="none"/>
        </w:rPr>
      </w:pPr>
      <w:r>
        <w:rPr>
          <w:rFonts w:hint="eastAsia" w:ascii="Times New Roman"/>
          <w:snapToGrid w:val="0"/>
          <w:color w:val="auto"/>
          <w:kern w:val="0"/>
          <w:sz w:val="21"/>
          <w:szCs w:val="28"/>
          <w:highlight w:val="none"/>
        </w:rPr>
        <w:t xml:space="preserve">    1．身份证复印件</w:t>
      </w:r>
      <w:r>
        <w:rPr>
          <w:rFonts w:hint="eastAsia" w:ascii="Times New Roman"/>
          <w:snapToGrid w:val="0"/>
          <w:color w:val="auto"/>
          <w:kern w:val="0"/>
          <w:szCs w:val="21"/>
          <w:highlight w:val="none"/>
        </w:rPr>
        <w:t>（</w:t>
      </w:r>
      <w:r>
        <w:rPr>
          <w:rFonts w:hint="eastAsia" w:ascii="Times New Roman"/>
          <w:snapToGrid w:val="0"/>
          <w:color w:val="auto"/>
          <w:kern w:val="0"/>
          <w:sz w:val="21"/>
          <w:szCs w:val="21"/>
          <w:highlight w:val="none"/>
        </w:rPr>
        <w:t>或打印件</w:t>
      </w:r>
      <w:r>
        <w:rPr>
          <w:rFonts w:hint="eastAsia" w:ascii="Times New Roman"/>
          <w:snapToGrid w:val="0"/>
          <w:color w:val="auto"/>
          <w:kern w:val="0"/>
          <w:szCs w:val="21"/>
          <w:highlight w:val="none"/>
        </w:rPr>
        <w:t>）</w:t>
      </w:r>
      <w:r>
        <w:rPr>
          <w:rFonts w:hint="eastAsia" w:ascii="Times New Roman"/>
          <w:snapToGrid w:val="0"/>
          <w:color w:val="auto"/>
          <w:kern w:val="0"/>
          <w:sz w:val="21"/>
          <w:szCs w:val="28"/>
          <w:highlight w:val="none"/>
        </w:rPr>
        <w:t>；</w:t>
      </w:r>
    </w:p>
    <w:p>
      <w:pPr>
        <w:wordWrap w:val="0"/>
        <w:adjustRightInd w:val="0"/>
        <w:snapToGrid w:val="0"/>
        <w:spacing w:line="400" w:lineRule="exact"/>
        <w:ind w:firstLine="420"/>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Times New Roman"/>
          <w:snapToGrid w:val="0"/>
          <w:color w:val="auto"/>
          <w:kern w:val="0"/>
          <w:sz w:val="21"/>
          <w:szCs w:val="28"/>
          <w:highlight w:val="none"/>
        </w:rPr>
        <w:t>2．</w:t>
      </w:r>
      <w:r>
        <w:rPr>
          <w:rFonts w:hint="eastAsia" w:ascii="宋体" w:hAnsi="宋体" w:eastAsia="宋体" w:cs="宋体"/>
          <w:caps w:val="0"/>
          <w:smallCaps w:val="0"/>
          <w:snapToGrid w:val="0"/>
          <w:color w:val="auto"/>
          <w:spacing w:val="0"/>
          <w:kern w:val="0"/>
          <w:sz w:val="21"/>
          <w:szCs w:val="21"/>
          <w:highlight w:val="none"/>
          <w:lang w:val="en-US" w:eastAsia="zh-CN"/>
        </w:rPr>
        <w:t>建造师注册证书</w:t>
      </w:r>
      <w:r>
        <w:rPr>
          <w:rFonts w:hint="eastAsia" w:ascii="Times New Roman"/>
          <w:snapToGrid w:val="0"/>
          <w:color w:val="auto"/>
          <w:kern w:val="0"/>
          <w:sz w:val="21"/>
          <w:szCs w:val="21"/>
          <w:highlight w:val="none"/>
        </w:rPr>
        <w:t>扫描件</w:t>
      </w:r>
      <w:r>
        <w:rPr>
          <w:rFonts w:hint="eastAsia" w:ascii="宋体" w:hAnsi="宋体" w:eastAsia="宋体" w:cs="宋体"/>
          <w:caps w:val="0"/>
          <w:smallCaps w:val="0"/>
          <w:snapToGrid w:val="0"/>
          <w:color w:val="auto"/>
          <w:spacing w:val="0"/>
          <w:kern w:val="0"/>
          <w:sz w:val="21"/>
          <w:szCs w:val="21"/>
          <w:highlight w:val="none"/>
          <w:lang w:val="en-US" w:eastAsia="zh-CN"/>
        </w:rPr>
        <w:t>（须</w:t>
      </w:r>
      <w:r>
        <w:rPr>
          <w:rFonts w:hint="eastAsia" w:ascii="Times New Roman"/>
          <w:snapToGrid w:val="0"/>
          <w:color w:val="auto"/>
          <w:kern w:val="0"/>
          <w:sz w:val="21"/>
          <w:szCs w:val="21"/>
          <w:highlight w:val="none"/>
        </w:rPr>
        <w:t>扫描</w:t>
      </w:r>
      <w:r>
        <w:rPr>
          <w:rFonts w:hint="eastAsia" w:ascii="宋体" w:hAnsi="宋体" w:eastAsia="宋体" w:cs="宋体"/>
          <w:caps w:val="0"/>
          <w:smallCaps w:val="0"/>
          <w:snapToGrid w:val="0"/>
          <w:color w:val="auto"/>
          <w:spacing w:val="0"/>
          <w:kern w:val="0"/>
          <w:sz w:val="21"/>
          <w:szCs w:val="21"/>
          <w:highlight w:val="none"/>
          <w:lang w:val="en-US" w:eastAsia="zh-CN"/>
        </w:rPr>
        <w:t>至变更注册栏），或</w:t>
      </w:r>
      <w:r>
        <w:rPr>
          <w:rFonts w:hint="eastAsia" w:ascii="Times New Roman"/>
          <w:snapToGrid w:val="0"/>
          <w:color w:val="auto"/>
          <w:kern w:val="0"/>
          <w:sz w:val="21"/>
          <w:szCs w:val="21"/>
          <w:highlight w:val="none"/>
        </w:rPr>
        <w:t>电子注册证书（在使用有效期内的有效电子证书）扫描件</w:t>
      </w:r>
      <w:r>
        <w:rPr>
          <w:rFonts w:hint="eastAsia" w:ascii="宋体" w:hAnsi="宋体" w:eastAsia="宋体" w:cs="宋体"/>
          <w:caps w:val="0"/>
          <w:smallCaps w:val="0"/>
          <w:snapToGrid w:val="0"/>
          <w:color w:val="auto"/>
          <w:spacing w:val="0"/>
          <w:kern w:val="0"/>
          <w:sz w:val="21"/>
          <w:szCs w:val="21"/>
          <w:highlight w:val="none"/>
          <w:lang w:val="en-US" w:eastAsia="zh-CN"/>
        </w:rPr>
        <w:t>；</w:t>
      </w:r>
    </w:p>
    <w:p>
      <w:pPr>
        <w:wordWrap w:val="0"/>
        <w:adjustRightInd w:val="0"/>
        <w:snapToGrid w:val="0"/>
        <w:spacing w:line="400" w:lineRule="exact"/>
        <w:ind w:firstLine="420"/>
        <w:rPr>
          <w:rFonts w:ascii="Times New Roman"/>
          <w:snapToGrid w:val="0"/>
          <w:color w:val="auto"/>
          <w:kern w:val="0"/>
          <w:sz w:val="21"/>
          <w:szCs w:val="28"/>
          <w:highlight w:val="none"/>
        </w:rPr>
      </w:pPr>
      <w:r>
        <w:rPr>
          <w:rFonts w:hint="eastAsia" w:ascii="Times New Roman"/>
          <w:snapToGrid w:val="0"/>
          <w:color w:val="auto"/>
          <w:kern w:val="0"/>
          <w:sz w:val="21"/>
          <w:szCs w:val="28"/>
          <w:highlight w:val="none"/>
        </w:rPr>
        <w:t>3．B类安全生产考核合格证书复印件</w:t>
      </w:r>
      <w:r>
        <w:rPr>
          <w:rFonts w:hint="eastAsia" w:ascii="Times New Roman"/>
          <w:snapToGrid w:val="0"/>
          <w:color w:val="auto"/>
          <w:kern w:val="0"/>
          <w:szCs w:val="21"/>
          <w:highlight w:val="none"/>
        </w:rPr>
        <w:t>（</w:t>
      </w:r>
      <w:r>
        <w:rPr>
          <w:rFonts w:hint="eastAsia" w:ascii="Times New Roman"/>
          <w:snapToGrid w:val="0"/>
          <w:color w:val="auto"/>
          <w:kern w:val="0"/>
          <w:sz w:val="21"/>
          <w:szCs w:val="21"/>
          <w:highlight w:val="none"/>
        </w:rPr>
        <w:t>或打印件</w:t>
      </w:r>
      <w:r>
        <w:rPr>
          <w:rFonts w:hint="eastAsia" w:ascii="Times New Roman"/>
          <w:snapToGrid w:val="0"/>
          <w:color w:val="auto"/>
          <w:kern w:val="0"/>
          <w:szCs w:val="21"/>
          <w:highlight w:val="none"/>
        </w:rPr>
        <w:t>）</w:t>
      </w:r>
      <w:r>
        <w:rPr>
          <w:rFonts w:hint="eastAsia" w:ascii="Times New Roman"/>
          <w:snapToGrid w:val="0"/>
          <w:color w:val="auto"/>
          <w:kern w:val="0"/>
          <w:sz w:val="21"/>
          <w:szCs w:val="28"/>
          <w:highlight w:val="none"/>
        </w:rPr>
        <w:t>或广东省建筑施工企业管理人员安全生产考核系统考核合格信息打印页；</w:t>
      </w:r>
    </w:p>
    <w:p>
      <w:pPr>
        <w:wordWrap w:val="0"/>
        <w:adjustRightInd w:val="0"/>
        <w:snapToGrid w:val="0"/>
        <w:spacing w:line="400" w:lineRule="exact"/>
        <w:ind w:firstLine="420" w:firstLineChars="200"/>
        <w:rPr>
          <w:rFonts w:ascii="Times New Roman"/>
          <w:snapToGrid w:val="0"/>
          <w:color w:val="auto"/>
          <w:kern w:val="0"/>
          <w:sz w:val="21"/>
          <w:szCs w:val="21"/>
          <w:highlight w:val="none"/>
        </w:rPr>
      </w:pPr>
      <w:r>
        <w:rPr>
          <w:rFonts w:ascii="Times New Roman"/>
          <w:snapToGrid w:val="0"/>
          <w:color w:val="auto"/>
          <w:kern w:val="0"/>
          <w:sz w:val="21"/>
          <w:szCs w:val="28"/>
          <w:highlight w:val="none"/>
        </w:rPr>
        <w:t>4．在本单位缴纳社保的证明（至少</w:t>
      </w:r>
      <w:r>
        <w:rPr>
          <w:rFonts w:hint="eastAsia" w:ascii="Times New Roman"/>
          <w:snapToGrid w:val="0"/>
          <w:color w:val="auto"/>
          <w:kern w:val="0"/>
          <w:sz w:val="21"/>
          <w:szCs w:val="28"/>
          <w:highlight w:val="none"/>
          <w:lang w:val="en-US" w:eastAsia="zh-CN"/>
        </w:rPr>
        <w:t>三</w:t>
      </w:r>
      <w:r>
        <w:rPr>
          <w:rFonts w:ascii="Times New Roman"/>
          <w:snapToGrid w:val="0"/>
          <w:color w:val="auto"/>
          <w:kern w:val="0"/>
          <w:sz w:val="21"/>
          <w:szCs w:val="28"/>
          <w:highlight w:val="none"/>
        </w:rPr>
        <w:t>个月，其中必须有2022年</w:t>
      </w:r>
      <w:r>
        <w:rPr>
          <w:rFonts w:hint="eastAsia" w:ascii="Times New Roman"/>
          <w:snapToGrid w:val="0"/>
          <w:color w:val="auto"/>
          <w:kern w:val="0"/>
          <w:sz w:val="21"/>
          <w:szCs w:val="28"/>
          <w:highlight w:val="none"/>
          <w:lang w:val="en-US" w:eastAsia="zh-CN"/>
        </w:rPr>
        <w:t>7</w:t>
      </w:r>
      <w:r>
        <w:rPr>
          <w:rFonts w:ascii="Times New Roman"/>
          <w:snapToGrid w:val="0"/>
          <w:color w:val="auto"/>
          <w:kern w:val="0"/>
          <w:sz w:val="21"/>
          <w:szCs w:val="28"/>
          <w:highlight w:val="none"/>
        </w:rPr>
        <w:t>月）复印件或打印件。拟派项目经理为退休返聘人员无法提供社保证明的，提供退休证和劳动合同复印件</w:t>
      </w:r>
      <w:r>
        <w:rPr>
          <w:rFonts w:ascii="Times New Roman"/>
          <w:snapToGrid w:val="0"/>
          <w:color w:val="auto"/>
          <w:kern w:val="0"/>
          <w:sz w:val="21"/>
          <w:szCs w:val="21"/>
          <w:highlight w:val="none"/>
        </w:rPr>
        <w:t>或打印件。</w:t>
      </w:r>
    </w:p>
    <w:p>
      <w:pPr>
        <w:pStyle w:val="2"/>
        <w:rPr>
          <w:color w:val="auto"/>
          <w:highlight w:val="none"/>
        </w:rPr>
      </w:pPr>
    </w:p>
    <w:p>
      <w:pPr>
        <w:rPr>
          <w:color w:val="auto"/>
          <w:highlight w:val="none"/>
        </w:rPr>
      </w:pPr>
    </w:p>
    <w:p>
      <w:pPr>
        <w:pStyle w:val="5"/>
        <w:ind w:firstLine="0"/>
        <w:jc w:val="both"/>
        <w:rPr>
          <w:rFonts w:ascii="Times New Roman"/>
          <w:b/>
          <w:snapToGrid w:val="0"/>
          <w:color w:val="auto"/>
          <w:szCs w:val="22"/>
          <w:highlight w:val="none"/>
        </w:rPr>
      </w:pPr>
      <w:bookmarkStart w:id="177" w:name="_Toc10415"/>
      <w:r>
        <w:rPr>
          <w:rFonts w:ascii="Times New Roman"/>
          <w:b/>
          <w:snapToGrid w:val="0"/>
          <w:color w:val="auto"/>
          <w:szCs w:val="22"/>
          <w:highlight w:val="none"/>
        </w:rPr>
        <w:t>格式九 项目经理任职声明</w:t>
      </w:r>
      <w:bookmarkEnd w:id="177"/>
    </w:p>
    <w:p>
      <w:pPr>
        <w:wordWrap w:val="0"/>
        <w:adjustRightInd w:val="0"/>
        <w:snapToGrid w:val="0"/>
        <w:spacing w:before="260" w:after="260" w:line="440" w:lineRule="exact"/>
        <w:jc w:val="center"/>
        <w:rPr>
          <w:rFonts w:ascii="Times New Roman"/>
          <w:snapToGrid w:val="0"/>
          <w:color w:val="auto"/>
          <w:kern w:val="0"/>
          <w:szCs w:val="28"/>
          <w:highlight w:val="none"/>
        </w:rPr>
      </w:pPr>
      <w:r>
        <w:rPr>
          <w:rFonts w:ascii="Times New Roman"/>
          <w:b/>
          <w:snapToGrid w:val="0"/>
          <w:color w:val="auto"/>
          <w:kern w:val="0"/>
          <w:sz w:val="30"/>
          <w:highlight w:val="none"/>
        </w:rPr>
        <w:t>项目经理任职声明</w:t>
      </w:r>
    </w:p>
    <w:p>
      <w:pPr>
        <w:wordWrap w:val="0"/>
        <w:adjustRightInd w:val="0"/>
        <w:snapToGrid w:val="0"/>
        <w:spacing w:line="440" w:lineRule="exact"/>
        <w:jc w:val="center"/>
        <w:rPr>
          <w:rFonts w:ascii="Times New Roman"/>
          <w:snapToGrid w:val="0"/>
          <w:color w:val="auto"/>
          <w:kern w:val="0"/>
          <w:szCs w:val="28"/>
          <w:highlight w:val="none"/>
        </w:rPr>
      </w:pPr>
    </w:p>
    <w:p>
      <w:pPr>
        <w:wordWrap w:val="0"/>
        <w:adjustRightInd w:val="0"/>
        <w:snapToGrid w:val="0"/>
        <w:spacing w:line="440" w:lineRule="exact"/>
        <w:rPr>
          <w:rFonts w:ascii="Times New Roman"/>
          <w:snapToGrid w:val="0"/>
          <w:color w:val="auto"/>
          <w:kern w:val="0"/>
          <w:szCs w:val="28"/>
          <w:highlight w:val="none"/>
        </w:rPr>
      </w:pPr>
      <w:r>
        <w:rPr>
          <w:rFonts w:ascii="Times New Roman"/>
          <w:snapToGrid w:val="0"/>
          <w:color w:val="auto"/>
          <w:kern w:val="0"/>
          <w:szCs w:val="28"/>
          <w:highlight w:val="none"/>
        </w:rPr>
        <w:t>致：</w:t>
      </w:r>
      <w:r>
        <w:rPr>
          <w:rFonts w:ascii="Times New Roman"/>
          <w:snapToGrid w:val="0"/>
          <w:color w:val="auto"/>
          <w:kern w:val="0"/>
          <w:szCs w:val="28"/>
          <w:highlight w:val="none"/>
          <w:u w:val="single"/>
        </w:rPr>
        <w:t xml:space="preserve">                   </w:t>
      </w:r>
      <w:r>
        <w:rPr>
          <w:rFonts w:ascii="Times New Roman"/>
          <w:snapToGrid w:val="0"/>
          <w:color w:val="auto"/>
          <w:kern w:val="0"/>
          <w:szCs w:val="28"/>
          <w:highlight w:val="none"/>
        </w:rPr>
        <w:t>（招标人名称）：</w:t>
      </w:r>
    </w:p>
    <w:p>
      <w:pPr>
        <w:wordWrap w:val="0"/>
        <w:adjustRightInd w:val="0"/>
        <w:snapToGrid w:val="0"/>
        <w:spacing w:line="440" w:lineRule="exact"/>
        <w:rPr>
          <w:rFonts w:ascii="Times New Roman"/>
          <w:snapToGrid w:val="0"/>
          <w:color w:val="auto"/>
          <w:kern w:val="0"/>
          <w:szCs w:val="28"/>
          <w:highlight w:val="none"/>
        </w:rPr>
      </w:pPr>
      <w:r>
        <w:rPr>
          <w:rFonts w:ascii="Times New Roman"/>
          <w:snapToGrid w:val="0"/>
          <w:color w:val="auto"/>
          <w:kern w:val="0"/>
          <w:szCs w:val="28"/>
          <w:highlight w:val="none"/>
        </w:rPr>
        <w:t>　　我方在此声明，我方拟派往</w:t>
      </w:r>
      <w:r>
        <w:rPr>
          <w:rFonts w:ascii="Times New Roman"/>
          <w:snapToGrid w:val="0"/>
          <w:color w:val="auto"/>
          <w:kern w:val="0"/>
          <w:szCs w:val="28"/>
          <w:highlight w:val="none"/>
          <w:u w:val="single"/>
        </w:rPr>
        <w:t xml:space="preserve">        </w:t>
      </w:r>
      <w:r>
        <w:rPr>
          <w:rFonts w:ascii="Times New Roman"/>
          <w:snapToGrid w:val="0"/>
          <w:color w:val="auto"/>
          <w:kern w:val="0"/>
          <w:szCs w:val="28"/>
          <w:highlight w:val="none"/>
        </w:rPr>
        <w:t>（项目名称）的项目经理</w:t>
      </w:r>
      <w:r>
        <w:rPr>
          <w:rFonts w:ascii="Times New Roman"/>
          <w:snapToGrid w:val="0"/>
          <w:color w:val="auto"/>
          <w:kern w:val="0"/>
          <w:szCs w:val="28"/>
          <w:highlight w:val="none"/>
          <w:u w:val="single"/>
        </w:rPr>
        <w:t xml:space="preserve">           </w:t>
      </w:r>
      <w:r>
        <w:rPr>
          <w:rFonts w:ascii="Times New Roman"/>
          <w:snapToGrid w:val="0"/>
          <w:color w:val="auto"/>
          <w:kern w:val="0"/>
          <w:szCs w:val="28"/>
          <w:highlight w:val="none"/>
        </w:rPr>
        <w:t>（项目经理姓名）现阶段没有担任任何在施（包括已中标未开工、已开工未竣工）建设工程项目的项目经理。</w:t>
      </w:r>
    </w:p>
    <w:p>
      <w:pPr>
        <w:wordWrap w:val="0"/>
        <w:adjustRightInd w:val="0"/>
        <w:snapToGrid w:val="0"/>
        <w:spacing w:line="440" w:lineRule="exact"/>
        <w:ind w:firstLine="480"/>
        <w:rPr>
          <w:rFonts w:ascii="Times New Roman"/>
          <w:snapToGrid w:val="0"/>
          <w:color w:val="auto"/>
          <w:kern w:val="0"/>
          <w:szCs w:val="28"/>
          <w:highlight w:val="none"/>
        </w:rPr>
      </w:pPr>
      <w:r>
        <w:rPr>
          <w:rFonts w:ascii="Times New Roman"/>
          <w:snapToGrid w:val="0"/>
          <w:color w:val="auto"/>
          <w:kern w:val="0"/>
          <w:szCs w:val="28"/>
          <w:highlight w:val="none"/>
        </w:rPr>
        <w:t>我方保证上述信息的真实和准确，并愿意承担因我方就此弄虚作假所引起的一切法律后果。</w:t>
      </w:r>
    </w:p>
    <w:p>
      <w:pPr>
        <w:wordWrap w:val="0"/>
        <w:adjustRightInd w:val="0"/>
        <w:snapToGrid w:val="0"/>
        <w:spacing w:line="440" w:lineRule="exact"/>
        <w:ind w:firstLine="480"/>
        <w:rPr>
          <w:rFonts w:ascii="Times New Roman"/>
          <w:snapToGrid w:val="0"/>
          <w:color w:val="auto"/>
          <w:kern w:val="0"/>
          <w:szCs w:val="28"/>
          <w:highlight w:val="none"/>
        </w:rPr>
      </w:pPr>
      <w:r>
        <w:rPr>
          <w:rFonts w:ascii="Times New Roman"/>
          <w:snapToGrid w:val="0"/>
          <w:color w:val="auto"/>
          <w:kern w:val="0"/>
          <w:szCs w:val="28"/>
          <w:highlight w:val="none"/>
        </w:rPr>
        <w:t>　　</w:t>
      </w:r>
    </w:p>
    <w:p>
      <w:pPr>
        <w:wordWrap w:val="0"/>
        <w:adjustRightInd w:val="0"/>
        <w:snapToGrid w:val="0"/>
        <w:spacing w:line="440" w:lineRule="exact"/>
        <w:rPr>
          <w:rFonts w:ascii="Times New Roman"/>
          <w:snapToGrid w:val="0"/>
          <w:color w:val="auto"/>
          <w:kern w:val="0"/>
          <w:szCs w:val="28"/>
          <w:highlight w:val="none"/>
        </w:rPr>
      </w:pPr>
      <w:r>
        <w:rPr>
          <w:rFonts w:ascii="Times New Roman"/>
          <w:snapToGrid w:val="0"/>
          <w:color w:val="auto"/>
          <w:kern w:val="0"/>
          <w:szCs w:val="28"/>
          <w:highlight w:val="none"/>
        </w:rPr>
        <w:t>　　特此承诺　　</w:t>
      </w:r>
    </w:p>
    <w:p>
      <w:pPr>
        <w:wordWrap w:val="0"/>
        <w:adjustRightInd w:val="0"/>
        <w:snapToGrid w:val="0"/>
        <w:spacing w:line="440" w:lineRule="exact"/>
        <w:rPr>
          <w:rFonts w:ascii="Times New Roman"/>
          <w:snapToGrid w:val="0"/>
          <w:color w:val="auto"/>
          <w:kern w:val="0"/>
          <w:szCs w:val="28"/>
          <w:highlight w:val="none"/>
        </w:rPr>
      </w:pPr>
      <w:r>
        <w:rPr>
          <w:rFonts w:ascii="Times New Roman"/>
          <w:snapToGrid w:val="0"/>
          <w:color w:val="auto"/>
          <w:kern w:val="0"/>
          <w:szCs w:val="28"/>
          <w:highlight w:val="none"/>
        </w:rPr>
        <w:t>　　</w:t>
      </w:r>
    </w:p>
    <w:p>
      <w:pPr>
        <w:wordWrap w:val="0"/>
        <w:adjustRightInd w:val="0"/>
        <w:snapToGrid w:val="0"/>
        <w:spacing w:line="440" w:lineRule="exact"/>
        <w:rPr>
          <w:rFonts w:ascii="Times New Roman"/>
          <w:snapToGrid w:val="0"/>
          <w:color w:val="auto"/>
          <w:kern w:val="0"/>
          <w:szCs w:val="28"/>
          <w:highlight w:val="none"/>
        </w:rPr>
      </w:pPr>
      <w:r>
        <w:rPr>
          <w:rFonts w:ascii="Times New Roman"/>
          <w:snapToGrid w:val="0"/>
          <w:color w:val="auto"/>
          <w:kern w:val="0"/>
          <w:szCs w:val="28"/>
          <w:highlight w:val="none"/>
        </w:rPr>
        <w:t>　　</w:t>
      </w:r>
    </w:p>
    <w:p>
      <w:pPr>
        <w:wordWrap w:val="0"/>
        <w:adjustRightInd w:val="0"/>
        <w:snapToGrid w:val="0"/>
        <w:spacing w:line="440" w:lineRule="exact"/>
        <w:jc w:val="right"/>
        <w:rPr>
          <w:rFonts w:ascii="Times New Roman"/>
          <w:snapToGrid w:val="0"/>
          <w:color w:val="auto"/>
          <w:kern w:val="0"/>
          <w:szCs w:val="28"/>
          <w:highlight w:val="none"/>
        </w:rPr>
      </w:pPr>
      <w:r>
        <w:rPr>
          <w:rFonts w:ascii="Times New Roman"/>
          <w:snapToGrid w:val="0"/>
          <w:color w:val="auto"/>
          <w:kern w:val="0"/>
          <w:szCs w:val="28"/>
          <w:highlight w:val="none"/>
        </w:rPr>
        <w:t>投标人：</w:t>
      </w:r>
      <w:r>
        <w:rPr>
          <w:rFonts w:ascii="Times New Roman"/>
          <w:snapToGrid w:val="0"/>
          <w:color w:val="auto"/>
          <w:kern w:val="0"/>
          <w:szCs w:val="28"/>
          <w:highlight w:val="none"/>
          <w:u w:val="single"/>
        </w:rPr>
        <w:t xml:space="preserve">                                </w:t>
      </w:r>
      <w:r>
        <w:rPr>
          <w:rFonts w:ascii="Times New Roman"/>
          <w:snapToGrid w:val="0"/>
          <w:color w:val="auto"/>
          <w:kern w:val="0"/>
          <w:szCs w:val="28"/>
          <w:highlight w:val="none"/>
        </w:rPr>
        <w:t>（盖单位章）</w:t>
      </w:r>
    </w:p>
    <w:p>
      <w:pPr>
        <w:wordWrap w:val="0"/>
        <w:adjustRightInd w:val="0"/>
        <w:snapToGrid w:val="0"/>
        <w:spacing w:line="440" w:lineRule="exact"/>
        <w:jc w:val="right"/>
        <w:rPr>
          <w:rFonts w:ascii="Times New Roman"/>
          <w:snapToGrid w:val="0"/>
          <w:color w:val="auto"/>
          <w:kern w:val="0"/>
          <w:szCs w:val="28"/>
          <w:highlight w:val="none"/>
        </w:rPr>
      </w:pPr>
    </w:p>
    <w:p>
      <w:pPr>
        <w:wordWrap w:val="0"/>
        <w:adjustRightInd w:val="0"/>
        <w:snapToGrid w:val="0"/>
        <w:spacing w:line="440" w:lineRule="exact"/>
        <w:jc w:val="right"/>
        <w:rPr>
          <w:rFonts w:ascii="Times New Roman"/>
          <w:snapToGrid w:val="0"/>
          <w:color w:val="auto"/>
          <w:kern w:val="0"/>
          <w:szCs w:val="28"/>
          <w:highlight w:val="none"/>
        </w:rPr>
      </w:pPr>
    </w:p>
    <w:p>
      <w:pPr>
        <w:wordWrap w:val="0"/>
        <w:adjustRightInd w:val="0"/>
        <w:snapToGrid w:val="0"/>
        <w:spacing w:line="440" w:lineRule="exact"/>
        <w:jc w:val="right"/>
        <w:rPr>
          <w:rFonts w:ascii="Times New Roman"/>
          <w:snapToGrid w:val="0"/>
          <w:color w:val="auto"/>
          <w:kern w:val="0"/>
          <w:szCs w:val="28"/>
          <w:highlight w:val="none"/>
        </w:rPr>
      </w:pPr>
      <w:r>
        <w:rPr>
          <w:rFonts w:ascii="Times New Roman"/>
          <w:snapToGrid w:val="0"/>
          <w:color w:val="auto"/>
          <w:kern w:val="0"/>
          <w:szCs w:val="28"/>
          <w:highlight w:val="none"/>
        </w:rPr>
        <w:t>法定代表人或其委托代理人：</w:t>
      </w:r>
      <w:r>
        <w:rPr>
          <w:rFonts w:ascii="Times New Roman"/>
          <w:snapToGrid w:val="0"/>
          <w:color w:val="auto"/>
          <w:kern w:val="0"/>
          <w:szCs w:val="28"/>
          <w:highlight w:val="none"/>
          <w:u w:val="single"/>
        </w:rPr>
        <w:t xml:space="preserve">             </w:t>
      </w:r>
      <w:r>
        <w:rPr>
          <w:rFonts w:ascii="Times New Roman"/>
          <w:snapToGrid w:val="0"/>
          <w:color w:val="auto"/>
          <w:kern w:val="0"/>
          <w:szCs w:val="28"/>
          <w:highlight w:val="none"/>
        </w:rPr>
        <w:t>（签字或盖章）</w:t>
      </w:r>
    </w:p>
    <w:p>
      <w:pPr>
        <w:wordWrap w:val="0"/>
        <w:adjustRightInd w:val="0"/>
        <w:snapToGrid w:val="0"/>
        <w:spacing w:line="440" w:lineRule="exact"/>
        <w:jc w:val="right"/>
        <w:rPr>
          <w:rFonts w:ascii="Times New Roman"/>
          <w:snapToGrid w:val="0"/>
          <w:color w:val="auto"/>
          <w:kern w:val="0"/>
          <w:szCs w:val="28"/>
          <w:highlight w:val="none"/>
        </w:rPr>
      </w:pPr>
    </w:p>
    <w:p>
      <w:pPr>
        <w:wordWrap w:val="0"/>
        <w:adjustRightInd w:val="0"/>
        <w:snapToGrid w:val="0"/>
        <w:spacing w:line="440" w:lineRule="exact"/>
        <w:jc w:val="center"/>
        <w:rPr>
          <w:rFonts w:ascii="Times New Roman"/>
          <w:snapToGrid w:val="0"/>
          <w:color w:val="auto"/>
          <w:kern w:val="0"/>
          <w:szCs w:val="28"/>
          <w:highlight w:val="none"/>
        </w:rPr>
      </w:pPr>
      <w:r>
        <w:rPr>
          <w:rFonts w:ascii="Times New Roman"/>
          <w:snapToGrid w:val="0"/>
          <w:color w:val="auto"/>
          <w:kern w:val="0"/>
          <w:szCs w:val="28"/>
          <w:highlight w:val="none"/>
        </w:rPr>
        <w:t xml:space="preserve">                            </w:t>
      </w:r>
      <w:r>
        <w:rPr>
          <w:rFonts w:ascii="Times New Roman"/>
          <w:snapToGrid w:val="0"/>
          <w:color w:val="auto"/>
          <w:kern w:val="0"/>
          <w:szCs w:val="28"/>
          <w:highlight w:val="none"/>
          <w:u w:val="single"/>
        </w:rPr>
        <w:t xml:space="preserve">         </w:t>
      </w:r>
      <w:r>
        <w:rPr>
          <w:rFonts w:ascii="Times New Roman"/>
          <w:snapToGrid w:val="0"/>
          <w:color w:val="auto"/>
          <w:kern w:val="0"/>
          <w:szCs w:val="28"/>
          <w:highlight w:val="none"/>
        </w:rPr>
        <w:t>年</w:t>
      </w:r>
      <w:r>
        <w:rPr>
          <w:rFonts w:ascii="Times New Roman"/>
          <w:snapToGrid w:val="0"/>
          <w:color w:val="auto"/>
          <w:kern w:val="0"/>
          <w:szCs w:val="28"/>
          <w:highlight w:val="none"/>
          <w:u w:val="single"/>
        </w:rPr>
        <w:t xml:space="preserve">        </w:t>
      </w:r>
      <w:r>
        <w:rPr>
          <w:rFonts w:ascii="Times New Roman"/>
          <w:snapToGrid w:val="0"/>
          <w:color w:val="auto"/>
          <w:kern w:val="0"/>
          <w:szCs w:val="28"/>
          <w:highlight w:val="none"/>
        </w:rPr>
        <w:t>月</w:t>
      </w:r>
      <w:r>
        <w:rPr>
          <w:rFonts w:ascii="Times New Roman"/>
          <w:snapToGrid w:val="0"/>
          <w:color w:val="auto"/>
          <w:kern w:val="0"/>
          <w:szCs w:val="28"/>
          <w:highlight w:val="none"/>
          <w:u w:val="single"/>
        </w:rPr>
        <w:t xml:space="preserve">        </w:t>
      </w:r>
      <w:r>
        <w:rPr>
          <w:rFonts w:ascii="Times New Roman"/>
          <w:snapToGrid w:val="0"/>
          <w:color w:val="auto"/>
          <w:kern w:val="0"/>
          <w:szCs w:val="28"/>
          <w:highlight w:val="none"/>
        </w:rPr>
        <w:t>日</w:t>
      </w:r>
    </w:p>
    <w:p>
      <w:pPr>
        <w:wordWrap w:val="0"/>
        <w:adjustRightInd w:val="0"/>
        <w:snapToGrid w:val="0"/>
        <w:spacing w:line="440" w:lineRule="exact"/>
        <w:rPr>
          <w:rFonts w:ascii="Times New Roman"/>
          <w:snapToGrid w:val="0"/>
          <w:color w:val="auto"/>
          <w:kern w:val="0"/>
          <w:szCs w:val="28"/>
          <w:highlight w:val="none"/>
        </w:rPr>
        <w:sectPr>
          <w:endnotePr>
            <w:numFmt w:val="decimal"/>
          </w:endnotePr>
          <w:pgSz w:w="11906" w:h="16838"/>
          <w:pgMar w:top="1701" w:right="1531" w:bottom="1417" w:left="1531" w:header="850" w:footer="992" w:gutter="0"/>
          <w:cols w:space="720" w:num="1"/>
          <w:docGrid w:linePitch="327" w:charSpace="0"/>
        </w:sectPr>
      </w:pPr>
    </w:p>
    <w:p>
      <w:pPr>
        <w:pStyle w:val="5"/>
        <w:keepNext w:val="0"/>
        <w:keepLines w:val="0"/>
        <w:widowControl w:val="0"/>
        <w:wordWrap w:val="0"/>
        <w:adjustRightInd w:val="0"/>
        <w:snapToGrid w:val="0"/>
        <w:spacing w:before="0" w:after="0" w:line="440" w:lineRule="exact"/>
        <w:ind w:firstLine="0"/>
        <w:jc w:val="left"/>
        <w:rPr>
          <w:rFonts w:hint="eastAsia" w:ascii="Times New Roman" w:eastAsia="宋体"/>
          <w:b/>
          <w:snapToGrid w:val="0"/>
          <w:color w:val="auto"/>
          <w:highlight w:val="none"/>
          <w:lang w:eastAsia="zh-CN"/>
        </w:rPr>
      </w:pPr>
      <w:bookmarkStart w:id="178" w:name="_Toc11773"/>
      <w:r>
        <w:rPr>
          <w:rFonts w:ascii="Times New Roman"/>
          <w:b/>
          <w:snapToGrid w:val="0"/>
          <w:color w:val="auto"/>
          <w:highlight w:val="none"/>
        </w:rPr>
        <w:t>格式十 项目技术负责人简历表</w:t>
      </w:r>
      <w:bookmarkEnd w:id="178"/>
    </w:p>
    <w:p>
      <w:pPr>
        <w:pStyle w:val="6"/>
        <w:rPr>
          <w:rFonts w:hint="eastAsia"/>
          <w:lang w:eastAsia="zh-CN"/>
        </w:rPr>
      </w:pPr>
    </w:p>
    <w:tbl>
      <w:tblPr>
        <w:tblStyle w:val="18"/>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以项目技术负责人身份参与过的主要业绩（已完工项目）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质量等级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bl>
    <w:p>
      <w:pPr>
        <w:jc w:val="center"/>
        <w:rPr>
          <w:b/>
          <w:bCs/>
          <w:color w:val="auto"/>
          <w:sz w:val="30"/>
          <w:szCs w:val="30"/>
          <w:highlight w:val="none"/>
        </w:rPr>
      </w:pPr>
      <w:r>
        <w:rPr>
          <w:b/>
          <w:bCs/>
          <w:color w:val="auto"/>
          <w:sz w:val="30"/>
          <w:szCs w:val="30"/>
          <w:highlight w:val="none"/>
        </w:rPr>
        <w:t>项目技术负责人简历表</w:t>
      </w:r>
    </w:p>
    <w:p>
      <w:pPr>
        <w:wordWrap w:val="0"/>
        <w:adjustRightInd w:val="0"/>
        <w:snapToGrid w:val="0"/>
        <w:spacing w:line="440" w:lineRule="exact"/>
        <w:ind w:firstLine="570"/>
        <w:rPr>
          <w:rFonts w:ascii="Times New Roman"/>
          <w:snapToGrid w:val="0"/>
          <w:color w:val="auto"/>
          <w:kern w:val="0"/>
          <w:szCs w:val="28"/>
          <w:highlight w:val="none"/>
        </w:rPr>
      </w:pPr>
    </w:p>
    <w:p>
      <w:pPr>
        <w:pStyle w:val="35"/>
        <w:wordWrap w:val="0"/>
        <w:adjustRightInd w:val="0"/>
        <w:snapToGrid w:val="0"/>
        <w:spacing w:line="440" w:lineRule="exact"/>
        <w:jc w:val="right"/>
        <w:rPr>
          <w:rFonts w:hint="eastAsia" w:ascii="Times New Roman"/>
          <w:snapToGrid w:val="0"/>
          <w:color w:val="auto"/>
          <w:kern w:val="0"/>
          <w:highlight w:val="none"/>
        </w:rPr>
      </w:pPr>
    </w:p>
    <w:p>
      <w:pPr>
        <w:pStyle w:val="35"/>
        <w:wordWrap w:val="0"/>
        <w:adjustRightInd w:val="0"/>
        <w:snapToGrid w:val="0"/>
        <w:spacing w:line="440" w:lineRule="exact"/>
        <w:jc w:val="right"/>
        <w:rPr>
          <w:rFonts w:hint="eastAsia" w:ascii="Times New Roman"/>
          <w:snapToGrid w:val="0"/>
          <w:color w:val="auto"/>
          <w:kern w:val="0"/>
          <w:highlight w:val="none"/>
        </w:rPr>
      </w:pPr>
      <w:r>
        <w:rPr>
          <w:rFonts w:hint="eastAsia" w:ascii="Times New Roman"/>
          <w:snapToGrid w:val="0"/>
          <w:color w:val="auto"/>
          <w:kern w:val="0"/>
          <w:highlight w:val="none"/>
        </w:rPr>
        <w:t>项目技术负责人：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pPr>
        <w:pStyle w:val="35"/>
        <w:wordWrap w:val="0"/>
        <w:adjustRightInd w:val="0"/>
        <w:snapToGrid w:val="0"/>
        <w:spacing w:line="440" w:lineRule="exact"/>
        <w:jc w:val="right"/>
        <w:rPr>
          <w:rFonts w:hint="eastAsia" w:ascii="Times New Roman"/>
          <w:snapToGrid w:val="0"/>
          <w:color w:val="auto"/>
          <w:kern w:val="0"/>
          <w:highlight w:val="none"/>
        </w:rPr>
      </w:pPr>
    </w:p>
    <w:p>
      <w:pPr>
        <w:pStyle w:val="35"/>
        <w:wordWrap w:val="0"/>
        <w:adjustRightInd w:val="0"/>
        <w:snapToGrid w:val="0"/>
        <w:spacing w:line="44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pPr>
        <w:wordWrap w:val="0"/>
        <w:adjustRightInd w:val="0"/>
        <w:snapToGrid w:val="0"/>
        <w:spacing w:line="400" w:lineRule="exact"/>
        <w:ind w:firstLine="570"/>
        <w:rPr>
          <w:rFonts w:ascii="Times New Roman"/>
          <w:snapToGrid w:val="0"/>
          <w:color w:val="auto"/>
          <w:kern w:val="0"/>
          <w:szCs w:val="28"/>
          <w:highlight w:val="none"/>
        </w:rPr>
      </w:pPr>
    </w:p>
    <w:p>
      <w:pPr>
        <w:wordWrap w:val="0"/>
        <w:adjustRightInd w:val="0"/>
        <w:snapToGrid w:val="0"/>
        <w:spacing w:line="400" w:lineRule="exact"/>
        <w:rPr>
          <w:rFonts w:ascii="Times New Roman"/>
          <w:snapToGrid w:val="0"/>
          <w:color w:val="auto"/>
          <w:kern w:val="0"/>
          <w:sz w:val="21"/>
          <w:szCs w:val="28"/>
          <w:highlight w:val="none"/>
        </w:rPr>
      </w:pPr>
      <w:r>
        <w:rPr>
          <w:rFonts w:ascii="Times New Roman"/>
          <w:snapToGrid w:val="0"/>
          <w:color w:val="auto"/>
          <w:kern w:val="0"/>
          <w:sz w:val="21"/>
          <w:szCs w:val="28"/>
          <w:highlight w:val="none"/>
        </w:rPr>
        <w:t xml:space="preserve">    说明：《项目技术负责人简历表》后应附拟派项目技术负责人以下资料：</w:t>
      </w:r>
    </w:p>
    <w:p>
      <w:pPr>
        <w:wordWrap w:val="0"/>
        <w:adjustRightInd w:val="0"/>
        <w:snapToGrid w:val="0"/>
        <w:spacing w:line="400" w:lineRule="exact"/>
        <w:rPr>
          <w:rFonts w:ascii="Times New Roman"/>
          <w:snapToGrid w:val="0"/>
          <w:color w:val="auto"/>
          <w:kern w:val="0"/>
          <w:sz w:val="21"/>
          <w:szCs w:val="28"/>
          <w:highlight w:val="none"/>
        </w:rPr>
      </w:pPr>
      <w:r>
        <w:rPr>
          <w:rFonts w:ascii="Times New Roman"/>
          <w:snapToGrid w:val="0"/>
          <w:color w:val="auto"/>
          <w:kern w:val="0"/>
          <w:sz w:val="21"/>
          <w:szCs w:val="28"/>
          <w:highlight w:val="none"/>
        </w:rPr>
        <w:t xml:space="preserve">    1．身份证复印件</w:t>
      </w:r>
      <w:r>
        <w:rPr>
          <w:rFonts w:ascii="Times New Roman"/>
          <w:snapToGrid w:val="0"/>
          <w:color w:val="auto"/>
          <w:kern w:val="0"/>
          <w:szCs w:val="21"/>
          <w:highlight w:val="none"/>
        </w:rPr>
        <w:t>（</w:t>
      </w:r>
      <w:r>
        <w:rPr>
          <w:rFonts w:ascii="Times New Roman"/>
          <w:snapToGrid w:val="0"/>
          <w:color w:val="auto"/>
          <w:kern w:val="0"/>
          <w:sz w:val="21"/>
          <w:szCs w:val="21"/>
          <w:highlight w:val="none"/>
        </w:rPr>
        <w:t>或打印件</w:t>
      </w:r>
      <w:r>
        <w:rPr>
          <w:rFonts w:ascii="Times New Roman"/>
          <w:snapToGrid w:val="0"/>
          <w:color w:val="auto"/>
          <w:kern w:val="0"/>
          <w:szCs w:val="21"/>
          <w:highlight w:val="none"/>
        </w:rPr>
        <w:t>）</w:t>
      </w:r>
      <w:r>
        <w:rPr>
          <w:rFonts w:ascii="Times New Roman"/>
          <w:snapToGrid w:val="0"/>
          <w:color w:val="auto"/>
          <w:kern w:val="0"/>
          <w:sz w:val="21"/>
          <w:szCs w:val="28"/>
          <w:highlight w:val="none"/>
        </w:rPr>
        <w:t>；</w:t>
      </w:r>
    </w:p>
    <w:p>
      <w:pPr>
        <w:wordWrap w:val="0"/>
        <w:adjustRightInd w:val="0"/>
        <w:snapToGrid w:val="0"/>
        <w:spacing w:line="400" w:lineRule="exact"/>
        <w:rPr>
          <w:rFonts w:ascii="Times New Roman"/>
          <w:snapToGrid w:val="0"/>
          <w:color w:val="auto"/>
          <w:kern w:val="0"/>
          <w:sz w:val="21"/>
          <w:szCs w:val="28"/>
          <w:highlight w:val="none"/>
        </w:rPr>
      </w:pPr>
      <w:r>
        <w:rPr>
          <w:rFonts w:ascii="Times New Roman"/>
          <w:snapToGrid w:val="0"/>
          <w:color w:val="auto"/>
          <w:kern w:val="0"/>
          <w:sz w:val="21"/>
          <w:szCs w:val="28"/>
          <w:highlight w:val="none"/>
        </w:rPr>
        <w:t xml:space="preserve">    2．职称证复印件</w:t>
      </w:r>
      <w:r>
        <w:rPr>
          <w:rFonts w:ascii="Times New Roman"/>
          <w:snapToGrid w:val="0"/>
          <w:color w:val="auto"/>
          <w:kern w:val="0"/>
          <w:szCs w:val="21"/>
          <w:highlight w:val="none"/>
        </w:rPr>
        <w:t>（</w:t>
      </w:r>
      <w:r>
        <w:rPr>
          <w:rFonts w:ascii="Times New Roman"/>
          <w:snapToGrid w:val="0"/>
          <w:color w:val="auto"/>
          <w:kern w:val="0"/>
          <w:sz w:val="21"/>
          <w:szCs w:val="21"/>
          <w:highlight w:val="none"/>
        </w:rPr>
        <w:t>或打印件</w:t>
      </w:r>
      <w:r>
        <w:rPr>
          <w:rFonts w:ascii="Times New Roman"/>
          <w:snapToGrid w:val="0"/>
          <w:color w:val="auto"/>
          <w:kern w:val="0"/>
          <w:szCs w:val="21"/>
          <w:highlight w:val="none"/>
        </w:rPr>
        <w:t>）</w:t>
      </w:r>
      <w:r>
        <w:rPr>
          <w:rFonts w:ascii="Times New Roman"/>
          <w:snapToGrid w:val="0"/>
          <w:color w:val="auto"/>
          <w:kern w:val="0"/>
          <w:sz w:val="21"/>
          <w:szCs w:val="28"/>
          <w:highlight w:val="none"/>
        </w:rPr>
        <w:t>；</w:t>
      </w:r>
    </w:p>
    <w:p>
      <w:pPr>
        <w:wordWrap w:val="0"/>
        <w:adjustRightInd w:val="0"/>
        <w:snapToGrid w:val="0"/>
        <w:spacing w:line="400" w:lineRule="exact"/>
        <w:ind w:firstLine="420" w:firstLineChars="200"/>
        <w:rPr>
          <w:rFonts w:ascii="Times New Roman"/>
          <w:snapToGrid w:val="0"/>
          <w:color w:val="auto"/>
          <w:kern w:val="0"/>
          <w:sz w:val="21"/>
          <w:szCs w:val="28"/>
          <w:highlight w:val="none"/>
        </w:rPr>
      </w:pPr>
      <w:r>
        <w:rPr>
          <w:rFonts w:ascii="Times New Roman"/>
          <w:snapToGrid w:val="0"/>
          <w:color w:val="auto"/>
          <w:kern w:val="0"/>
          <w:sz w:val="21"/>
          <w:szCs w:val="28"/>
          <w:highlight w:val="none"/>
        </w:rPr>
        <w:t>3．在本单位缴纳社保的证明（至少</w:t>
      </w:r>
      <w:r>
        <w:rPr>
          <w:rFonts w:hint="eastAsia" w:ascii="Times New Roman"/>
          <w:snapToGrid w:val="0"/>
          <w:color w:val="auto"/>
          <w:kern w:val="0"/>
          <w:sz w:val="21"/>
          <w:szCs w:val="28"/>
          <w:highlight w:val="none"/>
          <w:lang w:val="en-US" w:eastAsia="zh-CN"/>
        </w:rPr>
        <w:t>三</w:t>
      </w:r>
      <w:r>
        <w:rPr>
          <w:rFonts w:ascii="Times New Roman"/>
          <w:snapToGrid w:val="0"/>
          <w:color w:val="auto"/>
          <w:kern w:val="0"/>
          <w:sz w:val="21"/>
          <w:szCs w:val="28"/>
          <w:highlight w:val="none"/>
        </w:rPr>
        <w:t>个月，其中必须有2022年</w:t>
      </w:r>
      <w:r>
        <w:rPr>
          <w:rFonts w:hint="eastAsia" w:ascii="Times New Roman"/>
          <w:snapToGrid w:val="0"/>
          <w:color w:val="auto"/>
          <w:kern w:val="0"/>
          <w:sz w:val="21"/>
          <w:szCs w:val="28"/>
          <w:highlight w:val="none"/>
          <w:lang w:val="en-US" w:eastAsia="zh-CN"/>
        </w:rPr>
        <w:t>7</w:t>
      </w:r>
      <w:r>
        <w:rPr>
          <w:rFonts w:ascii="Times New Roman"/>
          <w:snapToGrid w:val="0"/>
          <w:color w:val="auto"/>
          <w:kern w:val="0"/>
          <w:sz w:val="21"/>
          <w:szCs w:val="28"/>
          <w:highlight w:val="none"/>
        </w:rPr>
        <w:t>月）复印件或打印件。拟派项目技术负责人为退休返聘人员无法提供社保证明的，提供退休证和劳动合同复印件</w:t>
      </w:r>
      <w:r>
        <w:rPr>
          <w:rFonts w:ascii="Times New Roman"/>
          <w:snapToGrid w:val="0"/>
          <w:color w:val="auto"/>
          <w:kern w:val="0"/>
          <w:sz w:val="21"/>
          <w:szCs w:val="21"/>
          <w:highlight w:val="none"/>
        </w:rPr>
        <w:t>或打印件</w:t>
      </w:r>
      <w:r>
        <w:rPr>
          <w:rFonts w:ascii="Times New Roman"/>
          <w:snapToGrid w:val="0"/>
          <w:color w:val="auto"/>
          <w:kern w:val="0"/>
          <w:sz w:val="21"/>
          <w:highlight w:val="none"/>
        </w:rPr>
        <w:t>。</w:t>
      </w:r>
    </w:p>
    <w:p>
      <w:pPr>
        <w:pStyle w:val="34"/>
        <w:widowControl w:val="0"/>
        <w:wordWrap w:val="0"/>
        <w:adjustRightInd w:val="0"/>
        <w:snapToGrid w:val="0"/>
        <w:spacing w:line="400" w:lineRule="exact"/>
        <w:rPr>
          <w:rFonts w:hint="eastAsia" w:ascii="Times New Roman"/>
          <w:snapToGrid w:val="0"/>
          <w:color w:val="auto"/>
          <w:sz w:val="21"/>
          <w:szCs w:val="28"/>
          <w:highlight w:val="none"/>
        </w:rPr>
        <w:sectPr>
          <w:endnotePr>
            <w:numFmt w:val="decimal"/>
          </w:endnotePr>
          <w:pgSz w:w="11906" w:h="16838"/>
          <w:pgMar w:top="1701" w:right="1531" w:bottom="1417" w:left="1531" w:header="850" w:footer="992" w:gutter="0"/>
          <w:cols w:space="720" w:num="1"/>
          <w:docGrid w:linePitch="327" w:charSpace="0"/>
        </w:sectPr>
      </w:pPr>
    </w:p>
    <w:bookmarkEnd w:id="162"/>
    <w:bookmarkEnd w:id="163"/>
    <w:p>
      <w:pPr>
        <w:pStyle w:val="5"/>
        <w:keepNext w:val="0"/>
        <w:keepLines w:val="0"/>
        <w:widowControl w:val="0"/>
        <w:wordWrap w:val="0"/>
        <w:adjustRightInd w:val="0"/>
        <w:snapToGrid w:val="0"/>
        <w:spacing w:before="0" w:after="0" w:line="440" w:lineRule="exact"/>
        <w:ind w:firstLine="0"/>
        <w:jc w:val="left"/>
        <w:rPr>
          <w:rFonts w:hint="eastAsia" w:ascii="Times New Roman" w:eastAsia="宋体"/>
          <w:b/>
          <w:snapToGrid w:val="0"/>
          <w:color w:val="auto"/>
          <w:szCs w:val="22"/>
          <w:highlight w:val="none"/>
          <w:lang w:eastAsia="zh-CN"/>
        </w:rPr>
      </w:pPr>
      <w:bookmarkStart w:id="179" w:name="_Toc17556"/>
      <w:bookmarkStart w:id="180" w:name="_Toc8264"/>
      <w:bookmarkStart w:id="181" w:name="_Toc200338098"/>
      <w:r>
        <w:rPr>
          <w:rFonts w:ascii="Times New Roman"/>
          <w:b/>
          <w:snapToGrid w:val="0"/>
          <w:color w:val="auto"/>
          <w:szCs w:val="22"/>
          <w:highlight w:val="none"/>
        </w:rPr>
        <w:t>格式十一 专职安全员简历表</w:t>
      </w:r>
      <w:bookmarkEnd w:id="179"/>
    </w:p>
    <w:p>
      <w:pPr>
        <w:pStyle w:val="6"/>
        <w:rPr>
          <w:rFonts w:hint="eastAsia"/>
          <w:lang w:eastAsia="zh-CN"/>
        </w:rPr>
      </w:pPr>
    </w:p>
    <w:tbl>
      <w:tblPr>
        <w:tblStyle w:val="18"/>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以专职安全员身份参与过的主要业绩（已完工项目）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质量等级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r>
    </w:tbl>
    <w:p>
      <w:pPr>
        <w:jc w:val="center"/>
        <w:rPr>
          <w:b/>
          <w:bCs/>
          <w:color w:val="auto"/>
          <w:sz w:val="30"/>
          <w:szCs w:val="30"/>
          <w:highlight w:val="none"/>
        </w:rPr>
      </w:pPr>
      <w:r>
        <w:rPr>
          <w:b/>
          <w:bCs/>
          <w:color w:val="auto"/>
          <w:sz w:val="30"/>
          <w:szCs w:val="30"/>
          <w:highlight w:val="none"/>
        </w:rPr>
        <w:t>专职安全员简历表</w:t>
      </w:r>
    </w:p>
    <w:p>
      <w:pPr>
        <w:wordWrap w:val="0"/>
        <w:adjustRightInd w:val="0"/>
        <w:snapToGrid w:val="0"/>
        <w:spacing w:line="440" w:lineRule="exact"/>
        <w:ind w:firstLine="570"/>
        <w:rPr>
          <w:rFonts w:ascii="Times New Roman"/>
          <w:snapToGrid w:val="0"/>
          <w:color w:val="auto"/>
          <w:kern w:val="0"/>
          <w:szCs w:val="28"/>
          <w:highlight w:val="none"/>
        </w:rPr>
      </w:pPr>
    </w:p>
    <w:p>
      <w:pPr>
        <w:pStyle w:val="35"/>
        <w:wordWrap w:val="0"/>
        <w:adjustRightInd w:val="0"/>
        <w:snapToGrid w:val="0"/>
        <w:spacing w:line="440" w:lineRule="exact"/>
        <w:jc w:val="right"/>
        <w:rPr>
          <w:rFonts w:hint="eastAsia" w:ascii="Times New Roman"/>
          <w:snapToGrid w:val="0"/>
          <w:color w:val="auto"/>
          <w:kern w:val="0"/>
          <w:highlight w:val="none"/>
        </w:rPr>
      </w:pPr>
    </w:p>
    <w:p>
      <w:pPr>
        <w:pStyle w:val="35"/>
        <w:wordWrap w:val="0"/>
        <w:adjustRightInd w:val="0"/>
        <w:snapToGrid w:val="0"/>
        <w:spacing w:line="440" w:lineRule="exact"/>
        <w:jc w:val="right"/>
        <w:rPr>
          <w:rFonts w:hint="eastAsia" w:ascii="Times New Roman"/>
          <w:snapToGrid w:val="0"/>
          <w:color w:val="auto"/>
          <w:kern w:val="0"/>
          <w:highlight w:val="none"/>
        </w:rPr>
      </w:pPr>
      <w:r>
        <w:rPr>
          <w:rFonts w:hint="eastAsia" w:ascii="Times New Roman"/>
          <w:snapToGrid w:val="0"/>
          <w:color w:val="auto"/>
          <w:kern w:val="0"/>
          <w:highlight w:val="none"/>
        </w:rPr>
        <w:t>专职安全员：</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pPr>
        <w:pStyle w:val="35"/>
        <w:wordWrap w:val="0"/>
        <w:adjustRightInd w:val="0"/>
        <w:snapToGrid w:val="0"/>
        <w:spacing w:line="440" w:lineRule="exact"/>
        <w:jc w:val="right"/>
        <w:rPr>
          <w:rFonts w:hint="eastAsia" w:ascii="Times New Roman"/>
          <w:snapToGrid w:val="0"/>
          <w:color w:val="auto"/>
          <w:kern w:val="0"/>
          <w:highlight w:val="none"/>
        </w:rPr>
      </w:pPr>
    </w:p>
    <w:p>
      <w:pPr>
        <w:pStyle w:val="35"/>
        <w:wordWrap w:val="0"/>
        <w:adjustRightInd w:val="0"/>
        <w:snapToGrid w:val="0"/>
        <w:spacing w:line="44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pPr>
        <w:wordWrap w:val="0"/>
        <w:adjustRightInd w:val="0"/>
        <w:snapToGrid w:val="0"/>
        <w:spacing w:line="400" w:lineRule="exact"/>
        <w:ind w:firstLine="570"/>
        <w:rPr>
          <w:rFonts w:ascii="Times New Roman"/>
          <w:snapToGrid w:val="0"/>
          <w:color w:val="auto"/>
          <w:kern w:val="0"/>
          <w:szCs w:val="28"/>
          <w:highlight w:val="none"/>
        </w:rPr>
      </w:pPr>
    </w:p>
    <w:p>
      <w:pPr>
        <w:wordWrap w:val="0"/>
        <w:adjustRightInd w:val="0"/>
        <w:snapToGrid w:val="0"/>
        <w:spacing w:line="400" w:lineRule="exact"/>
        <w:rPr>
          <w:rFonts w:ascii="Times New Roman"/>
          <w:snapToGrid w:val="0"/>
          <w:color w:val="auto"/>
          <w:kern w:val="0"/>
          <w:sz w:val="21"/>
          <w:szCs w:val="28"/>
          <w:highlight w:val="none"/>
        </w:rPr>
      </w:pPr>
      <w:r>
        <w:rPr>
          <w:rFonts w:ascii="Times New Roman"/>
          <w:snapToGrid w:val="0"/>
          <w:color w:val="auto"/>
          <w:kern w:val="0"/>
          <w:sz w:val="21"/>
          <w:szCs w:val="28"/>
          <w:highlight w:val="none"/>
        </w:rPr>
        <w:t xml:space="preserve">    说明：《专职安全员简历表》后应附拟派专职安全员以下资料：</w:t>
      </w:r>
    </w:p>
    <w:p>
      <w:pPr>
        <w:wordWrap w:val="0"/>
        <w:adjustRightInd w:val="0"/>
        <w:snapToGrid w:val="0"/>
        <w:spacing w:line="400" w:lineRule="exact"/>
        <w:rPr>
          <w:rFonts w:ascii="Times New Roman"/>
          <w:snapToGrid w:val="0"/>
          <w:color w:val="auto"/>
          <w:kern w:val="0"/>
          <w:sz w:val="21"/>
          <w:szCs w:val="28"/>
          <w:highlight w:val="none"/>
        </w:rPr>
      </w:pPr>
      <w:r>
        <w:rPr>
          <w:rFonts w:ascii="Times New Roman"/>
          <w:snapToGrid w:val="0"/>
          <w:color w:val="auto"/>
          <w:kern w:val="0"/>
          <w:sz w:val="21"/>
          <w:szCs w:val="28"/>
          <w:highlight w:val="none"/>
        </w:rPr>
        <w:t xml:space="preserve">  </w:t>
      </w:r>
      <w:r>
        <w:rPr>
          <w:rFonts w:hint="eastAsia" w:ascii="Times New Roman"/>
          <w:snapToGrid w:val="0"/>
          <w:color w:val="auto"/>
          <w:kern w:val="0"/>
          <w:sz w:val="21"/>
          <w:szCs w:val="28"/>
          <w:highlight w:val="none"/>
        </w:rPr>
        <w:t xml:space="preserve">  1．身份证复印件</w:t>
      </w:r>
      <w:r>
        <w:rPr>
          <w:rFonts w:hint="eastAsia" w:ascii="Times New Roman"/>
          <w:snapToGrid w:val="0"/>
          <w:color w:val="auto"/>
          <w:kern w:val="0"/>
          <w:szCs w:val="21"/>
          <w:highlight w:val="none"/>
        </w:rPr>
        <w:t>（</w:t>
      </w:r>
      <w:r>
        <w:rPr>
          <w:rFonts w:hint="eastAsia" w:ascii="Times New Roman"/>
          <w:snapToGrid w:val="0"/>
          <w:color w:val="auto"/>
          <w:kern w:val="0"/>
          <w:sz w:val="21"/>
          <w:szCs w:val="21"/>
          <w:highlight w:val="none"/>
        </w:rPr>
        <w:t>或打印件</w:t>
      </w:r>
      <w:r>
        <w:rPr>
          <w:rFonts w:hint="eastAsia" w:ascii="Times New Roman"/>
          <w:snapToGrid w:val="0"/>
          <w:color w:val="auto"/>
          <w:kern w:val="0"/>
          <w:szCs w:val="21"/>
          <w:highlight w:val="none"/>
        </w:rPr>
        <w:t>）</w:t>
      </w:r>
      <w:r>
        <w:rPr>
          <w:rFonts w:hint="eastAsia" w:ascii="Times New Roman"/>
          <w:snapToGrid w:val="0"/>
          <w:color w:val="auto"/>
          <w:kern w:val="0"/>
          <w:sz w:val="21"/>
          <w:szCs w:val="28"/>
          <w:highlight w:val="none"/>
        </w:rPr>
        <w:t>；</w:t>
      </w:r>
    </w:p>
    <w:p>
      <w:pPr>
        <w:wordWrap w:val="0"/>
        <w:adjustRightInd w:val="0"/>
        <w:snapToGrid w:val="0"/>
        <w:spacing w:line="400" w:lineRule="exact"/>
        <w:rPr>
          <w:rFonts w:ascii="Times New Roman"/>
          <w:snapToGrid w:val="0"/>
          <w:color w:val="auto"/>
          <w:kern w:val="0"/>
          <w:sz w:val="21"/>
          <w:szCs w:val="28"/>
          <w:highlight w:val="none"/>
        </w:rPr>
      </w:pPr>
      <w:r>
        <w:rPr>
          <w:rFonts w:hint="eastAsia" w:ascii="Times New Roman"/>
          <w:snapToGrid w:val="0"/>
          <w:color w:val="auto"/>
          <w:kern w:val="0"/>
          <w:sz w:val="21"/>
          <w:szCs w:val="28"/>
          <w:highlight w:val="none"/>
        </w:rPr>
        <w:t xml:space="preserve">    2．</w:t>
      </w:r>
      <w:r>
        <w:rPr>
          <w:rFonts w:hint="eastAsia" w:ascii="Times New Roman"/>
          <w:snapToGrid w:val="0"/>
          <w:color w:val="auto"/>
          <w:kern w:val="0"/>
          <w:sz w:val="21"/>
          <w:szCs w:val="21"/>
          <w:highlight w:val="none"/>
        </w:rPr>
        <w:t>C类安全生产考核合格证书复印件（或打印件）或“广东省建筑施工企业管理人员安全生产考核信息系统”考核合</w:t>
      </w:r>
      <w:r>
        <w:rPr>
          <w:rFonts w:hint="eastAsia" w:ascii="Times New Roman"/>
          <w:snapToGrid w:val="0"/>
          <w:color w:val="auto"/>
          <w:kern w:val="0"/>
          <w:sz w:val="21"/>
          <w:szCs w:val="28"/>
          <w:highlight w:val="none"/>
        </w:rPr>
        <w:t>格信息打印页；</w:t>
      </w:r>
    </w:p>
    <w:p>
      <w:pPr>
        <w:wordWrap w:val="0"/>
        <w:adjustRightInd w:val="0"/>
        <w:snapToGrid w:val="0"/>
        <w:spacing w:line="400" w:lineRule="exact"/>
        <w:ind w:firstLine="420" w:firstLineChars="200"/>
        <w:rPr>
          <w:rFonts w:ascii="Times New Roman"/>
          <w:snapToGrid w:val="0"/>
          <w:color w:val="auto"/>
          <w:kern w:val="0"/>
          <w:sz w:val="21"/>
          <w:szCs w:val="28"/>
          <w:highlight w:val="none"/>
        </w:rPr>
      </w:pPr>
      <w:r>
        <w:rPr>
          <w:rFonts w:ascii="Times New Roman"/>
          <w:snapToGrid w:val="0"/>
          <w:color w:val="auto"/>
          <w:kern w:val="0"/>
          <w:sz w:val="21"/>
          <w:szCs w:val="28"/>
          <w:highlight w:val="none"/>
        </w:rPr>
        <w:t>3．在本单位缴纳社保的证明（至少</w:t>
      </w:r>
      <w:r>
        <w:rPr>
          <w:rFonts w:hint="eastAsia" w:ascii="Times New Roman"/>
          <w:snapToGrid w:val="0"/>
          <w:color w:val="auto"/>
          <w:kern w:val="0"/>
          <w:sz w:val="21"/>
          <w:szCs w:val="28"/>
          <w:highlight w:val="none"/>
          <w:lang w:val="en-US" w:eastAsia="zh-CN"/>
        </w:rPr>
        <w:t>三</w:t>
      </w:r>
      <w:r>
        <w:rPr>
          <w:rFonts w:ascii="Times New Roman"/>
          <w:snapToGrid w:val="0"/>
          <w:color w:val="auto"/>
          <w:kern w:val="0"/>
          <w:sz w:val="21"/>
          <w:szCs w:val="28"/>
          <w:highlight w:val="none"/>
        </w:rPr>
        <w:t>个月，其中必须有2022年</w:t>
      </w:r>
      <w:r>
        <w:rPr>
          <w:rFonts w:hint="eastAsia" w:ascii="Times New Roman"/>
          <w:snapToGrid w:val="0"/>
          <w:color w:val="auto"/>
          <w:kern w:val="0"/>
          <w:sz w:val="21"/>
          <w:szCs w:val="28"/>
          <w:highlight w:val="none"/>
          <w:lang w:val="en-US" w:eastAsia="zh-CN"/>
        </w:rPr>
        <w:t>7</w:t>
      </w:r>
      <w:r>
        <w:rPr>
          <w:rFonts w:ascii="Times New Roman"/>
          <w:snapToGrid w:val="0"/>
          <w:color w:val="auto"/>
          <w:kern w:val="0"/>
          <w:sz w:val="21"/>
          <w:szCs w:val="28"/>
          <w:highlight w:val="none"/>
        </w:rPr>
        <w:t>月）复印件或打印件。拟派专职安全员为退休返聘人员无法提供社保证明的，提供退休证和劳动合同复印件</w:t>
      </w:r>
      <w:r>
        <w:rPr>
          <w:rFonts w:ascii="Times New Roman"/>
          <w:snapToGrid w:val="0"/>
          <w:color w:val="auto"/>
          <w:kern w:val="0"/>
          <w:sz w:val="21"/>
          <w:szCs w:val="21"/>
          <w:highlight w:val="none"/>
        </w:rPr>
        <w:t>或打印件</w:t>
      </w:r>
      <w:r>
        <w:rPr>
          <w:rFonts w:ascii="Times New Roman"/>
          <w:snapToGrid w:val="0"/>
          <w:color w:val="auto"/>
          <w:kern w:val="0"/>
          <w:sz w:val="21"/>
          <w:highlight w:val="none"/>
        </w:rPr>
        <w:t>。</w:t>
      </w:r>
    </w:p>
    <w:p>
      <w:pPr>
        <w:pStyle w:val="34"/>
        <w:widowControl w:val="0"/>
        <w:wordWrap w:val="0"/>
        <w:adjustRightInd w:val="0"/>
        <w:snapToGrid w:val="0"/>
        <w:spacing w:line="400" w:lineRule="exact"/>
        <w:rPr>
          <w:rFonts w:hint="eastAsia" w:ascii="Times New Roman"/>
          <w:snapToGrid w:val="0"/>
          <w:color w:val="auto"/>
          <w:sz w:val="21"/>
          <w:szCs w:val="28"/>
          <w:highlight w:val="none"/>
        </w:rPr>
        <w:sectPr>
          <w:endnotePr>
            <w:numFmt w:val="decimal"/>
          </w:endnotePr>
          <w:pgSz w:w="11906" w:h="16838"/>
          <w:pgMar w:top="1701" w:right="1531" w:bottom="1417" w:left="1531" w:header="850" w:footer="992" w:gutter="0"/>
          <w:cols w:space="720" w:num="1"/>
          <w:docGrid w:linePitch="327" w:charSpace="0"/>
        </w:sectPr>
      </w:pPr>
    </w:p>
    <w:p>
      <w:pPr>
        <w:wordWrap w:val="0"/>
        <w:adjustRightInd w:val="0"/>
        <w:snapToGrid w:val="0"/>
        <w:spacing w:line="400" w:lineRule="exact"/>
        <w:ind w:firstLine="420" w:firstLineChars="200"/>
        <w:rPr>
          <w:rFonts w:ascii="Times New Roman"/>
          <w:snapToGrid w:val="0"/>
          <w:color w:val="auto"/>
          <w:kern w:val="0"/>
          <w:sz w:val="21"/>
          <w:szCs w:val="28"/>
          <w:highlight w:val="none"/>
        </w:rPr>
      </w:pPr>
    </w:p>
    <w:p>
      <w:pPr>
        <w:pStyle w:val="33"/>
        <w:keepNext w:val="0"/>
        <w:keepLines w:val="0"/>
        <w:widowControl w:val="0"/>
        <w:wordWrap w:val="0"/>
        <w:adjustRightInd w:val="0"/>
        <w:snapToGrid w:val="0"/>
        <w:spacing w:before="0" w:after="0" w:line="240" w:lineRule="auto"/>
        <w:ind w:left="3640" w:leftChars="15" w:hanging="3604" w:hangingChars="1496"/>
        <w:jc w:val="both"/>
        <w:rPr>
          <w:rFonts w:hint="eastAsia"/>
          <w:b/>
          <w:snapToGrid w:val="0"/>
          <w:color w:val="auto"/>
          <w:highlight w:val="none"/>
        </w:rPr>
      </w:pPr>
      <w:bookmarkStart w:id="182" w:name="_Toc22785"/>
      <w:bookmarkStart w:id="183" w:name="_Toc14261309"/>
      <w:bookmarkStart w:id="184" w:name="_Toc20506"/>
      <w:r>
        <w:rPr>
          <w:rFonts w:hint="eastAsia"/>
          <w:b/>
          <w:snapToGrid w:val="0"/>
          <w:color w:val="auto"/>
          <w:highlight w:val="none"/>
        </w:rPr>
        <w:t>格式</w:t>
      </w:r>
      <w:bookmarkStart w:id="185" w:name="_Hlt287950384"/>
      <w:bookmarkEnd w:id="185"/>
      <w:r>
        <w:rPr>
          <w:rFonts w:hint="eastAsia"/>
          <w:b/>
          <w:snapToGrid w:val="0"/>
          <w:color w:val="auto"/>
          <w:highlight w:val="none"/>
        </w:rPr>
        <w:t>十二 项目管理机构组成表</w:t>
      </w:r>
      <w:bookmarkEnd w:id="182"/>
      <w:bookmarkEnd w:id="183"/>
      <w:bookmarkEnd w:id="184"/>
    </w:p>
    <w:p>
      <w:pPr>
        <w:pStyle w:val="34"/>
        <w:rPr>
          <w:rFonts w:hint="eastAsia"/>
          <w:color w:val="auto"/>
          <w:highlight w:val="none"/>
        </w:rPr>
      </w:pPr>
    </w:p>
    <w:p>
      <w:pPr>
        <w:jc w:val="center"/>
        <w:rPr>
          <w:b/>
          <w:bCs/>
          <w:color w:val="auto"/>
          <w:sz w:val="30"/>
          <w:szCs w:val="30"/>
          <w:highlight w:val="none"/>
        </w:rPr>
      </w:pPr>
      <w:bookmarkStart w:id="186" w:name="_Toc14261751"/>
      <w:r>
        <w:rPr>
          <w:b/>
          <w:bCs/>
          <w:color w:val="auto"/>
          <w:sz w:val="30"/>
          <w:szCs w:val="30"/>
          <w:highlight w:val="none"/>
        </w:rPr>
        <w:t>项目管理机构组成表</w:t>
      </w:r>
      <w:bookmarkEnd w:id="186"/>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3"/>
        <w:gridCol w:w="1421"/>
        <w:gridCol w:w="1355"/>
        <w:gridCol w:w="900"/>
        <w:gridCol w:w="817"/>
        <w:gridCol w:w="1538"/>
        <w:gridCol w:w="21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0" w:hRule="atLeast"/>
        </w:trPr>
        <w:tc>
          <w:tcPr>
            <w:tcW w:w="743"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eastAsia="黑体"/>
                <w:snapToGrid w:val="0"/>
                <w:color w:val="auto"/>
                <w:kern w:val="0"/>
                <w:sz w:val="21"/>
                <w:szCs w:val="21"/>
                <w:highlight w:val="none"/>
              </w:rPr>
            </w:pPr>
            <w:r>
              <w:rPr>
                <w:rFonts w:ascii="Times New Roman" w:eastAsia="黑体"/>
                <w:snapToGrid w:val="0"/>
                <w:color w:val="auto"/>
                <w:kern w:val="0"/>
                <w:sz w:val="21"/>
                <w:szCs w:val="21"/>
                <w:highlight w:val="none"/>
              </w:rPr>
              <w:t>序号</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eastAsia="黑体"/>
                <w:snapToGrid w:val="0"/>
                <w:color w:val="auto"/>
                <w:kern w:val="0"/>
                <w:sz w:val="21"/>
                <w:szCs w:val="21"/>
                <w:highlight w:val="none"/>
              </w:rPr>
            </w:pPr>
            <w:r>
              <w:rPr>
                <w:rFonts w:ascii="Times New Roman" w:eastAsia="黑体"/>
                <w:snapToGrid w:val="0"/>
                <w:color w:val="auto"/>
                <w:kern w:val="0"/>
                <w:sz w:val="21"/>
                <w:szCs w:val="21"/>
                <w:highlight w:val="none"/>
              </w:rPr>
              <w:t>职务</w:t>
            </w:r>
          </w:p>
        </w:tc>
        <w:tc>
          <w:tcPr>
            <w:tcW w:w="1355"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eastAsia="黑体"/>
                <w:snapToGrid w:val="0"/>
                <w:color w:val="auto"/>
                <w:kern w:val="0"/>
                <w:sz w:val="21"/>
                <w:szCs w:val="21"/>
                <w:highlight w:val="none"/>
              </w:rPr>
            </w:pPr>
            <w:r>
              <w:rPr>
                <w:rFonts w:ascii="Times New Roman" w:eastAsia="黑体"/>
                <w:snapToGrid w:val="0"/>
                <w:color w:val="auto"/>
                <w:kern w:val="0"/>
                <w:sz w:val="21"/>
                <w:szCs w:val="21"/>
                <w:highlight w:val="none"/>
              </w:rPr>
              <w:t>姓名</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eastAsia="黑体"/>
                <w:snapToGrid w:val="0"/>
                <w:color w:val="auto"/>
                <w:kern w:val="0"/>
                <w:sz w:val="21"/>
                <w:szCs w:val="21"/>
                <w:highlight w:val="none"/>
              </w:rPr>
            </w:pPr>
            <w:r>
              <w:rPr>
                <w:rFonts w:ascii="Times New Roman" w:eastAsia="黑体"/>
                <w:snapToGrid w:val="0"/>
                <w:color w:val="auto"/>
                <w:kern w:val="0"/>
                <w:sz w:val="21"/>
                <w:szCs w:val="21"/>
                <w:highlight w:val="none"/>
              </w:rPr>
              <w:t>性别</w:t>
            </w:r>
          </w:p>
        </w:tc>
        <w:tc>
          <w:tcPr>
            <w:tcW w:w="81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eastAsia="黑体"/>
                <w:snapToGrid w:val="0"/>
                <w:color w:val="auto"/>
                <w:kern w:val="0"/>
                <w:sz w:val="21"/>
                <w:szCs w:val="21"/>
                <w:highlight w:val="none"/>
              </w:rPr>
            </w:pPr>
            <w:r>
              <w:rPr>
                <w:rFonts w:ascii="Times New Roman" w:eastAsia="黑体"/>
                <w:snapToGrid w:val="0"/>
                <w:color w:val="auto"/>
                <w:kern w:val="0"/>
                <w:sz w:val="21"/>
                <w:szCs w:val="21"/>
                <w:highlight w:val="none"/>
              </w:rPr>
              <w:t>年龄</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eastAsia="黑体"/>
                <w:snapToGrid w:val="0"/>
                <w:color w:val="auto"/>
                <w:kern w:val="0"/>
                <w:sz w:val="21"/>
                <w:szCs w:val="21"/>
                <w:highlight w:val="none"/>
              </w:rPr>
            </w:pPr>
            <w:r>
              <w:rPr>
                <w:rFonts w:ascii="Times New Roman" w:eastAsia="黑体"/>
                <w:snapToGrid w:val="0"/>
                <w:color w:val="auto"/>
                <w:kern w:val="0"/>
                <w:sz w:val="21"/>
                <w:szCs w:val="21"/>
                <w:highlight w:val="none"/>
              </w:rPr>
              <w:t>职称</w:t>
            </w:r>
          </w:p>
        </w:tc>
        <w:tc>
          <w:tcPr>
            <w:tcW w:w="216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eastAsia="黑体"/>
                <w:snapToGrid w:val="0"/>
                <w:color w:val="auto"/>
                <w:kern w:val="0"/>
                <w:sz w:val="21"/>
                <w:szCs w:val="21"/>
                <w:highlight w:val="none"/>
              </w:rPr>
            </w:pPr>
            <w:r>
              <w:rPr>
                <w:rFonts w:ascii="Times New Roman" w:eastAsia="黑体"/>
                <w:snapToGrid w:val="0"/>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7" w:hRule="exact"/>
        </w:trPr>
        <w:tc>
          <w:tcPr>
            <w:tcW w:w="743"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1</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项目经理</w:t>
            </w:r>
          </w:p>
        </w:tc>
        <w:tc>
          <w:tcPr>
            <w:tcW w:w="1355"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9" w:hRule="exact"/>
        </w:trPr>
        <w:tc>
          <w:tcPr>
            <w:tcW w:w="743"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2</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项目技术</w:t>
            </w:r>
          </w:p>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负责人</w:t>
            </w:r>
          </w:p>
        </w:tc>
        <w:tc>
          <w:tcPr>
            <w:tcW w:w="1355"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3" w:hRule="exact"/>
        </w:trPr>
        <w:tc>
          <w:tcPr>
            <w:tcW w:w="743" w:type="dxa"/>
            <w:tcBorders>
              <w:top w:val="single" w:color="auto" w:sz="6" w:space="0"/>
              <w:left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3</w:t>
            </w:r>
          </w:p>
        </w:tc>
        <w:tc>
          <w:tcPr>
            <w:tcW w:w="1421" w:type="dxa"/>
            <w:tcBorders>
              <w:top w:val="single" w:color="auto" w:sz="6" w:space="0"/>
              <w:left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专职安全员</w:t>
            </w:r>
          </w:p>
        </w:tc>
        <w:tc>
          <w:tcPr>
            <w:tcW w:w="1355"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4</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施工员</w:t>
            </w:r>
          </w:p>
        </w:tc>
        <w:tc>
          <w:tcPr>
            <w:tcW w:w="1355"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5</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质量员</w:t>
            </w:r>
          </w:p>
        </w:tc>
        <w:tc>
          <w:tcPr>
            <w:tcW w:w="1355"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6</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材料员</w:t>
            </w:r>
          </w:p>
        </w:tc>
        <w:tc>
          <w:tcPr>
            <w:tcW w:w="1355"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7</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资料员</w:t>
            </w:r>
          </w:p>
        </w:tc>
        <w:tc>
          <w:tcPr>
            <w:tcW w:w="1355"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8</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p>
        </w:tc>
        <w:tc>
          <w:tcPr>
            <w:tcW w:w="1355"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w:t>
            </w:r>
          </w:p>
        </w:tc>
        <w:tc>
          <w:tcPr>
            <w:tcW w:w="1355"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noWrap w:val="0"/>
            <w:vAlign w:val="center"/>
          </w:tcPr>
          <w:p>
            <w:pPr>
              <w:wordWrap w:val="0"/>
              <w:adjustRightInd w:val="0"/>
              <w:snapToGrid w:val="0"/>
              <w:jc w:val="center"/>
              <w:rPr>
                <w:rFonts w:ascii="Times New Roman"/>
                <w:snapToGrid w:val="0"/>
                <w:color w:val="auto"/>
                <w:kern w:val="0"/>
                <w:sz w:val="21"/>
                <w:szCs w:val="21"/>
                <w:highlight w:val="none"/>
              </w:rPr>
            </w:pPr>
          </w:p>
        </w:tc>
      </w:tr>
    </w:tbl>
    <w:p>
      <w:pPr>
        <w:pStyle w:val="34"/>
        <w:widowControl w:val="0"/>
        <w:wordWrap w:val="0"/>
        <w:adjustRightInd w:val="0"/>
        <w:snapToGrid w:val="0"/>
        <w:spacing w:line="400" w:lineRule="exact"/>
        <w:ind w:firstLine="0"/>
        <w:rPr>
          <w:rFonts w:hint="eastAsia" w:ascii="Times New Roman"/>
          <w:snapToGrid w:val="0"/>
          <w:color w:val="auto"/>
          <w:sz w:val="21"/>
          <w:highlight w:val="none"/>
        </w:rPr>
      </w:pPr>
    </w:p>
    <w:p>
      <w:pPr>
        <w:pStyle w:val="34"/>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0"/>
        <w:jc w:val="left"/>
        <w:textAlignment w:val="auto"/>
        <w:outlineLvl w:val="9"/>
        <w:rPr>
          <w:rFonts w:hint="eastAsia" w:ascii="Times New Roman" w:hAnsi="Times New Roman" w:cs="Times New Roman"/>
          <w:caps w:val="0"/>
          <w:smallCaps w:val="0"/>
          <w:snapToGrid w:val="0"/>
          <w:color w:val="auto"/>
          <w:spacing w:val="0"/>
          <w:kern w:val="0"/>
          <w:sz w:val="21"/>
          <w:highlight w:val="none"/>
          <w:lang w:eastAsia="zh-CN"/>
        </w:rPr>
      </w:pPr>
      <w:r>
        <w:rPr>
          <w:rFonts w:hint="eastAsia" w:ascii="Times New Roman" w:hAnsi="Times New Roman" w:cs="Times New Roman"/>
          <w:caps w:val="0"/>
          <w:smallCaps w:val="0"/>
          <w:snapToGrid w:val="0"/>
          <w:color w:val="auto"/>
          <w:spacing w:val="0"/>
          <w:kern w:val="0"/>
          <w:sz w:val="21"/>
          <w:highlight w:val="none"/>
          <w:lang w:eastAsia="zh-CN"/>
        </w:rPr>
        <w:t>说明</w:t>
      </w:r>
      <w:r>
        <w:rPr>
          <w:rFonts w:hint="eastAsia" w:ascii="Times New Roman" w:hAnsi="Times New Roman" w:cs="Times New Roman"/>
          <w:caps w:val="0"/>
          <w:smallCaps w:val="0"/>
          <w:snapToGrid w:val="0"/>
          <w:color w:val="auto"/>
          <w:spacing w:val="0"/>
          <w:kern w:val="0"/>
          <w:sz w:val="21"/>
          <w:highlight w:val="none"/>
        </w:rPr>
        <w:t>：</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both"/>
        <w:textAlignment w:val="auto"/>
        <w:outlineLvl w:val="9"/>
        <w:rPr>
          <w:rFonts w:hint="eastAsia" w:ascii="Times New Roman" w:hAnsi="Times New Roman" w:cs="Times New Roman"/>
          <w:caps w:val="0"/>
          <w:smallCaps w:val="0"/>
          <w:snapToGrid w:val="0"/>
          <w:color w:val="auto"/>
          <w:spacing w:val="0"/>
          <w:kern w:val="0"/>
          <w:sz w:val="21"/>
          <w:highlight w:val="none"/>
          <w:lang w:val="en-US" w:eastAsia="zh-CN"/>
        </w:rPr>
      </w:pPr>
      <w:r>
        <w:rPr>
          <w:rFonts w:hint="eastAsia" w:ascii="Times New Roman" w:hAnsi="Times New Roman" w:cs="Times New Roman"/>
          <w:caps w:val="0"/>
          <w:smallCaps w:val="0"/>
          <w:snapToGrid w:val="0"/>
          <w:color w:val="auto"/>
          <w:spacing w:val="0"/>
          <w:kern w:val="0"/>
          <w:sz w:val="21"/>
          <w:highlight w:val="none"/>
          <w:lang w:val="en-US" w:eastAsia="zh-CN"/>
        </w:rPr>
        <w:t>1．《项目管理机构组成表》后应附表中拟派人员（项目经理、项目技术负责人、专职安全员除外）以下资料：</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both"/>
        <w:textAlignment w:val="auto"/>
        <w:outlineLvl w:val="9"/>
        <w:rPr>
          <w:rFonts w:hint="eastAsia" w:ascii="Times New Roman" w:hAnsi="Times New Roman" w:cs="Times New Roman"/>
          <w:caps w:val="0"/>
          <w:smallCaps w:val="0"/>
          <w:snapToGrid w:val="0"/>
          <w:color w:val="auto"/>
          <w:spacing w:val="0"/>
          <w:kern w:val="0"/>
          <w:sz w:val="21"/>
          <w:highlight w:val="none"/>
          <w:lang w:val="en-US" w:eastAsia="zh-CN"/>
        </w:rPr>
      </w:pPr>
      <w:r>
        <w:rPr>
          <w:rFonts w:hint="eastAsia" w:ascii="Times New Roman" w:hAnsi="Times New Roman" w:cs="Times New Roman"/>
          <w:caps w:val="0"/>
          <w:smallCaps w:val="0"/>
          <w:snapToGrid w:val="0"/>
          <w:color w:val="auto"/>
          <w:spacing w:val="0"/>
          <w:kern w:val="0"/>
          <w:sz w:val="21"/>
          <w:highlight w:val="none"/>
          <w:lang w:val="en-US" w:eastAsia="zh-CN"/>
        </w:rPr>
        <w:t>（1）身份证复印件（或打印件）；</w:t>
      </w:r>
    </w:p>
    <w:p>
      <w:pPr>
        <w:pStyle w:val="34"/>
        <w:widowControl w:val="0"/>
        <w:wordWrap w:val="0"/>
        <w:adjustRightInd w:val="0"/>
        <w:snapToGrid w:val="0"/>
        <w:spacing w:line="400" w:lineRule="exact"/>
        <w:ind w:firstLine="420" w:firstLineChars="200"/>
        <w:rPr>
          <w:rFonts w:hint="eastAsia" w:ascii="Times New Roman" w:hAnsi="Times New Roman" w:cs="Times New Roman"/>
          <w:caps w:val="0"/>
          <w:smallCaps w:val="0"/>
          <w:snapToGrid w:val="0"/>
          <w:color w:val="auto"/>
          <w:spacing w:val="0"/>
          <w:kern w:val="0"/>
          <w:sz w:val="21"/>
          <w:szCs w:val="28"/>
          <w:highlight w:val="none"/>
          <w:lang w:val="en-US" w:eastAsia="zh-CN"/>
        </w:rPr>
      </w:pPr>
      <w:r>
        <w:rPr>
          <w:rFonts w:hint="eastAsia" w:ascii="Times New Roman" w:hAnsi="Times New Roman" w:cs="Times New Roman"/>
          <w:caps w:val="0"/>
          <w:smallCaps w:val="0"/>
          <w:snapToGrid w:val="0"/>
          <w:color w:val="auto"/>
          <w:spacing w:val="0"/>
          <w:kern w:val="0"/>
          <w:sz w:val="21"/>
          <w:szCs w:val="28"/>
          <w:highlight w:val="none"/>
          <w:lang w:val="en-US" w:eastAsia="zh-CN"/>
        </w:rPr>
        <w:t>（</w:t>
      </w:r>
      <w:r>
        <w:rPr>
          <w:rFonts w:hint="eastAsia" w:ascii="Times New Roman" w:cs="Times New Roman"/>
          <w:caps w:val="0"/>
          <w:smallCaps w:val="0"/>
          <w:snapToGrid w:val="0"/>
          <w:color w:val="auto"/>
          <w:spacing w:val="0"/>
          <w:kern w:val="0"/>
          <w:sz w:val="21"/>
          <w:szCs w:val="28"/>
          <w:highlight w:val="none"/>
          <w:lang w:val="en-US" w:eastAsia="zh-CN"/>
        </w:rPr>
        <w:t>2</w:t>
      </w:r>
      <w:r>
        <w:rPr>
          <w:rFonts w:hint="eastAsia" w:ascii="Times New Roman" w:hAnsi="Times New Roman" w:cs="Times New Roman"/>
          <w:caps w:val="0"/>
          <w:smallCaps w:val="0"/>
          <w:snapToGrid w:val="0"/>
          <w:color w:val="auto"/>
          <w:spacing w:val="0"/>
          <w:kern w:val="0"/>
          <w:sz w:val="21"/>
          <w:szCs w:val="28"/>
          <w:highlight w:val="none"/>
          <w:lang w:val="en-US" w:eastAsia="zh-CN"/>
        </w:rPr>
        <w:t>）在本单位缴纳社保的证明（至少</w:t>
      </w:r>
      <w:r>
        <w:rPr>
          <w:rFonts w:hint="eastAsia" w:ascii="Times New Roman"/>
          <w:snapToGrid w:val="0"/>
          <w:color w:val="auto"/>
          <w:kern w:val="0"/>
          <w:sz w:val="21"/>
          <w:szCs w:val="28"/>
          <w:highlight w:val="none"/>
          <w:lang w:val="en-US" w:eastAsia="zh-CN"/>
        </w:rPr>
        <w:t>三</w:t>
      </w:r>
      <w:r>
        <w:rPr>
          <w:rFonts w:hint="eastAsia" w:ascii="Times New Roman" w:hAnsi="Times New Roman" w:cs="Times New Roman"/>
          <w:caps w:val="0"/>
          <w:smallCaps w:val="0"/>
          <w:snapToGrid w:val="0"/>
          <w:color w:val="auto"/>
          <w:spacing w:val="0"/>
          <w:kern w:val="0"/>
          <w:sz w:val="21"/>
          <w:szCs w:val="28"/>
          <w:highlight w:val="none"/>
          <w:lang w:val="en-US" w:eastAsia="zh-CN"/>
        </w:rPr>
        <w:t>个月，其中必须有2022年</w:t>
      </w:r>
      <w:r>
        <w:rPr>
          <w:rFonts w:hint="eastAsia" w:ascii="Times New Roman" w:cs="Times New Roman"/>
          <w:caps w:val="0"/>
          <w:smallCaps w:val="0"/>
          <w:snapToGrid w:val="0"/>
          <w:color w:val="auto"/>
          <w:spacing w:val="0"/>
          <w:kern w:val="0"/>
          <w:sz w:val="21"/>
          <w:szCs w:val="28"/>
          <w:highlight w:val="none"/>
          <w:lang w:val="en-US" w:eastAsia="zh-CN"/>
        </w:rPr>
        <w:t>7</w:t>
      </w:r>
      <w:r>
        <w:rPr>
          <w:rFonts w:hint="eastAsia" w:ascii="Times New Roman" w:hAnsi="Times New Roman" w:cs="Times New Roman"/>
          <w:caps w:val="0"/>
          <w:smallCaps w:val="0"/>
          <w:snapToGrid w:val="0"/>
          <w:color w:val="auto"/>
          <w:spacing w:val="0"/>
          <w:kern w:val="0"/>
          <w:sz w:val="21"/>
          <w:szCs w:val="28"/>
          <w:highlight w:val="none"/>
          <w:lang w:val="en-US" w:eastAsia="zh-CN"/>
        </w:rPr>
        <w:t>月）复印件或打印件。拟派人员为退休返聘人员无法提供社保证明的，提供退休证和劳动合同复印件</w:t>
      </w:r>
      <w:r>
        <w:rPr>
          <w:rFonts w:hint="eastAsia" w:ascii="Times New Roman" w:hAnsi="Times New Roman" w:eastAsia="宋体" w:cs="Times New Roman"/>
          <w:caps w:val="0"/>
          <w:smallCaps w:val="0"/>
          <w:snapToGrid w:val="0"/>
          <w:color w:val="auto"/>
          <w:spacing w:val="0"/>
          <w:kern w:val="0"/>
          <w:sz w:val="21"/>
          <w:szCs w:val="21"/>
          <w:highlight w:val="none"/>
          <w:lang w:val="en-US" w:eastAsia="zh-CN"/>
        </w:rPr>
        <w:t>或打印件</w:t>
      </w:r>
      <w:r>
        <w:rPr>
          <w:rFonts w:hint="eastAsia" w:ascii="Times New Roman" w:hAnsi="Times New Roman" w:cs="Times New Roman"/>
          <w:caps w:val="0"/>
          <w:smallCaps w:val="0"/>
          <w:snapToGrid w:val="0"/>
          <w:color w:val="auto"/>
          <w:spacing w:val="0"/>
          <w:kern w:val="0"/>
          <w:sz w:val="21"/>
          <w:szCs w:val="28"/>
          <w:highlight w:val="none"/>
          <w:lang w:val="en-US" w:eastAsia="zh-CN"/>
        </w:rPr>
        <w:t>；</w:t>
      </w:r>
    </w:p>
    <w:p>
      <w:pPr>
        <w:pStyle w:val="34"/>
        <w:widowControl w:val="0"/>
        <w:wordWrap w:val="0"/>
        <w:adjustRightInd w:val="0"/>
        <w:snapToGrid w:val="0"/>
        <w:spacing w:line="400" w:lineRule="exact"/>
        <w:ind w:firstLine="420" w:firstLineChars="200"/>
        <w:rPr>
          <w:rFonts w:ascii="Times New Roman"/>
          <w:snapToGrid w:val="0"/>
          <w:color w:val="auto"/>
          <w:sz w:val="21"/>
          <w:highlight w:val="none"/>
        </w:rPr>
      </w:pPr>
      <w:r>
        <w:rPr>
          <w:rFonts w:hint="eastAsia" w:ascii="Times New Roman"/>
          <w:snapToGrid w:val="0"/>
          <w:color w:val="auto"/>
          <w:sz w:val="21"/>
          <w:szCs w:val="21"/>
          <w:highlight w:val="none"/>
        </w:rPr>
        <w:t>2．联合体投标的，《项目管理机构组成表》应包括联合体成员单位参与项目管理机构的人员，并提供以上所需资料。</w:t>
      </w:r>
    </w:p>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both"/>
        <w:textAlignment w:val="auto"/>
        <w:outlineLvl w:val="9"/>
        <w:rPr>
          <w:rFonts w:hint="eastAsia" w:ascii="Times New Roman" w:hAnsi="Times New Roman" w:cs="Times New Roman"/>
          <w:caps w:val="0"/>
          <w:smallCaps w:val="0"/>
          <w:snapToGrid w:val="0"/>
          <w:color w:val="auto"/>
          <w:spacing w:val="0"/>
          <w:kern w:val="0"/>
          <w:sz w:val="21"/>
          <w:highlight w:val="none"/>
          <w:lang w:val="en-US" w:eastAsia="zh-CN"/>
        </w:rPr>
      </w:pPr>
    </w:p>
    <w:p>
      <w:pPr>
        <w:pStyle w:val="34"/>
        <w:widowControl w:val="0"/>
        <w:wordWrap w:val="0"/>
        <w:adjustRightInd w:val="0"/>
        <w:snapToGrid w:val="0"/>
        <w:spacing w:line="400" w:lineRule="exact"/>
        <w:ind w:firstLineChars="200"/>
        <w:rPr>
          <w:rFonts w:hint="eastAsia" w:ascii="Times New Roman"/>
          <w:snapToGrid w:val="0"/>
          <w:color w:val="auto"/>
          <w:sz w:val="21"/>
          <w:highlight w:val="none"/>
        </w:rPr>
      </w:pPr>
    </w:p>
    <w:bookmarkEnd w:id="180"/>
    <w:bookmarkEnd w:id="181"/>
    <w:p>
      <w:pPr>
        <w:spacing w:line="374" w:lineRule="auto"/>
        <w:ind w:right="524"/>
        <w:jc w:val="left"/>
        <w:rPr>
          <w:rFonts w:hAnsi="宋体"/>
          <w:color w:val="auto"/>
          <w:highlight w:val="none"/>
        </w:rPr>
        <w:sectPr>
          <w:pgSz w:w="11907" w:h="16840"/>
          <w:pgMar w:top="1247" w:right="1474" w:bottom="1247" w:left="1361" w:header="680" w:footer="680" w:gutter="0"/>
          <w:cols w:space="720" w:num="1"/>
        </w:sectPr>
      </w:pPr>
      <w:bookmarkStart w:id="187" w:name="_Hlt68774664"/>
      <w:bookmarkEnd w:id="187"/>
      <w:bookmarkStart w:id="188" w:name="_附件二十四：技术标提问单"/>
      <w:bookmarkEnd w:id="188"/>
      <w:bookmarkStart w:id="189" w:name="_附件十：单项工程费汇总表"/>
      <w:bookmarkEnd w:id="189"/>
      <w:bookmarkStart w:id="190" w:name="_附件二十五：综合评审合理低价法"/>
      <w:bookmarkEnd w:id="190"/>
      <w:bookmarkStart w:id="191" w:name="_Hlt69116778"/>
      <w:bookmarkEnd w:id="191"/>
    </w:p>
    <w:p>
      <w:pPr>
        <w:pStyle w:val="33"/>
        <w:keepNext w:val="0"/>
        <w:keepLines w:val="0"/>
        <w:widowControl w:val="0"/>
        <w:wordWrap w:val="0"/>
        <w:adjustRightInd w:val="0"/>
        <w:snapToGrid w:val="0"/>
        <w:spacing w:before="0" w:after="0" w:line="240" w:lineRule="auto"/>
        <w:ind w:firstLine="0"/>
        <w:jc w:val="both"/>
        <w:rPr>
          <w:rFonts w:hint="eastAsia"/>
          <w:b/>
          <w:snapToGrid w:val="0"/>
          <w:color w:val="auto"/>
          <w:highlight w:val="none"/>
        </w:rPr>
      </w:pPr>
      <w:bookmarkStart w:id="192" w:name="_Toc28690"/>
      <w:bookmarkStart w:id="193" w:name="_Toc36804690"/>
      <w:r>
        <w:rPr>
          <w:rFonts w:hint="eastAsia"/>
          <w:b/>
          <w:snapToGrid w:val="0"/>
          <w:color w:val="auto"/>
          <w:highlight w:val="none"/>
        </w:rPr>
        <w:t>格式十三 原件一览表</w:t>
      </w:r>
      <w:bookmarkEnd w:id="192"/>
      <w:bookmarkEnd w:id="193"/>
    </w:p>
    <w:p>
      <w:pPr>
        <w:spacing w:line="336" w:lineRule="auto"/>
        <w:contextualSpacing/>
        <w:jc w:val="left"/>
        <w:rPr>
          <w:rFonts w:hAnsi="宋体"/>
          <w:color w:val="auto"/>
          <w:highlight w:val="none"/>
        </w:rPr>
      </w:pPr>
    </w:p>
    <w:tbl>
      <w:tblPr>
        <w:tblStyle w:val="18"/>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1506"/>
        <w:gridCol w:w="92"/>
        <w:gridCol w:w="1902"/>
        <w:gridCol w:w="1625"/>
        <w:gridCol w:w="754"/>
        <w:gridCol w:w="958"/>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000000" w:fill="FFFFFF"/>
            <w:noWrap w:val="0"/>
            <w:tcMar>
              <w:left w:w="108" w:type="dxa"/>
              <w:right w:w="108" w:type="dxa"/>
            </w:tcMar>
            <w:vAlign w:val="center"/>
          </w:tcPr>
          <w:p>
            <w:pPr>
              <w:jc w:val="center"/>
              <w:rPr>
                <w:rFonts w:hAnsi="宋体" w:cs="宋体"/>
                <w:color w:val="auto"/>
                <w:highlight w:val="none"/>
              </w:rPr>
            </w:pPr>
            <w:r>
              <w:rPr>
                <w:rFonts w:hAnsi="宋体" w:cs="宋体"/>
                <w:b/>
                <w:color w:val="auto"/>
                <w:highlight w:val="none"/>
              </w:rPr>
              <w:t>原件一览表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工程名称</w:t>
            </w:r>
          </w:p>
        </w:tc>
        <w:tc>
          <w:tcPr>
            <w:tcW w:w="6809" w:type="dxa"/>
            <w:gridSpan w:val="5"/>
            <w:shd w:val="clear" w:color="000000"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投标人名称                (请务必填写单位全称)</w:t>
            </w:r>
          </w:p>
        </w:tc>
        <w:tc>
          <w:tcPr>
            <w:tcW w:w="6809" w:type="dxa"/>
            <w:gridSpan w:val="5"/>
            <w:shd w:val="clear" w:color="000000"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pPr>
              <w:jc w:val="center"/>
              <w:rPr>
                <w:rFonts w:hint="eastAsia" w:hAnsi="宋体" w:eastAsia="宋体" w:cs="宋体"/>
                <w:color w:val="auto"/>
                <w:sz w:val="20"/>
                <w:highlight w:val="none"/>
                <w:lang w:eastAsia="zh-CN"/>
              </w:rPr>
            </w:pPr>
            <w:r>
              <w:rPr>
                <w:rFonts w:hAnsi="宋体" w:cs="宋体"/>
                <w:color w:val="auto"/>
                <w:sz w:val="20"/>
                <w:highlight w:val="none"/>
              </w:rPr>
              <w:t>投标人法定代表人或其</w:t>
            </w:r>
          </w:p>
          <w:p>
            <w:pPr>
              <w:jc w:val="center"/>
              <w:rPr>
                <w:rFonts w:hAnsi="宋体" w:cs="宋体"/>
                <w:color w:val="auto"/>
                <w:sz w:val="20"/>
                <w:highlight w:val="none"/>
              </w:rPr>
            </w:pPr>
            <w:r>
              <w:rPr>
                <w:rFonts w:hAnsi="宋体" w:cs="宋体"/>
                <w:color w:val="auto"/>
                <w:sz w:val="20"/>
                <w:highlight w:val="none"/>
              </w:rPr>
              <w:t>委托代理人签名</w:t>
            </w:r>
          </w:p>
        </w:tc>
        <w:tc>
          <w:tcPr>
            <w:tcW w:w="3527" w:type="dxa"/>
            <w:gridSpan w:val="2"/>
            <w:shd w:val="clear" w:color="000000"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　</w:t>
            </w:r>
          </w:p>
        </w:tc>
        <w:tc>
          <w:tcPr>
            <w:tcW w:w="754" w:type="dxa"/>
            <w:shd w:val="clear" w:color="000000"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手机号码</w:t>
            </w:r>
          </w:p>
        </w:tc>
        <w:tc>
          <w:tcPr>
            <w:tcW w:w="2528" w:type="dxa"/>
            <w:gridSpan w:val="2"/>
            <w:shd w:val="clear" w:color="000000"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000000"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递交的证明材料原件如下：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序号</w:t>
            </w:r>
          </w:p>
        </w:tc>
        <w:tc>
          <w:tcPr>
            <w:tcW w:w="5125" w:type="dxa"/>
            <w:gridSpan w:val="4"/>
            <w:shd w:val="clear" w:color="auto"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证明材料原件名称</w:t>
            </w:r>
          </w:p>
        </w:tc>
        <w:tc>
          <w:tcPr>
            <w:tcW w:w="1712" w:type="dxa"/>
            <w:gridSpan w:val="2"/>
            <w:shd w:val="clear" w:color="auto"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单位</w:t>
            </w:r>
          </w:p>
        </w:tc>
        <w:tc>
          <w:tcPr>
            <w:tcW w:w="1570" w:type="dxa"/>
            <w:shd w:val="clear" w:color="auto"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pPr>
              <w:jc w:val="center"/>
              <w:rPr>
                <w:rFonts w:hAnsi="宋体" w:cs="宋体"/>
                <w:color w:val="auto"/>
                <w:highlight w:val="none"/>
              </w:rPr>
            </w:pPr>
            <w:r>
              <w:rPr>
                <w:rFonts w:hAnsi="宋体" w:cs="宋体"/>
                <w:color w:val="auto"/>
                <w:highlight w:val="none"/>
              </w:rPr>
              <w:t>1</w:t>
            </w:r>
          </w:p>
        </w:tc>
        <w:tc>
          <w:tcPr>
            <w:tcW w:w="5125" w:type="dxa"/>
            <w:gridSpan w:val="4"/>
            <w:shd w:val="clear" w:color="000000" w:fill="FFFFFF"/>
            <w:noWrap w:val="0"/>
            <w:tcMar>
              <w:left w:w="108" w:type="dxa"/>
              <w:right w:w="108" w:type="dxa"/>
            </w:tcMar>
            <w:vAlign w:val="center"/>
          </w:tcPr>
          <w:p>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pPr>
              <w:jc w:val="center"/>
              <w:rPr>
                <w:rFonts w:hAnsi="宋体" w:cs="宋体"/>
                <w:color w:val="auto"/>
                <w:highlight w:val="none"/>
              </w:rPr>
            </w:pPr>
            <w:r>
              <w:rPr>
                <w:rFonts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pPr>
              <w:jc w:val="center"/>
              <w:rPr>
                <w:rFonts w:hAnsi="宋体" w:cs="宋体"/>
                <w:color w:val="auto"/>
                <w:highlight w:val="none"/>
              </w:rPr>
            </w:pPr>
            <w:r>
              <w:rPr>
                <w:rFonts w:hAnsi="宋体" w:cs="宋体"/>
                <w:color w:val="auto"/>
                <w:highlight w:val="none"/>
              </w:rPr>
              <w:t>2</w:t>
            </w:r>
          </w:p>
        </w:tc>
        <w:tc>
          <w:tcPr>
            <w:tcW w:w="5125" w:type="dxa"/>
            <w:gridSpan w:val="4"/>
            <w:shd w:val="clear" w:color="000000" w:fill="FFFFFF"/>
            <w:noWrap w:val="0"/>
            <w:tcMar>
              <w:left w:w="108" w:type="dxa"/>
              <w:right w:w="108" w:type="dxa"/>
            </w:tcMar>
            <w:vAlign w:val="center"/>
          </w:tcPr>
          <w:p>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pPr>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pPr>
              <w:jc w:val="center"/>
              <w:rPr>
                <w:rFonts w:hAnsi="宋体" w:cs="宋体"/>
                <w:color w:val="auto"/>
                <w:highlight w:val="none"/>
              </w:rPr>
            </w:pPr>
            <w:r>
              <w:rPr>
                <w:rFonts w:hAnsi="宋体" w:cs="宋体"/>
                <w:color w:val="auto"/>
                <w:highlight w:val="none"/>
              </w:rPr>
              <w:t>3</w:t>
            </w:r>
          </w:p>
        </w:tc>
        <w:tc>
          <w:tcPr>
            <w:tcW w:w="5125" w:type="dxa"/>
            <w:gridSpan w:val="4"/>
            <w:shd w:val="clear" w:color="000000" w:fill="FFFFFF"/>
            <w:noWrap w:val="0"/>
            <w:tcMar>
              <w:left w:w="108" w:type="dxa"/>
              <w:right w:w="108" w:type="dxa"/>
            </w:tcMar>
            <w:vAlign w:val="center"/>
          </w:tcPr>
          <w:p>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pPr>
              <w:jc w:val="center"/>
              <w:rPr>
                <w:rFonts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pPr>
              <w:jc w:val="center"/>
              <w:rPr>
                <w:rFonts w:hAnsi="宋体" w:cs="宋体"/>
                <w:color w:val="auto"/>
                <w:highlight w:val="none"/>
              </w:rPr>
            </w:pPr>
            <w:r>
              <w:rPr>
                <w:rFonts w:hAnsi="宋体" w:cs="宋体"/>
                <w:color w:val="auto"/>
                <w:highlight w:val="none"/>
              </w:rPr>
              <w:t>...</w:t>
            </w:r>
          </w:p>
        </w:tc>
        <w:tc>
          <w:tcPr>
            <w:tcW w:w="5125" w:type="dxa"/>
            <w:gridSpan w:val="4"/>
            <w:shd w:val="clear" w:color="000000" w:fill="FFFFFF"/>
            <w:noWrap w:val="0"/>
            <w:tcMar>
              <w:left w:w="108" w:type="dxa"/>
              <w:right w:w="108" w:type="dxa"/>
            </w:tcMar>
            <w:vAlign w:val="center"/>
          </w:tcPr>
          <w:p>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pPr>
              <w:jc w:val="center"/>
              <w:rPr>
                <w:rFonts w:hAnsi="宋体" w:cs="宋体"/>
                <w:color w:val="auto"/>
                <w:highlight w:val="none"/>
              </w:rPr>
            </w:pPr>
            <w:r>
              <w:rPr>
                <w:rFonts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8" w:hRule="atLeast"/>
        </w:trPr>
        <w:tc>
          <w:tcPr>
            <w:tcW w:w="701" w:type="dxa"/>
            <w:shd w:val="clear" w:color="auto" w:fill="FFFFFF"/>
            <w:noWrap w:val="0"/>
            <w:tcMar>
              <w:left w:w="108" w:type="dxa"/>
              <w:right w:w="108" w:type="dxa"/>
            </w:tcMar>
            <w:vAlign w:val="center"/>
          </w:tcPr>
          <w:p>
            <w:pPr>
              <w:ind w:left="8" w:hanging="94"/>
              <w:jc w:val="center"/>
              <w:rPr>
                <w:rFonts w:hAnsi="宋体" w:cs="宋体"/>
                <w:color w:val="auto"/>
                <w:sz w:val="20"/>
                <w:highlight w:val="none"/>
              </w:rPr>
            </w:pPr>
            <w:r>
              <w:rPr>
                <w:rFonts w:hAnsi="宋体" w:cs="宋体"/>
                <w:color w:val="auto"/>
                <w:sz w:val="20"/>
                <w:highlight w:val="none"/>
              </w:rPr>
              <w:t>注意：</w:t>
            </w:r>
          </w:p>
        </w:tc>
        <w:tc>
          <w:tcPr>
            <w:tcW w:w="8407" w:type="dxa"/>
            <w:gridSpan w:val="7"/>
            <w:shd w:val="clear" w:color="auto" w:fill="FFFFFF"/>
            <w:noWrap w:val="0"/>
            <w:tcMar>
              <w:left w:w="108" w:type="dxa"/>
              <w:right w:w="108" w:type="dxa"/>
            </w:tcMar>
            <w:vAlign w:val="center"/>
          </w:tcPr>
          <w:p>
            <w:pPr>
              <w:ind w:firstLine="480"/>
              <w:rPr>
                <w:rFonts w:hAnsi="宋体" w:cs="宋体"/>
                <w:color w:val="auto"/>
                <w:sz w:val="20"/>
                <w:highlight w:val="none"/>
              </w:rPr>
            </w:pPr>
            <w:r>
              <w:rPr>
                <w:rFonts w:hAnsi="宋体" w:cs="宋体"/>
                <w:color w:val="auto"/>
                <w:sz w:val="20"/>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2207" w:type="dxa"/>
            <w:gridSpan w:val="2"/>
            <w:shd w:val="clear" w:color="000000" w:fill="FFFFFF"/>
            <w:noWrap w:val="0"/>
            <w:tcMar>
              <w:left w:w="108" w:type="dxa"/>
              <w:right w:w="108" w:type="dxa"/>
            </w:tcMar>
            <w:vAlign w:val="center"/>
          </w:tcPr>
          <w:p>
            <w:pPr>
              <w:jc w:val="center"/>
              <w:rPr>
                <w:rFonts w:hAnsi="宋体" w:cs="宋体"/>
                <w:color w:val="auto"/>
                <w:sz w:val="20"/>
                <w:highlight w:val="none"/>
              </w:rPr>
            </w:pPr>
          </w:p>
          <w:p>
            <w:pPr>
              <w:jc w:val="center"/>
              <w:rPr>
                <w:rFonts w:hAnsi="宋体" w:cs="宋体"/>
                <w:color w:val="auto"/>
                <w:sz w:val="20"/>
                <w:highlight w:val="none"/>
              </w:rPr>
            </w:pPr>
            <w:r>
              <w:rPr>
                <w:rFonts w:hAnsi="宋体" w:cs="宋体"/>
                <w:color w:val="auto"/>
                <w:sz w:val="20"/>
                <w:highlight w:val="none"/>
              </w:rPr>
              <w:t>接收原件经办人</w:t>
            </w:r>
          </w:p>
          <w:p>
            <w:pPr>
              <w:jc w:val="center"/>
              <w:rPr>
                <w:rFonts w:hAnsi="宋体" w:cs="宋体"/>
                <w:color w:val="auto"/>
                <w:sz w:val="20"/>
                <w:highlight w:val="none"/>
              </w:rPr>
            </w:pPr>
            <w:r>
              <w:rPr>
                <w:rFonts w:hAnsi="宋体" w:cs="宋体"/>
                <w:color w:val="auto"/>
                <w:sz w:val="20"/>
                <w:highlight w:val="none"/>
              </w:rPr>
              <w:t>(招标代理机构)：</w:t>
            </w:r>
          </w:p>
        </w:tc>
        <w:tc>
          <w:tcPr>
            <w:tcW w:w="1994" w:type="dxa"/>
            <w:gridSpan w:val="2"/>
            <w:shd w:val="clear" w:color="000000" w:fill="FFFFFF"/>
            <w:noWrap w:val="0"/>
            <w:tcMar>
              <w:left w:w="108" w:type="dxa"/>
              <w:right w:w="108" w:type="dxa"/>
            </w:tcMar>
            <w:vAlign w:val="center"/>
          </w:tcPr>
          <w:p>
            <w:pPr>
              <w:jc w:val="center"/>
              <w:rPr>
                <w:rFonts w:hAnsi="宋体" w:cs="宋体"/>
                <w:color w:val="auto"/>
                <w:sz w:val="20"/>
                <w:highlight w:val="none"/>
              </w:rPr>
            </w:pPr>
          </w:p>
        </w:tc>
        <w:tc>
          <w:tcPr>
            <w:tcW w:w="1625" w:type="dxa"/>
            <w:shd w:val="clear" w:color="000000"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接收时间：</w:t>
            </w:r>
          </w:p>
        </w:tc>
        <w:tc>
          <w:tcPr>
            <w:tcW w:w="3282" w:type="dxa"/>
            <w:gridSpan w:val="3"/>
            <w:shd w:val="clear" w:color="000000" w:fill="FFFFFF"/>
            <w:noWrap w:val="0"/>
            <w:tcMar>
              <w:left w:w="108" w:type="dxa"/>
              <w:right w:w="108" w:type="dxa"/>
            </w:tcMar>
            <w:vAlign w:val="center"/>
          </w:tcPr>
          <w:p>
            <w:pPr>
              <w:ind w:firstLine="600" w:firstLineChars="300"/>
              <w:jc w:val="left"/>
              <w:rPr>
                <w:rFonts w:hAnsi="宋体" w:cs="宋体"/>
                <w:color w:val="auto"/>
                <w:sz w:val="20"/>
                <w:highlight w:val="none"/>
              </w:rPr>
            </w:pPr>
            <w:r>
              <w:rPr>
                <w:rFonts w:hAnsi="宋体" w:cs="宋体"/>
                <w:color w:val="auto"/>
                <w:sz w:val="20"/>
                <w:highlight w:val="none"/>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000000"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退还原件接收人</w:t>
            </w:r>
          </w:p>
          <w:p>
            <w:pPr>
              <w:jc w:val="center"/>
              <w:rPr>
                <w:rFonts w:hAnsi="宋体" w:cs="宋体"/>
                <w:color w:val="auto"/>
                <w:sz w:val="20"/>
                <w:highlight w:val="none"/>
              </w:rPr>
            </w:pPr>
            <w:r>
              <w:rPr>
                <w:rFonts w:hAnsi="宋体" w:cs="宋体"/>
                <w:color w:val="auto"/>
                <w:sz w:val="20"/>
                <w:highlight w:val="none"/>
              </w:rPr>
              <w:t>(投标人)：</w:t>
            </w:r>
          </w:p>
        </w:tc>
        <w:tc>
          <w:tcPr>
            <w:tcW w:w="1994" w:type="dxa"/>
            <w:gridSpan w:val="2"/>
            <w:shd w:val="clear" w:color="000000" w:fill="FFFFFF"/>
            <w:noWrap w:val="0"/>
            <w:tcMar>
              <w:left w:w="108" w:type="dxa"/>
              <w:right w:w="108" w:type="dxa"/>
            </w:tcMar>
            <w:vAlign w:val="center"/>
          </w:tcPr>
          <w:p>
            <w:pPr>
              <w:jc w:val="center"/>
              <w:rPr>
                <w:rFonts w:hAnsi="宋体" w:cs="宋体"/>
                <w:color w:val="auto"/>
                <w:sz w:val="20"/>
                <w:highlight w:val="none"/>
              </w:rPr>
            </w:pPr>
          </w:p>
        </w:tc>
        <w:tc>
          <w:tcPr>
            <w:tcW w:w="1625" w:type="dxa"/>
            <w:shd w:val="clear" w:color="000000" w:fill="FFFFFF"/>
            <w:noWrap w:val="0"/>
            <w:tcMar>
              <w:left w:w="108" w:type="dxa"/>
              <w:right w:w="108" w:type="dxa"/>
            </w:tcMar>
            <w:vAlign w:val="center"/>
          </w:tcPr>
          <w:p>
            <w:pPr>
              <w:jc w:val="center"/>
              <w:rPr>
                <w:rFonts w:hAnsi="宋体" w:cs="宋体"/>
                <w:color w:val="auto"/>
                <w:sz w:val="20"/>
                <w:highlight w:val="none"/>
              </w:rPr>
            </w:pPr>
            <w:r>
              <w:rPr>
                <w:rFonts w:hAnsi="宋体" w:cs="宋体"/>
                <w:color w:val="auto"/>
                <w:sz w:val="20"/>
                <w:highlight w:val="none"/>
              </w:rPr>
              <w:t>退还时间：</w:t>
            </w:r>
          </w:p>
        </w:tc>
        <w:tc>
          <w:tcPr>
            <w:tcW w:w="3282" w:type="dxa"/>
            <w:gridSpan w:val="3"/>
            <w:shd w:val="clear" w:color="000000" w:fill="FFFFFF"/>
            <w:noWrap w:val="0"/>
            <w:tcMar>
              <w:left w:w="108" w:type="dxa"/>
              <w:right w:w="108" w:type="dxa"/>
            </w:tcMar>
            <w:vAlign w:val="center"/>
          </w:tcPr>
          <w:p>
            <w:pPr>
              <w:ind w:firstLine="600" w:firstLineChars="300"/>
              <w:jc w:val="left"/>
              <w:rPr>
                <w:rFonts w:hAnsi="宋体" w:cs="宋体"/>
                <w:color w:val="auto"/>
                <w:sz w:val="20"/>
                <w:highlight w:val="none"/>
              </w:rPr>
            </w:pPr>
            <w:r>
              <w:rPr>
                <w:rFonts w:hAnsi="宋体" w:cs="宋体"/>
                <w:color w:val="auto"/>
                <w:sz w:val="20"/>
                <w:highlight w:val="none"/>
              </w:rPr>
              <w:t>年   月   日   时   分</w:t>
            </w:r>
          </w:p>
        </w:tc>
      </w:tr>
    </w:tbl>
    <w:p>
      <w:pPr>
        <w:pStyle w:val="34"/>
        <w:widowControl w:val="0"/>
        <w:wordWrap w:val="0"/>
        <w:adjustRightInd w:val="0"/>
        <w:snapToGrid w:val="0"/>
        <w:spacing w:line="400" w:lineRule="exact"/>
        <w:rPr>
          <w:rFonts w:hint="eastAsia" w:ascii="Times New Roman"/>
          <w:snapToGrid w:val="0"/>
          <w:color w:val="auto"/>
          <w:sz w:val="21"/>
          <w:highlight w:val="none"/>
        </w:rPr>
        <w:sectPr>
          <w:endnotePr>
            <w:numFmt w:val="decimal"/>
          </w:endnotePr>
          <w:pgSz w:w="11906" w:h="16838"/>
          <w:pgMar w:top="1701" w:right="1531" w:bottom="1417" w:left="1531" w:header="850" w:footer="992" w:gutter="0"/>
          <w:cols w:space="720" w:num="1"/>
          <w:docGrid w:linePitch="327" w:charSpace="0"/>
        </w:sectPr>
      </w:pPr>
    </w:p>
    <w:bookmarkEnd w:id="7"/>
    <w:bookmarkEnd w:id="164"/>
    <w:bookmarkEnd w:id="165"/>
    <w:p>
      <w:pPr>
        <w:pStyle w:val="4"/>
        <w:jc w:val="center"/>
        <w:rPr>
          <w:rFonts w:hint="eastAsia"/>
          <w:b/>
          <w:color w:val="auto"/>
          <w:sz w:val="32"/>
          <w:szCs w:val="32"/>
          <w:highlight w:val="none"/>
        </w:rPr>
      </w:pPr>
      <w:bookmarkStart w:id="194" w:name="_Hlt87783244"/>
      <w:bookmarkEnd w:id="194"/>
      <w:bookmarkStart w:id="195" w:name="_附件十六：措施项目清单计价表"/>
      <w:bookmarkEnd w:id="195"/>
      <w:bookmarkStart w:id="196" w:name="_附件二十一：土建工程、电气工程、给排水工程工程清单项目费汇总表"/>
      <w:bookmarkEnd w:id="196"/>
      <w:bookmarkStart w:id="197" w:name="_Hlt87793582"/>
      <w:bookmarkEnd w:id="197"/>
      <w:bookmarkStart w:id="198" w:name="_Toc24635"/>
      <w:bookmarkStart w:id="199" w:name="_Toc7092"/>
      <w:bookmarkStart w:id="200" w:name="_Toc8860"/>
      <w:bookmarkStart w:id="201" w:name="_Toc133160683"/>
      <w:bookmarkStart w:id="202" w:name="_Toc137444778"/>
      <w:bookmarkStart w:id="203" w:name="_Toc22278"/>
      <w:bookmarkStart w:id="204" w:name="_Toc13722"/>
      <w:bookmarkStart w:id="205" w:name="_Toc142468134"/>
      <w:bookmarkStart w:id="206" w:name="_Toc132687128"/>
      <w:bookmarkStart w:id="207" w:name="_Toc78794873"/>
      <w:bookmarkStart w:id="208" w:name="_Toc133815902"/>
      <w:r>
        <w:rPr>
          <w:rFonts w:ascii="Times New Roman"/>
          <w:b/>
          <w:snapToGrid w:val="0"/>
          <w:color w:val="auto"/>
          <w:sz w:val="24"/>
          <w:highlight w:val="none"/>
        </w:rPr>
        <w:t>第七章 建设工程施工合同</w:t>
      </w:r>
    </w:p>
    <w:bookmarkEnd w:id="198"/>
    <w:bookmarkEnd w:id="199"/>
    <w:bookmarkEnd w:id="200"/>
    <w:p>
      <w:pPr>
        <w:widowControl/>
        <w:jc w:val="center"/>
        <w:rPr>
          <w:bCs/>
          <w:color w:val="auto"/>
          <w:sz w:val="32"/>
          <w:szCs w:val="32"/>
          <w:highlight w:val="none"/>
        </w:rPr>
      </w:pPr>
      <w:r>
        <w:rPr>
          <w:rFonts w:ascii="Times New Roman"/>
          <w:b/>
          <w:snapToGrid w:val="0"/>
          <w:color w:val="auto"/>
          <w:sz w:val="32"/>
          <w:szCs w:val="22"/>
          <w:highlight w:val="none"/>
        </w:rPr>
        <w:t>建设工程施工合同</w:t>
      </w:r>
    </w:p>
    <w:p>
      <w:pPr>
        <w:pStyle w:val="3"/>
        <w:wordWrap w:val="0"/>
        <w:autoSpaceDE/>
        <w:autoSpaceDN/>
        <w:snapToGrid w:val="0"/>
        <w:spacing w:line="440" w:lineRule="exact"/>
        <w:jc w:val="center"/>
        <w:rPr>
          <w:rFonts w:ascii="Times New Roman"/>
          <w:b/>
          <w:snapToGrid w:val="0"/>
          <w:color w:val="auto"/>
          <w:sz w:val="24"/>
          <w:highlight w:val="none"/>
        </w:rPr>
      </w:pPr>
    </w:p>
    <w:bookmarkEnd w:id="201"/>
    <w:bookmarkEnd w:id="202"/>
    <w:bookmarkEnd w:id="203"/>
    <w:bookmarkEnd w:id="204"/>
    <w:bookmarkEnd w:id="205"/>
    <w:bookmarkEnd w:id="206"/>
    <w:p>
      <w:pPr>
        <w:wordWrap w:val="0"/>
        <w:adjustRightInd w:val="0"/>
        <w:snapToGrid w:val="0"/>
        <w:spacing w:line="440" w:lineRule="exact"/>
        <w:rPr>
          <w:rFonts w:ascii="Times New Roman"/>
          <w:snapToGrid w:val="0"/>
          <w:color w:val="auto"/>
          <w:kern w:val="0"/>
          <w:highlight w:val="none"/>
        </w:rPr>
      </w:pPr>
      <w:r>
        <w:rPr>
          <w:rFonts w:ascii="Times New Roman"/>
          <w:snapToGrid w:val="0"/>
          <w:color w:val="auto"/>
          <w:kern w:val="0"/>
          <w:highlight w:val="none"/>
        </w:rPr>
        <w:t xml:space="preserve">    （略），</w:t>
      </w:r>
      <w:bookmarkEnd w:id="207"/>
      <w:bookmarkEnd w:id="208"/>
      <w:r>
        <w:rPr>
          <w:rFonts w:ascii="Times New Roman"/>
          <w:snapToGrid w:val="0"/>
          <w:color w:val="auto"/>
          <w:kern w:val="0"/>
          <w:highlight w:val="none"/>
        </w:rPr>
        <w:t>按《广东省建设工程标准施工合同》（2009年版）或《建设工程施工合同（示范文本）》（GF—2017—0201）执行。</w:t>
      </w:r>
    </w:p>
    <w:p/>
    <w:sectPr>
      <w:endnotePr>
        <w:numFmt w:val="decimal"/>
      </w:endnotePr>
      <w:pgSz w:w="11906" w:h="16838"/>
      <w:pgMar w:top="1701" w:right="1531" w:bottom="1417" w:left="1531" w:header="850" w:footer="992" w:gutter="0"/>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etween w:val="none" w:color="auto" w:sz="0" w:space="0"/>
      </w:pBdr>
    </w:pPr>
  </w:p>
  <w:p>
    <w:pPr>
      <w:pStyle w:val="13"/>
      <w:pBdr>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4485"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24485" cy="259715"/>
                      </a:xfrm>
                      <a:prstGeom prst="rect">
                        <a:avLst/>
                      </a:prstGeom>
                      <a:noFill/>
                      <a:ln>
                        <a:noFill/>
                      </a:ln>
                    </wps:spPr>
                    <wps:txbx>
                      <w:txbxContent>
                        <w:p>
                          <w:pPr>
                            <w:pStyle w:val="13"/>
                          </w:pPr>
                          <w:r>
                            <w:rPr>
                              <w:rFonts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rPr>
                              <w:rFonts w:hint="default"/>
                            </w:rPr>
                            <w:t>3</w:t>
                          </w:r>
                          <w:r>
                            <w:rPr>
                              <w:rFonts w:ascii="Times New Roman"/>
                              <w:sz w:val="21"/>
                            </w:rPr>
                            <w:fldChar w:fldCharType="end"/>
                          </w:r>
                          <w:r>
                            <w:rPr>
                              <w:rFonts w:ascii="Times New Roman"/>
                              <w:sz w:val="21"/>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45pt;width:25.55pt;mso-position-horizontal:center;mso-position-horizontal-relative:margin;mso-wrap-style:none;z-index:251659264;mso-width-relative:page;mso-height-relative:page;" filled="f" stroked="f" coordsize="21600,21600" o:gfxdata="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4FKcNEAAAADAQAADwAAAAAAAAABACAAAAAiAAAAZHJzL2Rv&#10;d25yZXYueG1sUEsBAhQAFAAAAAgAh07iQHPqYaXPAQAAlwMAAA4AAAAAAAAAAQAgAAAAIAEAAGRy&#10;cy9lMm9Eb2MueG1sUEsFBgAAAAAGAAYAWQEAAGEFAAAAAA==&#10;">
              <v:fill on="f" focussize="0,0"/>
              <v:stroke on="f"/>
              <v:imagedata o:title=""/>
              <o:lock v:ext="edit" aspectratio="f"/>
              <v:textbox inset="0mm,0mm,0mm,0mm" style="mso-fit-shape-to-text:t;">
                <w:txbxContent>
                  <w:p>
                    <w:pPr>
                      <w:pStyle w:val="13"/>
                    </w:pPr>
                    <w:r>
                      <w:rPr>
                        <w:rFonts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rPr>
                        <w:rFonts w:hint="default"/>
                      </w:rPr>
                      <w:t>3</w:t>
                    </w:r>
                    <w:r>
                      <w:rPr>
                        <w:rFonts w:ascii="Times New Roman"/>
                        <w:sz w:val="21"/>
                      </w:rPr>
                      <w:fldChar w:fldCharType="end"/>
                    </w:r>
                    <w:r>
                      <w:rPr>
                        <w:rFonts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etween w:val="none" w:color="auto" w:sz="0" w:space="0"/>
      </w:pBd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48</w:t>
                          </w:r>
                          <w:r>
                            <w:rPr>
                              <w:rFonts w:ascii="Times New Roman"/>
                              <w:sz w:val="21"/>
                            </w:rPr>
                            <w:fldChar w:fldCharType="end"/>
                          </w:r>
                          <w:r>
                            <w:rPr>
                              <w:rFonts w:hint="eastAsia" w:ascii="Times New Roman"/>
                              <w:sz w:val="21"/>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3"/>
                      <w:rPr>
                        <w:rFonts w:hint="eastAsia"/>
                      </w:rPr>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48</w:t>
                    </w:r>
                    <w:r>
                      <w:rPr>
                        <w:rFonts w:ascii="Times New Roman"/>
                        <w:sz w:val="21"/>
                      </w:rPr>
                      <w:fldChar w:fldCharType="end"/>
                    </w:r>
                    <w:r>
                      <w:rPr>
                        <w:rFonts w:hint="eastAsia" w:ascii="Times New Roman"/>
                        <w:sz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D5A02"/>
    <w:multiLevelType w:val="singleLevel"/>
    <w:tmpl w:val="97CD5A02"/>
    <w:lvl w:ilvl="0" w:tentative="0">
      <w:start w:val="2"/>
      <w:numFmt w:val="chineseCounting"/>
      <w:suff w:val="space"/>
      <w:lvlText w:val="第%1节"/>
      <w:lvlJc w:val="left"/>
      <w:rPr>
        <w:rFonts w:hint="eastAsia"/>
      </w:rPr>
    </w:lvl>
  </w:abstractNum>
  <w:abstractNum w:abstractNumId="1">
    <w:nsid w:val="C0F6B080"/>
    <w:multiLevelType w:val="singleLevel"/>
    <w:tmpl w:val="C0F6B080"/>
    <w:lvl w:ilvl="0" w:tentative="0">
      <w:start w:val="4"/>
      <w:numFmt w:val="decimal"/>
      <w:suff w:val="nothing"/>
      <w:lvlText w:val="（%1）"/>
      <w:lvlJc w:val="left"/>
    </w:lvl>
  </w:abstractNum>
  <w:abstractNum w:abstractNumId="2">
    <w:nsid w:val="C454E407"/>
    <w:multiLevelType w:val="singleLevel"/>
    <w:tmpl w:val="C454E407"/>
    <w:lvl w:ilvl="0" w:tentative="0">
      <w:start w:val="1"/>
      <w:numFmt w:val="lowerLetter"/>
      <w:suff w:val="nothing"/>
      <w:lvlText w:val="%1．"/>
      <w:lvlJc w:val="left"/>
      <w:pPr>
        <w:ind w:left="600" w:firstLine="0"/>
      </w:pPr>
    </w:lvl>
  </w:abstractNum>
  <w:abstractNum w:abstractNumId="3">
    <w:nsid w:val="D81B270E"/>
    <w:multiLevelType w:val="singleLevel"/>
    <w:tmpl w:val="D81B270E"/>
    <w:lvl w:ilvl="0" w:tentative="0">
      <w:start w:val="18"/>
      <w:numFmt w:val="decimal"/>
      <w:suff w:val="nothing"/>
      <w:lvlText w:val="%1．"/>
      <w:lvlJc w:val="left"/>
    </w:lvl>
  </w:abstractNum>
  <w:abstractNum w:abstractNumId="4">
    <w:nsid w:val="F064BCE8"/>
    <w:multiLevelType w:val="singleLevel"/>
    <w:tmpl w:val="F064BCE8"/>
    <w:lvl w:ilvl="0" w:tentative="0">
      <w:start w:val="1"/>
      <w:numFmt w:val="decimal"/>
      <w:lvlText w:val="%1."/>
      <w:lvlJc w:val="left"/>
      <w:pPr>
        <w:tabs>
          <w:tab w:val="left" w:pos="312"/>
        </w:tabs>
      </w:pPr>
    </w:lvl>
  </w:abstractNum>
  <w:abstractNum w:abstractNumId="5">
    <w:nsid w:val="06617115"/>
    <w:multiLevelType w:val="multilevel"/>
    <w:tmpl w:val="066171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ZGU5NDQzMjY3YzMyZGYwMWQ0ZDA5ODM4MGM5OWQifQ=="/>
  </w:docVars>
  <w:rsids>
    <w:rsidRoot w:val="605B6F05"/>
    <w:rsid w:val="00757062"/>
    <w:rsid w:val="02AE38C6"/>
    <w:rsid w:val="0656090B"/>
    <w:rsid w:val="0826562D"/>
    <w:rsid w:val="093D27FE"/>
    <w:rsid w:val="0AED5939"/>
    <w:rsid w:val="0C585F94"/>
    <w:rsid w:val="0D315297"/>
    <w:rsid w:val="0F4747F7"/>
    <w:rsid w:val="0FE3182C"/>
    <w:rsid w:val="11323F23"/>
    <w:rsid w:val="14113C30"/>
    <w:rsid w:val="152735E8"/>
    <w:rsid w:val="1707372A"/>
    <w:rsid w:val="1BC3591D"/>
    <w:rsid w:val="1FED057C"/>
    <w:rsid w:val="20D43063"/>
    <w:rsid w:val="223D7CD3"/>
    <w:rsid w:val="231258B2"/>
    <w:rsid w:val="240D5AE9"/>
    <w:rsid w:val="25473063"/>
    <w:rsid w:val="263316CE"/>
    <w:rsid w:val="269C60F9"/>
    <w:rsid w:val="27C220DE"/>
    <w:rsid w:val="27F37602"/>
    <w:rsid w:val="2B980E99"/>
    <w:rsid w:val="2EA51702"/>
    <w:rsid w:val="2FDD59D3"/>
    <w:rsid w:val="3160294D"/>
    <w:rsid w:val="32C84696"/>
    <w:rsid w:val="33695E85"/>
    <w:rsid w:val="34E72111"/>
    <w:rsid w:val="365E4062"/>
    <w:rsid w:val="38484E4D"/>
    <w:rsid w:val="3A9E3272"/>
    <w:rsid w:val="3B0932F0"/>
    <w:rsid w:val="3C33104A"/>
    <w:rsid w:val="3CD43C27"/>
    <w:rsid w:val="3FDA3DAB"/>
    <w:rsid w:val="42DF1BF3"/>
    <w:rsid w:val="442761D0"/>
    <w:rsid w:val="44D0427A"/>
    <w:rsid w:val="4BCB4154"/>
    <w:rsid w:val="4C243280"/>
    <w:rsid w:val="4DA3443B"/>
    <w:rsid w:val="4F524CFA"/>
    <w:rsid w:val="4F8929CB"/>
    <w:rsid w:val="52E25EB4"/>
    <w:rsid w:val="54666CF2"/>
    <w:rsid w:val="54A10408"/>
    <w:rsid w:val="558A17E9"/>
    <w:rsid w:val="5AA54312"/>
    <w:rsid w:val="5B0F4379"/>
    <w:rsid w:val="5B8443FA"/>
    <w:rsid w:val="5D811040"/>
    <w:rsid w:val="605B6F05"/>
    <w:rsid w:val="61123AFB"/>
    <w:rsid w:val="622C2B05"/>
    <w:rsid w:val="623A2401"/>
    <w:rsid w:val="62D43585"/>
    <w:rsid w:val="62F45969"/>
    <w:rsid w:val="63855145"/>
    <w:rsid w:val="63BC1F7D"/>
    <w:rsid w:val="6702464F"/>
    <w:rsid w:val="6D822303"/>
    <w:rsid w:val="6FF375E1"/>
    <w:rsid w:val="717834BF"/>
    <w:rsid w:val="75306DAB"/>
    <w:rsid w:val="79B046A2"/>
    <w:rsid w:val="7BAE70F1"/>
    <w:rsid w:val="7CE107C1"/>
    <w:rsid w:val="7D52303C"/>
    <w:rsid w:val="7F38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sz w:val="24"/>
    </w:rPr>
  </w:style>
  <w:style w:type="paragraph" w:styleId="5">
    <w:name w:val="heading 3"/>
    <w:basedOn w:val="6"/>
    <w:next w:val="6"/>
    <w:qFormat/>
    <w:uiPriority w:val="0"/>
    <w:pPr>
      <w:keepNext/>
      <w:keepLines/>
      <w:spacing w:before="120" w:beforeLines="0" w:beforeAutospacing="0" w:after="120" w:afterLines="0" w:afterAutospacing="0"/>
      <w:jc w:val="center"/>
      <w:outlineLvl w:val="2"/>
    </w:pPr>
    <w:rPr>
      <w:sz w:val="24"/>
    </w:rPr>
  </w:style>
  <w:style w:type="paragraph" w:styleId="2">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adjustRightInd w:val="0"/>
      <w:spacing w:line="360" w:lineRule="atLeast"/>
      <w:jc w:val="left"/>
      <w:textAlignment w:val="baseline"/>
    </w:pPr>
    <w:rPr>
      <w:rFonts w:ascii="宋体"/>
      <w:kern w:val="0"/>
      <w:sz w:val="24"/>
    </w:rPr>
  </w:style>
  <w:style w:type="paragraph" w:styleId="8">
    <w:name w:val="Body Text"/>
    <w:basedOn w:val="1"/>
    <w:next w:val="9"/>
    <w:qFormat/>
    <w:uiPriority w:val="0"/>
    <w:pPr>
      <w:spacing w:after="120" w:afterLines="0" w:afterAutospacing="0"/>
    </w:pPr>
    <w:rPr>
      <w:rFonts w:hint="default"/>
    </w:rPr>
  </w:style>
  <w:style w:type="paragraph" w:styleId="9">
    <w:name w:val="Body Text 2"/>
    <w:basedOn w:val="1"/>
    <w:qFormat/>
    <w:uiPriority w:val="0"/>
    <w:pPr>
      <w:spacing w:line="500" w:lineRule="exact"/>
    </w:pPr>
    <w:rPr>
      <w:rFonts w:ascii="宋体"/>
      <w:sz w:val="24"/>
    </w:rPr>
  </w:style>
  <w:style w:type="paragraph" w:styleId="10">
    <w:name w:val="Body Text Indent"/>
    <w:basedOn w:val="1"/>
    <w:qFormat/>
    <w:uiPriority w:val="0"/>
    <w:pPr>
      <w:ind w:firstLine="560" w:firstLineChars="200"/>
    </w:pPr>
    <w:rPr>
      <w:rFonts w:hint="default"/>
    </w:rPr>
  </w:style>
  <w:style w:type="paragraph" w:styleId="11">
    <w:name w:val="toc 3"/>
    <w:basedOn w:val="1"/>
    <w:next w:val="1"/>
    <w:qFormat/>
    <w:uiPriority w:val="39"/>
    <w:pPr>
      <w:ind w:left="561"/>
      <w:jc w:val="left"/>
    </w:pPr>
    <w:rPr>
      <w:sz w:val="24"/>
    </w:rPr>
  </w:style>
  <w:style w:type="paragraph" w:styleId="12">
    <w:name w:val="Body Text Indent 2"/>
    <w:basedOn w:val="1"/>
    <w:qFormat/>
    <w:uiPriority w:val="0"/>
    <w:pPr>
      <w:spacing w:line="480" w:lineRule="auto"/>
      <w:ind w:firstLine="561"/>
    </w:pPr>
    <w:rPr>
      <w:rFonts w:ascii="宋体"/>
    </w:rPr>
  </w:style>
  <w:style w:type="paragraph" w:styleId="13">
    <w:name w:val="footer"/>
    <w:basedOn w:val="1"/>
    <w:qFormat/>
    <w:uiPriority w:val="0"/>
    <w:pPr>
      <w:widowControl/>
      <w:tabs>
        <w:tab w:val="center" w:pos="4153"/>
        <w:tab w:val="right" w:pos="8306"/>
      </w:tabs>
      <w:snapToGrid w:val="0"/>
      <w:jc w:val="left"/>
    </w:pPr>
    <w:rPr>
      <w:kern w:val="0"/>
      <w:sz w:val="18"/>
    </w:rPr>
  </w:style>
  <w:style w:type="paragraph" w:styleId="14">
    <w:name w:val="toc 1"/>
    <w:basedOn w:val="1"/>
    <w:next w:val="1"/>
    <w:qFormat/>
    <w:uiPriority w:val="39"/>
    <w:pPr>
      <w:spacing w:before="120" w:beforeLines="0" w:beforeAutospacing="0" w:after="120" w:afterLines="0" w:afterAutospacing="0"/>
      <w:jc w:val="left"/>
    </w:pPr>
    <w:rPr>
      <w:caps/>
      <w:sz w:val="24"/>
    </w:rPr>
  </w:style>
  <w:style w:type="paragraph" w:styleId="15">
    <w:name w:val="toc 4"/>
    <w:basedOn w:val="1"/>
    <w:next w:val="1"/>
    <w:qFormat/>
    <w:uiPriority w:val="0"/>
    <w:pPr>
      <w:ind w:left="840"/>
      <w:jc w:val="left"/>
    </w:pPr>
  </w:style>
  <w:style w:type="paragraph" w:styleId="16">
    <w:name w:val="toc 2"/>
    <w:basedOn w:val="1"/>
    <w:next w:val="1"/>
    <w:qFormat/>
    <w:uiPriority w:val="39"/>
    <w:pPr>
      <w:ind w:left="278"/>
      <w:jc w:val="left"/>
    </w:pPr>
    <w:rPr>
      <w:smallCaps/>
      <w:sz w:val="24"/>
    </w:rPr>
  </w:style>
  <w:style w:type="paragraph" w:styleId="17">
    <w:name w:val="Normal (Web)"/>
    <w:basedOn w:val="1"/>
    <w:unhideWhenUsed/>
    <w:qFormat/>
    <w:uiPriority w:val="99"/>
    <w:pPr>
      <w:widowControl/>
      <w:spacing w:before="100" w:beforeAutospacing="1" w:after="100" w:afterAutospacing="1" w:line="240" w:lineRule="auto"/>
      <w:jc w:val="left"/>
    </w:pPr>
    <w:rPr>
      <w:rFonts w:hAnsi="宋体" w:cs="宋体"/>
      <w:kern w:val="0"/>
      <w:szCs w:val="24"/>
    </w:rPr>
  </w:style>
  <w:style w:type="paragraph" w:customStyle="1" w:styleId="20">
    <w:name w:val="样式 宋体 行距: 1.5 倍行距"/>
    <w:basedOn w:val="21"/>
    <w:next w:val="1"/>
    <w:qFormat/>
    <w:uiPriority w:val="0"/>
    <w:pPr>
      <w:jc w:val="center"/>
    </w:pPr>
    <w:rPr>
      <w:rFonts w:ascii="Times New Roman"/>
      <w:b/>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0"/>
    <w:qFormat/>
    <w:uiPriority w:val="0"/>
    <w:pPr>
      <w:widowControl w:val="0"/>
      <w:jc w:val="both"/>
    </w:pPr>
    <w:rPr>
      <w:rFonts w:ascii="Calibri" w:hAnsi="Calibri" w:eastAsia="宋体" w:cs="黑体"/>
      <w:kern w:val="2"/>
      <w:sz w:val="21"/>
      <w:szCs w:val="24"/>
      <w:lang w:val="en-US" w:eastAsia="zh-CN" w:bidi="ar-SA"/>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5">
    <w:name w:val="正文文本 New New"/>
    <w:basedOn w:val="24"/>
    <w:qFormat/>
    <w:uiPriority w:val="0"/>
    <w:pPr>
      <w:spacing w:after="120"/>
    </w:pPr>
  </w:style>
  <w:style w:type="paragraph" w:customStyle="1" w:styleId="26">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普通(网站) New"/>
    <w:basedOn w:val="31"/>
    <w:qFormat/>
    <w:uiPriority w:val="0"/>
    <w:rPr>
      <w:sz w:val="24"/>
    </w:rPr>
  </w:style>
  <w:style w:type="paragraph" w:customStyle="1" w:styleId="31">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3">
    <w:name w:val="标题 3 New New"/>
    <w:basedOn w:val="34"/>
    <w:next w:val="34"/>
    <w:qFormat/>
    <w:uiPriority w:val="0"/>
    <w:pPr>
      <w:keepNext/>
      <w:keepLines/>
      <w:spacing w:before="120" w:beforeLines="0" w:beforeAutospacing="0" w:after="120" w:afterLines="0" w:afterAutospacing="0"/>
      <w:jc w:val="center"/>
      <w:outlineLvl w:val="2"/>
    </w:pPr>
    <w:rPr>
      <w:rFonts w:ascii="Times New Roman"/>
      <w:sz w:val="24"/>
    </w:rPr>
  </w:style>
  <w:style w:type="paragraph" w:customStyle="1" w:styleId="34">
    <w:name w:val="正文缩进 New"/>
    <w:basedOn w:val="35"/>
    <w:qFormat/>
    <w:uiPriority w:val="0"/>
    <w:pPr>
      <w:widowControl/>
      <w:ind w:firstLine="420"/>
      <w:jc w:val="left"/>
    </w:pPr>
    <w:rPr>
      <w:kern w:val="0"/>
      <w:sz w:val="20"/>
    </w:rPr>
  </w:style>
  <w:style w:type="paragraph" w:customStyle="1" w:styleId="35">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6">
    <w:name w:val="正文文本缩进 New"/>
    <w:basedOn w:val="35"/>
    <w:qFormat/>
    <w:uiPriority w:val="0"/>
    <w:pPr>
      <w:ind w:firstLine="560" w:firstLineChars="200"/>
    </w:pPr>
    <w:rPr>
      <w:rFonts w:ascii="宋体"/>
      <w:kern w:val="2"/>
      <w:sz w:val="24"/>
    </w:rPr>
  </w:style>
  <w:style w:type="paragraph" w:customStyle="1" w:styleId="37">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1"/>
    <w:basedOn w:val="1"/>
    <w:qFormat/>
    <w:uiPriority w:val="0"/>
    <w:pPr>
      <w:widowControl/>
      <w:ind w:firstLine="420"/>
      <w:jc w:val="left"/>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2.wmf"/><Relationship Id="rId31" Type="http://schemas.openxmlformats.org/officeDocument/2006/relationships/oleObject" Target="embeddings/oleObject12.bin"/><Relationship Id="rId30" Type="http://schemas.openxmlformats.org/officeDocument/2006/relationships/image" Target="media/image11.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image" Target="media/image9.wmf"/><Relationship Id="rId25" Type="http://schemas.openxmlformats.org/officeDocument/2006/relationships/oleObject" Target="embeddings/oleObject9.bin"/><Relationship Id="rId24" Type="http://schemas.openxmlformats.org/officeDocument/2006/relationships/image" Target="media/image8.wmf"/><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50796</Words>
  <Characters>54009</Characters>
  <Lines>0</Lines>
  <Paragraphs>0</Paragraphs>
  <TotalTime>0</TotalTime>
  <ScaleCrop>false</ScaleCrop>
  <LinksUpToDate>false</LinksUpToDate>
  <CharactersWithSpaces>56746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2022-06-09T12:25:00Z</dcterms:created>
  <dc:creator>admin</dc:creator>
  <cp:lastModifiedBy>admin</cp:lastModifiedBy>
  <dcterms:modified xsi:type="dcterms:W3CDTF">2022-07-27T06:46:27Z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FD4E7BAADF024C0890B1CD5EF8D867E5</vt:lpwstr>
  </property>
</Properties>
</file>