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1E4E7F8">
      <w:pPr>
        <w:pStyle w:val="104"/>
        <w:wordWrap w:val="0"/>
        <w:adjustRightInd w:val="0"/>
        <w:snapToGrid w:val="0"/>
        <w:spacing w:line="360" w:lineRule="auto"/>
        <w:jc w:val="center"/>
        <w:rPr>
          <w:rFonts w:hint="eastAsia" w:ascii="宋体" w:hAnsi="宋体" w:eastAsia="宋体" w:cs="宋体"/>
          <w:snapToGrid w:val="0"/>
          <w:color w:val="auto"/>
          <w:kern w:val="0"/>
          <w:sz w:val="36"/>
          <w:szCs w:val="20"/>
          <w:highlight w:val="none"/>
          <w:u w:val="single"/>
        </w:rPr>
      </w:pPr>
      <w:r>
        <w:rPr>
          <w:rFonts w:hint="eastAsia" w:ascii="宋体" w:hAnsi="宋体" w:eastAsia="宋体" w:cs="宋体"/>
          <w:b/>
          <w:snapToGrid w:val="0"/>
          <w:color w:val="auto"/>
          <w:kern w:val="0"/>
          <w:sz w:val="48"/>
          <w:szCs w:val="48"/>
          <w:highlight w:val="none"/>
          <w:lang w:val="en-US" w:eastAsia="zh-CN"/>
        </w:rPr>
        <w:t>白石镇乡村振兴示范带项目工程施工（第二次）</w:t>
      </w:r>
    </w:p>
    <w:p w14:paraId="5542D802">
      <w:pPr>
        <w:pStyle w:val="104"/>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47F40127">
      <w:pPr>
        <w:rPr>
          <w:rFonts w:hint="eastAsia" w:ascii="宋体" w:hAnsi="宋体" w:eastAsia="宋体" w:cs="宋体"/>
          <w:color w:val="auto"/>
        </w:rPr>
      </w:pPr>
    </w:p>
    <w:p w14:paraId="5A84CC65">
      <w:pPr>
        <w:pStyle w:val="6"/>
        <w:rPr>
          <w:rFonts w:hint="eastAsia" w:ascii="宋体" w:hAnsi="宋体" w:eastAsia="宋体" w:cs="宋体"/>
          <w:color w:val="auto"/>
        </w:rPr>
      </w:pPr>
    </w:p>
    <w:p w14:paraId="468DC4E6">
      <w:pPr>
        <w:pStyle w:val="104"/>
        <w:wordWrap w:val="0"/>
        <w:adjustRightInd w:val="0"/>
        <w:snapToGrid w:val="0"/>
        <w:spacing w:line="360" w:lineRule="auto"/>
        <w:jc w:val="center"/>
        <w:rPr>
          <w:rFonts w:hint="eastAsia" w:ascii="宋体" w:hAnsi="宋体" w:eastAsia="宋体" w:cs="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759BB127">
      <w:pPr>
        <w:wordWrap w:val="0"/>
        <w:adjustRightInd w:val="0"/>
        <w:snapToGrid w:val="0"/>
        <w:rPr>
          <w:rFonts w:hint="eastAsia" w:ascii="宋体" w:hAnsi="宋体" w:eastAsia="宋体" w:cs="宋体"/>
          <w:b/>
          <w:bCs/>
          <w:snapToGrid w:val="0"/>
          <w:color w:val="auto"/>
          <w:kern w:val="0"/>
          <w:sz w:val="48"/>
          <w:szCs w:val="48"/>
          <w:highlight w:val="none"/>
        </w:rPr>
      </w:pPr>
    </w:p>
    <w:p w14:paraId="33F67AC1">
      <w:pPr>
        <w:pStyle w:val="10"/>
        <w:rPr>
          <w:rFonts w:hint="eastAsia" w:ascii="宋体" w:hAnsi="宋体" w:eastAsia="宋体" w:cs="宋体"/>
          <w:color w:val="auto"/>
          <w:highlight w:val="none"/>
        </w:rPr>
      </w:pPr>
    </w:p>
    <w:tbl>
      <w:tblPr>
        <w:tblStyle w:val="30"/>
        <w:tblW w:w="9728" w:type="dxa"/>
        <w:tblInd w:w="-100" w:type="dxa"/>
        <w:tblLayout w:type="fixed"/>
        <w:tblCellMar>
          <w:top w:w="0" w:type="dxa"/>
          <w:left w:w="0" w:type="dxa"/>
          <w:bottom w:w="0" w:type="dxa"/>
          <w:right w:w="0" w:type="dxa"/>
        </w:tblCellMar>
      </w:tblPr>
      <w:tblGrid>
        <w:gridCol w:w="4708"/>
        <w:gridCol w:w="5020"/>
      </w:tblGrid>
      <w:tr w14:paraId="24803AE6">
        <w:tblPrEx>
          <w:tblCellMar>
            <w:top w:w="0" w:type="dxa"/>
            <w:left w:w="0" w:type="dxa"/>
            <w:bottom w:w="0" w:type="dxa"/>
            <w:right w:w="0" w:type="dxa"/>
          </w:tblCellMar>
        </w:tblPrEx>
        <w:trPr>
          <w:trHeight w:val="1205" w:hRule="atLeast"/>
        </w:trPr>
        <w:tc>
          <w:tcPr>
            <w:tcW w:w="4708" w:type="dxa"/>
            <w:noWrap w:val="0"/>
            <w:vAlign w:val="center"/>
          </w:tcPr>
          <w:p w14:paraId="0258E065">
            <w:pPr>
              <w:pStyle w:val="132"/>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人（盖单位章）：</w:t>
            </w:r>
          </w:p>
        </w:tc>
        <w:tc>
          <w:tcPr>
            <w:tcW w:w="5020" w:type="dxa"/>
            <w:noWrap w:val="0"/>
            <w:vAlign w:val="center"/>
          </w:tcPr>
          <w:p w14:paraId="10A9CB0B">
            <w:pPr>
              <w:pStyle w:val="132"/>
              <w:wordWrap w:val="0"/>
              <w:adjustRightInd w:val="0"/>
              <w:snapToGrid w:val="0"/>
              <w:spacing w:line="240" w:lineRule="auto"/>
              <w:rPr>
                <w:rFonts w:hint="eastAsia" w:ascii="宋体" w:hAnsi="宋体" w:eastAsia="宋体" w:cs="宋体"/>
                <w:snapToGrid w:val="0"/>
                <w:color w:val="auto"/>
                <w:kern w:val="0"/>
                <w:sz w:val="28"/>
                <w:szCs w:val="28"/>
                <w:highlight w:val="none"/>
              </w:rPr>
            </w:pPr>
            <w:r>
              <w:rPr>
                <w:rFonts w:hint="eastAsia" w:ascii="宋体" w:hAnsi="宋体" w:eastAsia="宋体" w:cs="宋体"/>
                <w:snapToGrid w:val="0"/>
                <w:color w:val="auto"/>
                <w:kern w:val="0"/>
                <w:sz w:val="28"/>
                <w:szCs w:val="28"/>
                <w:highlight w:val="none"/>
                <w:lang w:eastAsia="zh-CN"/>
              </w:rPr>
              <w:t>乐昌市白石镇人民政府</w:t>
            </w:r>
          </w:p>
        </w:tc>
      </w:tr>
      <w:tr w14:paraId="505655B0">
        <w:tblPrEx>
          <w:tblCellMar>
            <w:top w:w="0" w:type="dxa"/>
            <w:left w:w="0" w:type="dxa"/>
            <w:bottom w:w="0" w:type="dxa"/>
            <w:right w:w="0" w:type="dxa"/>
          </w:tblCellMar>
        </w:tblPrEx>
        <w:trPr>
          <w:trHeight w:val="1130" w:hRule="atLeast"/>
        </w:trPr>
        <w:tc>
          <w:tcPr>
            <w:tcW w:w="4708" w:type="dxa"/>
            <w:noWrap w:val="0"/>
            <w:vAlign w:val="center"/>
          </w:tcPr>
          <w:p w14:paraId="0665CC3C">
            <w:pPr>
              <w:pStyle w:val="132"/>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招标人工作领导小组负责人（签字）：</w:t>
            </w:r>
          </w:p>
        </w:tc>
        <w:tc>
          <w:tcPr>
            <w:tcW w:w="5020" w:type="dxa"/>
            <w:noWrap w:val="0"/>
            <w:vAlign w:val="center"/>
          </w:tcPr>
          <w:p w14:paraId="67E41C51">
            <w:pPr>
              <w:pStyle w:val="132"/>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0A0EA0D6">
        <w:tblPrEx>
          <w:tblCellMar>
            <w:top w:w="0" w:type="dxa"/>
            <w:left w:w="0" w:type="dxa"/>
            <w:bottom w:w="0" w:type="dxa"/>
            <w:right w:w="0" w:type="dxa"/>
          </w:tblCellMar>
        </w:tblPrEx>
        <w:trPr>
          <w:trHeight w:val="1190" w:hRule="atLeast"/>
        </w:trPr>
        <w:tc>
          <w:tcPr>
            <w:tcW w:w="4708" w:type="dxa"/>
            <w:noWrap w:val="0"/>
            <w:vAlign w:val="center"/>
          </w:tcPr>
          <w:p w14:paraId="2F8964E4">
            <w:pPr>
              <w:pStyle w:val="132"/>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代 理 机 构 （盖单位章）：</w:t>
            </w:r>
          </w:p>
        </w:tc>
        <w:tc>
          <w:tcPr>
            <w:tcW w:w="5020" w:type="dxa"/>
            <w:noWrap w:val="0"/>
            <w:vAlign w:val="center"/>
          </w:tcPr>
          <w:p w14:paraId="5904D003">
            <w:pPr>
              <w:pStyle w:val="132"/>
              <w:wordWrap w:val="0"/>
              <w:adjustRightInd w:val="0"/>
              <w:snapToGrid w:val="0"/>
              <w:spacing w:line="240" w:lineRule="auto"/>
              <w:rPr>
                <w:rFonts w:hint="eastAsia" w:ascii="宋体" w:hAnsi="宋体" w:eastAsia="宋体" w:cs="宋体"/>
                <w:snapToGrid w:val="0"/>
                <w:color w:val="auto"/>
                <w:kern w:val="0"/>
                <w:sz w:val="28"/>
                <w:szCs w:val="28"/>
                <w:highlight w:val="none"/>
              </w:rPr>
            </w:pPr>
            <w:r>
              <w:rPr>
                <w:rFonts w:hint="eastAsia" w:ascii="宋体" w:hAnsi="宋体" w:eastAsia="宋体" w:cs="宋体"/>
                <w:snapToGrid w:val="0"/>
                <w:color w:val="auto"/>
                <w:kern w:val="0"/>
                <w:sz w:val="28"/>
                <w:szCs w:val="28"/>
                <w:highlight w:val="none"/>
                <w:lang w:eastAsia="zh-CN"/>
              </w:rPr>
              <w:t>广东穗源工程项目管理有限公司</w:t>
            </w:r>
          </w:p>
        </w:tc>
      </w:tr>
      <w:tr w14:paraId="2A1D3D73">
        <w:tblPrEx>
          <w:tblCellMar>
            <w:top w:w="0" w:type="dxa"/>
            <w:left w:w="0" w:type="dxa"/>
            <w:bottom w:w="0" w:type="dxa"/>
            <w:right w:w="0" w:type="dxa"/>
          </w:tblCellMar>
        </w:tblPrEx>
        <w:trPr>
          <w:trHeight w:val="1185" w:hRule="atLeast"/>
        </w:trPr>
        <w:tc>
          <w:tcPr>
            <w:tcW w:w="4708" w:type="dxa"/>
            <w:noWrap w:val="0"/>
            <w:vAlign w:val="center"/>
          </w:tcPr>
          <w:p w14:paraId="7C63534D">
            <w:pPr>
              <w:pStyle w:val="132"/>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招标文件编制人（签字）：</w:t>
            </w:r>
          </w:p>
        </w:tc>
        <w:tc>
          <w:tcPr>
            <w:tcW w:w="5020" w:type="dxa"/>
            <w:noWrap w:val="0"/>
            <w:vAlign w:val="center"/>
          </w:tcPr>
          <w:p w14:paraId="0130EA5C">
            <w:pPr>
              <w:pStyle w:val="132"/>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12A406AF">
        <w:tblPrEx>
          <w:tblCellMar>
            <w:top w:w="0" w:type="dxa"/>
            <w:left w:w="0" w:type="dxa"/>
            <w:bottom w:w="0" w:type="dxa"/>
            <w:right w:w="0" w:type="dxa"/>
          </w:tblCellMar>
        </w:tblPrEx>
        <w:trPr>
          <w:trHeight w:val="1185" w:hRule="atLeast"/>
        </w:trPr>
        <w:tc>
          <w:tcPr>
            <w:tcW w:w="4708" w:type="dxa"/>
            <w:noWrap w:val="0"/>
            <w:vAlign w:val="center"/>
          </w:tcPr>
          <w:p w14:paraId="1E941685">
            <w:pPr>
              <w:pStyle w:val="132"/>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招标代理机构项目负责人（签字）：</w:t>
            </w:r>
          </w:p>
        </w:tc>
        <w:tc>
          <w:tcPr>
            <w:tcW w:w="5020" w:type="dxa"/>
            <w:noWrap w:val="0"/>
            <w:vAlign w:val="center"/>
          </w:tcPr>
          <w:p w14:paraId="76DD85E2">
            <w:pPr>
              <w:pStyle w:val="132"/>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2AE31B85">
        <w:tblPrEx>
          <w:tblCellMar>
            <w:top w:w="0" w:type="dxa"/>
            <w:left w:w="0" w:type="dxa"/>
            <w:bottom w:w="0" w:type="dxa"/>
            <w:right w:w="0" w:type="dxa"/>
          </w:tblCellMar>
        </w:tblPrEx>
        <w:trPr>
          <w:trHeight w:val="892" w:hRule="atLeast"/>
        </w:trPr>
        <w:tc>
          <w:tcPr>
            <w:tcW w:w="4708" w:type="dxa"/>
            <w:noWrap w:val="0"/>
            <w:vAlign w:val="center"/>
          </w:tcPr>
          <w:p w14:paraId="769A6FE6">
            <w:pPr>
              <w:pStyle w:val="132"/>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招标文件编制日期：</w:t>
            </w:r>
          </w:p>
        </w:tc>
        <w:tc>
          <w:tcPr>
            <w:tcW w:w="5020" w:type="dxa"/>
            <w:noWrap w:val="0"/>
            <w:vAlign w:val="center"/>
          </w:tcPr>
          <w:p w14:paraId="4065A6D2">
            <w:pPr>
              <w:pStyle w:val="132"/>
              <w:wordWrap w:val="0"/>
              <w:adjustRightInd w:val="0"/>
              <w:snapToGrid w:val="0"/>
              <w:spacing w:line="240" w:lineRule="auto"/>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lang w:val="en-US" w:eastAsia="zh-CN"/>
              </w:rPr>
              <w:t>202</w:t>
            </w:r>
            <w:r>
              <w:rPr>
                <w:rFonts w:hint="eastAsia" w:hAnsi="宋体" w:cs="宋体"/>
                <w:snapToGrid w:val="0"/>
                <w:color w:val="auto"/>
                <w:kern w:val="0"/>
                <w:sz w:val="28"/>
                <w:highlight w:val="none"/>
                <w:lang w:val="en-US" w:eastAsia="zh-CN"/>
              </w:rPr>
              <w:t>6</w:t>
            </w:r>
            <w:r>
              <w:rPr>
                <w:rFonts w:hint="eastAsia" w:ascii="宋体" w:hAnsi="宋体" w:eastAsia="宋体" w:cs="宋体"/>
                <w:snapToGrid w:val="0"/>
                <w:color w:val="auto"/>
                <w:kern w:val="0"/>
                <w:sz w:val="28"/>
                <w:highlight w:val="none"/>
              </w:rPr>
              <w:t>年</w:t>
            </w:r>
            <w:r>
              <w:rPr>
                <w:rFonts w:hint="eastAsia" w:hAnsi="宋体" w:cs="宋体"/>
                <w:snapToGrid w:val="0"/>
                <w:color w:val="auto"/>
                <w:kern w:val="0"/>
                <w:sz w:val="28"/>
                <w:highlight w:val="none"/>
                <w:lang w:val="en-US" w:eastAsia="zh-CN"/>
              </w:rPr>
              <w:t>01</w:t>
            </w:r>
            <w:r>
              <w:rPr>
                <w:rFonts w:hint="eastAsia" w:ascii="宋体" w:hAnsi="宋体" w:eastAsia="宋体" w:cs="宋体"/>
                <w:snapToGrid w:val="0"/>
                <w:color w:val="auto"/>
                <w:kern w:val="0"/>
                <w:sz w:val="28"/>
                <w:highlight w:val="none"/>
              </w:rPr>
              <w:t>月</w:t>
            </w:r>
          </w:p>
        </w:tc>
      </w:tr>
    </w:tbl>
    <w:p w14:paraId="6D92AB77">
      <w:pPr>
        <w:tabs>
          <w:tab w:val="left" w:pos="4935"/>
        </w:tabs>
        <w:wordWrap w:val="0"/>
        <w:adjustRightInd w:val="0"/>
        <w:snapToGrid w:val="0"/>
        <w:jc w:val="center"/>
        <w:rPr>
          <w:rFonts w:hint="eastAsia" w:ascii="宋体" w:hAnsi="宋体" w:eastAsia="宋体" w:cs="宋体"/>
          <w:b/>
          <w:snapToGrid w:val="0"/>
          <w:color w:val="auto"/>
          <w:kern w:val="0"/>
          <w:sz w:val="28"/>
          <w:szCs w:val="28"/>
          <w:highlight w:val="none"/>
        </w:rPr>
        <w:sectPr>
          <w:footerReference r:id="rId5" w:type="default"/>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pgNumType w:start="1"/>
          <w:cols w:space="720" w:num="1"/>
          <w:docGrid w:linePitch="327" w:charSpace="0"/>
        </w:sectPr>
      </w:pPr>
    </w:p>
    <w:p w14:paraId="5743CAD4">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C5A3157">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58A10D6">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472E155">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6B92B2C">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5F59A1E">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E27BFFD">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79A8B20">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D704B15">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3A6C86C">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69B7F41">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2159F95D">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997E976">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E64ADEE">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2D82045">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23D7FE0B">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B4EE72C">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343C9A2C">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2253D997">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A1FCC31">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19E69AA4">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1AC95EE">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CF439E8">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12DC3E91">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6360384">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3D07953">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C51944A">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95F6213">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3EF053CA">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AE001D5">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17161F4">
      <w:pPr>
        <w:rPr>
          <w:rFonts w:hint="eastAsia" w:ascii="宋体" w:hAnsi="宋体" w:eastAsia="宋体" w:cs="宋体"/>
          <w:b/>
          <w:snapToGrid w:val="0"/>
          <w:color w:val="auto"/>
          <w:kern w:val="0"/>
          <w:sz w:val="44"/>
          <w:szCs w:val="44"/>
          <w:highlight w:val="none"/>
          <w:lang w:val="en-US" w:eastAsia="zh-CN" w:bidi="ar-SA"/>
        </w:rPr>
      </w:pPr>
      <w:r>
        <w:rPr>
          <w:rFonts w:hint="eastAsia" w:ascii="宋体" w:hAnsi="宋体" w:eastAsia="宋体" w:cs="宋体"/>
          <w:b/>
          <w:snapToGrid w:val="0"/>
          <w:color w:val="auto"/>
          <w:kern w:val="0"/>
          <w:sz w:val="44"/>
          <w:szCs w:val="44"/>
          <w:highlight w:val="none"/>
          <w:lang w:val="en-US" w:eastAsia="zh-CN" w:bidi="ar-SA"/>
        </w:rPr>
        <w:br w:type="page"/>
      </w:r>
    </w:p>
    <w:p w14:paraId="597EAB36">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r>
        <w:rPr>
          <w:rFonts w:hint="eastAsia" w:ascii="宋体" w:hAnsi="宋体" w:eastAsia="宋体" w:cs="宋体"/>
          <w:b/>
          <w:snapToGrid w:val="0"/>
          <w:color w:val="auto"/>
          <w:kern w:val="0"/>
          <w:sz w:val="44"/>
          <w:szCs w:val="44"/>
          <w:highlight w:val="none"/>
          <w:lang w:val="en-US" w:eastAsia="zh-CN" w:bidi="ar-SA"/>
        </w:rPr>
        <w:t>目    录</w:t>
      </w:r>
    </w:p>
    <w:p w14:paraId="2E95E0AC">
      <w:pPr>
        <w:pStyle w:val="21"/>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 \o "1-3" \h \u </w:instrText>
      </w:r>
      <w:r>
        <w:rPr>
          <w:rFonts w:hint="eastAsia" w:ascii="宋体" w:hAnsi="宋体" w:eastAsia="宋体" w:cs="宋体"/>
          <w:color w:val="auto"/>
          <w:highlight w:val="none"/>
        </w:rPr>
        <w:fldChar w:fldCharType="separate"/>
      </w: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_Toc14635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rPr>
        <w:t>第一章 投标人须知</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_Toc14635 \h </w:instrText>
      </w:r>
      <w:r>
        <w:rPr>
          <w:rFonts w:hint="eastAsia" w:ascii="宋体" w:hAnsi="宋体" w:eastAsia="宋体" w:cs="宋体"/>
          <w:b/>
          <w:bCs/>
          <w:color w:val="auto"/>
        </w:rPr>
        <w:fldChar w:fldCharType="separate"/>
      </w:r>
      <w:r>
        <w:rPr>
          <w:rFonts w:hint="eastAsia" w:ascii="宋体" w:hAnsi="宋体" w:eastAsia="宋体" w:cs="宋体"/>
          <w:b/>
          <w:bCs/>
          <w:color w:val="auto"/>
        </w:rPr>
        <w:t>1</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7D21D9EF">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240" w:firstLineChars="1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_Toc22622 </w:instrText>
      </w:r>
      <w:r>
        <w:rPr>
          <w:rFonts w:hint="eastAsia" w:ascii="宋体" w:hAnsi="宋体" w:eastAsia="宋体" w:cs="宋体"/>
          <w:color w:val="auto"/>
          <w:highlight w:val="none"/>
        </w:rPr>
        <w:fldChar w:fldCharType="separate"/>
      </w:r>
      <w:r>
        <w:rPr>
          <w:rFonts w:hint="eastAsia" w:ascii="宋体" w:hAnsi="宋体" w:eastAsia="宋体" w:cs="宋体"/>
          <w:color w:val="auto"/>
        </w:rPr>
        <w:t>第一节 投标人须知前附表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_Toc22622 \h </w:instrText>
      </w:r>
      <w:r>
        <w:rPr>
          <w:rFonts w:hint="eastAsia" w:ascii="宋体" w:hAnsi="宋体" w:eastAsia="宋体" w:cs="宋体"/>
          <w:color w:val="auto"/>
        </w:rPr>
        <w:fldChar w:fldCharType="separate"/>
      </w:r>
      <w:r>
        <w:rPr>
          <w:rFonts w:hint="eastAsia" w:ascii="宋体" w:hAnsi="宋体" w:eastAsia="宋体" w:cs="宋体"/>
          <w:color w:val="auto"/>
        </w:rPr>
        <w:t>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D87D76C">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240" w:firstLineChars="1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_Toc27937 </w:instrText>
      </w:r>
      <w:r>
        <w:rPr>
          <w:rFonts w:hint="eastAsia" w:ascii="宋体" w:hAnsi="宋体" w:eastAsia="宋体" w:cs="宋体"/>
          <w:color w:val="auto"/>
          <w:highlight w:val="none"/>
        </w:rPr>
        <w:fldChar w:fldCharType="separate"/>
      </w:r>
      <w:r>
        <w:rPr>
          <w:rFonts w:hint="eastAsia" w:ascii="宋体" w:hAnsi="宋体" w:eastAsia="宋体" w:cs="宋体"/>
          <w:color w:val="auto"/>
        </w:rPr>
        <w:t>第二节 重要事项时间地点一览表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_Toc27937 \h </w:instrText>
      </w:r>
      <w:r>
        <w:rPr>
          <w:rFonts w:hint="eastAsia" w:ascii="宋体" w:hAnsi="宋体" w:eastAsia="宋体" w:cs="宋体"/>
          <w:color w:val="auto"/>
        </w:rPr>
        <w:fldChar w:fldCharType="separate"/>
      </w:r>
      <w:r>
        <w:rPr>
          <w:rFonts w:hint="eastAsia" w:ascii="宋体" w:hAnsi="宋体" w:eastAsia="宋体" w:cs="宋体"/>
          <w:color w:val="auto"/>
        </w:rPr>
        <w:t>6</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D70C156">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240" w:firstLineChars="1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_Toc30390 </w:instrText>
      </w:r>
      <w:r>
        <w:rPr>
          <w:rFonts w:hint="eastAsia" w:ascii="宋体" w:hAnsi="宋体" w:eastAsia="宋体" w:cs="宋体"/>
          <w:color w:val="auto"/>
          <w:highlight w:val="none"/>
        </w:rPr>
        <w:fldChar w:fldCharType="separate"/>
      </w:r>
      <w:r>
        <w:rPr>
          <w:rFonts w:hint="eastAsia" w:ascii="宋体" w:hAnsi="宋体" w:eastAsia="宋体" w:cs="宋体"/>
          <w:color w:val="auto"/>
        </w:rPr>
        <w:t>第三节 投标人须知正文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_Toc30390 \h </w:instrText>
      </w:r>
      <w:r>
        <w:rPr>
          <w:rFonts w:hint="eastAsia" w:ascii="宋体" w:hAnsi="宋体" w:eastAsia="宋体" w:cs="宋体"/>
          <w:color w:val="auto"/>
        </w:rPr>
        <w:fldChar w:fldCharType="separate"/>
      </w:r>
      <w:r>
        <w:rPr>
          <w:rFonts w:hint="eastAsia" w:ascii="宋体" w:hAnsi="宋体" w:eastAsia="宋体" w:cs="宋体"/>
          <w:color w:val="auto"/>
        </w:rPr>
        <w:t>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A66191F">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_Toc25995 </w:instrText>
      </w:r>
      <w:r>
        <w:rPr>
          <w:rFonts w:hint="eastAsia" w:ascii="宋体" w:hAnsi="宋体" w:eastAsia="宋体" w:cs="宋体"/>
          <w:color w:val="auto"/>
          <w:highlight w:val="none"/>
        </w:rPr>
        <w:fldChar w:fldCharType="separate"/>
      </w:r>
      <w:r>
        <w:rPr>
          <w:rFonts w:hint="eastAsia" w:ascii="宋体" w:hAnsi="宋体" w:eastAsia="宋体" w:cs="宋体"/>
          <w:color w:val="auto"/>
        </w:rPr>
        <w:t>1．项目概况、招标范围和标段划分、投标费用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_Toc25995 \h </w:instrText>
      </w:r>
      <w:r>
        <w:rPr>
          <w:rFonts w:hint="eastAsia" w:ascii="宋体" w:hAnsi="宋体" w:eastAsia="宋体" w:cs="宋体"/>
          <w:color w:val="auto"/>
        </w:rPr>
        <w:fldChar w:fldCharType="separate"/>
      </w:r>
      <w:r>
        <w:rPr>
          <w:rFonts w:hint="eastAsia" w:ascii="宋体" w:hAnsi="宋体" w:eastAsia="宋体" w:cs="宋体"/>
          <w:color w:val="auto"/>
        </w:rPr>
        <w:t>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FFD99FA">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_Toc14498 </w:instrText>
      </w:r>
      <w:r>
        <w:rPr>
          <w:rFonts w:hint="eastAsia" w:ascii="宋体" w:hAnsi="宋体" w:eastAsia="宋体" w:cs="宋体"/>
          <w:color w:val="auto"/>
          <w:highlight w:val="none"/>
        </w:rPr>
        <w:fldChar w:fldCharType="separate"/>
      </w:r>
      <w:r>
        <w:rPr>
          <w:rFonts w:hint="eastAsia" w:ascii="宋体" w:hAnsi="宋体" w:eastAsia="宋体" w:cs="宋体"/>
          <w:color w:val="auto"/>
        </w:rPr>
        <w:t>2．投标人资格要求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_Toc14498 \h </w:instrText>
      </w:r>
      <w:r>
        <w:rPr>
          <w:rFonts w:hint="eastAsia" w:ascii="宋体" w:hAnsi="宋体" w:eastAsia="宋体" w:cs="宋体"/>
          <w:color w:val="auto"/>
        </w:rPr>
        <w:fldChar w:fldCharType="separate"/>
      </w:r>
      <w:r>
        <w:rPr>
          <w:rFonts w:hint="eastAsia" w:ascii="宋体" w:hAnsi="宋体" w:eastAsia="宋体" w:cs="宋体"/>
          <w:color w:val="auto"/>
        </w:rPr>
        <w:t>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06D6B72">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_Toc6745 </w:instrText>
      </w:r>
      <w:r>
        <w:rPr>
          <w:rFonts w:hint="eastAsia" w:ascii="宋体" w:hAnsi="宋体" w:eastAsia="宋体" w:cs="宋体"/>
          <w:color w:val="auto"/>
          <w:highlight w:val="none"/>
        </w:rPr>
        <w:fldChar w:fldCharType="separate"/>
      </w:r>
      <w:r>
        <w:rPr>
          <w:rFonts w:hint="eastAsia" w:ascii="宋体" w:hAnsi="宋体" w:eastAsia="宋体" w:cs="宋体"/>
          <w:color w:val="auto"/>
        </w:rPr>
        <w:t>3．招标文件的获取、提问和答疑</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_Toc6745 \h </w:instrText>
      </w:r>
      <w:r>
        <w:rPr>
          <w:rFonts w:hint="eastAsia" w:ascii="宋体" w:hAnsi="宋体" w:eastAsia="宋体" w:cs="宋体"/>
          <w:color w:val="auto"/>
        </w:rPr>
        <w:fldChar w:fldCharType="separate"/>
      </w:r>
      <w:r>
        <w:rPr>
          <w:rFonts w:hint="eastAsia" w:ascii="宋体" w:hAnsi="宋体" w:eastAsia="宋体" w:cs="宋体"/>
          <w:color w:val="auto"/>
        </w:rPr>
        <w:t>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9A96413">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_Toc10093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4．</w:t>
      </w:r>
      <w:r>
        <w:rPr>
          <w:rFonts w:hint="eastAsia" w:ascii="宋体" w:hAnsi="宋体" w:eastAsia="宋体" w:cs="宋体"/>
          <w:color w:val="auto"/>
        </w:rPr>
        <w:t>工期要求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_Toc10093 \h </w:instrText>
      </w:r>
      <w:r>
        <w:rPr>
          <w:rFonts w:hint="eastAsia" w:ascii="宋体" w:hAnsi="宋体" w:eastAsia="宋体" w:cs="宋体"/>
          <w:color w:val="auto"/>
        </w:rPr>
        <w:fldChar w:fldCharType="separate"/>
      </w:r>
      <w:r>
        <w:rPr>
          <w:rFonts w:hint="eastAsia" w:ascii="宋体" w:hAnsi="宋体" w:eastAsia="宋体" w:cs="宋体"/>
          <w:color w:val="auto"/>
        </w:rPr>
        <w:t>11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C6B950A">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_Toc762 </w:instrText>
      </w:r>
      <w:r>
        <w:rPr>
          <w:rFonts w:hint="eastAsia" w:ascii="宋体" w:hAnsi="宋体" w:eastAsia="宋体" w:cs="宋体"/>
          <w:color w:val="auto"/>
          <w:highlight w:val="none"/>
        </w:rPr>
        <w:fldChar w:fldCharType="separate"/>
      </w:r>
      <w:r>
        <w:rPr>
          <w:rFonts w:hint="eastAsia" w:ascii="宋体" w:hAnsi="宋体" w:eastAsia="宋体" w:cs="宋体"/>
          <w:color w:val="auto"/>
        </w:rPr>
        <w:t>5．质量标准和材料、机械要求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_Toc762 \h </w:instrText>
      </w:r>
      <w:r>
        <w:rPr>
          <w:rFonts w:hint="eastAsia" w:ascii="宋体" w:hAnsi="宋体" w:eastAsia="宋体" w:cs="宋体"/>
          <w:color w:val="auto"/>
        </w:rPr>
        <w:fldChar w:fldCharType="separate"/>
      </w:r>
      <w:r>
        <w:rPr>
          <w:rFonts w:hint="eastAsia" w:ascii="宋体" w:hAnsi="宋体" w:eastAsia="宋体" w:cs="宋体"/>
          <w:color w:val="auto"/>
        </w:rPr>
        <w:t>11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31FAF1F">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_Toc23462 </w:instrText>
      </w:r>
      <w:r>
        <w:rPr>
          <w:rFonts w:hint="eastAsia" w:ascii="宋体" w:hAnsi="宋体" w:eastAsia="宋体" w:cs="宋体"/>
          <w:color w:val="auto"/>
          <w:highlight w:val="none"/>
        </w:rPr>
        <w:fldChar w:fldCharType="separate"/>
      </w:r>
      <w:r>
        <w:rPr>
          <w:rFonts w:hint="eastAsia" w:ascii="宋体" w:hAnsi="宋体" w:eastAsia="宋体" w:cs="宋体"/>
          <w:color w:val="auto"/>
        </w:rPr>
        <w:t>6．施工条件及现场踏勘</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_Toc23462 \h </w:instrText>
      </w:r>
      <w:r>
        <w:rPr>
          <w:rFonts w:hint="eastAsia" w:ascii="宋体" w:hAnsi="宋体" w:eastAsia="宋体" w:cs="宋体"/>
          <w:color w:val="auto"/>
        </w:rPr>
        <w:fldChar w:fldCharType="separate"/>
      </w:r>
      <w:r>
        <w:rPr>
          <w:rFonts w:hint="eastAsia" w:ascii="宋体" w:hAnsi="宋体" w:eastAsia="宋体" w:cs="宋体"/>
          <w:color w:val="auto"/>
        </w:rPr>
        <w:t>12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4A7B6E9">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_Toc29845 </w:instrText>
      </w:r>
      <w:r>
        <w:rPr>
          <w:rFonts w:hint="eastAsia" w:ascii="宋体" w:hAnsi="宋体" w:eastAsia="宋体" w:cs="宋体"/>
          <w:color w:val="auto"/>
          <w:highlight w:val="none"/>
        </w:rPr>
        <w:fldChar w:fldCharType="separate"/>
      </w:r>
      <w:r>
        <w:rPr>
          <w:rFonts w:hint="eastAsia" w:ascii="宋体" w:hAnsi="宋体" w:eastAsia="宋体" w:cs="宋体"/>
          <w:color w:val="auto"/>
        </w:rPr>
        <w:t>7．招标文件的提问和答疑</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_Toc29845 \h </w:instrText>
      </w:r>
      <w:r>
        <w:rPr>
          <w:rFonts w:hint="eastAsia" w:ascii="宋体" w:hAnsi="宋体" w:eastAsia="宋体" w:cs="宋体"/>
          <w:color w:val="auto"/>
        </w:rPr>
        <w:fldChar w:fldCharType="separate"/>
      </w:r>
      <w:r>
        <w:rPr>
          <w:rFonts w:hint="eastAsia" w:ascii="宋体" w:hAnsi="宋体" w:eastAsia="宋体" w:cs="宋体"/>
          <w:color w:val="auto"/>
        </w:rPr>
        <w:t>12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143485F">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_Toc21026 </w:instrText>
      </w:r>
      <w:r>
        <w:rPr>
          <w:rFonts w:hint="eastAsia" w:ascii="宋体" w:hAnsi="宋体" w:eastAsia="宋体" w:cs="宋体"/>
          <w:color w:val="auto"/>
          <w:highlight w:val="none"/>
        </w:rPr>
        <w:fldChar w:fldCharType="separate"/>
      </w:r>
      <w:r>
        <w:rPr>
          <w:rFonts w:hint="eastAsia" w:ascii="宋体" w:hAnsi="宋体" w:eastAsia="宋体" w:cs="宋体"/>
          <w:color w:val="auto"/>
        </w:rPr>
        <w:t>8．</w:t>
      </w:r>
      <w:r>
        <w:rPr>
          <w:rFonts w:hint="eastAsia" w:ascii="宋体" w:hAnsi="宋体" w:eastAsia="宋体" w:cs="宋体"/>
          <w:color w:val="auto"/>
          <w:lang w:val="en-US" w:eastAsia="zh-CN"/>
        </w:rPr>
        <w:t>最高投标限价</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_Toc21026 \h </w:instrText>
      </w:r>
      <w:r>
        <w:rPr>
          <w:rFonts w:hint="eastAsia" w:ascii="宋体" w:hAnsi="宋体" w:eastAsia="宋体" w:cs="宋体"/>
          <w:color w:val="auto"/>
        </w:rPr>
        <w:fldChar w:fldCharType="separate"/>
      </w:r>
      <w:r>
        <w:rPr>
          <w:rFonts w:hint="eastAsia" w:ascii="宋体" w:hAnsi="宋体" w:eastAsia="宋体" w:cs="宋体"/>
          <w:color w:val="auto"/>
        </w:rPr>
        <w:t>13</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104ADA7">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_Toc19680 </w:instrText>
      </w:r>
      <w:r>
        <w:rPr>
          <w:rFonts w:hint="eastAsia" w:ascii="宋体" w:hAnsi="宋体" w:eastAsia="宋体" w:cs="宋体"/>
          <w:color w:val="auto"/>
          <w:highlight w:val="none"/>
        </w:rPr>
        <w:fldChar w:fldCharType="separate"/>
      </w:r>
      <w:r>
        <w:rPr>
          <w:rFonts w:hint="eastAsia" w:ascii="宋体" w:hAnsi="宋体" w:eastAsia="宋体" w:cs="宋体"/>
          <w:color w:val="auto"/>
        </w:rPr>
        <w:t>9．投标报价</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_Toc19680 \h </w:instrText>
      </w:r>
      <w:r>
        <w:rPr>
          <w:rFonts w:hint="eastAsia" w:ascii="宋体" w:hAnsi="宋体" w:eastAsia="宋体" w:cs="宋体"/>
          <w:color w:val="auto"/>
        </w:rPr>
        <w:fldChar w:fldCharType="separate"/>
      </w:r>
      <w:r>
        <w:rPr>
          <w:rFonts w:hint="eastAsia" w:ascii="宋体" w:hAnsi="宋体" w:eastAsia="宋体" w:cs="宋体"/>
          <w:color w:val="auto"/>
        </w:rPr>
        <w:t>14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2C82BB4">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_Toc15652 </w:instrText>
      </w:r>
      <w:r>
        <w:rPr>
          <w:rFonts w:hint="eastAsia" w:ascii="宋体" w:hAnsi="宋体" w:eastAsia="宋体" w:cs="宋体"/>
          <w:color w:val="auto"/>
          <w:highlight w:val="none"/>
        </w:rPr>
        <w:fldChar w:fldCharType="separate"/>
      </w:r>
      <w:r>
        <w:rPr>
          <w:rFonts w:hint="eastAsia" w:ascii="宋体" w:hAnsi="宋体" w:eastAsia="宋体" w:cs="宋体"/>
          <w:color w:val="auto"/>
        </w:rPr>
        <w:t>10．投标文件的编制要求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_Toc15652 \h </w:instrText>
      </w:r>
      <w:r>
        <w:rPr>
          <w:rFonts w:hint="eastAsia" w:ascii="宋体" w:hAnsi="宋体" w:eastAsia="宋体" w:cs="宋体"/>
          <w:color w:val="auto"/>
        </w:rPr>
        <w:fldChar w:fldCharType="separate"/>
      </w:r>
      <w:r>
        <w:rPr>
          <w:rFonts w:hint="eastAsia" w:ascii="宋体" w:hAnsi="宋体" w:eastAsia="宋体" w:cs="宋体"/>
          <w:color w:val="auto"/>
        </w:rPr>
        <w:t>16</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396E509">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_Toc5963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11.电子投标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_Toc5963 \h </w:instrText>
      </w:r>
      <w:r>
        <w:rPr>
          <w:rFonts w:hint="eastAsia" w:ascii="宋体" w:hAnsi="宋体" w:eastAsia="宋体" w:cs="宋体"/>
          <w:color w:val="auto"/>
        </w:rPr>
        <w:fldChar w:fldCharType="separate"/>
      </w:r>
      <w:r>
        <w:rPr>
          <w:rFonts w:hint="eastAsia" w:ascii="宋体" w:hAnsi="宋体" w:eastAsia="宋体" w:cs="宋体"/>
          <w:color w:val="auto"/>
        </w:rPr>
        <w:t>19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9884DCC">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_Toc25051 </w:instrText>
      </w:r>
      <w:r>
        <w:rPr>
          <w:rFonts w:hint="eastAsia" w:ascii="宋体" w:hAnsi="宋体" w:eastAsia="宋体" w:cs="宋体"/>
          <w:color w:val="auto"/>
          <w:highlight w:val="none"/>
        </w:rPr>
        <w:fldChar w:fldCharType="separate"/>
      </w:r>
      <w:r>
        <w:rPr>
          <w:rFonts w:hint="eastAsia" w:ascii="宋体" w:hAnsi="宋体" w:eastAsia="宋体" w:cs="宋体"/>
          <w:color w:val="auto"/>
          <w:kern w:val="2"/>
          <w:szCs w:val="20"/>
          <w:lang w:val="en-US" w:eastAsia="zh-CN" w:bidi="ar-SA"/>
        </w:rPr>
        <w:t>12.电子投标及投标解密失败及突发情况的补救方案</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_Toc25051 \h </w:instrText>
      </w:r>
      <w:r>
        <w:rPr>
          <w:rFonts w:hint="eastAsia" w:ascii="宋体" w:hAnsi="宋体" w:eastAsia="宋体" w:cs="宋体"/>
          <w:color w:val="auto"/>
        </w:rPr>
        <w:fldChar w:fldCharType="separate"/>
      </w:r>
      <w:r>
        <w:rPr>
          <w:rFonts w:hint="eastAsia" w:ascii="宋体" w:hAnsi="宋体" w:eastAsia="宋体" w:cs="宋体"/>
          <w:color w:val="auto"/>
        </w:rPr>
        <w:t>19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81CCDCB">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_Toc31800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13．投标文件的提交</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_Toc31800 \h </w:instrText>
      </w:r>
      <w:r>
        <w:rPr>
          <w:rFonts w:hint="eastAsia" w:ascii="宋体" w:hAnsi="宋体" w:eastAsia="宋体" w:cs="宋体"/>
          <w:color w:val="auto"/>
        </w:rPr>
        <w:fldChar w:fldCharType="separate"/>
      </w:r>
      <w:r>
        <w:rPr>
          <w:rFonts w:hint="eastAsia" w:ascii="宋体" w:hAnsi="宋体" w:eastAsia="宋体" w:cs="宋体"/>
          <w:color w:val="auto"/>
        </w:rPr>
        <w:t>20</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2BEECCA">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_Toc358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14．开标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_Toc358 \h </w:instrText>
      </w:r>
      <w:r>
        <w:rPr>
          <w:rFonts w:hint="eastAsia" w:ascii="宋体" w:hAnsi="宋体" w:eastAsia="宋体" w:cs="宋体"/>
          <w:color w:val="auto"/>
        </w:rPr>
        <w:fldChar w:fldCharType="separate"/>
      </w:r>
      <w:r>
        <w:rPr>
          <w:rFonts w:hint="eastAsia" w:ascii="宋体" w:hAnsi="宋体" w:eastAsia="宋体" w:cs="宋体"/>
          <w:color w:val="auto"/>
        </w:rPr>
        <w:t>20</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F8E85E9">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_Toc28090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15．评标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_Toc28090 \h </w:instrText>
      </w:r>
      <w:r>
        <w:rPr>
          <w:rFonts w:hint="eastAsia" w:ascii="宋体" w:hAnsi="宋体" w:eastAsia="宋体" w:cs="宋体"/>
          <w:color w:val="auto"/>
        </w:rPr>
        <w:fldChar w:fldCharType="separate"/>
      </w:r>
      <w:r>
        <w:rPr>
          <w:rFonts w:hint="eastAsia" w:ascii="宋体" w:hAnsi="宋体" w:eastAsia="宋体" w:cs="宋体"/>
          <w:color w:val="auto"/>
        </w:rPr>
        <w:t>21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04ADDF0">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_Toc2839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16．中标候选人公示</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_Toc2839 \h </w:instrText>
      </w:r>
      <w:r>
        <w:rPr>
          <w:rFonts w:hint="eastAsia" w:ascii="宋体" w:hAnsi="宋体" w:eastAsia="宋体" w:cs="宋体"/>
          <w:color w:val="auto"/>
        </w:rPr>
        <w:fldChar w:fldCharType="separate"/>
      </w:r>
      <w:r>
        <w:rPr>
          <w:rFonts w:hint="eastAsia" w:ascii="宋体" w:hAnsi="宋体" w:eastAsia="宋体" w:cs="宋体"/>
          <w:color w:val="auto"/>
        </w:rPr>
        <w:t>32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3C357389">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_Toc18979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1．资格评审环节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_Toc18979 \h </w:instrText>
      </w:r>
      <w:r>
        <w:rPr>
          <w:rFonts w:hint="eastAsia" w:ascii="宋体" w:hAnsi="宋体" w:eastAsia="宋体" w:cs="宋体"/>
          <w:color w:val="auto"/>
        </w:rPr>
        <w:fldChar w:fldCharType="separate"/>
      </w:r>
      <w:r>
        <w:rPr>
          <w:rFonts w:hint="eastAsia" w:ascii="宋体" w:hAnsi="宋体" w:eastAsia="宋体" w:cs="宋体"/>
          <w:color w:val="auto"/>
        </w:rPr>
        <w:t>33</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83CD7CA">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_Toc19719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2．形式评审环节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_Toc19719 \h </w:instrText>
      </w:r>
      <w:r>
        <w:rPr>
          <w:rFonts w:hint="eastAsia" w:ascii="宋体" w:hAnsi="宋体" w:eastAsia="宋体" w:cs="宋体"/>
          <w:color w:val="auto"/>
        </w:rPr>
        <w:fldChar w:fldCharType="separate"/>
      </w:r>
      <w:r>
        <w:rPr>
          <w:rFonts w:hint="eastAsia" w:ascii="宋体" w:hAnsi="宋体" w:eastAsia="宋体" w:cs="宋体"/>
          <w:color w:val="auto"/>
        </w:rPr>
        <w:t>34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4FC4F28">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_Toc13299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3．响应性评审环节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_Toc13299 \h </w:instrText>
      </w:r>
      <w:r>
        <w:rPr>
          <w:rFonts w:hint="eastAsia" w:ascii="宋体" w:hAnsi="宋体" w:eastAsia="宋体" w:cs="宋体"/>
          <w:color w:val="auto"/>
        </w:rPr>
        <w:fldChar w:fldCharType="separate"/>
      </w:r>
      <w:r>
        <w:rPr>
          <w:rFonts w:hint="eastAsia" w:ascii="宋体" w:hAnsi="宋体" w:eastAsia="宋体" w:cs="宋体"/>
          <w:color w:val="auto"/>
        </w:rPr>
        <w:t>34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5B3614CA">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_Toc24919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4．其他</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_Toc24919 \h </w:instrText>
      </w:r>
      <w:r>
        <w:rPr>
          <w:rFonts w:hint="eastAsia" w:ascii="宋体" w:hAnsi="宋体" w:eastAsia="宋体" w:cs="宋体"/>
          <w:color w:val="auto"/>
        </w:rPr>
        <w:fldChar w:fldCharType="separate"/>
      </w:r>
      <w:r>
        <w:rPr>
          <w:rFonts w:hint="eastAsia" w:ascii="宋体" w:hAnsi="宋体" w:eastAsia="宋体" w:cs="宋体"/>
          <w:color w:val="auto"/>
        </w:rPr>
        <w:t>34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75738EC">
      <w:pPr>
        <w:pStyle w:val="21"/>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_Toc24543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lang w:val="en-US" w:eastAsia="zh-CN"/>
        </w:rPr>
        <w:t>第二章 中标人须知</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_Toc24543 \h </w:instrText>
      </w:r>
      <w:r>
        <w:rPr>
          <w:rFonts w:hint="eastAsia" w:ascii="宋体" w:hAnsi="宋体" w:eastAsia="宋体" w:cs="宋体"/>
          <w:b/>
          <w:bCs/>
          <w:color w:val="auto"/>
        </w:rPr>
        <w:fldChar w:fldCharType="separate"/>
      </w:r>
      <w:r>
        <w:rPr>
          <w:rFonts w:hint="eastAsia" w:ascii="宋体" w:hAnsi="宋体" w:eastAsia="宋体" w:cs="宋体"/>
          <w:b/>
          <w:bCs/>
          <w:color w:val="auto"/>
        </w:rPr>
        <w:t>36</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15676B42">
      <w:pPr>
        <w:pStyle w:val="21"/>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_Toc24436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lang w:val="en-US" w:eastAsia="zh-CN"/>
        </w:rPr>
        <w:t>第三章 拟签订合同的主要条款</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_Toc24436 \h </w:instrText>
      </w:r>
      <w:r>
        <w:rPr>
          <w:rFonts w:hint="eastAsia" w:ascii="宋体" w:hAnsi="宋体" w:eastAsia="宋体" w:cs="宋体"/>
          <w:b/>
          <w:bCs/>
          <w:color w:val="auto"/>
        </w:rPr>
        <w:fldChar w:fldCharType="separate"/>
      </w:r>
      <w:r>
        <w:rPr>
          <w:rFonts w:hint="eastAsia" w:ascii="宋体" w:hAnsi="宋体" w:eastAsia="宋体" w:cs="宋体"/>
          <w:b/>
          <w:bCs/>
          <w:color w:val="auto"/>
        </w:rPr>
        <w:t>39</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42B78DE7">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_Toc28441 </w:instrText>
      </w:r>
      <w:r>
        <w:rPr>
          <w:rFonts w:hint="eastAsia" w:ascii="宋体" w:hAnsi="宋体" w:eastAsia="宋体" w:cs="宋体"/>
          <w:color w:val="auto"/>
          <w:highlight w:val="none"/>
        </w:rPr>
        <w:fldChar w:fldCharType="separate"/>
      </w:r>
      <w:r>
        <w:rPr>
          <w:rFonts w:hint="eastAsia" w:ascii="宋体" w:hAnsi="宋体" w:eastAsia="宋体" w:cs="宋体"/>
          <w:color w:val="auto"/>
        </w:rPr>
        <w:t>1．工程承包方式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_Toc28441 \h </w:instrText>
      </w:r>
      <w:r>
        <w:rPr>
          <w:rFonts w:hint="eastAsia" w:ascii="宋体" w:hAnsi="宋体" w:eastAsia="宋体" w:cs="宋体"/>
          <w:color w:val="auto"/>
        </w:rPr>
        <w:fldChar w:fldCharType="separate"/>
      </w:r>
      <w:r>
        <w:rPr>
          <w:rFonts w:hint="eastAsia" w:ascii="宋体" w:hAnsi="宋体" w:eastAsia="宋体" w:cs="宋体"/>
          <w:color w:val="auto"/>
        </w:rPr>
        <w:t>39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972CB18">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_Toc27001 </w:instrText>
      </w:r>
      <w:r>
        <w:rPr>
          <w:rFonts w:hint="eastAsia" w:ascii="宋体" w:hAnsi="宋体" w:eastAsia="宋体" w:cs="宋体"/>
          <w:color w:val="auto"/>
          <w:highlight w:val="none"/>
        </w:rPr>
        <w:fldChar w:fldCharType="separate"/>
      </w:r>
      <w:r>
        <w:rPr>
          <w:rFonts w:hint="eastAsia" w:ascii="宋体" w:hAnsi="宋体" w:eastAsia="宋体" w:cs="宋体"/>
          <w:color w:val="auto"/>
        </w:rPr>
        <w:t>2．工程结算原则</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_Toc27001 \h </w:instrText>
      </w:r>
      <w:r>
        <w:rPr>
          <w:rFonts w:hint="eastAsia" w:ascii="宋体" w:hAnsi="宋体" w:eastAsia="宋体" w:cs="宋体"/>
          <w:color w:val="auto"/>
        </w:rPr>
        <w:fldChar w:fldCharType="separate"/>
      </w:r>
      <w:r>
        <w:rPr>
          <w:rFonts w:hint="eastAsia" w:ascii="宋体" w:hAnsi="宋体" w:eastAsia="宋体" w:cs="宋体"/>
          <w:color w:val="auto"/>
        </w:rPr>
        <w:t>39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59B7DE34">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_Toc26653 </w:instrText>
      </w:r>
      <w:r>
        <w:rPr>
          <w:rFonts w:hint="eastAsia" w:ascii="宋体" w:hAnsi="宋体" w:eastAsia="宋体" w:cs="宋体"/>
          <w:color w:val="auto"/>
          <w:highlight w:val="none"/>
        </w:rPr>
        <w:fldChar w:fldCharType="separate"/>
      </w:r>
      <w:r>
        <w:rPr>
          <w:rFonts w:hint="eastAsia" w:ascii="宋体" w:hAnsi="宋体" w:eastAsia="宋体" w:cs="宋体"/>
          <w:color w:val="auto"/>
        </w:rPr>
        <w:t>3. 工程付款办法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_Toc26653 \h </w:instrText>
      </w:r>
      <w:r>
        <w:rPr>
          <w:rFonts w:hint="eastAsia" w:ascii="宋体" w:hAnsi="宋体" w:eastAsia="宋体" w:cs="宋体"/>
          <w:color w:val="auto"/>
        </w:rPr>
        <w:fldChar w:fldCharType="separate"/>
      </w:r>
      <w:r>
        <w:rPr>
          <w:rFonts w:hint="eastAsia" w:ascii="宋体" w:hAnsi="宋体" w:eastAsia="宋体" w:cs="宋体"/>
          <w:color w:val="auto"/>
        </w:rPr>
        <w:t>44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ECE95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4．其他专用合同条款....................................................47</w:t>
      </w:r>
    </w:p>
    <w:p w14:paraId="726D6F5C">
      <w:pPr>
        <w:pStyle w:val="21"/>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b/>
          <w:bCs/>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_Toc9687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lang w:val="en-US" w:eastAsia="zh-CN"/>
        </w:rPr>
        <w:t>第四章 技术要求</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_Toc9687 \h </w:instrText>
      </w:r>
      <w:r>
        <w:rPr>
          <w:rFonts w:hint="eastAsia" w:ascii="宋体" w:hAnsi="宋体" w:eastAsia="宋体" w:cs="宋体"/>
          <w:b/>
          <w:bCs/>
          <w:color w:val="auto"/>
        </w:rPr>
        <w:fldChar w:fldCharType="separate"/>
      </w:r>
      <w:r>
        <w:rPr>
          <w:rFonts w:hint="eastAsia" w:ascii="宋体" w:hAnsi="宋体" w:eastAsia="宋体" w:cs="宋体"/>
          <w:b/>
          <w:bCs/>
          <w:color w:val="auto"/>
        </w:rPr>
        <w:t>53</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138A42A6">
      <w:pPr>
        <w:pStyle w:val="21"/>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_Toc10987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lang w:val="en-US" w:eastAsia="zh-CN"/>
        </w:rPr>
        <w:t>第五章 图纸和招标工程量清单</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_Toc10987 \h </w:instrText>
      </w:r>
      <w:r>
        <w:rPr>
          <w:rFonts w:hint="eastAsia" w:ascii="宋体" w:hAnsi="宋体" w:eastAsia="宋体" w:cs="宋体"/>
          <w:b/>
          <w:bCs/>
          <w:color w:val="auto"/>
        </w:rPr>
        <w:fldChar w:fldCharType="separate"/>
      </w:r>
      <w:r>
        <w:rPr>
          <w:rFonts w:hint="eastAsia" w:ascii="宋体" w:hAnsi="宋体" w:eastAsia="宋体" w:cs="宋体"/>
          <w:b/>
          <w:bCs/>
          <w:color w:val="auto"/>
        </w:rPr>
        <w:t>55</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3EF7BD92">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_Toc28153 </w:instrText>
      </w:r>
      <w:r>
        <w:rPr>
          <w:rFonts w:hint="eastAsia" w:ascii="宋体" w:hAnsi="宋体" w:eastAsia="宋体" w:cs="宋体"/>
          <w:color w:val="auto"/>
          <w:highlight w:val="none"/>
        </w:rPr>
        <w:fldChar w:fldCharType="separate"/>
      </w:r>
      <w:r>
        <w:rPr>
          <w:rFonts w:hint="eastAsia" w:ascii="宋体" w:hAnsi="宋体" w:eastAsia="宋体" w:cs="宋体"/>
          <w:color w:val="auto"/>
        </w:rPr>
        <w:t>1．图纸</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_Toc28153 \h </w:instrText>
      </w:r>
      <w:r>
        <w:rPr>
          <w:rFonts w:hint="eastAsia" w:ascii="宋体" w:hAnsi="宋体" w:eastAsia="宋体" w:cs="宋体"/>
          <w:color w:val="auto"/>
        </w:rPr>
        <w:fldChar w:fldCharType="separate"/>
      </w:r>
      <w:r>
        <w:rPr>
          <w:rFonts w:hint="eastAsia" w:ascii="宋体" w:hAnsi="宋体" w:eastAsia="宋体" w:cs="宋体"/>
          <w:color w:val="auto"/>
        </w:rPr>
        <w:t>55</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4159BB4">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_Toc14740 </w:instrText>
      </w:r>
      <w:r>
        <w:rPr>
          <w:rFonts w:hint="eastAsia" w:ascii="宋体" w:hAnsi="宋体" w:eastAsia="宋体" w:cs="宋体"/>
          <w:color w:val="auto"/>
          <w:highlight w:val="none"/>
        </w:rPr>
        <w:fldChar w:fldCharType="separate"/>
      </w:r>
      <w:r>
        <w:rPr>
          <w:rFonts w:hint="eastAsia" w:ascii="宋体" w:hAnsi="宋体" w:eastAsia="宋体" w:cs="宋体"/>
          <w:color w:val="auto"/>
        </w:rPr>
        <w:t>2．招标工程量清单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_Toc14740 \h </w:instrText>
      </w:r>
      <w:r>
        <w:rPr>
          <w:rFonts w:hint="eastAsia" w:ascii="宋体" w:hAnsi="宋体" w:eastAsia="宋体" w:cs="宋体"/>
          <w:color w:val="auto"/>
        </w:rPr>
        <w:fldChar w:fldCharType="separate"/>
      </w:r>
      <w:r>
        <w:rPr>
          <w:rFonts w:hint="eastAsia" w:ascii="宋体" w:hAnsi="宋体" w:eastAsia="宋体" w:cs="宋体"/>
          <w:color w:val="auto"/>
        </w:rPr>
        <w:t>55</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6D38419">
      <w:pPr>
        <w:pStyle w:val="21"/>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_Toc16415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lang w:val="en-US" w:eastAsia="zh-CN"/>
        </w:rPr>
        <w:t>第六章 投标文件格式</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_Toc16415 \h </w:instrText>
      </w:r>
      <w:r>
        <w:rPr>
          <w:rFonts w:hint="eastAsia" w:ascii="宋体" w:hAnsi="宋体" w:eastAsia="宋体" w:cs="宋体"/>
          <w:b/>
          <w:bCs/>
          <w:color w:val="auto"/>
        </w:rPr>
        <w:fldChar w:fldCharType="separate"/>
      </w:r>
      <w:r>
        <w:rPr>
          <w:rFonts w:hint="eastAsia" w:ascii="宋体" w:hAnsi="宋体" w:eastAsia="宋体" w:cs="宋体"/>
          <w:b/>
          <w:bCs/>
          <w:color w:val="auto"/>
        </w:rPr>
        <w:t>56</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2EBB9D7C">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_Toc14677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格式一 封面</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_Toc14677 \h </w:instrText>
      </w:r>
      <w:r>
        <w:rPr>
          <w:rFonts w:hint="eastAsia" w:ascii="宋体" w:hAnsi="宋体" w:eastAsia="宋体" w:cs="宋体"/>
          <w:color w:val="auto"/>
        </w:rPr>
        <w:fldChar w:fldCharType="separate"/>
      </w:r>
      <w:r>
        <w:rPr>
          <w:rFonts w:hint="eastAsia" w:ascii="宋体" w:hAnsi="宋体" w:eastAsia="宋体" w:cs="宋体"/>
          <w:color w:val="auto"/>
        </w:rPr>
        <w:t>56</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131E538">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_Toc3166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格式二 投标函</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_Toc3166 \h </w:instrText>
      </w:r>
      <w:r>
        <w:rPr>
          <w:rFonts w:hint="eastAsia" w:ascii="宋体" w:hAnsi="宋体" w:eastAsia="宋体" w:cs="宋体"/>
          <w:color w:val="auto"/>
        </w:rPr>
        <w:fldChar w:fldCharType="separate"/>
      </w:r>
      <w:r>
        <w:rPr>
          <w:rFonts w:hint="eastAsia" w:ascii="宋体" w:hAnsi="宋体" w:eastAsia="宋体" w:cs="宋体"/>
          <w:color w:val="auto"/>
        </w:rPr>
        <w:t>57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316D938">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_Toc26367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格式三 各项承诺一览表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_Toc26367 \h </w:instrText>
      </w:r>
      <w:r>
        <w:rPr>
          <w:rFonts w:hint="eastAsia" w:ascii="宋体" w:hAnsi="宋体" w:eastAsia="宋体" w:cs="宋体"/>
          <w:color w:val="auto"/>
        </w:rPr>
        <w:fldChar w:fldCharType="separate"/>
      </w:r>
      <w:r>
        <w:rPr>
          <w:rFonts w:hint="eastAsia" w:ascii="宋体" w:hAnsi="宋体" w:eastAsia="宋体" w:cs="宋体"/>
          <w:color w:val="auto"/>
        </w:rPr>
        <w:t>58</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4FB25E5">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_Toc1822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格式四 授权委托书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_Toc1822 \h </w:instrText>
      </w:r>
      <w:r>
        <w:rPr>
          <w:rFonts w:hint="eastAsia" w:ascii="宋体" w:hAnsi="宋体" w:eastAsia="宋体" w:cs="宋体"/>
          <w:color w:val="auto"/>
        </w:rPr>
        <w:fldChar w:fldCharType="separate"/>
      </w:r>
      <w:r>
        <w:rPr>
          <w:rFonts w:hint="eastAsia" w:ascii="宋体" w:hAnsi="宋体" w:eastAsia="宋体" w:cs="宋体"/>
          <w:color w:val="auto"/>
        </w:rPr>
        <w:t>60</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55F750C4">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_Toc21377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格式五 法定代表人身份证明</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_Toc21377 \h </w:instrText>
      </w:r>
      <w:r>
        <w:rPr>
          <w:rFonts w:hint="eastAsia" w:ascii="宋体" w:hAnsi="宋体" w:eastAsia="宋体" w:cs="宋体"/>
          <w:color w:val="auto"/>
        </w:rPr>
        <w:fldChar w:fldCharType="separate"/>
      </w:r>
      <w:r>
        <w:rPr>
          <w:rFonts w:hint="eastAsia" w:ascii="宋体" w:hAnsi="宋体" w:eastAsia="宋体" w:cs="宋体"/>
          <w:color w:val="auto"/>
        </w:rPr>
        <w:t>61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0F43FD6">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_Toc191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格式六 联合体协议书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_Toc191 \h </w:instrText>
      </w:r>
      <w:r>
        <w:rPr>
          <w:rFonts w:hint="eastAsia" w:ascii="宋体" w:hAnsi="宋体" w:eastAsia="宋体" w:cs="宋体"/>
          <w:color w:val="auto"/>
        </w:rPr>
        <w:fldChar w:fldCharType="separate"/>
      </w:r>
      <w:r>
        <w:rPr>
          <w:rFonts w:hint="eastAsia" w:ascii="宋体" w:hAnsi="宋体" w:eastAsia="宋体" w:cs="宋体"/>
          <w:color w:val="auto"/>
        </w:rPr>
        <w:t>62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1D8BCB7">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_Toc4289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格式七 投标人基本情况表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_Toc4289 \h </w:instrText>
      </w:r>
      <w:r>
        <w:rPr>
          <w:rFonts w:hint="eastAsia" w:ascii="宋体" w:hAnsi="宋体" w:eastAsia="宋体" w:cs="宋体"/>
          <w:color w:val="auto"/>
        </w:rPr>
        <w:fldChar w:fldCharType="separate"/>
      </w:r>
      <w:r>
        <w:rPr>
          <w:rFonts w:hint="eastAsia" w:ascii="宋体" w:hAnsi="宋体" w:eastAsia="宋体" w:cs="宋体"/>
          <w:color w:val="auto"/>
        </w:rPr>
        <w:t>64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9762921">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_Toc27834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格式八 项目经理简历表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_Toc27834 \h </w:instrText>
      </w:r>
      <w:r>
        <w:rPr>
          <w:rFonts w:hint="eastAsia" w:ascii="宋体" w:hAnsi="宋体" w:eastAsia="宋体" w:cs="宋体"/>
          <w:color w:val="auto"/>
        </w:rPr>
        <w:fldChar w:fldCharType="separate"/>
      </w:r>
      <w:r>
        <w:rPr>
          <w:rFonts w:hint="eastAsia" w:ascii="宋体" w:hAnsi="宋体" w:eastAsia="宋体" w:cs="宋体"/>
          <w:color w:val="auto"/>
        </w:rPr>
        <w:t>65</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8987D55">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_Toc21761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格式九 项目经理任职声明</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_Toc21761 \h </w:instrText>
      </w:r>
      <w:r>
        <w:rPr>
          <w:rFonts w:hint="eastAsia" w:ascii="宋体" w:hAnsi="宋体" w:eastAsia="宋体" w:cs="宋体"/>
          <w:color w:val="auto"/>
        </w:rPr>
        <w:fldChar w:fldCharType="separate"/>
      </w:r>
      <w:r>
        <w:rPr>
          <w:rFonts w:hint="eastAsia" w:ascii="宋体" w:hAnsi="宋体" w:eastAsia="宋体" w:cs="宋体"/>
          <w:color w:val="auto"/>
        </w:rPr>
        <w:t>66</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C4CCD3A">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_Toc12722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格式十 项目技术负责人简历表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_Toc12722 \h </w:instrText>
      </w:r>
      <w:r>
        <w:rPr>
          <w:rFonts w:hint="eastAsia" w:ascii="宋体" w:hAnsi="宋体" w:eastAsia="宋体" w:cs="宋体"/>
          <w:color w:val="auto"/>
        </w:rPr>
        <w:fldChar w:fldCharType="separate"/>
      </w:r>
      <w:r>
        <w:rPr>
          <w:rFonts w:hint="eastAsia" w:ascii="宋体" w:hAnsi="宋体" w:eastAsia="宋体" w:cs="宋体"/>
          <w:color w:val="auto"/>
        </w:rPr>
        <w:t>67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AE8E87D">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_Toc16727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格式十一 专职安全员简历表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_Toc16727 \h </w:instrText>
      </w:r>
      <w:r>
        <w:rPr>
          <w:rFonts w:hint="eastAsia" w:ascii="宋体" w:hAnsi="宋体" w:eastAsia="宋体" w:cs="宋体"/>
          <w:color w:val="auto"/>
        </w:rPr>
        <w:fldChar w:fldCharType="separate"/>
      </w:r>
      <w:r>
        <w:rPr>
          <w:rFonts w:hint="eastAsia" w:ascii="宋体" w:hAnsi="宋体" w:eastAsia="宋体" w:cs="宋体"/>
          <w:color w:val="auto"/>
        </w:rPr>
        <w:t>68</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F91EEF5">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_Toc994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格式十二 项目管理机构组成表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_Toc994 \h </w:instrText>
      </w:r>
      <w:r>
        <w:rPr>
          <w:rFonts w:hint="eastAsia" w:ascii="宋体" w:hAnsi="宋体" w:eastAsia="宋体" w:cs="宋体"/>
          <w:color w:val="auto"/>
        </w:rPr>
        <w:fldChar w:fldCharType="separate"/>
      </w:r>
      <w:r>
        <w:rPr>
          <w:rFonts w:hint="eastAsia" w:ascii="宋体" w:hAnsi="宋体" w:eastAsia="宋体" w:cs="宋体"/>
          <w:color w:val="auto"/>
        </w:rPr>
        <w:t>69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B55AE9C">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_Toc13555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格式十</w:t>
      </w:r>
      <w:r>
        <w:rPr>
          <w:rFonts w:hint="eastAsia" w:ascii="宋体" w:hAnsi="宋体" w:eastAsia="宋体" w:cs="宋体"/>
          <w:color w:val="auto"/>
          <w:lang w:val="en-US" w:eastAsia="zh-CN"/>
        </w:rPr>
        <w:t>三</w:t>
      </w:r>
      <w:r>
        <w:rPr>
          <w:rFonts w:hint="eastAsia" w:ascii="宋体" w:hAnsi="宋体" w:eastAsia="宋体" w:cs="宋体"/>
          <w:color w:val="auto"/>
        </w:rPr>
        <w:t xml:space="preserve"> 建造师查询页</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_Toc13555 \h </w:instrText>
      </w:r>
      <w:r>
        <w:rPr>
          <w:rFonts w:hint="eastAsia" w:ascii="宋体" w:hAnsi="宋体" w:eastAsia="宋体" w:cs="宋体"/>
          <w:color w:val="auto"/>
        </w:rPr>
        <w:fldChar w:fldCharType="separate"/>
      </w:r>
      <w:r>
        <w:rPr>
          <w:rFonts w:hint="eastAsia" w:ascii="宋体" w:hAnsi="宋体" w:eastAsia="宋体" w:cs="宋体"/>
          <w:color w:val="auto"/>
        </w:rPr>
        <w:t>70</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35C9764">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_Toc9569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格式十</w:t>
      </w:r>
      <w:r>
        <w:rPr>
          <w:rFonts w:hint="eastAsia" w:ascii="宋体" w:hAnsi="宋体" w:eastAsia="宋体" w:cs="宋体"/>
          <w:color w:val="auto"/>
          <w:lang w:val="en-US" w:eastAsia="zh-CN"/>
        </w:rPr>
        <w:t>四</w:t>
      </w:r>
      <w:r>
        <w:rPr>
          <w:rFonts w:hint="eastAsia" w:ascii="宋体" w:hAnsi="宋体" w:eastAsia="宋体" w:cs="宋体"/>
          <w:color w:val="auto"/>
        </w:rPr>
        <w:t xml:space="preserve"> 原件一览表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_Toc9569 \h </w:instrText>
      </w:r>
      <w:r>
        <w:rPr>
          <w:rFonts w:hint="eastAsia" w:ascii="宋体" w:hAnsi="宋体" w:eastAsia="宋体" w:cs="宋体"/>
          <w:color w:val="auto"/>
        </w:rPr>
        <w:fldChar w:fldCharType="separate"/>
      </w:r>
      <w:r>
        <w:rPr>
          <w:rFonts w:hint="eastAsia" w:ascii="宋体" w:hAnsi="宋体" w:eastAsia="宋体" w:cs="宋体"/>
          <w:color w:val="auto"/>
        </w:rPr>
        <w:t>72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3203A2D5">
      <w:pPr>
        <w:pStyle w:val="21"/>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b/>
          <w:bCs/>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_Toc17586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rPr>
        <w:t>第七章 建设工程施工合同</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_Toc17586 \h </w:instrText>
      </w:r>
      <w:r>
        <w:rPr>
          <w:rFonts w:hint="eastAsia" w:ascii="宋体" w:hAnsi="宋体" w:eastAsia="宋体" w:cs="宋体"/>
          <w:b/>
          <w:bCs/>
          <w:color w:val="auto"/>
        </w:rPr>
        <w:fldChar w:fldCharType="separate"/>
      </w:r>
      <w:r>
        <w:rPr>
          <w:rFonts w:hint="eastAsia" w:ascii="宋体" w:hAnsi="宋体" w:eastAsia="宋体" w:cs="宋体"/>
          <w:b/>
          <w:bCs/>
          <w:color w:val="auto"/>
        </w:rPr>
        <w:t>73</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2E2595A9">
      <w:pPr>
        <w:pStyle w:val="6"/>
        <w:jc w:val="center"/>
        <w:rPr>
          <w:rFonts w:hint="eastAsia" w:ascii="宋体" w:hAnsi="宋体" w:eastAsia="宋体" w:cs="宋体"/>
          <w:color w:val="auto"/>
          <w:highlight w:val="none"/>
        </w:rPr>
        <w:sectPr>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pgNumType w:start="1"/>
          <w:cols w:space="720" w:num="1"/>
          <w:docGrid w:linePitch="327" w:charSpace="0"/>
        </w:sectPr>
      </w:pPr>
      <w:r>
        <w:rPr>
          <w:rFonts w:hint="eastAsia" w:ascii="宋体" w:hAnsi="宋体" w:eastAsia="宋体" w:cs="宋体"/>
          <w:color w:val="auto"/>
          <w:highlight w:val="none"/>
        </w:rPr>
        <w:fldChar w:fldCharType="end"/>
      </w:r>
      <w:bookmarkStart w:id="0" w:name="_Hlt66153951"/>
      <w:bookmarkEnd w:id="0"/>
      <w:bookmarkStart w:id="1" w:name="_Hlt66104981"/>
      <w:bookmarkEnd w:id="1"/>
      <w:bookmarkStart w:id="2" w:name="_Hlt122423813"/>
      <w:bookmarkEnd w:id="2"/>
      <w:bookmarkStart w:id="3" w:name="_Toc476739600"/>
      <w:bookmarkStart w:id="4" w:name="_Toc12558"/>
      <w:bookmarkStart w:id="5" w:name="_Toc14094"/>
      <w:bookmarkStart w:id="6" w:name="_Toc14635"/>
      <w:bookmarkStart w:id="7" w:name="_Hlt111690251"/>
    </w:p>
    <w:p w14:paraId="41EDFD45">
      <w:pPr>
        <w:pStyle w:val="6"/>
        <w:jc w:val="center"/>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第一章 投标人须知</w:t>
      </w:r>
      <w:bookmarkEnd w:id="3"/>
      <w:bookmarkEnd w:id="4"/>
      <w:bookmarkEnd w:id="5"/>
      <w:bookmarkEnd w:id="6"/>
    </w:p>
    <w:p w14:paraId="423B509F">
      <w:pPr>
        <w:pStyle w:val="3"/>
        <w:bidi w:val="0"/>
        <w:rPr>
          <w:rFonts w:hint="eastAsia" w:ascii="宋体" w:hAnsi="宋体" w:eastAsia="宋体" w:cs="宋体"/>
          <w:color w:val="auto"/>
        </w:rPr>
      </w:pPr>
      <w:bookmarkStart w:id="8" w:name="_Hlt127175444"/>
      <w:bookmarkEnd w:id="8"/>
      <w:bookmarkStart w:id="9" w:name="_Toc27520"/>
      <w:bookmarkStart w:id="10" w:name="_Toc117"/>
      <w:bookmarkStart w:id="11" w:name="_Toc22622"/>
      <w:bookmarkStart w:id="12" w:name="_Hlt120077520"/>
      <w:r>
        <w:rPr>
          <w:rFonts w:hint="eastAsia" w:ascii="宋体" w:hAnsi="宋体" w:eastAsia="宋体" w:cs="宋体"/>
          <w:color w:val="auto"/>
        </w:rPr>
        <w:t>第一节 投标人须知前附表</w:t>
      </w:r>
      <w:bookmarkEnd w:id="9"/>
      <w:bookmarkEnd w:id="10"/>
      <w:bookmarkEnd w:id="11"/>
    </w:p>
    <w:tbl>
      <w:tblPr>
        <w:tblStyle w:val="30"/>
        <w:tblW w:w="10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50"/>
        <w:gridCol w:w="1707"/>
        <w:gridCol w:w="8200"/>
      </w:tblGrid>
      <w:tr w14:paraId="330B0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AEEB4E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7D574F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内容</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51F94000">
            <w:pPr>
              <w:pageBreakBefore w:val="0"/>
              <w:tabs>
                <w:tab w:val="left" w:pos="1180"/>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说明与要求</w:t>
            </w:r>
          </w:p>
        </w:tc>
      </w:tr>
      <w:tr w14:paraId="705CE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EE53E8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0883B5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7C114115">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白石镇乡村振兴示范带项目工程施工（第二次）</w:t>
            </w:r>
          </w:p>
        </w:tc>
      </w:tr>
      <w:tr w14:paraId="697882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21D92A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A5625B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项目业主</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316F7F7C">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乐昌市白石镇人民政府</w:t>
            </w:r>
          </w:p>
        </w:tc>
      </w:tr>
      <w:tr w14:paraId="2A511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0357C9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5ECA06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项目批准部门</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5F5DFE5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乐昌市发展和改革局</w:t>
            </w:r>
          </w:p>
        </w:tc>
      </w:tr>
      <w:tr w14:paraId="4454A5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30DEE4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FF5846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项目批准文号</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146D068C">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乐发改投审〔2025〕60号</w:t>
            </w:r>
          </w:p>
        </w:tc>
      </w:tr>
      <w:tr w14:paraId="3F41B2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88413D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683354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项目代码</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136B79C3">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yellow"/>
                <w:lang w:val="en-US" w:eastAsia="zh-CN"/>
              </w:rPr>
            </w:pPr>
            <w:r>
              <w:rPr>
                <w:rFonts w:hint="eastAsia" w:ascii="宋体" w:hAnsi="宋体" w:eastAsia="宋体" w:cs="宋体"/>
                <w:snapToGrid w:val="0"/>
                <w:color w:val="auto"/>
                <w:kern w:val="0"/>
                <w:sz w:val="24"/>
                <w:szCs w:val="24"/>
                <w:highlight w:val="none"/>
                <w:lang w:val="en-US" w:eastAsia="zh-CN"/>
              </w:rPr>
              <w:t>2505-440281-04-01-978925</w:t>
            </w:r>
          </w:p>
        </w:tc>
      </w:tr>
      <w:tr w14:paraId="2EA78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C1E1BF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2AD943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资金来源</w:t>
            </w:r>
          </w:p>
          <w:p w14:paraId="5416F0B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及出资比例</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8EA66FA">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yellow"/>
              </w:rPr>
            </w:pPr>
            <w:r>
              <w:rPr>
                <w:rFonts w:hint="eastAsia" w:ascii="宋体" w:hAnsi="宋体" w:eastAsia="宋体" w:cs="宋体"/>
                <w:snapToGrid w:val="0"/>
                <w:color w:val="auto"/>
                <w:kern w:val="0"/>
                <w:sz w:val="24"/>
                <w:szCs w:val="24"/>
                <w:highlight w:val="none"/>
                <w:lang w:val="en-US" w:eastAsia="zh-CN"/>
              </w:rPr>
              <w:t>上级财政资金，不足部分由业主单位自筹解决；100%</w:t>
            </w:r>
          </w:p>
        </w:tc>
      </w:tr>
      <w:tr w14:paraId="344275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A9168D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84482FF">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78D4A9C0">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乐昌市白石镇人民政府</w:t>
            </w:r>
          </w:p>
        </w:tc>
      </w:tr>
      <w:tr w14:paraId="034A0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4CAFC1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6ED73F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824CCA1">
            <w:pPr>
              <w:pageBreakBefore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广东穗源工程项目管理有限公司</w:t>
            </w:r>
          </w:p>
        </w:tc>
      </w:tr>
      <w:tr w14:paraId="0FB9D5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A04240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1D520F3B">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设计单位</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6E2A0703">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2"/>
                <w:sz w:val="24"/>
                <w:szCs w:val="24"/>
                <w:highlight w:val="none"/>
                <w:lang w:val="en-US" w:eastAsia="zh-CN" w:bidi="ar-SA"/>
              </w:rPr>
              <w:t>中亿国际设计集团有限公司</w:t>
            </w:r>
          </w:p>
        </w:tc>
      </w:tr>
      <w:tr w14:paraId="588CC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80A3A0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B67EC2B">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造价咨询单位</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365EADFD">
            <w:pPr>
              <w:pageBreakBefore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开复项目管理有限公司</w:t>
            </w:r>
          </w:p>
        </w:tc>
      </w:tr>
      <w:tr w14:paraId="09E6F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D21A04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40221A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监理单位</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60C9CBB0">
            <w:pPr>
              <w:pageBreakBefore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待定</w:t>
            </w:r>
          </w:p>
        </w:tc>
      </w:tr>
      <w:tr w14:paraId="21C0FB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238661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C450CF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yellow"/>
              </w:rPr>
            </w:pPr>
            <w:r>
              <w:rPr>
                <w:rFonts w:hint="eastAsia" w:ascii="宋体" w:hAnsi="宋体" w:eastAsia="宋体" w:cs="宋体"/>
                <w:snapToGrid w:val="0"/>
                <w:color w:val="auto"/>
                <w:kern w:val="0"/>
                <w:sz w:val="24"/>
                <w:szCs w:val="24"/>
                <w:highlight w:val="none"/>
              </w:rPr>
              <w:t>建设地点</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5F426CC">
            <w:pPr>
              <w:pageBreakBefore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乐昌市白石镇</w:t>
            </w:r>
          </w:p>
        </w:tc>
      </w:tr>
      <w:tr w14:paraId="117ED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A50268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10B8260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6DAFBF80">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涉及坛祖村、水井村及油甫村3个行政村38个村小组，主要包括村道及巷道提升、排水沟、道路照明设施建设、乡村闲置地建设、农房微改造及村庄环境整治等。</w:t>
            </w:r>
          </w:p>
        </w:tc>
      </w:tr>
      <w:tr w14:paraId="2F144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AE8D64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AF42C7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项目总投资</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3D5ADED5">
            <w:pPr>
              <w:keepNext w:val="0"/>
              <w:keepLines w:val="0"/>
              <w:pageBreakBefore w:val="0"/>
              <w:widowControl/>
              <w:suppressLineNumbers w:val="0"/>
              <w:kinsoku/>
              <w:overflowPunct/>
              <w:topLinePunct w:val="0"/>
              <w:autoSpaceDE/>
              <w:autoSpaceDN/>
              <w:bidi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项目估算总投资2913.77万元，其中：建安工程费用2431.12万元、工程建设其他费用402.11万元（含建设期利息费）、预备费80.54万元。</w:t>
            </w:r>
          </w:p>
        </w:tc>
      </w:tr>
      <w:tr w14:paraId="759D80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FA8BEE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032F39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招标范围</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0D98BF2A">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施工图纸和工程量清单范围内</w:t>
            </w:r>
            <w:r>
              <w:rPr>
                <w:rFonts w:hint="eastAsia" w:ascii="宋体" w:hAnsi="宋体" w:eastAsia="宋体" w:cs="宋体"/>
                <w:bCs/>
                <w:snapToGrid w:val="0"/>
                <w:color w:val="auto"/>
                <w:kern w:val="0"/>
                <w:sz w:val="24"/>
                <w:szCs w:val="24"/>
                <w:highlight w:val="none"/>
              </w:rPr>
              <w:t>等</w:t>
            </w:r>
            <w:r>
              <w:rPr>
                <w:rFonts w:hint="eastAsia" w:ascii="宋体" w:hAnsi="宋体" w:eastAsia="宋体" w:cs="宋体"/>
                <w:bCs/>
                <w:snapToGrid w:val="0"/>
                <w:color w:val="auto"/>
                <w:kern w:val="0"/>
                <w:sz w:val="24"/>
                <w:szCs w:val="24"/>
                <w:highlight w:val="none"/>
                <w:lang w:val="en-US" w:eastAsia="zh-CN"/>
              </w:rPr>
              <w:t>所有</w:t>
            </w:r>
            <w:r>
              <w:rPr>
                <w:rFonts w:hint="eastAsia" w:ascii="宋体" w:hAnsi="宋体" w:eastAsia="宋体" w:cs="宋体"/>
                <w:bCs/>
                <w:snapToGrid w:val="0"/>
                <w:color w:val="auto"/>
                <w:kern w:val="0"/>
                <w:sz w:val="24"/>
                <w:szCs w:val="24"/>
                <w:highlight w:val="none"/>
              </w:rPr>
              <w:t>工程</w:t>
            </w:r>
            <w:r>
              <w:rPr>
                <w:rFonts w:hint="eastAsia" w:ascii="宋体" w:hAnsi="宋体" w:eastAsia="宋体" w:cs="宋体"/>
                <w:bCs/>
                <w:snapToGrid w:val="0"/>
                <w:color w:val="auto"/>
                <w:kern w:val="0"/>
                <w:sz w:val="24"/>
                <w:szCs w:val="24"/>
                <w:highlight w:val="none"/>
                <w:lang w:val="en-US" w:eastAsia="zh-CN"/>
              </w:rPr>
              <w:t>施工</w:t>
            </w:r>
            <w:r>
              <w:rPr>
                <w:rFonts w:hint="eastAsia" w:ascii="宋体" w:hAnsi="宋体" w:eastAsia="宋体" w:cs="宋体"/>
                <w:bCs/>
                <w:snapToGrid w:val="0"/>
                <w:color w:val="auto"/>
                <w:kern w:val="0"/>
                <w:sz w:val="24"/>
                <w:szCs w:val="24"/>
                <w:highlight w:val="none"/>
              </w:rPr>
              <w:t>。</w:t>
            </w:r>
          </w:p>
        </w:tc>
      </w:tr>
      <w:tr w14:paraId="0FEEBB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9F5762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42098EB">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标段划分</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E095A86">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本招标项目不划分标段。</w:t>
            </w:r>
          </w:p>
        </w:tc>
      </w:tr>
      <w:tr w14:paraId="6D4B9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5A0C05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7E6456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工期</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4C913188">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本招标项目施工工期为</w:t>
            </w:r>
            <w:r>
              <w:rPr>
                <w:rFonts w:hint="eastAsia" w:ascii="宋体" w:hAnsi="宋体" w:eastAsia="宋体" w:cs="宋体"/>
                <w:bCs/>
                <w:snapToGrid w:val="0"/>
                <w:color w:val="auto"/>
                <w:kern w:val="0"/>
                <w:sz w:val="24"/>
                <w:szCs w:val="24"/>
                <w:highlight w:val="none"/>
                <w:lang w:val="en-US" w:eastAsia="zh-CN"/>
              </w:rPr>
              <w:t>120</w:t>
            </w:r>
            <w:r>
              <w:rPr>
                <w:rFonts w:hint="eastAsia" w:ascii="宋体" w:hAnsi="宋体" w:eastAsia="宋体" w:cs="宋体"/>
                <w:bCs/>
                <w:snapToGrid w:val="0"/>
                <w:color w:val="auto"/>
                <w:kern w:val="0"/>
                <w:sz w:val="24"/>
                <w:szCs w:val="24"/>
                <w:highlight w:val="none"/>
              </w:rPr>
              <w:t>个日历天。</w:t>
            </w:r>
          </w:p>
        </w:tc>
      </w:tr>
      <w:tr w14:paraId="1BBB43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4208BC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68957F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质量标准</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0D8B1228">
            <w:pPr>
              <w:pStyle w:val="6"/>
              <w:pageBreakBefore w:val="0"/>
              <w:kinsoku/>
              <w:overflowPunct/>
              <w:topLinePunct w:val="0"/>
              <w:autoSpaceDE/>
              <w:autoSpaceDN/>
              <w:bidi w:val="0"/>
              <w:spacing w:before="0" w:beforeLines="0" w:after="0" w:afterLines="0" w:line="360" w:lineRule="auto"/>
              <w:ind w:firstLine="240" w:firstLineChars="100"/>
              <w:textAlignment w:val="auto"/>
              <w:rPr>
                <w:rFonts w:hint="eastAsia" w:ascii="宋体" w:hAnsi="宋体" w:eastAsia="宋体" w:cs="宋体"/>
                <w:color w:val="auto"/>
                <w:sz w:val="24"/>
                <w:szCs w:val="24"/>
                <w:highlight w:val="none"/>
                <w:lang w:val="en-US"/>
              </w:rPr>
            </w:pPr>
            <w:bookmarkStart w:id="13" w:name="_Hlt106417017"/>
            <w:bookmarkEnd w:id="13"/>
            <w:r>
              <w:rPr>
                <w:rFonts w:hint="eastAsia" w:ascii="宋体" w:hAnsi="宋体" w:eastAsia="宋体" w:cs="宋体"/>
                <w:bCs/>
                <w:snapToGrid w:val="0"/>
                <w:color w:val="auto"/>
                <w:kern w:val="0"/>
                <w:sz w:val="24"/>
                <w:szCs w:val="24"/>
                <w:highlight w:val="none"/>
                <w:lang w:val="en-US" w:eastAsia="zh-CN" w:bidi="ar-SA"/>
              </w:rPr>
              <w:t>符合现行国家有关工程施工质量验收规范和标准的要求，质量目标达到合格。</w:t>
            </w:r>
          </w:p>
        </w:tc>
      </w:tr>
      <w:tr w14:paraId="691EAE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DCBC26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034C32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房屋建筑工程</w:t>
            </w:r>
          </w:p>
          <w:p w14:paraId="1DD4BD2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绿色建筑标准</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1800BCC6">
            <w:pPr>
              <w:pStyle w:val="2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firstLine="240"/>
              <w:jc w:val="both"/>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color w:val="auto"/>
                <w:sz w:val="24"/>
                <w:szCs w:val="24"/>
              </w:rPr>
              <w:t>本招标项目不纳入绿色建设实施范围。</w:t>
            </w:r>
          </w:p>
        </w:tc>
      </w:tr>
      <w:tr w14:paraId="18BA8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A2BF8C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0E60F1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装配式建筑标准</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4E688130">
            <w:pPr>
              <w:pStyle w:val="2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firstLine="240"/>
              <w:jc w:val="both"/>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color w:val="auto"/>
                <w:sz w:val="24"/>
                <w:szCs w:val="24"/>
              </w:rPr>
              <w:t>本招标项目不纳入装配式建造建设实施范围。</w:t>
            </w:r>
          </w:p>
        </w:tc>
      </w:tr>
      <w:tr w14:paraId="45D7D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1AFFC7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9378A7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trike/>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最高投标限价</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0DE3806E">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color w:val="auto"/>
                <w:lang w:val="en-US" w:eastAsia="zh-CN"/>
              </w:rPr>
            </w:pPr>
            <w:r>
              <w:rPr>
                <w:rFonts w:hint="eastAsia" w:ascii="宋体" w:hAnsi="宋体" w:eastAsia="宋体" w:cs="宋体"/>
                <w:color w:val="auto"/>
                <w:sz w:val="24"/>
                <w:szCs w:val="24"/>
                <w:highlight w:val="none"/>
                <w:shd w:val="clear" w:fill="FFFFFF"/>
              </w:rPr>
              <w:t>本项目的</w:t>
            </w:r>
            <w:r>
              <w:rPr>
                <w:rFonts w:hint="eastAsia" w:ascii="宋体" w:hAnsi="宋体" w:eastAsia="宋体" w:cs="宋体"/>
                <w:color w:val="auto"/>
                <w:sz w:val="24"/>
                <w:szCs w:val="24"/>
                <w:highlight w:val="none"/>
                <w:shd w:val="clear" w:fill="FFFFFF"/>
                <w:lang w:eastAsia="zh-CN"/>
              </w:rPr>
              <w:t>最高投标限价</w:t>
            </w:r>
            <w:r>
              <w:rPr>
                <w:rFonts w:hint="eastAsia" w:ascii="宋体" w:hAnsi="宋体" w:eastAsia="宋体" w:cs="宋体"/>
                <w:color w:val="auto"/>
                <w:sz w:val="24"/>
                <w:szCs w:val="24"/>
                <w:highlight w:val="none"/>
                <w:shd w:val="clear" w:fill="FFFFFF"/>
              </w:rPr>
              <w:t>为人民币（大写）：</w:t>
            </w:r>
            <w:r>
              <w:rPr>
                <w:rFonts w:hint="eastAsia" w:hAnsi="宋体" w:cs="宋体"/>
                <w:color w:val="auto"/>
                <w:sz w:val="24"/>
                <w:szCs w:val="24"/>
                <w:highlight w:val="none"/>
                <w:u w:val="single"/>
                <w:shd w:val="clear" w:fill="FFFFFF"/>
                <w:lang w:val="en-US" w:eastAsia="zh-CN"/>
              </w:rPr>
              <w:t>壹仟陆佰零陆万玖仟捌佰壹拾陆元叁角伍分</w:t>
            </w:r>
            <w:r>
              <w:rPr>
                <w:rFonts w:hint="eastAsia" w:ascii="宋体" w:hAnsi="宋体" w:eastAsia="宋体" w:cs="宋体"/>
                <w:color w:val="auto"/>
                <w:sz w:val="24"/>
                <w:szCs w:val="24"/>
                <w:highlight w:val="none"/>
                <w:u w:val="single"/>
                <w:shd w:val="clear" w:fill="FFFFFF"/>
              </w:rPr>
              <w:t>(</w:t>
            </w:r>
            <w:r>
              <w:rPr>
                <w:rFonts w:hint="eastAsia" w:ascii="宋体" w:hAnsi="宋体" w:eastAsia="宋体" w:cs="宋体"/>
                <w:color w:val="auto"/>
                <w:sz w:val="24"/>
                <w:szCs w:val="24"/>
                <w:highlight w:val="none"/>
                <w:u w:val="single"/>
                <w:shd w:val="clear" w:fill="FFFFFF"/>
                <w:lang w:val="en-US" w:eastAsia="zh-CN"/>
              </w:rPr>
              <w:t>小写：</w:t>
            </w:r>
            <w:r>
              <w:rPr>
                <w:rFonts w:hint="eastAsia" w:ascii="宋体" w:hAnsi="宋体" w:eastAsia="宋体" w:cs="宋体"/>
                <w:snapToGrid w:val="0"/>
                <w:color w:val="auto"/>
                <w:kern w:val="0"/>
                <w:highlight w:val="none"/>
                <w:u w:val="single"/>
              </w:rPr>
              <w:t>¥</w:t>
            </w:r>
            <w:r>
              <w:rPr>
                <w:rFonts w:hint="eastAsia" w:ascii="宋体" w:hAnsi="宋体" w:eastAsia="宋体" w:cs="宋体"/>
                <w:color w:val="auto"/>
                <w:sz w:val="24"/>
                <w:szCs w:val="24"/>
                <w:highlight w:val="none"/>
                <w:u w:val="single"/>
                <w:shd w:val="clear" w:fill="FFFFFF"/>
                <w:lang w:val="en-US" w:eastAsia="zh-CN"/>
              </w:rPr>
              <w:t>16069816.35</w:t>
            </w:r>
            <w:r>
              <w:rPr>
                <w:rFonts w:hint="eastAsia" w:ascii="宋体" w:hAnsi="宋体" w:eastAsia="宋体" w:cs="宋体"/>
                <w:color w:val="auto"/>
                <w:sz w:val="24"/>
                <w:szCs w:val="24"/>
                <w:highlight w:val="none"/>
                <w:u w:val="single"/>
                <w:shd w:val="clear" w:fill="FFFFFF"/>
              </w:rPr>
              <w:t>元)</w:t>
            </w:r>
            <w:r>
              <w:rPr>
                <w:rFonts w:hint="eastAsia" w:hAnsi="宋体" w:cs="宋体"/>
                <w:color w:val="auto"/>
                <w:sz w:val="24"/>
                <w:szCs w:val="24"/>
                <w:highlight w:val="none"/>
                <w:u w:val="single"/>
                <w:shd w:val="clear" w:fill="FFFFFF"/>
                <w:lang w:eastAsia="zh-CN"/>
              </w:rPr>
              <w:t>，</w:t>
            </w:r>
            <w:r>
              <w:rPr>
                <w:rFonts w:hint="eastAsia" w:ascii="宋体" w:hAnsi="宋体" w:eastAsia="宋体" w:cs="宋体"/>
                <w:color w:val="auto"/>
                <w:sz w:val="24"/>
                <w:szCs w:val="24"/>
                <w:highlight w:val="none"/>
                <w:u w:val="single"/>
                <w:shd w:val="clear" w:fill="FFFFFF"/>
              </w:rPr>
              <w:t>其中</w:t>
            </w:r>
            <w:r>
              <w:rPr>
                <w:rFonts w:hint="eastAsia" w:ascii="宋体" w:hAnsi="宋体" w:eastAsia="宋体" w:cs="宋体"/>
                <w:color w:val="auto"/>
                <w:sz w:val="24"/>
                <w:szCs w:val="24"/>
                <w:highlight w:val="none"/>
                <w:u w:val="single"/>
                <w:shd w:val="clear" w:fill="FFFFFF"/>
                <w:lang w:eastAsia="zh-CN"/>
              </w:rPr>
              <w:t>安全生产措施费不得少于</w:t>
            </w:r>
            <w:r>
              <w:rPr>
                <w:rFonts w:hint="eastAsia" w:ascii="宋体" w:hAnsi="宋体" w:eastAsia="宋体" w:cs="宋体"/>
                <w:color w:val="auto"/>
                <w:sz w:val="24"/>
                <w:szCs w:val="24"/>
                <w:highlight w:val="none"/>
                <w:u w:val="single"/>
                <w:shd w:val="clear" w:fill="FFFFFF"/>
              </w:rPr>
              <w:t>¥</w:t>
            </w:r>
            <w:r>
              <w:rPr>
                <w:rFonts w:hint="eastAsia" w:hAnsi="宋体" w:cs="宋体"/>
                <w:color w:val="auto"/>
                <w:sz w:val="24"/>
                <w:szCs w:val="24"/>
                <w:highlight w:val="none"/>
                <w:u w:val="single"/>
                <w:shd w:val="clear" w:fill="FFFFFF"/>
                <w:lang w:val="en-US" w:eastAsia="zh-CN"/>
              </w:rPr>
              <w:t>210887.39</w:t>
            </w:r>
            <w:r>
              <w:rPr>
                <w:rFonts w:hint="eastAsia" w:ascii="宋体" w:hAnsi="宋体" w:eastAsia="宋体" w:cs="宋体"/>
                <w:color w:val="auto"/>
                <w:sz w:val="24"/>
                <w:szCs w:val="24"/>
                <w:highlight w:val="none"/>
                <w:u w:val="single"/>
                <w:shd w:val="clear" w:fill="FFFFFF"/>
              </w:rPr>
              <w:t>元，</w:t>
            </w:r>
            <w:r>
              <w:rPr>
                <w:rFonts w:hint="eastAsia" w:ascii="宋体" w:hAnsi="宋体" w:eastAsia="宋体" w:cs="宋体"/>
                <w:color w:val="auto"/>
                <w:sz w:val="24"/>
                <w:szCs w:val="24"/>
                <w:highlight w:val="none"/>
                <w:u w:val="single"/>
                <w:shd w:val="clear" w:fill="FFFFFF"/>
                <w:lang w:val="en-US" w:eastAsia="zh-CN"/>
              </w:rPr>
              <w:t>暂列金额</w:t>
            </w:r>
            <w:r>
              <w:rPr>
                <w:rFonts w:hint="eastAsia" w:ascii="宋体" w:hAnsi="宋体" w:eastAsia="宋体" w:cs="宋体"/>
                <w:color w:val="auto"/>
                <w:sz w:val="24"/>
                <w:szCs w:val="24"/>
                <w:highlight w:val="none"/>
                <w:u w:val="single"/>
                <w:shd w:val="clear" w:fill="FFFFFF"/>
              </w:rPr>
              <w:t>为</w:t>
            </w:r>
            <w:r>
              <w:rPr>
                <w:rFonts w:hint="eastAsia" w:ascii="宋体" w:hAnsi="宋体" w:eastAsia="宋体" w:cs="宋体"/>
                <w:snapToGrid w:val="0"/>
                <w:color w:val="auto"/>
                <w:kern w:val="0"/>
                <w:highlight w:val="none"/>
                <w:u w:val="single"/>
              </w:rPr>
              <w:t>¥</w:t>
            </w:r>
            <w:r>
              <w:rPr>
                <w:rFonts w:hint="eastAsia" w:ascii="宋体" w:hAnsi="宋体" w:eastAsia="宋体" w:cs="宋体"/>
                <w:color w:val="auto"/>
                <w:sz w:val="24"/>
                <w:szCs w:val="24"/>
                <w:highlight w:val="none"/>
                <w:u w:val="single"/>
                <w:shd w:val="clear" w:fill="FFFFFF"/>
                <w:lang w:val="en-US" w:eastAsia="zh-CN"/>
              </w:rPr>
              <w:t>378000.00</w:t>
            </w:r>
            <w:r>
              <w:rPr>
                <w:rFonts w:hint="eastAsia" w:ascii="宋体" w:hAnsi="宋体" w:eastAsia="宋体" w:cs="宋体"/>
                <w:color w:val="auto"/>
                <w:sz w:val="24"/>
                <w:szCs w:val="24"/>
                <w:highlight w:val="none"/>
                <w:u w:val="single"/>
                <w:shd w:val="clear" w:fill="FFFFFF"/>
              </w:rPr>
              <w:t>元</w:t>
            </w:r>
            <w:r>
              <w:rPr>
                <w:rFonts w:hint="eastAsia" w:ascii="宋体" w:hAnsi="宋体" w:eastAsia="宋体" w:cs="宋体"/>
                <w:color w:val="auto"/>
                <w:sz w:val="24"/>
                <w:szCs w:val="24"/>
                <w:highlight w:val="none"/>
                <w:u w:val="single"/>
                <w:shd w:val="clear" w:fill="FFFFFF"/>
                <w:lang w:eastAsia="zh-CN"/>
              </w:rPr>
              <w:t>，</w:t>
            </w:r>
            <w:r>
              <w:rPr>
                <w:rFonts w:hint="eastAsia" w:ascii="宋体" w:hAnsi="宋体" w:eastAsia="宋体" w:cs="宋体"/>
                <w:color w:val="auto"/>
                <w:sz w:val="24"/>
                <w:szCs w:val="24"/>
                <w:highlight w:val="none"/>
                <w:u w:val="single"/>
                <w:shd w:val="clear" w:fill="FFFFFF"/>
                <w:lang w:val="en-US" w:eastAsia="zh-CN"/>
              </w:rPr>
              <w:t>暂估价</w:t>
            </w:r>
            <w:r>
              <w:rPr>
                <w:rFonts w:hint="eastAsia" w:ascii="宋体" w:hAnsi="宋体" w:eastAsia="宋体" w:cs="宋体"/>
                <w:color w:val="auto"/>
                <w:sz w:val="24"/>
                <w:szCs w:val="24"/>
                <w:highlight w:val="none"/>
                <w:u w:val="single"/>
                <w:shd w:val="clear" w:fill="FFFFFF"/>
              </w:rPr>
              <w:t>为</w:t>
            </w:r>
            <w:r>
              <w:rPr>
                <w:rFonts w:hint="eastAsia" w:ascii="宋体" w:hAnsi="宋体" w:eastAsia="宋体" w:cs="宋体"/>
                <w:snapToGrid w:val="0"/>
                <w:color w:val="auto"/>
                <w:kern w:val="0"/>
                <w:highlight w:val="none"/>
                <w:u w:val="single"/>
              </w:rPr>
              <w:t>¥</w:t>
            </w:r>
            <w:r>
              <w:rPr>
                <w:rFonts w:hint="eastAsia" w:ascii="宋体" w:hAnsi="宋体" w:eastAsia="宋体" w:cs="宋体"/>
                <w:color w:val="auto"/>
                <w:sz w:val="24"/>
                <w:szCs w:val="24"/>
                <w:highlight w:val="none"/>
                <w:u w:val="single"/>
                <w:shd w:val="clear" w:fill="FFFFFF"/>
                <w:lang w:val="en-US" w:eastAsia="zh-CN"/>
              </w:rPr>
              <w:t>/</w:t>
            </w:r>
            <w:r>
              <w:rPr>
                <w:rFonts w:hint="eastAsia" w:ascii="宋体" w:hAnsi="宋体" w:eastAsia="宋体" w:cs="宋体"/>
                <w:color w:val="auto"/>
                <w:sz w:val="24"/>
                <w:szCs w:val="24"/>
                <w:highlight w:val="none"/>
                <w:u w:val="single"/>
                <w:shd w:val="clear" w:fill="FFFFFF"/>
              </w:rPr>
              <w:t>元。</w:t>
            </w:r>
          </w:p>
        </w:tc>
      </w:tr>
      <w:tr w14:paraId="7603C4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F9DBD2F">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439991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投标人资格要求</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6CCB21FB">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1．本次招标</w:t>
            </w:r>
            <w:r>
              <w:rPr>
                <w:rFonts w:hint="eastAsia" w:ascii="宋体" w:hAnsi="宋体" w:eastAsia="宋体" w:cs="宋体"/>
                <w:snapToGrid w:val="0"/>
                <w:color w:val="auto"/>
                <w:kern w:val="0"/>
                <w:sz w:val="24"/>
                <w:szCs w:val="24"/>
                <w:highlight w:val="none"/>
                <w:lang w:val="en-US" w:eastAsia="zh-CN"/>
              </w:rPr>
              <w:t>不</w:t>
            </w:r>
            <w:r>
              <w:rPr>
                <w:rFonts w:hint="eastAsia" w:ascii="宋体" w:hAnsi="宋体" w:eastAsia="宋体" w:cs="宋体"/>
                <w:snapToGrid w:val="0"/>
                <w:color w:val="auto"/>
                <w:kern w:val="0"/>
                <w:sz w:val="24"/>
                <w:szCs w:val="24"/>
                <w:highlight w:val="none"/>
              </w:rPr>
              <w:t>接受联合体投标</w:t>
            </w:r>
            <w:r>
              <w:rPr>
                <w:rFonts w:hint="eastAsia" w:ascii="宋体" w:hAnsi="宋体" w:eastAsia="宋体" w:cs="宋体"/>
                <w:snapToGrid w:val="0"/>
                <w:color w:val="auto"/>
                <w:kern w:val="0"/>
                <w:sz w:val="24"/>
                <w:szCs w:val="24"/>
                <w:highlight w:val="none"/>
                <w:lang w:eastAsia="zh-CN"/>
              </w:rPr>
              <w:t>。</w:t>
            </w:r>
          </w:p>
          <w:p w14:paraId="24756A3B">
            <w:pPr>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2．资质要求</w:t>
            </w:r>
          </w:p>
          <w:p w14:paraId="589D85A6">
            <w:pPr>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 投标人须具备独立法人资格，按国家法律经营。</w:t>
            </w:r>
          </w:p>
          <w:p w14:paraId="2D153965">
            <w:pPr>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 投标人须持有建设行政主管部门颁发的企业资质证书及安全生产许可证。</w:t>
            </w:r>
          </w:p>
          <w:p w14:paraId="0EAB4BF2">
            <w:pPr>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i w:val="0"/>
                <w:iCs w:val="0"/>
                <w:caps w:val="0"/>
                <w:color w:val="auto"/>
                <w:spacing w:val="0"/>
                <w:sz w:val="24"/>
                <w:szCs w:val="24"/>
                <w:highlight w:val="none"/>
                <w:u w:val="single"/>
                <w:shd w:val="clear" w:fill="FFFFFF"/>
              </w:rPr>
            </w:pPr>
            <w:r>
              <w:rPr>
                <w:rFonts w:hint="eastAsia" w:ascii="宋体" w:hAnsi="宋体" w:eastAsia="宋体" w:cs="宋体"/>
                <w:snapToGrid w:val="0"/>
                <w:color w:val="auto"/>
                <w:kern w:val="0"/>
                <w:sz w:val="24"/>
                <w:szCs w:val="24"/>
                <w:highlight w:val="none"/>
              </w:rPr>
              <w:t>2.3 投标人须具备以下资质：具备建设行政主管部门颁发的</w:t>
            </w:r>
            <w:r>
              <w:rPr>
                <w:rFonts w:hint="eastAsia" w:ascii="宋体" w:hAnsi="宋体" w:eastAsia="宋体" w:cs="宋体"/>
                <w:b w:val="0"/>
                <w:bCs w:val="0"/>
                <w:snapToGrid w:val="0"/>
                <w:color w:val="auto"/>
                <w:kern w:val="0"/>
                <w:sz w:val="24"/>
                <w:szCs w:val="24"/>
                <w:highlight w:val="none"/>
                <w:u w:val="single"/>
                <w:lang w:eastAsia="zh-CN"/>
              </w:rPr>
              <w:t>市政公用工程施工总承包叁级以上（含叁级）</w:t>
            </w:r>
            <w:r>
              <w:rPr>
                <w:rFonts w:hint="eastAsia" w:ascii="宋体" w:hAnsi="宋体" w:eastAsia="宋体" w:cs="宋体"/>
                <w:b w:val="0"/>
                <w:bCs w:val="0"/>
                <w:snapToGrid w:val="0"/>
                <w:color w:val="auto"/>
                <w:kern w:val="0"/>
                <w:sz w:val="24"/>
                <w:szCs w:val="24"/>
                <w:highlight w:val="none"/>
              </w:rPr>
              <w:t>资质。</w:t>
            </w:r>
          </w:p>
          <w:p w14:paraId="089BEBD8">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0B014BE">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3．相关人员要求</w:t>
            </w:r>
          </w:p>
          <w:p w14:paraId="7653A9B8">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3.1 </w:t>
            </w:r>
            <w:r>
              <w:rPr>
                <w:rFonts w:hint="eastAsia" w:ascii="宋体" w:hAnsi="宋体" w:eastAsia="宋体" w:cs="宋体"/>
                <w:color w:val="auto"/>
                <w:sz w:val="24"/>
                <w:szCs w:val="24"/>
                <w:highlight w:val="none"/>
              </w:rPr>
              <w:t>投标人拟派项目经理为</w:t>
            </w:r>
            <w:r>
              <w:rPr>
                <w:rFonts w:hint="eastAsia" w:ascii="宋体" w:hAnsi="宋体" w:eastAsia="宋体" w:cs="宋体"/>
                <w:b w:val="0"/>
                <w:bCs w:val="0"/>
                <w:color w:val="auto"/>
                <w:sz w:val="24"/>
                <w:szCs w:val="24"/>
                <w:highlight w:val="none"/>
                <w:u w:val="single"/>
              </w:rPr>
              <w:t>市政公用工程</w:t>
            </w:r>
            <w:r>
              <w:rPr>
                <w:rFonts w:hint="eastAsia" w:ascii="宋体" w:hAnsi="宋体" w:eastAsia="宋体" w:cs="宋体"/>
                <w:color w:val="auto"/>
                <w:sz w:val="24"/>
                <w:szCs w:val="24"/>
                <w:highlight w:val="none"/>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4A13E7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 拟派项目技术负责人须具备</w:t>
            </w:r>
            <w:r>
              <w:rPr>
                <w:rFonts w:hint="eastAsia" w:ascii="宋体" w:hAnsi="宋体" w:eastAsia="宋体" w:cs="宋体"/>
                <w:b w:val="0"/>
                <w:bCs w:val="0"/>
                <w:snapToGrid w:val="0"/>
                <w:color w:val="auto"/>
                <w:kern w:val="0"/>
                <w:sz w:val="24"/>
                <w:szCs w:val="24"/>
                <w:highlight w:val="none"/>
                <w:u w:val="single"/>
                <w:lang w:val="en-US" w:eastAsia="zh-CN"/>
              </w:rPr>
              <w:t>中</w:t>
            </w:r>
            <w:r>
              <w:rPr>
                <w:rFonts w:hint="eastAsia" w:ascii="宋体" w:hAnsi="宋体" w:eastAsia="宋体" w:cs="宋体"/>
                <w:b w:val="0"/>
                <w:bCs w:val="0"/>
                <w:snapToGrid w:val="0"/>
                <w:color w:val="auto"/>
                <w:kern w:val="0"/>
                <w:sz w:val="24"/>
                <w:szCs w:val="24"/>
                <w:highlight w:val="none"/>
              </w:rPr>
              <w:t>级以上（含</w:t>
            </w:r>
            <w:r>
              <w:rPr>
                <w:rFonts w:hint="eastAsia" w:ascii="宋体" w:hAnsi="宋体" w:eastAsia="宋体" w:cs="宋体"/>
                <w:b w:val="0"/>
                <w:bCs w:val="0"/>
                <w:snapToGrid w:val="0"/>
                <w:color w:val="auto"/>
                <w:kern w:val="0"/>
                <w:sz w:val="24"/>
                <w:szCs w:val="24"/>
                <w:highlight w:val="none"/>
                <w:u w:val="single"/>
                <w:lang w:val="en-US" w:eastAsia="zh-CN"/>
              </w:rPr>
              <w:t>中</w:t>
            </w:r>
            <w:r>
              <w:rPr>
                <w:rFonts w:hint="eastAsia" w:ascii="宋体" w:hAnsi="宋体" w:eastAsia="宋体" w:cs="宋体"/>
                <w:b w:val="0"/>
                <w:bCs w:val="0"/>
                <w:snapToGrid w:val="0"/>
                <w:color w:val="auto"/>
                <w:kern w:val="0"/>
                <w:sz w:val="24"/>
                <w:szCs w:val="24"/>
                <w:highlight w:val="none"/>
              </w:rPr>
              <w:t>级）</w:t>
            </w:r>
            <w:r>
              <w:rPr>
                <w:rFonts w:hint="eastAsia" w:ascii="宋体" w:hAnsi="宋体" w:eastAsia="宋体" w:cs="宋体"/>
                <w:snapToGrid w:val="0"/>
                <w:color w:val="auto"/>
                <w:kern w:val="0"/>
                <w:sz w:val="24"/>
                <w:szCs w:val="24"/>
                <w:highlight w:val="none"/>
              </w:rPr>
              <w:t>技术职称。</w:t>
            </w:r>
          </w:p>
          <w:p w14:paraId="5F9B4C4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val="0"/>
                <w:bCs w:val="0"/>
                <w:snapToGrid w:val="0"/>
                <w:color w:val="auto"/>
                <w:kern w:val="0"/>
                <w:sz w:val="24"/>
                <w:szCs w:val="24"/>
                <w:highlight w:val="none"/>
                <w:u w:val="single"/>
                <w:lang w:val="en-US" w:eastAsia="zh-CN"/>
              </w:rPr>
              <w:t>1</w:t>
            </w:r>
            <w:r>
              <w:rPr>
                <w:rFonts w:hint="eastAsia" w:ascii="宋体" w:hAnsi="宋体" w:eastAsia="宋体" w:cs="宋体"/>
                <w:b w:val="0"/>
                <w:bCs w:val="0"/>
                <w:snapToGrid w:val="0"/>
                <w:color w:val="auto"/>
                <w:kern w:val="0"/>
                <w:sz w:val="24"/>
                <w:szCs w:val="24"/>
                <w:highlight w:val="none"/>
              </w:rPr>
              <w:t>人</w:t>
            </w:r>
            <w:r>
              <w:rPr>
                <w:rFonts w:hint="eastAsia" w:ascii="宋体" w:hAnsi="宋体" w:eastAsia="宋体" w:cs="宋体"/>
                <w:snapToGrid w:val="0"/>
                <w:color w:val="auto"/>
                <w:kern w:val="0"/>
                <w:sz w:val="24"/>
                <w:szCs w:val="24"/>
                <w:highlight w:val="none"/>
              </w:rPr>
              <w:t xml:space="preserve">。 </w:t>
            </w:r>
          </w:p>
          <w:p w14:paraId="2ABE4404">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 投标人与其拟派往本项目管理机构的所有人员之间必须具备合法、唯一的劳动聘用关系</w:t>
            </w:r>
            <w:r>
              <w:rPr>
                <w:rFonts w:hint="eastAsia" w:ascii="宋体" w:hAnsi="宋体" w:eastAsia="宋体" w:cs="宋体"/>
                <w:color w:val="auto"/>
                <w:highlight w:val="none"/>
              </w:rPr>
              <w:t>（提供社保证明或劳动合同）</w:t>
            </w:r>
            <w:r>
              <w:rPr>
                <w:rFonts w:hint="eastAsia" w:ascii="宋体" w:hAnsi="宋体" w:eastAsia="宋体" w:cs="宋体"/>
                <w:snapToGrid w:val="0"/>
                <w:color w:val="auto"/>
                <w:kern w:val="0"/>
                <w:sz w:val="24"/>
                <w:szCs w:val="24"/>
                <w:highlight w:val="none"/>
              </w:rPr>
              <w:t>。拟派人员中具备注册执业资格的，其注册单位须与投标人保持一致。</w:t>
            </w:r>
          </w:p>
          <w:p w14:paraId="4108B950">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4．禁止投标条款：</w:t>
            </w:r>
          </w:p>
          <w:p w14:paraId="66663910">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4.1 投标人不得存在下列情形之一：    </w:t>
            </w:r>
          </w:p>
          <w:p w14:paraId="12187784">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（1）为招标人不具有独立法人资格的附属机构（单位）；</w:t>
            </w:r>
          </w:p>
          <w:p w14:paraId="38403E77">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（2）为本招标项目前期准备提供设计或咨询服务的；</w:t>
            </w:r>
          </w:p>
          <w:p w14:paraId="24894662">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（3）与本招标项目的其他投标人为同一个单位负责人；</w:t>
            </w:r>
          </w:p>
          <w:p w14:paraId="27901649">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（4）与本招标项目的其他投标人存在控股、管理关系；</w:t>
            </w:r>
          </w:p>
          <w:p w14:paraId="091BC197">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（5）为本招标项目的监理人；</w:t>
            </w:r>
          </w:p>
          <w:p w14:paraId="1A3C08C5">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（6）为本招标项目的代建人；</w:t>
            </w:r>
          </w:p>
          <w:p w14:paraId="27D6F5BD">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（7）为本招标项目的招标代理机构；</w:t>
            </w:r>
          </w:p>
          <w:p w14:paraId="4B279A2E">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（8）与本招标项目的监理人或代建人或招标代理机构同为一个法定代表人；</w:t>
            </w:r>
          </w:p>
          <w:p w14:paraId="19C2B53C">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（9）与本招标项目的监理人或代建人或招标代理机构存在控股或参股关系；</w:t>
            </w:r>
          </w:p>
          <w:p w14:paraId="2B641147">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（10）与本招标项目的监理人或代建人或招标代理机构存在相互任职或工作关系；</w:t>
            </w:r>
          </w:p>
          <w:p w14:paraId="558AB604">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（11）被依法暂停或者取消投标资格；</w:t>
            </w:r>
          </w:p>
          <w:p w14:paraId="7233EE1B">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（12）被责令停产停业、暂扣或者吊销许可证、暂扣或者吊销执照；</w:t>
            </w:r>
          </w:p>
          <w:p w14:paraId="394C68C5">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（13）进入清算程序，或被宣告破产，或其他丧失履约能力的情形；</w:t>
            </w:r>
          </w:p>
          <w:p w14:paraId="7B0BB098">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4FCF4656">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（15）被“信用中国”网站（https://www.creditchina.gov.cn）发布的《</w:t>
            </w:r>
            <w:r>
              <w:rPr>
                <w:rFonts w:hint="eastAsia" w:ascii="宋体" w:hAnsi="宋体" w:eastAsia="宋体" w:cs="宋体"/>
                <w:snapToGrid w:val="0"/>
                <w:color w:val="auto"/>
                <w:kern w:val="0"/>
                <w:sz w:val="24"/>
                <w:szCs w:val="24"/>
                <w:highlight w:val="none"/>
                <w:lang w:eastAsia="zh-CN"/>
              </w:rPr>
              <w:t>法人和非法人组织公共信用信息报告</w:t>
            </w:r>
            <w:r>
              <w:rPr>
                <w:rFonts w:hint="eastAsia" w:ascii="宋体" w:hAnsi="宋体" w:eastAsia="宋体" w:cs="宋体"/>
                <w:snapToGrid w:val="0"/>
                <w:color w:val="auto"/>
                <w:kern w:val="0"/>
                <w:sz w:val="24"/>
                <w:szCs w:val="24"/>
                <w:highlight w:val="none"/>
              </w:rPr>
              <w:t>》列为严重失信主体名单的。</w:t>
            </w:r>
          </w:p>
          <w:p w14:paraId="0085428D">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 招标人拒绝以下名单中的单位参加本次投标：</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3791"/>
              <w:gridCol w:w="3558"/>
            </w:tblGrid>
            <w:tr w14:paraId="1797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18" w:type="dxa"/>
                  <w:noWrap w:val="0"/>
                  <w:vAlign w:val="center"/>
                </w:tcPr>
                <w:p w14:paraId="5E50EC5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791" w:type="dxa"/>
                  <w:noWrap w:val="0"/>
                  <w:vAlign w:val="center"/>
                </w:tcPr>
                <w:p w14:paraId="5B8422B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3558" w:type="dxa"/>
                  <w:noWrap w:val="0"/>
                  <w:vAlign w:val="center"/>
                </w:tcPr>
                <w:p w14:paraId="748EC6D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14:paraId="1903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18" w:type="dxa"/>
                  <w:noWrap w:val="0"/>
                  <w:vAlign w:val="center"/>
                </w:tcPr>
                <w:p w14:paraId="1E4ECAC8">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3791" w:type="dxa"/>
                  <w:noWrap w:val="0"/>
                  <w:vAlign w:val="center"/>
                </w:tcPr>
                <w:p w14:paraId="08AF106A">
                  <w:pPr>
                    <w:pageBreakBefore w:val="0"/>
                    <w:tabs>
                      <w:tab w:val="left" w:pos="1180"/>
                    </w:tabs>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开复项目管理有限公司</w:t>
                  </w:r>
                </w:p>
              </w:tc>
              <w:tc>
                <w:tcPr>
                  <w:tcW w:w="3558" w:type="dxa"/>
                  <w:noWrap w:val="0"/>
                  <w:vAlign w:val="center"/>
                </w:tcPr>
                <w:p w14:paraId="15AF4C4B">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w:t>
                  </w:r>
                  <w:r>
                    <w:rPr>
                      <w:rFonts w:hint="eastAsia" w:ascii="宋体" w:hAnsi="宋体" w:eastAsia="宋体" w:cs="宋体"/>
                      <w:color w:val="auto"/>
                      <w:sz w:val="24"/>
                      <w:szCs w:val="24"/>
                      <w:highlight w:val="none"/>
                      <w:lang w:val="en-US" w:eastAsia="zh-CN"/>
                    </w:rPr>
                    <w:t>造价</w:t>
                  </w:r>
                  <w:r>
                    <w:rPr>
                      <w:rFonts w:hint="eastAsia" w:ascii="宋体" w:hAnsi="宋体" w:eastAsia="宋体" w:cs="宋体"/>
                      <w:color w:val="auto"/>
                      <w:sz w:val="24"/>
                      <w:szCs w:val="24"/>
                      <w:highlight w:val="none"/>
                    </w:rPr>
                    <w:t>单位</w:t>
                  </w:r>
                </w:p>
              </w:tc>
            </w:tr>
            <w:tr w14:paraId="0217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18" w:type="dxa"/>
                  <w:noWrap w:val="0"/>
                  <w:vAlign w:val="center"/>
                </w:tcPr>
                <w:p w14:paraId="166D187C">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3791" w:type="dxa"/>
                  <w:noWrap w:val="0"/>
                  <w:vAlign w:val="center"/>
                </w:tcPr>
                <w:p w14:paraId="4348A36F">
                  <w:pPr>
                    <w:pageBreakBefore w:val="0"/>
                    <w:tabs>
                      <w:tab w:val="left" w:pos="1180"/>
                    </w:tabs>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中亿国际设计集团有限公司</w:t>
                  </w:r>
                </w:p>
              </w:tc>
              <w:tc>
                <w:tcPr>
                  <w:tcW w:w="3558" w:type="dxa"/>
                  <w:noWrap w:val="0"/>
                  <w:vAlign w:val="center"/>
                </w:tcPr>
                <w:p w14:paraId="002E16E4">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rPr>
                    <w:t>为本招标项目的设计单位</w:t>
                  </w:r>
                </w:p>
              </w:tc>
            </w:tr>
            <w:tr w14:paraId="6EB4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18" w:type="dxa"/>
                  <w:noWrap w:val="0"/>
                  <w:vAlign w:val="center"/>
                </w:tcPr>
                <w:p w14:paraId="26598700">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3791" w:type="dxa"/>
                  <w:noWrap w:val="0"/>
                  <w:vAlign w:val="center"/>
                </w:tcPr>
                <w:p w14:paraId="370173F6">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广东穗源工程项目管理有限公司</w:t>
                  </w:r>
                </w:p>
              </w:tc>
              <w:tc>
                <w:tcPr>
                  <w:tcW w:w="3558" w:type="dxa"/>
                  <w:noWrap w:val="0"/>
                  <w:vAlign w:val="center"/>
                </w:tcPr>
                <w:p w14:paraId="4B85756D">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为本招标项目的招标代理机构</w:t>
                  </w:r>
                </w:p>
              </w:tc>
            </w:tr>
            <w:tr w14:paraId="46C3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18" w:type="dxa"/>
                  <w:noWrap w:val="0"/>
                  <w:vAlign w:val="center"/>
                </w:tcPr>
                <w:p w14:paraId="4FB93B3F">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p>
              </w:tc>
              <w:tc>
                <w:tcPr>
                  <w:tcW w:w="3791" w:type="dxa"/>
                  <w:noWrap w:val="0"/>
                  <w:vAlign w:val="center"/>
                </w:tcPr>
                <w:p w14:paraId="65722431">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乐昌市白石镇人民政府</w:t>
                  </w:r>
                </w:p>
              </w:tc>
              <w:tc>
                <w:tcPr>
                  <w:tcW w:w="3558" w:type="dxa"/>
                  <w:noWrap w:val="0"/>
                  <w:vAlign w:val="center"/>
                </w:tcPr>
                <w:p w14:paraId="75AEA8AC">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为本招标项目的招标人</w:t>
                  </w:r>
                </w:p>
              </w:tc>
            </w:tr>
            <w:tr w14:paraId="70B6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18" w:type="dxa"/>
                  <w:noWrap w:val="0"/>
                  <w:vAlign w:val="center"/>
                </w:tcPr>
                <w:p w14:paraId="0888F255">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3791" w:type="dxa"/>
                  <w:noWrap w:val="0"/>
                  <w:vAlign w:val="center"/>
                </w:tcPr>
                <w:p w14:paraId="0C92E66B">
                  <w:pPr>
                    <w:pStyle w:val="136"/>
                    <w:wordWrap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乐昌市农业农村局(乐昌市乡村振兴局)</w:t>
                  </w:r>
                </w:p>
              </w:tc>
              <w:tc>
                <w:tcPr>
                  <w:tcW w:w="3558" w:type="dxa"/>
                  <w:noWrap w:val="0"/>
                  <w:vAlign w:val="center"/>
                </w:tcPr>
                <w:p w14:paraId="79E0A10E">
                  <w:pPr>
                    <w:pStyle w:val="136"/>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监督单位</w:t>
                  </w:r>
                </w:p>
              </w:tc>
            </w:tr>
            <w:tr w14:paraId="15BD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18" w:type="dxa"/>
                  <w:noWrap w:val="0"/>
                  <w:vAlign w:val="center"/>
                </w:tcPr>
                <w:p w14:paraId="2A9F32D1">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3791" w:type="dxa"/>
                  <w:noWrap w:val="0"/>
                  <w:vAlign w:val="center"/>
                </w:tcPr>
                <w:p w14:paraId="3A0F59F1">
                  <w:pPr>
                    <w:pStyle w:val="136"/>
                    <w:wordWrap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广东粤能工程管理有限公司</w:t>
                  </w:r>
                </w:p>
              </w:tc>
              <w:tc>
                <w:tcPr>
                  <w:tcW w:w="3558" w:type="dxa"/>
                  <w:noWrap w:val="0"/>
                  <w:vAlign w:val="center"/>
                </w:tcPr>
                <w:p w14:paraId="57C269EF">
                  <w:pPr>
                    <w:pStyle w:val="13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可研编制单位</w:t>
                  </w:r>
                </w:p>
              </w:tc>
            </w:tr>
          </w:tbl>
          <w:p w14:paraId="538A8C34">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5．其他要求</w:t>
            </w:r>
          </w:p>
          <w:p w14:paraId="56AE9B8E">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784A48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A19BAA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92D62B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0A7A7B42">
            <w:pPr>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1．投标人须缴纳金额为人民币</w:t>
            </w:r>
            <w:r>
              <w:rPr>
                <w:rFonts w:hint="eastAsia" w:ascii="宋体" w:hAnsi="宋体" w:eastAsia="宋体" w:cs="宋体"/>
                <w:b/>
                <w:bCs/>
                <w:snapToGrid w:val="0"/>
                <w:color w:val="auto"/>
                <w:kern w:val="0"/>
                <w:sz w:val="24"/>
                <w:szCs w:val="24"/>
                <w:highlight w:val="none"/>
                <w:u w:val="single"/>
                <w:lang w:val="en-US" w:eastAsia="zh-CN"/>
              </w:rPr>
              <w:t>30万元</w:t>
            </w:r>
            <w:r>
              <w:rPr>
                <w:rFonts w:hint="eastAsia" w:ascii="宋体" w:hAnsi="宋体" w:eastAsia="宋体" w:cs="宋体"/>
                <w:snapToGrid w:val="0"/>
                <w:color w:val="auto"/>
                <w:kern w:val="0"/>
                <w:sz w:val="24"/>
                <w:szCs w:val="24"/>
                <w:highlight w:val="none"/>
              </w:rPr>
              <w:t xml:space="preserve">的投标保证。 </w:t>
            </w:r>
          </w:p>
          <w:p w14:paraId="26F672E2">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2．投标保证的形式包括投标保证金、投标保证担保、投标保证保险三种，由投标人自主选择。</w:t>
            </w:r>
          </w:p>
          <w:p w14:paraId="26C2B298">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6EB1F79E">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电子保函或保证保险，电子保函或保证保险的有效期不得短于投标有效期。投标人必须在投标保证担保截止时间（见本章第二节“重要事项时间地点一览表”）前，使用工程建设交易系统完成网上办理电子保函或保证保险。</w:t>
            </w:r>
          </w:p>
          <w:p w14:paraId="60B0260E">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w:t>
            </w:r>
            <w:r>
              <w:rPr>
                <w:rFonts w:hint="eastAsia" w:ascii="宋体" w:hAnsi="宋体" w:eastAsia="宋体" w:cs="宋体"/>
                <w:snapToGrid w:val="0"/>
                <w:color w:val="auto"/>
                <w:kern w:val="0"/>
                <w:sz w:val="24"/>
                <w:szCs w:val="24"/>
                <w:highlight w:val="none"/>
                <w:lang w:eastAsia="zh-CN"/>
              </w:rPr>
              <w:t>在【服务指南】栏目中下载《韶关市公共资源建设工程交易系统-投标人操作指南》，了解网上投保具体操作流程。逾期投保的，其投标无效。</w:t>
            </w:r>
          </w:p>
          <w:p w14:paraId="0F727622">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C05E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F50505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C09B4A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投标有效期</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72E485B6">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本次招标的投标有效期为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b/>
                <w:bCs/>
                <w:snapToGrid w:val="0"/>
                <w:color w:val="auto"/>
                <w:kern w:val="0"/>
                <w:sz w:val="24"/>
                <w:szCs w:val="24"/>
                <w:highlight w:val="none"/>
                <w:u w:val="single"/>
                <w:lang w:val="en-US" w:eastAsia="zh-CN"/>
              </w:rPr>
              <w:t>90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个日历天。</w:t>
            </w:r>
          </w:p>
        </w:tc>
      </w:tr>
      <w:tr w14:paraId="14276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77EA2C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67F700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w:t>
            </w:r>
          </w:p>
          <w:p w14:paraId="06F0D81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组成</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F37758E">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投标文件包括商务标书、经济标书、施工组织设计三个分册。</w:t>
            </w:r>
          </w:p>
        </w:tc>
      </w:tr>
      <w:tr w14:paraId="43F661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88347E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3E016C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施工组织设计</w:t>
            </w:r>
          </w:p>
          <w:p w14:paraId="0A9BB15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评审方式</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40ECE600">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本次招标施工组织设计</w:t>
            </w:r>
            <w:r>
              <w:rPr>
                <w:rFonts w:hint="eastAsia" w:ascii="宋体" w:hAnsi="宋体" w:eastAsia="宋体" w:cs="宋体"/>
                <w:snapToGrid w:val="0"/>
                <w:color w:val="auto"/>
                <w:kern w:val="0"/>
                <w:sz w:val="24"/>
                <w:szCs w:val="24"/>
                <w:highlight w:val="none"/>
                <w:u w:val="single"/>
              </w:rPr>
              <w:t xml:space="preserve"> 不采用 </w:t>
            </w:r>
            <w:r>
              <w:rPr>
                <w:rFonts w:hint="eastAsia" w:ascii="宋体" w:hAnsi="宋体" w:eastAsia="宋体" w:cs="宋体"/>
                <w:snapToGrid w:val="0"/>
                <w:color w:val="auto"/>
                <w:kern w:val="0"/>
                <w:sz w:val="24"/>
                <w:szCs w:val="24"/>
                <w:highlight w:val="none"/>
              </w:rPr>
              <w:t>“暗标”方式进行评审。</w:t>
            </w:r>
          </w:p>
        </w:tc>
      </w:tr>
      <w:tr w14:paraId="74CCD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BFE7B6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737412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CFF8923">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w:t>
            </w:r>
            <w:r>
              <w:rPr>
                <w:rFonts w:hint="eastAsia" w:ascii="宋体" w:hAnsi="宋体" w:eastAsia="宋体" w:cs="宋体"/>
                <w:snapToGrid w:val="0"/>
                <w:color w:val="auto"/>
                <w:kern w:val="0"/>
                <w:sz w:val="24"/>
                <w:szCs w:val="24"/>
                <w:highlight w:val="none"/>
                <w:u w:val="single"/>
              </w:rPr>
              <w:t>广东省综合评标评审专家库</w:t>
            </w:r>
            <w:r>
              <w:rPr>
                <w:rFonts w:hint="eastAsia" w:ascii="宋体" w:hAnsi="宋体" w:eastAsia="宋体" w:cs="宋体"/>
                <w:snapToGrid w:val="0"/>
                <w:color w:val="auto"/>
                <w:kern w:val="0"/>
                <w:sz w:val="24"/>
                <w:szCs w:val="24"/>
                <w:highlight w:val="none"/>
                <w:u w:val="single"/>
                <w:lang w:val="en-US" w:eastAsia="zh-CN"/>
              </w:rPr>
              <w:t>-韶关区域</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w:t>
            </w:r>
          </w:p>
        </w:tc>
      </w:tr>
      <w:tr w14:paraId="2A7062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093028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558F16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评标方法</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0570777E">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综合评估法</w:t>
            </w:r>
          </w:p>
        </w:tc>
      </w:tr>
      <w:tr w14:paraId="6B285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2654BE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28</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B1B277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3091053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409F7E50">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乐昌市白石镇人民政府</w:t>
            </w:r>
          </w:p>
          <w:p w14:paraId="3BFFA57B">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eastAsia="zh-CN"/>
              </w:rPr>
              <w:t>乐昌市白石镇人民政府</w:t>
            </w:r>
          </w:p>
          <w:p w14:paraId="5487D853">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snapToGrid w:val="0"/>
                <w:color w:val="auto"/>
                <w:kern w:val="0"/>
                <w:sz w:val="24"/>
                <w:szCs w:val="24"/>
                <w:highlight w:val="none"/>
                <w:lang w:val="en-US" w:eastAsia="zh-CN"/>
              </w:rPr>
              <w:t>张工</w:t>
            </w:r>
          </w:p>
          <w:p w14:paraId="5C15E1B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color w:val="auto"/>
                <w:highlight w:val="none"/>
                <w:lang w:val="en-US" w:eastAsia="zh-CN"/>
              </w:rPr>
              <w:t>0751-5770686</w:t>
            </w:r>
          </w:p>
        </w:tc>
      </w:tr>
      <w:tr w14:paraId="48514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EC472E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29</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48657C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6A9BD53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39AA795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广东穗源工程项目管理有限公司</w:t>
            </w:r>
          </w:p>
          <w:p w14:paraId="1DD7830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办公地址：韶关市武江区西联镇老阳山323线旁新五洲国际汽配用品商贸城A1幢406号</w:t>
            </w:r>
          </w:p>
          <w:p w14:paraId="2CA81316">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w:t>
            </w:r>
            <w:r>
              <w:rPr>
                <w:rFonts w:hint="eastAsia" w:ascii="宋体" w:hAnsi="宋体" w:eastAsia="宋体" w:cs="宋体"/>
                <w:snapToGrid w:val="0"/>
                <w:color w:val="auto"/>
                <w:kern w:val="0"/>
                <w:sz w:val="24"/>
                <w:szCs w:val="24"/>
                <w:highlight w:val="none"/>
                <w:lang w:eastAsia="zh-CN"/>
              </w:rPr>
              <w:t>部门）：</w:t>
            </w:r>
            <w:r>
              <w:rPr>
                <w:rFonts w:hint="eastAsia" w:ascii="宋体" w:hAnsi="宋体" w:eastAsia="宋体" w:cs="宋体"/>
                <w:snapToGrid w:val="0"/>
                <w:color w:val="auto"/>
                <w:kern w:val="0"/>
                <w:sz w:val="24"/>
                <w:szCs w:val="24"/>
                <w:highlight w:val="none"/>
                <w:lang w:val="en-US" w:eastAsia="zh-CN"/>
              </w:rPr>
              <w:t>曾</w:t>
            </w:r>
            <w:r>
              <w:rPr>
                <w:rFonts w:hint="eastAsia" w:ascii="宋体" w:hAnsi="宋体" w:eastAsia="宋体" w:cs="宋体"/>
                <w:snapToGrid w:val="0"/>
                <w:color w:val="auto"/>
                <w:kern w:val="0"/>
                <w:sz w:val="24"/>
                <w:szCs w:val="24"/>
                <w:lang w:val="en-US" w:eastAsia="zh-CN"/>
              </w:rPr>
              <w:t>工</w:t>
            </w:r>
          </w:p>
          <w:p w14:paraId="1C3C899A">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rPr>
              <w:t>联系电</w:t>
            </w:r>
            <w:r>
              <w:rPr>
                <w:rFonts w:hint="eastAsia" w:ascii="宋体" w:hAnsi="宋体" w:eastAsia="宋体" w:cs="宋体"/>
                <w:snapToGrid w:val="0"/>
                <w:color w:val="auto"/>
                <w:kern w:val="0"/>
                <w:sz w:val="24"/>
                <w:szCs w:val="24"/>
                <w:highlight w:val="none"/>
                <w:lang w:eastAsia="zh-CN"/>
              </w:rPr>
              <w:t>话：18207510811</w:t>
            </w:r>
          </w:p>
        </w:tc>
      </w:tr>
      <w:tr w14:paraId="30B03E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D4C4B7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30</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CBBDC8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611DC36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CACC71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单位名称：韶关市公共资源交易中心</w:t>
            </w:r>
          </w:p>
          <w:p w14:paraId="5FD9BC2D">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办公地址：乐昌市昌山北路23号韶关市公共资源交易中心乐昌分中心</w:t>
            </w:r>
          </w:p>
          <w:p w14:paraId="1DE11547">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联系人（部门）：工程交易部</w:t>
            </w:r>
          </w:p>
          <w:p w14:paraId="479D247D">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联系电话：0751-5570106</w:t>
            </w:r>
          </w:p>
        </w:tc>
      </w:tr>
      <w:bookmarkEnd w:id="12"/>
      <w:tr w14:paraId="19F118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AD3700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bookmarkStart w:id="14" w:name="_Toc122859103"/>
            <w:bookmarkStart w:id="15" w:name="_Toc122769943"/>
            <w:bookmarkStart w:id="16" w:name="_Toc5853"/>
            <w:bookmarkStart w:id="17" w:name="_Toc122671103"/>
            <w:r>
              <w:rPr>
                <w:rFonts w:hint="eastAsia" w:ascii="宋体" w:hAnsi="宋体" w:eastAsia="宋体" w:cs="宋体"/>
                <w:snapToGrid w:val="0"/>
                <w:color w:val="auto"/>
                <w:kern w:val="0"/>
                <w:sz w:val="24"/>
                <w:szCs w:val="24"/>
                <w:highlight w:val="none"/>
                <w:lang w:val="en-US" w:eastAsia="zh-CN"/>
              </w:rPr>
              <w:t>31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158360D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232A140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6EB4152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单位名称：乐昌市农业农村局(乐昌市乡村振兴局)</w:t>
            </w:r>
          </w:p>
          <w:p w14:paraId="2063A265">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办公地址：韶关市乐昌市大昌路54号</w:t>
            </w:r>
          </w:p>
          <w:p w14:paraId="19EC1422">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color w:val="auto"/>
                <w:sz w:val="24"/>
                <w:szCs w:val="24"/>
              </w:rPr>
              <w:t>监督股</w:t>
            </w:r>
          </w:p>
          <w:p w14:paraId="27EED064">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联系电话：0751-5502889</w:t>
            </w:r>
          </w:p>
        </w:tc>
      </w:tr>
      <w:bookmarkEnd w:id="14"/>
      <w:bookmarkEnd w:id="15"/>
      <w:bookmarkEnd w:id="16"/>
      <w:bookmarkEnd w:id="17"/>
    </w:tbl>
    <w:p w14:paraId="38C9FC7C">
      <w:pPr>
        <w:pStyle w:val="3"/>
        <w:wordWrap w:val="0"/>
        <w:autoSpaceDE/>
        <w:autoSpaceDN/>
        <w:snapToGrid w:val="0"/>
        <w:spacing w:before="260" w:after="260" w:line="360" w:lineRule="exact"/>
        <w:jc w:val="both"/>
        <w:rPr>
          <w:rFonts w:hint="eastAsia" w:ascii="宋体" w:hAnsi="宋体" w:eastAsia="宋体" w:cs="宋体"/>
          <w:b/>
          <w:snapToGrid w:val="0"/>
          <w:color w:val="auto"/>
          <w:highlight w:val="none"/>
        </w:rPr>
        <w:sectPr>
          <w:footerReference r:id="rId6" w:type="default"/>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start="1"/>
          <w:cols w:space="720" w:num="1"/>
          <w:docGrid w:linePitch="327" w:charSpace="0"/>
        </w:sectPr>
      </w:pPr>
    </w:p>
    <w:p w14:paraId="4B582186">
      <w:pPr>
        <w:pStyle w:val="3"/>
        <w:bidi w:val="0"/>
        <w:rPr>
          <w:rFonts w:hint="eastAsia" w:ascii="宋体" w:hAnsi="宋体" w:eastAsia="宋体" w:cs="宋体"/>
          <w:color w:val="auto"/>
        </w:rPr>
      </w:pPr>
      <w:bookmarkStart w:id="18" w:name="_Toc12786"/>
      <w:bookmarkStart w:id="19" w:name="_Toc27937"/>
      <w:bookmarkStart w:id="20" w:name="_Toc27075"/>
      <w:r>
        <w:rPr>
          <w:rFonts w:hint="eastAsia" w:ascii="宋体" w:hAnsi="宋体" w:eastAsia="宋体" w:cs="宋体"/>
          <w:color w:val="auto"/>
        </w:rPr>
        <w:t>第二节 重要事项时间地点一览表</w:t>
      </w:r>
      <w:bookmarkEnd w:id="18"/>
      <w:bookmarkEnd w:id="19"/>
      <w:bookmarkEnd w:id="20"/>
    </w:p>
    <w:tbl>
      <w:tblPr>
        <w:tblStyle w:val="30"/>
        <w:tblW w:w="9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576"/>
        <w:gridCol w:w="7786"/>
      </w:tblGrid>
      <w:tr w14:paraId="4078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573" w:type="dxa"/>
            <w:noWrap w:val="0"/>
            <w:vAlign w:val="center"/>
          </w:tcPr>
          <w:p w14:paraId="235FF4E7">
            <w:pPr>
              <w:pStyle w:val="136"/>
              <w:widowControl/>
              <w:spacing w:line="430" w:lineRule="atLeast"/>
              <w:jc w:val="center"/>
              <w:rPr>
                <w:rFonts w:hint="eastAsia" w:ascii="宋体" w:hAnsi="宋体" w:eastAsia="宋体" w:cs="宋体"/>
                <w:color w:val="auto"/>
                <w:kern w:val="0"/>
                <w:sz w:val="24"/>
                <w:szCs w:val="24"/>
                <w:highlight w:val="none"/>
              </w:rPr>
            </w:pPr>
            <w:bookmarkStart w:id="21" w:name="OLE_LINK2"/>
            <w:r>
              <w:rPr>
                <w:rFonts w:hint="eastAsia" w:ascii="宋体" w:hAnsi="宋体" w:eastAsia="宋体" w:cs="宋体"/>
                <w:color w:val="auto"/>
                <w:kern w:val="0"/>
                <w:sz w:val="24"/>
                <w:szCs w:val="24"/>
                <w:highlight w:val="none"/>
              </w:rPr>
              <w:t>1</w:t>
            </w:r>
          </w:p>
        </w:tc>
        <w:tc>
          <w:tcPr>
            <w:tcW w:w="1576" w:type="dxa"/>
            <w:noWrap w:val="0"/>
            <w:vAlign w:val="center"/>
          </w:tcPr>
          <w:p w14:paraId="7CC2106B">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招标公告</w:t>
            </w:r>
          </w:p>
          <w:p w14:paraId="41C5AB17">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发布时间</w:t>
            </w:r>
          </w:p>
        </w:tc>
        <w:tc>
          <w:tcPr>
            <w:tcW w:w="7786" w:type="dxa"/>
            <w:noWrap w:val="0"/>
            <w:vAlign w:val="center"/>
          </w:tcPr>
          <w:p w14:paraId="26DEBEC8">
            <w:pPr>
              <w:keepNext w:val="0"/>
              <w:keepLines w:val="0"/>
              <w:pageBreakBefore w:val="0"/>
              <w:kinsoku/>
              <w:wordWrap/>
              <w:overflowPunct/>
              <w:topLinePunct w:val="0"/>
              <w:autoSpaceDE/>
              <w:autoSpaceDN/>
              <w:bidi w:val="0"/>
              <w:adjustRightInd/>
              <w:snapToGrid/>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05</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419A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573" w:type="dxa"/>
            <w:noWrap w:val="0"/>
            <w:vAlign w:val="center"/>
          </w:tcPr>
          <w:p w14:paraId="2BB06A7D">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576" w:type="dxa"/>
            <w:noWrap w:val="0"/>
            <w:vAlign w:val="center"/>
          </w:tcPr>
          <w:p w14:paraId="1F1756AA">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获取招标文件截止时间</w:t>
            </w:r>
          </w:p>
        </w:tc>
        <w:tc>
          <w:tcPr>
            <w:tcW w:w="7786" w:type="dxa"/>
            <w:noWrap w:val="0"/>
            <w:vAlign w:val="center"/>
          </w:tcPr>
          <w:p w14:paraId="787B8CAC">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68CE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573" w:type="dxa"/>
            <w:noWrap w:val="0"/>
            <w:vAlign w:val="center"/>
          </w:tcPr>
          <w:p w14:paraId="4B956692">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576" w:type="dxa"/>
            <w:noWrap w:val="0"/>
            <w:vAlign w:val="center"/>
          </w:tcPr>
          <w:p w14:paraId="58ED66E1">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网上提问</w:t>
            </w:r>
          </w:p>
          <w:p w14:paraId="50B88E34">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截止时间</w:t>
            </w:r>
          </w:p>
        </w:tc>
        <w:tc>
          <w:tcPr>
            <w:tcW w:w="7786" w:type="dxa"/>
            <w:noWrap w:val="0"/>
            <w:vAlign w:val="center"/>
          </w:tcPr>
          <w:p w14:paraId="7023F229">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6D2B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3" w:type="dxa"/>
            <w:noWrap w:val="0"/>
            <w:vAlign w:val="center"/>
          </w:tcPr>
          <w:p w14:paraId="38760C47">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576" w:type="dxa"/>
            <w:noWrap w:val="0"/>
            <w:vAlign w:val="center"/>
          </w:tcPr>
          <w:p w14:paraId="33E9F6EE">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网上答疑</w:t>
            </w:r>
          </w:p>
          <w:p w14:paraId="379B8CD8">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时间</w:t>
            </w:r>
          </w:p>
        </w:tc>
        <w:tc>
          <w:tcPr>
            <w:tcW w:w="7786" w:type="dxa"/>
            <w:noWrap w:val="0"/>
            <w:vAlign w:val="center"/>
          </w:tcPr>
          <w:p w14:paraId="0CB4BCDB">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19FC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573" w:type="dxa"/>
            <w:noWrap w:val="0"/>
            <w:vAlign w:val="center"/>
          </w:tcPr>
          <w:p w14:paraId="0B2F7D73">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576" w:type="dxa"/>
            <w:noWrap w:val="0"/>
            <w:vAlign w:val="center"/>
          </w:tcPr>
          <w:p w14:paraId="553C2906">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投标保证缴</w:t>
            </w:r>
          </w:p>
          <w:p w14:paraId="5B798642">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纳截止时间</w:t>
            </w:r>
          </w:p>
        </w:tc>
        <w:tc>
          <w:tcPr>
            <w:tcW w:w="7786" w:type="dxa"/>
            <w:noWrap w:val="0"/>
            <w:vAlign w:val="center"/>
          </w:tcPr>
          <w:p w14:paraId="70704A2E">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投标保证金到账截止时间：</w:t>
            </w: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27</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p w14:paraId="459B53B1">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投标保证担保上传截止</w:t>
            </w:r>
            <w:bookmarkStart w:id="371" w:name="_GoBack"/>
            <w:bookmarkEnd w:id="371"/>
            <w:r>
              <w:rPr>
                <w:rFonts w:hint="eastAsia" w:ascii="宋体" w:hAnsi="宋体" w:eastAsia="宋体" w:cs="宋体"/>
                <w:color w:val="auto"/>
                <w:kern w:val="0"/>
                <w:sz w:val="24"/>
                <w:szCs w:val="24"/>
                <w:highlight w:val="none"/>
              </w:rPr>
              <w:t>时间：</w:t>
            </w: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27</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p w14:paraId="32299DE7">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投标保证保险投保截止时间：</w:t>
            </w: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27</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597F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573" w:type="dxa"/>
            <w:noWrap w:val="0"/>
            <w:vAlign w:val="center"/>
          </w:tcPr>
          <w:p w14:paraId="50583DEA">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c>
          <w:tcPr>
            <w:tcW w:w="1576" w:type="dxa"/>
            <w:noWrap w:val="0"/>
            <w:vAlign w:val="center"/>
          </w:tcPr>
          <w:p w14:paraId="39925305">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电子投标</w:t>
            </w:r>
          </w:p>
          <w:p w14:paraId="38E6D448">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截止时间</w:t>
            </w:r>
          </w:p>
        </w:tc>
        <w:tc>
          <w:tcPr>
            <w:tcW w:w="7786" w:type="dxa"/>
            <w:noWrap w:val="0"/>
            <w:vAlign w:val="center"/>
          </w:tcPr>
          <w:p w14:paraId="45DAA868">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7906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573" w:type="dxa"/>
            <w:noWrap w:val="0"/>
            <w:vAlign w:val="center"/>
          </w:tcPr>
          <w:p w14:paraId="04D9EF02">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w:t>
            </w:r>
          </w:p>
        </w:tc>
        <w:tc>
          <w:tcPr>
            <w:tcW w:w="1576" w:type="dxa"/>
            <w:noWrap w:val="0"/>
            <w:vAlign w:val="center"/>
          </w:tcPr>
          <w:p w14:paraId="2CDA6021">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投标相关资料（如有）</w:t>
            </w:r>
          </w:p>
          <w:p w14:paraId="33A5EAB1">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递交时间</w:t>
            </w:r>
          </w:p>
        </w:tc>
        <w:tc>
          <w:tcPr>
            <w:tcW w:w="7786" w:type="dxa"/>
            <w:noWrap w:val="0"/>
            <w:vAlign w:val="center"/>
          </w:tcPr>
          <w:p w14:paraId="0BFAAA7E">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626B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573" w:type="dxa"/>
            <w:noWrap w:val="0"/>
            <w:vAlign w:val="center"/>
          </w:tcPr>
          <w:p w14:paraId="469C6330">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w:t>
            </w:r>
          </w:p>
        </w:tc>
        <w:tc>
          <w:tcPr>
            <w:tcW w:w="1576" w:type="dxa"/>
            <w:noWrap w:val="0"/>
            <w:vAlign w:val="center"/>
          </w:tcPr>
          <w:p w14:paraId="14D3CC13">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投标相关资料（如有）</w:t>
            </w:r>
          </w:p>
          <w:p w14:paraId="0B3D776A">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递交时间</w:t>
            </w:r>
          </w:p>
        </w:tc>
        <w:tc>
          <w:tcPr>
            <w:tcW w:w="7786" w:type="dxa"/>
            <w:noWrap w:val="0"/>
            <w:vAlign w:val="center"/>
          </w:tcPr>
          <w:p w14:paraId="202FE131">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递交场所：韶关市公共资源交易中心</w:t>
            </w:r>
          </w:p>
          <w:p w14:paraId="77BF6396">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地址：韶关市公共资源交易中心乐昌分中心（地址：乐昌市昌山北路23号），具体递交场所以当日现场通知为准。</w:t>
            </w:r>
          </w:p>
        </w:tc>
      </w:tr>
      <w:tr w14:paraId="21DC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573" w:type="dxa"/>
            <w:noWrap w:val="0"/>
            <w:vAlign w:val="center"/>
          </w:tcPr>
          <w:p w14:paraId="08429796">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w:t>
            </w:r>
          </w:p>
        </w:tc>
        <w:tc>
          <w:tcPr>
            <w:tcW w:w="1576" w:type="dxa"/>
            <w:noWrap w:val="0"/>
            <w:vAlign w:val="center"/>
          </w:tcPr>
          <w:p w14:paraId="40D0E022">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开标时间</w:t>
            </w:r>
          </w:p>
        </w:tc>
        <w:tc>
          <w:tcPr>
            <w:tcW w:w="7786" w:type="dxa"/>
            <w:noWrap w:val="0"/>
            <w:vAlign w:val="center"/>
          </w:tcPr>
          <w:p w14:paraId="3F12EE2D">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28</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448B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573" w:type="dxa"/>
            <w:noWrap w:val="0"/>
            <w:vAlign w:val="center"/>
          </w:tcPr>
          <w:p w14:paraId="0E9E0516">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p>
        </w:tc>
        <w:tc>
          <w:tcPr>
            <w:tcW w:w="1576" w:type="dxa"/>
            <w:noWrap w:val="0"/>
            <w:vAlign w:val="center"/>
          </w:tcPr>
          <w:p w14:paraId="45085988">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开标地点</w:t>
            </w:r>
          </w:p>
        </w:tc>
        <w:tc>
          <w:tcPr>
            <w:tcW w:w="7786" w:type="dxa"/>
            <w:noWrap w:val="0"/>
            <w:vAlign w:val="center"/>
          </w:tcPr>
          <w:p w14:paraId="5AD82464">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开标场所：韶关市公共资源交易中心</w:t>
            </w:r>
          </w:p>
          <w:p w14:paraId="2B7CB05D">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地址：韶关市公共资源交易中心乐昌分中心（地址：乐昌市昌山北路23号），具体开标室以当日现场通知为准。</w:t>
            </w:r>
          </w:p>
        </w:tc>
      </w:tr>
      <w:tr w14:paraId="4528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2149" w:type="dxa"/>
            <w:gridSpan w:val="2"/>
            <w:noWrap w:val="0"/>
            <w:vAlign w:val="center"/>
          </w:tcPr>
          <w:p w14:paraId="1063E9AD">
            <w:pPr>
              <w:pStyle w:val="136"/>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w:t>
            </w:r>
          </w:p>
        </w:tc>
        <w:tc>
          <w:tcPr>
            <w:tcW w:w="7786" w:type="dxa"/>
            <w:noWrap w:val="0"/>
            <w:vAlign w:val="center"/>
          </w:tcPr>
          <w:p w14:paraId="09263508">
            <w:pPr>
              <w:pStyle w:val="136"/>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bookmarkEnd w:id="21"/>
    </w:tbl>
    <w:p w14:paraId="772F04C2">
      <w:pPr>
        <w:pStyle w:val="2"/>
        <w:tabs>
          <w:tab w:val="left" w:pos="885"/>
        </w:tabs>
        <w:wordWrap w:val="0"/>
        <w:autoSpaceDE/>
        <w:autoSpaceDN/>
        <w:snapToGrid w:val="0"/>
        <w:spacing w:line="440" w:lineRule="exact"/>
        <w:ind w:left="885" w:hanging="885"/>
        <w:jc w:val="center"/>
        <w:rPr>
          <w:rFonts w:hint="eastAsia" w:ascii="宋体" w:hAnsi="宋体" w:eastAsia="宋体" w:cs="宋体"/>
          <w:snapToGrid w:val="0"/>
          <w:color w:val="auto"/>
          <w:sz w:val="24"/>
          <w:highlight w:val="none"/>
        </w:rPr>
        <w:sectPr>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cols w:space="720" w:num="1"/>
          <w:docGrid w:linePitch="327" w:charSpace="0"/>
        </w:sectPr>
      </w:pPr>
    </w:p>
    <w:p w14:paraId="7814AF46">
      <w:pPr>
        <w:pStyle w:val="3"/>
        <w:bidi w:val="0"/>
        <w:rPr>
          <w:rFonts w:hint="eastAsia" w:ascii="宋体" w:hAnsi="宋体" w:eastAsia="宋体" w:cs="宋体"/>
          <w:color w:val="auto"/>
        </w:rPr>
      </w:pPr>
      <w:bookmarkStart w:id="22" w:name="_Hlt87793819"/>
      <w:bookmarkEnd w:id="22"/>
      <w:bookmarkStart w:id="23" w:name="_Toc16803"/>
      <w:bookmarkStart w:id="24" w:name="_Toc30390"/>
      <w:bookmarkStart w:id="25" w:name="_Hlt69698754"/>
      <w:bookmarkStart w:id="26" w:name="_Hlt69698705"/>
      <w:bookmarkStart w:id="27" w:name="_Toc5895"/>
      <w:bookmarkStart w:id="28" w:name="_Toc18202"/>
      <w:r>
        <w:rPr>
          <w:rFonts w:hint="eastAsia" w:ascii="宋体" w:hAnsi="宋体" w:eastAsia="宋体" w:cs="宋体"/>
          <w:color w:val="auto"/>
        </w:rPr>
        <w:t>第三节 投标人须知</w:t>
      </w:r>
      <w:bookmarkEnd w:id="23"/>
      <w:bookmarkStart w:id="29" w:name="_Hlt69669159"/>
      <w:bookmarkEnd w:id="29"/>
      <w:r>
        <w:rPr>
          <w:rFonts w:hint="eastAsia" w:ascii="宋体" w:hAnsi="宋体" w:eastAsia="宋体" w:cs="宋体"/>
          <w:color w:val="auto"/>
        </w:rPr>
        <w:t>正文</w:t>
      </w:r>
      <w:bookmarkEnd w:id="24"/>
      <w:bookmarkEnd w:id="25"/>
      <w:bookmarkEnd w:id="26"/>
      <w:bookmarkEnd w:id="27"/>
      <w:bookmarkEnd w:id="28"/>
    </w:p>
    <w:p w14:paraId="744F5028">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b/>
          <w:snapToGrid w:val="0"/>
          <w:color w:val="auto"/>
          <w:highlight w:val="none"/>
        </w:rPr>
      </w:pPr>
      <w:bookmarkStart w:id="30" w:name="_Hlt119991399"/>
      <w:bookmarkEnd w:id="30"/>
      <w:bookmarkStart w:id="31" w:name="_Hlt78795222"/>
      <w:bookmarkEnd w:id="31"/>
      <w:bookmarkStart w:id="32" w:name="_Hlt74474735"/>
      <w:bookmarkEnd w:id="32"/>
      <w:bookmarkStart w:id="33" w:name="_Hlt87948285"/>
      <w:bookmarkEnd w:id="33"/>
      <w:bookmarkStart w:id="34" w:name="_Hlt109358474"/>
      <w:bookmarkEnd w:id="34"/>
      <w:bookmarkStart w:id="35" w:name="_Toc26083"/>
      <w:r>
        <w:rPr>
          <w:rFonts w:hint="eastAsia" w:ascii="宋体" w:hAnsi="宋体" w:eastAsia="宋体" w:cs="宋体"/>
          <w:snapToGrid w:val="0"/>
          <w:color w:val="auto"/>
          <w:kern w:val="0"/>
          <w:sz w:val="24"/>
          <w:szCs w:val="24"/>
          <w:highlight w:val="none"/>
          <w:u w:val="single"/>
          <w:lang w:val="en-US" w:eastAsia="zh-CN"/>
        </w:rPr>
        <w:t>白石镇乡村振兴示范带项目</w:t>
      </w:r>
      <w:r>
        <w:rPr>
          <w:rFonts w:hint="eastAsia" w:ascii="宋体" w:hAnsi="宋体" w:eastAsia="宋体" w:cs="宋体"/>
          <w:snapToGrid w:val="0"/>
          <w:color w:val="auto"/>
          <w:kern w:val="0"/>
          <w:sz w:val="24"/>
          <w:szCs w:val="24"/>
          <w:highlight w:val="none"/>
        </w:rPr>
        <w:t>业经</w:t>
      </w:r>
      <w:r>
        <w:rPr>
          <w:rFonts w:hint="eastAsia" w:ascii="宋体" w:hAnsi="宋体" w:eastAsia="宋体" w:cs="宋体"/>
          <w:snapToGrid w:val="0"/>
          <w:color w:val="auto"/>
          <w:kern w:val="0"/>
          <w:sz w:val="24"/>
          <w:szCs w:val="24"/>
          <w:highlight w:val="none"/>
          <w:u w:val="single"/>
          <w:lang w:val="en-US" w:eastAsia="zh-CN"/>
        </w:rPr>
        <w:t>乐昌市发展和改革局关于白石镇乡村振兴示范带项目可行性研究报告的批复</w:t>
      </w:r>
      <w:r>
        <w:rPr>
          <w:rFonts w:hint="eastAsia" w:ascii="宋体" w:hAnsi="宋体" w:eastAsia="宋体" w:cs="宋体"/>
          <w:snapToGrid w:val="0"/>
          <w:color w:val="auto"/>
          <w:kern w:val="0"/>
          <w:szCs w:val="24"/>
          <w:highlight w:val="none"/>
          <w:u w:val="single"/>
        </w:rPr>
        <w:t>（</w:t>
      </w:r>
      <w:r>
        <w:rPr>
          <w:rFonts w:hint="eastAsia" w:ascii="宋体" w:hAnsi="宋体" w:eastAsia="宋体" w:cs="宋体"/>
          <w:snapToGrid w:val="0"/>
          <w:color w:val="auto"/>
          <w:kern w:val="0"/>
          <w:szCs w:val="24"/>
          <w:highlight w:val="none"/>
          <w:u w:val="single"/>
          <w:lang w:val="en-US" w:eastAsia="zh-CN"/>
        </w:rPr>
        <w:t>乐发改投审〔2025〕60号</w:t>
      </w:r>
      <w:r>
        <w:rPr>
          <w:rFonts w:hint="eastAsia" w:ascii="宋体" w:hAnsi="宋体" w:eastAsia="宋体" w:cs="宋体"/>
          <w:snapToGrid w:val="0"/>
          <w:color w:val="auto"/>
          <w:kern w:val="0"/>
          <w:szCs w:val="24"/>
          <w:highlight w:val="none"/>
          <w:u w:val="single"/>
        </w:rPr>
        <w:t>）</w:t>
      </w:r>
      <w:r>
        <w:rPr>
          <w:rStyle w:val="149"/>
          <w:rFonts w:hint="eastAsia" w:ascii="宋体" w:hAnsi="宋体" w:eastAsia="宋体" w:cs="宋体"/>
          <w:color w:val="auto"/>
          <w:kern w:val="0"/>
          <w:szCs w:val="24"/>
          <w:highlight w:val="none"/>
        </w:rPr>
        <w:t>批准建设</w:t>
      </w:r>
      <w:r>
        <w:rPr>
          <w:rFonts w:hint="eastAsia" w:ascii="宋体" w:hAnsi="宋体" w:eastAsia="宋体" w:cs="宋体"/>
          <w:snapToGrid w:val="0"/>
          <w:color w:val="auto"/>
          <w:kern w:val="0"/>
          <w:szCs w:val="24"/>
          <w:highlight w:val="none"/>
        </w:rPr>
        <w:t>，项目代码为</w:t>
      </w:r>
      <w:r>
        <w:rPr>
          <w:rFonts w:hint="eastAsia" w:ascii="宋体" w:hAnsi="宋体" w:eastAsia="宋体" w:cs="宋体"/>
          <w:snapToGrid w:val="0"/>
          <w:color w:val="auto"/>
          <w:kern w:val="0"/>
          <w:szCs w:val="24"/>
          <w:highlight w:val="none"/>
          <w:u w:val="single"/>
          <w:lang w:val="en-US" w:eastAsia="zh-CN"/>
        </w:rPr>
        <w:t>2505-440281-04-01-978925</w:t>
      </w:r>
      <w:r>
        <w:rPr>
          <w:rFonts w:hint="eastAsia" w:ascii="宋体" w:hAnsi="宋体" w:eastAsia="宋体" w:cs="宋体"/>
          <w:snapToGrid w:val="0"/>
          <w:color w:val="auto"/>
          <w:kern w:val="0"/>
          <w:szCs w:val="24"/>
          <w:highlight w:val="none"/>
        </w:rPr>
        <w:t>。本项目业主为</w:t>
      </w:r>
      <w:r>
        <w:rPr>
          <w:rFonts w:hint="eastAsia" w:ascii="宋体" w:hAnsi="宋体" w:eastAsia="宋体" w:cs="宋体"/>
          <w:i w:val="0"/>
          <w:iCs w:val="0"/>
          <w:caps w:val="0"/>
          <w:color w:val="auto"/>
          <w:spacing w:val="0"/>
          <w:sz w:val="24"/>
          <w:szCs w:val="24"/>
          <w:highlight w:val="none"/>
          <w:u w:val="single"/>
          <w:shd w:val="clear" w:color="auto" w:fill="FFFFFF"/>
          <w:lang w:eastAsia="zh-CN"/>
        </w:rPr>
        <w:t>乐昌市白石镇人民政府</w:t>
      </w:r>
      <w:r>
        <w:rPr>
          <w:rFonts w:hint="eastAsia" w:ascii="宋体" w:hAnsi="宋体" w:eastAsia="宋体" w:cs="宋体"/>
          <w:snapToGrid w:val="0"/>
          <w:color w:val="auto"/>
          <w:kern w:val="0"/>
          <w:szCs w:val="24"/>
          <w:highlight w:val="none"/>
        </w:rPr>
        <w:t>，建设资金来自</w:t>
      </w:r>
      <w:r>
        <w:rPr>
          <w:rFonts w:hint="eastAsia" w:ascii="宋体" w:hAnsi="宋体" w:eastAsia="宋体" w:cs="宋体"/>
          <w:snapToGrid w:val="0"/>
          <w:color w:val="auto"/>
          <w:kern w:val="0"/>
          <w:szCs w:val="24"/>
          <w:highlight w:val="none"/>
          <w:u w:val="single"/>
          <w:lang w:val="en-US" w:eastAsia="zh-CN"/>
        </w:rPr>
        <w:t>上级财政资金，不足部分由业主单位自筹解决</w:t>
      </w:r>
      <w:r>
        <w:rPr>
          <w:rFonts w:hint="eastAsia" w:ascii="宋体" w:hAnsi="宋体" w:eastAsia="宋体" w:cs="宋体"/>
          <w:snapToGrid w:val="0"/>
          <w:color w:val="auto"/>
          <w:kern w:val="0"/>
          <w:szCs w:val="24"/>
          <w:highlight w:val="none"/>
          <w:u w:val="single"/>
        </w:rPr>
        <w:t>，</w:t>
      </w:r>
      <w:r>
        <w:rPr>
          <w:rStyle w:val="149"/>
          <w:rFonts w:hint="eastAsia" w:ascii="宋体" w:hAnsi="宋体" w:eastAsia="宋体" w:cs="宋体"/>
          <w:color w:val="auto"/>
          <w:kern w:val="0"/>
          <w:szCs w:val="24"/>
          <w:highlight w:val="none"/>
        </w:rPr>
        <w:t>出资比例为</w:t>
      </w:r>
      <w:r>
        <w:rPr>
          <w:rFonts w:hint="eastAsia" w:ascii="宋体" w:hAnsi="宋体" w:eastAsia="宋体" w:cs="宋体"/>
          <w:snapToGrid w:val="0"/>
          <w:color w:val="auto"/>
          <w:kern w:val="0"/>
          <w:szCs w:val="24"/>
          <w:highlight w:val="none"/>
          <w:u w:val="single"/>
        </w:rPr>
        <w:t>100%</w:t>
      </w:r>
      <w:r>
        <w:rPr>
          <w:rFonts w:hint="eastAsia" w:ascii="宋体" w:hAnsi="宋体" w:eastAsia="宋体" w:cs="宋体"/>
          <w:snapToGrid w:val="0"/>
          <w:color w:val="auto"/>
          <w:kern w:val="0"/>
          <w:szCs w:val="24"/>
          <w:highlight w:val="none"/>
        </w:rPr>
        <w:t>，招标人为</w:t>
      </w:r>
      <w:r>
        <w:rPr>
          <w:rFonts w:hint="eastAsia" w:ascii="宋体" w:hAnsi="宋体" w:eastAsia="宋体" w:cs="宋体"/>
          <w:color w:val="auto"/>
          <w:kern w:val="0"/>
          <w:szCs w:val="24"/>
          <w:highlight w:val="none"/>
          <w:u w:val="single"/>
          <w:lang w:eastAsia="zh-CN"/>
        </w:rPr>
        <w:t>乐昌市白石镇人民政府</w:t>
      </w:r>
      <w:r>
        <w:rPr>
          <w:rFonts w:hint="eastAsia" w:ascii="宋体" w:hAnsi="宋体" w:eastAsia="宋体" w:cs="宋体"/>
          <w:snapToGrid w:val="0"/>
          <w:color w:val="auto"/>
          <w:kern w:val="0"/>
          <w:szCs w:val="24"/>
          <w:highlight w:val="none"/>
        </w:rPr>
        <w:t>，招标代理机构为</w:t>
      </w:r>
      <w:r>
        <w:rPr>
          <w:rFonts w:hint="eastAsia" w:ascii="宋体" w:hAnsi="宋体" w:eastAsia="宋体" w:cs="宋体"/>
          <w:color w:val="auto"/>
          <w:kern w:val="0"/>
          <w:szCs w:val="24"/>
          <w:highlight w:val="none"/>
          <w:u w:val="single"/>
          <w:lang w:eastAsia="zh-CN"/>
        </w:rPr>
        <w:t>广东穗源工程项目管理有限公司</w:t>
      </w:r>
      <w:r>
        <w:rPr>
          <w:rFonts w:hint="eastAsia" w:ascii="宋体" w:hAnsi="宋体" w:eastAsia="宋体" w:cs="宋体"/>
          <w:snapToGrid w:val="0"/>
          <w:color w:val="auto"/>
          <w:kern w:val="0"/>
          <w:szCs w:val="24"/>
          <w:highlight w:val="none"/>
        </w:rPr>
        <w:t>。项目已具备招标条件，现对该项目的</w:t>
      </w:r>
      <w:r>
        <w:rPr>
          <w:rFonts w:hint="eastAsia" w:ascii="宋体" w:hAnsi="宋体" w:eastAsia="宋体" w:cs="宋体"/>
          <w:snapToGrid w:val="0"/>
          <w:color w:val="auto"/>
          <w:kern w:val="0"/>
          <w:szCs w:val="24"/>
          <w:highlight w:val="none"/>
          <w:u w:val="single"/>
        </w:rPr>
        <w:t>施工</w:t>
      </w:r>
      <w:r>
        <w:rPr>
          <w:rFonts w:hint="eastAsia" w:ascii="宋体" w:hAnsi="宋体" w:eastAsia="宋体" w:cs="宋体"/>
          <w:snapToGrid w:val="0"/>
          <w:color w:val="auto"/>
          <w:kern w:val="0"/>
          <w:szCs w:val="24"/>
          <w:highlight w:val="none"/>
        </w:rPr>
        <w:t>进行公开招标。</w:t>
      </w:r>
    </w:p>
    <w:p w14:paraId="31132700">
      <w:pPr>
        <w:pStyle w:val="4"/>
        <w:pageBreakBefore w:val="0"/>
        <w:kinsoku/>
        <w:overflowPunct/>
        <w:topLinePunct w:val="0"/>
        <w:autoSpaceDE/>
        <w:autoSpaceDN/>
        <w:bidi w:val="0"/>
        <w:spacing w:beforeLines="0" w:afterLines="0" w:line="360" w:lineRule="auto"/>
        <w:ind w:firstLine="482" w:firstLineChars="200"/>
        <w:textAlignment w:val="auto"/>
        <w:rPr>
          <w:rFonts w:hint="eastAsia" w:ascii="宋体" w:hAnsi="宋体" w:eastAsia="宋体" w:cs="宋体"/>
          <w:color w:val="auto"/>
        </w:rPr>
      </w:pPr>
      <w:bookmarkStart w:id="36" w:name="_Toc25995"/>
      <w:r>
        <w:rPr>
          <w:rFonts w:hint="eastAsia" w:ascii="宋体" w:hAnsi="宋体" w:eastAsia="宋体" w:cs="宋体"/>
          <w:color w:val="auto"/>
        </w:rPr>
        <w:t>1．项目概况、招标范围和标段划分、投标费用</w:t>
      </w:r>
      <w:bookmarkEnd w:id="36"/>
    </w:p>
    <w:p w14:paraId="58F7CAB7">
      <w:pPr>
        <w:pStyle w:val="136"/>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1.1</w:t>
      </w:r>
      <w:r>
        <w:rPr>
          <w:rFonts w:hint="eastAsia" w:ascii="宋体" w:hAnsi="宋体" w:eastAsia="宋体" w:cs="宋体"/>
          <w:snapToGrid w:val="0"/>
          <w:color w:val="auto"/>
          <w:kern w:val="0"/>
          <w:sz w:val="24"/>
          <w:highlight w:val="none"/>
        </w:rPr>
        <w:t xml:space="preserve"> 项目概况</w:t>
      </w:r>
    </w:p>
    <w:p w14:paraId="0308C9A8">
      <w:pPr>
        <w:pStyle w:val="136"/>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建设地点：</w:t>
      </w:r>
      <w:r>
        <w:rPr>
          <w:rFonts w:hint="eastAsia" w:ascii="宋体" w:hAnsi="宋体" w:eastAsia="宋体" w:cs="宋体"/>
          <w:snapToGrid w:val="0"/>
          <w:color w:val="auto"/>
          <w:kern w:val="0"/>
          <w:sz w:val="24"/>
          <w:szCs w:val="24"/>
          <w:highlight w:val="none"/>
          <w:u w:val="single"/>
          <w:lang w:val="en-US" w:eastAsia="zh-CN"/>
        </w:rPr>
        <w:t>乐昌市白石镇。</w:t>
      </w:r>
    </w:p>
    <w:p w14:paraId="68344DA7">
      <w:pPr>
        <w:pStyle w:val="136"/>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1.1.2</w:t>
      </w:r>
      <w:r>
        <w:rPr>
          <w:rFonts w:hint="eastAsia" w:ascii="宋体" w:hAnsi="宋体" w:eastAsia="宋体" w:cs="宋体"/>
          <w:snapToGrid w:val="0"/>
          <w:color w:val="auto"/>
          <w:kern w:val="0"/>
          <w:sz w:val="24"/>
          <w:szCs w:val="24"/>
          <w:highlight w:val="none"/>
        </w:rPr>
        <w:t xml:space="preserve"> 建设内容和规模：</w:t>
      </w:r>
      <w:r>
        <w:rPr>
          <w:rFonts w:hint="eastAsia" w:ascii="宋体" w:hAnsi="宋体" w:eastAsia="宋体" w:cs="宋体"/>
          <w:snapToGrid w:val="0"/>
          <w:color w:val="auto"/>
          <w:kern w:val="0"/>
          <w:sz w:val="24"/>
          <w:szCs w:val="24"/>
          <w:highlight w:val="none"/>
          <w:u w:val="single"/>
          <w:lang w:val="en-US" w:eastAsia="zh-CN"/>
        </w:rPr>
        <w:t>涉及坛祖村、水井村及油甫村3个行政村38个村小组，主要包括村道及巷道提升、排水沟、道路照明设施建设、乡村闲置地建设、农房微改造及村庄环境整治等。</w:t>
      </w:r>
    </w:p>
    <w:p w14:paraId="2A879CCC">
      <w:pPr>
        <w:pStyle w:val="136"/>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b/>
          <w:bCs/>
          <w:snapToGrid w:val="0"/>
          <w:color w:val="auto"/>
          <w:kern w:val="0"/>
          <w:sz w:val="24"/>
          <w:szCs w:val="24"/>
          <w:highlight w:val="none"/>
          <w:u w:val="none"/>
          <w:lang w:val="en-US" w:eastAsia="zh-CN"/>
        </w:rPr>
        <w:t>1.1.3</w:t>
      </w:r>
      <w:r>
        <w:rPr>
          <w:rFonts w:hint="eastAsia" w:ascii="宋体" w:hAnsi="宋体" w:eastAsia="宋体" w:cs="宋体"/>
          <w:snapToGrid w:val="0"/>
          <w:color w:val="auto"/>
          <w:kern w:val="0"/>
          <w:sz w:val="24"/>
          <w:szCs w:val="24"/>
          <w:highlight w:val="none"/>
          <w:u w:val="none"/>
          <w:lang w:val="en-US" w:eastAsia="zh-CN"/>
        </w:rPr>
        <w:t xml:space="preserve"> 项目总投资：</w:t>
      </w:r>
      <w:r>
        <w:rPr>
          <w:rFonts w:hint="eastAsia" w:ascii="宋体" w:hAnsi="宋体" w:eastAsia="宋体" w:cs="宋体"/>
          <w:snapToGrid w:val="0"/>
          <w:color w:val="auto"/>
          <w:kern w:val="0"/>
          <w:sz w:val="24"/>
          <w:szCs w:val="24"/>
          <w:highlight w:val="none"/>
          <w:u w:val="single"/>
          <w:lang w:val="en-US" w:eastAsia="zh-CN"/>
        </w:rPr>
        <w:t>项目估算总投资2913.77万元，其中：建安工程费用2431.12万元、工程建设其他费用402.11万元（含建设期利息费）、预备费80.54万元。</w:t>
      </w:r>
    </w:p>
    <w:p w14:paraId="0AEAEA06">
      <w:pPr>
        <w:pStyle w:val="136"/>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 xml:space="preserve">1.2 </w:t>
      </w:r>
      <w:r>
        <w:rPr>
          <w:rFonts w:hint="eastAsia" w:ascii="宋体" w:hAnsi="宋体" w:eastAsia="宋体" w:cs="宋体"/>
          <w:snapToGrid w:val="0"/>
          <w:color w:val="auto"/>
          <w:kern w:val="0"/>
          <w:sz w:val="24"/>
          <w:highlight w:val="none"/>
        </w:rPr>
        <w:t>招标范围和标段划分</w:t>
      </w:r>
    </w:p>
    <w:p w14:paraId="21E58119">
      <w:pPr>
        <w:pStyle w:val="136"/>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highlight w:val="none"/>
          <w:u w:val="none"/>
        </w:rPr>
      </w:pPr>
      <w:r>
        <w:rPr>
          <w:rFonts w:hint="eastAsia" w:ascii="宋体" w:hAnsi="宋体" w:eastAsia="宋体" w:cs="宋体"/>
          <w:b/>
          <w:bCs/>
          <w:snapToGrid w:val="0"/>
          <w:color w:val="auto"/>
          <w:kern w:val="0"/>
          <w:sz w:val="24"/>
          <w:highlight w:val="none"/>
        </w:rPr>
        <w:t>1.2.1</w:t>
      </w:r>
      <w:r>
        <w:rPr>
          <w:rFonts w:hint="eastAsia" w:ascii="宋体" w:hAnsi="宋体" w:eastAsia="宋体" w:cs="宋体"/>
          <w:snapToGrid w:val="0"/>
          <w:color w:val="auto"/>
          <w:kern w:val="0"/>
          <w:sz w:val="24"/>
          <w:highlight w:val="none"/>
        </w:rPr>
        <w:t xml:space="preserve"> 招标范围：</w:t>
      </w:r>
      <w:r>
        <w:rPr>
          <w:rFonts w:hint="eastAsia" w:ascii="宋体" w:hAnsi="宋体" w:eastAsia="宋体" w:cs="宋体"/>
          <w:snapToGrid w:val="0"/>
          <w:color w:val="auto"/>
          <w:kern w:val="0"/>
          <w:sz w:val="24"/>
          <w:highlight w:val="none"/>
          <w:u w:val="single"/>
          <w:lang w:val="en-US" w:eastAsia="zh-CN"/>
        </w:rPr>
        <w:t>施工图纸和工程量清单范围内</w:t>
      </w:r>
      <w:r>
        <w:rPr>
          <w:rFonts w:hint="eastAsia" w:ascii="宋体" w:hAnsi="宋体" w:eastAsia="宋体" w:cs="宋体"/>
          <w:snapToGrid w:val="0"/>
          <w:color w:val="auto"/>
          <w:kern w:val="0"/>
          <w:sz w:val="24"/>
          <w:highlight w:val="none"/>
          <w:u w:val="single"/>
        </w:rPr>
        <w:t>等</w:t>
      </w:r>
      <w:r>
        <w:rPr>
          <w:rFonts w:hint="eastAsia" w:ascii="宋体" w:hAnsi="宋体" w:eastAsia="宋体" w:cs="宋体"/>
          <w:snapToGrid w:val="0"/>
          <w:color w:val="auto"/>
          <w:kern w:val="0"/>
          <w:sz w:val="24"/>
          <w:highlight w:val="none"/>
          <w:u w:val="single"/>
          <w:lang w:val="en-US" w:eastAsia="zh-CN"/>
        </w:rPr>
        <w:t>所有</w:t>
      </w:r>
      <w:r>
        <w:rPr>
          <w:rFonts w:hint="eastAsia" w:ascii="宋体" w:hAnsi="宋体" w:eastAsia="宋体" w:cs="宋体"/>
          <w:snapToGrid w:val="0"/>
          <w:color w:val="auto"/>
          <w:kern w:val="0"/>
          <w:sz w:val="24"/>
          <w:highlight w:val="none"/>
          <w:u w:val="single"/>
        </w:rPr>
        <w:t>工程</w:t>
      </w:r>
      <w:r>
        <w:rPr>
          <w:rFonts w:hint="eastAsia" w:ascii="宋体" w:hAnsi="宋体" w:eastAsia="宋体" w:cs="宋体"/>
          <w:snapToGrid w:val="0"/>
          <w:color w:val="auto"/>
          <w:kern w:val="0"/>
          <w:sz w:val="24"/>
          <w:highlight w:val="none"/>
          <w:u w:val="single"/>
          <w:lang w:val="en-US" w:eastAsia="zh-CN"/>
        </w:rPr>
        <w:t>施工</w:t>
      </w:r>
      <w:r>
        <w:rPr>
          <w:rFonts w:hint="eastAsia" w:ascii="宋体" w:hAnsi="宋体" w:eastAsia="宋体" w:cs="宋体"/>
          <w:snapToGrid w:val="0"/>
          <w:color w:val="auto"/>
          <w:kern w:val="0"/>
          <w:sz w:val="24"/>
          <w:highlight w:val="none"/>
          <w:u w:val="single"/>
        </w:rPr>
        <w:t>。</w:t>
      </w:r>
      <w:r>
        <w:rPr>
          <w:rFonts w:hint="eastAsia" w:ascii="宋体" w:hAnsi="宋体" w:eastAsia="宋体" w:cs="宋体"/>
          <w:snapToGrid w:val="0"/>
          <w:color w:val="auto"/>
          <w:kern w:val="0"/>
          <w:sz w:val="24"/>
          <w:highlight w:val="none"/>
          <w:u w:val="none"/>
        </w:rPr>
        <w:t xml:space="preserve">       </w:t>
      </w:r>
    </w:p>
    <w:p w14:paraId="36E61988">
      <w:pPr>
        <w:pStyle w:val="3"/>
        <w:pageBreakBefore w:val="0"/>
        <w:kinsoku/>
        <w:wordWrap w:val="0"/>
        <w:overflowPunct/>
        <w:topLinePunct w:val="0"/>
        <w:autoSpaceDE/>
        <w:autoSpaceDN/>
        <w:bidi w:val="0"/>
        <w:snapToGrid w:val="0"/>
        <w:spacing w:line="360" w:lineRule="auto"/>
        <w:ind w:firstLine="482" w:firstLineChars="200"/>
        <w:jc w:val="both"/>
        <w:textAlignment w:val="auto"/>
        <w:rPr>
          <w:rFonts w:hint="eastAsia" w:ascii="宋体" w:hAnsi="宋体" w:eastAsia="宋体" w:cs="宋体"/>
          <w:b/>
          <w:snapToGrid w:val="0"/>
          <w:color w:val="auto"/>
          <w:highlight w:val="none"/>
        </w:rPr>
      </w:pPr>
      <w:bookmarkStart w:id="37" w:name="_Toc19291"/>
      <w:bookmarkStart w:id="38" w:name="_Toc9332"/>
      <w:bookmarkStart w:id="39" w:name="_Toc3268"/>
      <w:r>
        <w:rPr>
          <w:rFonts w:hint="eastAsia" w:ascii="宋体" w:hAnsi="宋体" w:eastAsia="宋体" w:cs="宋体"/>
          <w:b/>
          <w:bCs/>
          <w:snapToGrid w:val="0"/>
          <w:color w:val="auto"/>
          <w:highlight w:val="none"/>
        </w:rPr>
        <w:t>1.2.2</w:t>
      </w:r>
      <w:r>
        <w:rPr>
          <w:rFonts w:hint="eastAsia" w:ascii="宋体" w:hAnsi="宋体" w:eastAsia="宋体" w:cs="宋体"/>
          <w:snapToGrid w:val="0"/>
          <w:color w:val="auto"/>
          <w:highlight w:val="none"/>
        </w:rPr>
        <w:t xml:space="preserve"> 标段划分：本招标项目不划分标段。</w:t>
      </w:r>
      <w:bookmarkEnd w:id="35"/>
      <w:bookmarkEnd w:id="37"/>
      <w:bookmarkEnd w:id="38"/>
      <w:bookmarkEnd w:id="39"/>
    </w:p>
    <w:p w14:paraId="4E614AA0">
      <w:pPr>
        <w:pageBreakBefore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1.3</w:t>
      </w:r>
      <w:r>
        <w:rPr>
          <w:rFonts w:hint="eastAsia" w:ascii="宋体" w:hAnsi="宋体" w:eastAsia="宋体" w:cs="宋体"/>
          <w:snapToGrid w:val="0"/>
          <w:color w:val="auto"/>
          <w:kern w:val="0"/>
          <w:szCs w:val="24"/>
          <w:highlight w:val="none"/>
        </w:rPr>
        <w:t xml:space="preserve"> 投标费用</w:t>
      </w:r>
      <w:r>
        <w:rPr>
          <w:rFonts w:hint="eastAsia" w:ascii="宋体" w:hAnsi="宋体" w:eastAsia="宋体" w:cs="宋体"/>
          <w:snapToGrid w:val="0"/>
          <w:color w:val="auto"/>
          <w:kern w:val="0"/>
          <w:highlight w:val="none"/>
        </w:rPr>
        <w:t>：投标人应承担所有准备和参加投标的相关费用，不论投标结果如何，招标人均无义务和责任承担这些费用。</w:t>
      </w:r>
    </w:p>
    <w:p w14:paraId="333E7109">
      <w:pPr>
        <w:pStyle w:val="3"/>
        <w:wordWrap w:val="0"/>
        <w:autoSpaceDE/>
        <w:autoSpaceDN/>
        <w:snapToGrid w:val="0"/>
        <w:spacing w:line="440" w:lineRule="exact"/>
        <w:ind w:firstLine="480"/>
        <w:jc w:val="both"/>
        <w:rPr>
          <w:rFonts w:hint="eastAsia" w:ascii="宋体" w:hAnsi="宋体" w:eastAsia="宋体" w:cs="宋体"/>
          <w:b/>
          <w:snapToGrid w:val="0"/>
          <w:color w:val="auto"/>
          <w:highlight w:val="none"/>
        </w:rPr>
      </w:pPr>
      <w:bookmarkStart w:id="40" w:name="_Toc15329"/>
      <w:bookmarkStart w:id="41" w:name="_Toc18676"/>
    </w:p>
    <w:p w14:paraId="614F2D29">
      <w:pPr>
        <w:pStyle w:val="4"/>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42" w:name="_Toc14498"/>
      <w:r>
        <w:rPr>
          <w:rFonts w:hint="eastAsia" w:ascii="宋体" w:hAnsi="宋体" w:eastAsia="宋体" w:cs="宋体"/>
          <w:color w:val="auto"/>
          <w:sz w:val="24"/>
          <w:szCs w:val="24"/>
        </w:rPr>
        <w:t>2．投标人资格要求</w:t>
      </w:r>
      <w:bookmarkEnd w:id="40"/>
      <w:bookmarkEnd w:id="41"/>
      <w:bookmarkEnd w:id="42"/>
      <w:bookmarkStart w:id="43" w:name="_Hlt74496495"/>
      <w:bookmarkEnd w:id="43"/>
    </w:p>
    <w:p w14:paraId="0905E36C">
      <w:pPr>
        <w:wordWrap w:val="0"/>
        <w:adjustRightInd w:val="0"/>
        <w:snapToGrid w:val="0"/>
        <w:spacing w:line="360" w:lineRule="auto"/>
        <w:ind w:firstLine="482" w:firstLineChars="200"/>
        <w:jc w:val="left"/>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2.</w:t>
      </w:r>
      <w:r>
        <w:rPr>
          <w:rFonts w:hint="eastAsia" w:ascii="宋体" w:hAnsi="宋体" w:eastAsia="宋体" w:cs="宋体"/>
          <w:b/>
          <w:bCs/>
          <w:snapToGrid w:val="0"/>
          <w:color w:val="auto"/>
          <w:kern w:val="0"/>
          <w:highlight w:val="none"/>
        </w:rPr>
        <w:t>1</w:t>
      </w:r>
      <w:r>
        <w:rPr>
          <w:rFonts w:hint="eastAsia" w:ascii="宋体" w:hAnsi="宋体" w:eastAsia="宋体" w:cs="宋体"/>
          <w:snapToGrid w:val="0"/>
          <w:color w:val="auto"/>
          <w:kern w:val="0"/>
          <w:highlight w:val="none"/>
        </w:rPr>
        <w:t>本次招标</w:t>
      </w:r>
      <w:r>
        <w:rPr>
          <w:rFonts w:hint="eastAsia" w:ascii="宋体" w:hAnsi="宋体" w:eastAsia="宋体" w:cs="宋体"/>
          <w:snapToGrid w:val="0"/>
          <w:color w:val="auto"/>
          <w:kern w:val="0"/>
          <w:highlight w:val="none"/>
          <w:lang w:val="en-US" w:eastAsia="zh-CN"/>
        </w:rPr>
        <w:t>不</w:t>
      </w:r>
      <w:r>
        <w:rPr>
          <w:rFonts w:hint="eastAsia" w:ascii="宋体" w:hAnsi="宋体" w:eastAsia="宋体" w:cs="宋体"/>
          <w:snapToGrid w:val="0"/>
          <w:color w:val="auto"/>
          <w:kern w:val="0"/>
          <w:highlight w:val="none"/>
        </w:rPr>
        <w:t>接受联合体投标。</w:t>
      </w:r>
    </w:p>
    <w:p w14:paraId="5CB01E52">
      <w:pPr>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w:t>
      </w:r>
      <w:r>
        <w:rPr>
          <w:rFonts w:hint="eastAsia" w:ascii="宋体" w:hAnsi="宋体" w:eastAsia="宋体" w:cs="宋体"/>
          <w:snapToGrid w:val="0"/>
          <w:color w:val="auto"/>
          <w:kern w:val="0"/>
          <w:sz w:val="24"/>
          <w:szCs w:val="24"/>
          <w:highlight w:val="none"/>
        </w:rPr>
        <w:t xml:space="preserve"> 资格资质要求</w:t>
      </w:r>
    </w:p>
    <w:p w14:paraId="617B3711">
      <w:pPr>
        <w:pStyle w:val="136"/>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2.2.1</w:t>
      </w:r>
      <w:r>
        <w:rPr>
          <w:rFonts w:hint="eastAsia" w:ascii="宋体" w:hAnsi="宋体" w:eastAsia="宋体" w:cs="宋体"/>
          <w:snapToGrid w:val="0"/>
          <w:color w:val="auto"/>
          <w:kern w:val="0"/>
          <w:sz w:val="24"/>
          <w:szCs w:val="24"/>
          <w:highlight w:val="none"/>
        </w:rPr>
        <w:t xml:space="preserve"> 投标人须具备独立法人资格，按国家法律经营。</w:t>
      </w:r>
    </w:p>
    <w:p w14:paraId="38A5A45D">
      <w:pPr>
        <w:pStyle w:val="136"/>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2.2.2</w:t>
      </w:r>
      <w:r>
        <w:rPr>
          <w:rFonts w:hint="eastAsia" w:ascii="宋体" w:hAnsi="宋体" w:eastAsia="宋体" w:cs="宋体"/>
          <w:snapToGrid w:val="0"/>
          <w:color w:val="auto"/>
          <w:kern w:val="0"/>
          <w:sz w:val="24"/>
          <w:szCs w:val="24"/>
          <w:highlight w:val="none"/>
        </w:rPr>
        <w:t xml:space="preserve"> 投标人须持有建设行政主管部门颁发的企业资质证书及安全生产许可证。</w:t>
      </w:r>
    </w:p>
    <w:p w14:paraId="06089417">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2.2.3</w:t>
      </w:r>
      <w:r>
        <w:rPr>
          <w:rFonts w:hint="eastAsia" w:ascii="宋体" w:hAnsi="宋体" w:eastAsia="宋体" w:cs="宋体"/>
          <w:snapToGrid w:val="0"/>
          <w:color w:val="auto"/>
          <w:kern w:val="0"/>
          <w:sz w:val="24"/>
          <w:szCs w:val="24"/>
          <w:highlight w:val="none"/>
        </w:rPr>
        <w:t xml:space="preserve"> 投标人须具备以下资质：具备建设行政主管部门颁发的</w:t>
      </w:r>
      <w:r>
        <w:rPr>
          <w:rFonts w:hint="eastAsia" w:ascii="宋体" w:hAnsi="宋体" w:eastAsia="宋体" w:cs="宋体"/>
          <w:b w:val="0"/>
          <w:bCs w:val="0"/>
          <w:snapToGrid w:val="0"/>
          <w:color w:val="auto"/>
          <w:kern w:val="0"/>
          <w:sz w:val="24"/>
          <w:szCs w:val="24"/>
          <w:highlight w:val="none"/>
          <w:u w:val="single"/>
          <w:lang w:eastAsia="zh-CN"/>
        </w:rPr>
        <w:t>市政公用工程施工总承包叁级以上（含叁级）</w:t>
      </w:r>
      <w:r>
        <w:rPr>
          <w:rFonts w:hint="eastAsia" w:ascii="宋体" w:hAnsi="宋体" w:eastAsia="宋体" w:cs="宋体"/>
          <w:b w:val="0"/>
          <w:bCs w:val="0"/>
          <w:snapToGrid w:val="0"/>
          <w:color w:val="auto"/>
          <w:kern w:val="0"/>
          <w:sz w:val="24"/>
          <w:szCs w:val="24"/>
          <w:highlight w:val="none"/>
        </w:rPr>
        <w:t>资质。</w:t>
      </w:r>
    </w:p>
    <w:p w14:paraId="7C96D109">
      <w:pPr>
        <w:pStyle w:val="136"/>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2.2.4</w:t>
      </w:r>
      <w:r>
        <w:rPr>
          <w:rFonts w:hint="eastAsia" w:ascii="宋体" w:hAnsi="宋体" w:eastAsia="宋体" w:cs="宋体"/>
          <w:snapToGrid w:val="0"/>
          <w:color w:val="auto"/>
          <w:kern w:val="0"/>
          <w:sz w:val="24"/>
          <w:szCs w:val="24"/>
          <w:highlight w:val="none"/>
        </w:rPr>
        <w:t xml:space="preserve">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4CD375A">
      <w:pPr>
        <w:pStyle w:val="136"/>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w:t>
      </w:r>
      <w:r>
        <w:rPr>
          <w:rFonts w:hint="eastAsia" w:ascii="宋体" w:hAnsi="宋体" w:eastAsia="宋体" w:cs="宋体"/>
          <w:snapToGrid w:val="0"/>
          <w:color w:val="auto"/>
          <w:kern w:val="0"/>
          <w:sz w:val="24"/>
          <w:szCs w:val="24"/>
          <w:highlight w:val="none"/>
        </w:rPr>
        <w:t xml:space="preserve"> 相关人员要求</w:t>
      </w:r>
    </w:p>
    <w:p w14:paraId="0419F19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2.3.1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rPr>
        <w:t>投标人拟派项目经理为</w:t>
      </w:r>
      <w:r>
        <w:rPr>
          <w:rFonts w:hint="eastAsia" w:ascii="宋体" w:hAnsi="宋体" w:eastAsia="宋体" w:cs="宋体"/>
          <w:b w:val="0"/>
          <w:bCs w:val="0"/>
          <w:color w:val="auto"/>
          <w:sz w:val="24"/>
          <w:szCs w:val="24"/>
          <w:u w:val="single"/>
        </w:rPr>
        <w:t>市政公用工程</w:t>
      </w:r>
      <w:r>
        <w:rPr>
          <w:rFonts w:hint="eastAsia" w:ascii="宋体" w:hAnsi="宋体" w:eastAsia="宋体" w:cs="宋体"/>
          <w:b w:val="0"/>
          <w:bCs w:val="0"/>
          <w:color w:val="auto"/>
          <w:sz w:val="24"/>
          <w:szCs w:val="24"/>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512E4BF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0000FF"/>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2.3.2</w:t>
      </w:r>
      <w:r>
        <w:rPr>
          <w:rFonts w:hint="eastAsia" w:ascii="宋体" w:hAnsi="宋体" w:eastAsia="宋体" w:cs="宋体"/>
          <w:b w:val="0"/>
          <w:bCs w:val="0"/>
          <w:snapToGrid w:val="0"/>
          <w:color w:val="auto"/>
          <w:kern w:val="0"/>
          <w:sz w:val="24"/>
          <w:szCs w:val="24"/>
          <w:highlight w:val="none"/>
        </w:rPr>
        <w:t xml:space="preserve"> 拟派项目技术负责人须具备</w:t>
      </w:r>
      <w:r>
        <w:rPr>
          <w:rFonts w:hint="eastAsia" w:ascii="宋体" w:hAnsi="宋体" w:eastAsia="宋体" w:cs="宋体"/>
          <w:b w:val="0"/>
          <w:bCs w:val="0"/>
          <w:snapToGrid w:val="0"/>
          <w:color w:val="auto"/>
          <w:kern w:val="0"/>
          <w:sz w:val="24"/>
          <w:szCs w:val="24"/>
          <w:highlight w:val="none"/>
          <w:u w:val="single"/>
          <w:lang w:val="en-US" w:eastAsia="zh-CN"/>
        </w:rPr>
        <w:t>中</w:t>
      </w:r>
      <w:r>
        <w:rPr>
          <w:rFonts w:hint="eastAsia" w:ascii="宋体" w:hAnsi="宋体" w:eastAsia="宋体" w:cs="宋体"/>
          <w:b w:val="0"/>
          <w:bCs w:val="0"/>
          <w:snapToGrid w:val="0"/>
          <w:color w:val="auto"/>
          <w:kern w:val="0"/>
          <w:sz w:val="24"/>
          <w:szCs w:val="24"/>
          <w:highlight w:val="none"/>
        </w:rPr>
        <w:t>级以上（含</w:t>
      </w:r>
      <w:r>
        <w:rPr>
          <w:rFonts w:hint="eastAsia" w:ascii="宋体" w:hAnsi="宋体" w:eastAsia="宋体" w:cs="宋体"/>
          <w:b w:val="0"/>
          <w:bCs w:val="0"/>
          <w:snapToGrid w:val="0"/>
          <w:color w:val="auto"/>
          <w:kern w:val="0"/>
          <w:sz w:val="24"/>
          <w:szCs w:val="24"/>
          <w:highlight w:val="none"/>
          <w:u w:val="single"/>
          <w:lang w:val="en-US" w:eastAsia="zh-CN"/>
        </w:rPr>
        <w:t>中</w:t>
      </w:r>
      <w:r>
        <w:rPr>
          <w:rFonts w:hint="eastAsia" w:ascii="宋体" w:hAnsi="宋体" w:eastAsia="宋体" w:cs="宋体"/>
          <w:b w:val="0"/>
          <w:bCs w:val="0"/>
          <w:snapToGrid w:val="0"/>
          <w:color w:val="auto"/>
          <w:kern w:val="0"/>
          <w:sz w:val="24"/>
          <w:szCs w:val="24"/>
          <w:highlight w:val="none"/>
        </w:rPr>
        <w:t>级）技术职称。</w:t>
      </w:r>
    </w:p>
    <w:p w14:paraId="3B1EE08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2.3.3</w:t>
      </w:r>
      <w:r>
        <w:rPr>
          <w:rFonts w:hint="eastAsia" w:ascii="宋体" w:hAnsi="宋体" w:eastAsia="宋体" w:cs="宋体"/>
          <w:snapToGrid w:val="0"/>
          <w:color w:val="auto"/>
          <w:kern w:val="0"/>
          <w:sz w:val="24"/>
          <w:szCs w:val="24"/>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snapToGrid w:val="0"/>
          <w:color w:val="auto"/>
          <w:kern w:val="0"/>
          <w:sz w:val="24"/>
          <w:szCs w:val="24"/>
          <w:highlight w:val="none"/>
          <w:u w:val="single"/>
        </w:rPr>
        <w:t xml:space="preserve"> </w:t>
      </w:r>
      <w:r>
        <w:rPr>
          <w:rFonts w:hint="eastAsia" w:ascii="宋体" w:hAnsi="宋体" w:eastAsia="宋体" w:cs="宋体"/>
          <w:b w:val="0"/>
          <w:bCs w:val="0"/>
          <w:snapToGrid w:val="0"/>
          <w:color w:val="auto"/>
          <w:kern w:val="0"/>
          <w:sz w:val="24"/>
          <w:szCs w:val="24"/>
          <w:highlight w:val="none"/>
          <w:u w:val="single"/>
          <w:lang w:val="en-US" w:eastAsia="zh-CN"/>
        </w:rPr>
        <w:t>1</w:t>
      </w:r>
      <w:r>
        <w:rPr>
          <w:rFonts w:hint="eastAsia" w:ascii="宋体" w:hAnsi="宋体" w:eastAsia="宋体" w:cs="宋体"/>
          <w:b w:val="0"/>
          <w:bCs w:val="0"/>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 xml:space="preserve">人。 </w:t>
      </w:r>
    </w:p>
    <w:p w14:paraId="3053D1C5">
      <w:pPr>
        <w:pStyle w:val="136"/>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2.3.4</w:t>
      </w:r>
      <w:r>
        <w:rPr>
          <w:rFonts w:hint="eastAsia" w:ascii="宋体" w:hAnsi="宋体" w:eastAsia="宋体" w:cs="宋体"/>
          <w:snapToGrid w:val="0"/>
          <w:color w:val="auto"/>
          <w:kern w:val="0"/>
          <w:sz w:val="24"/>
          <w:szCs w:val="24"/>
          <w:highlight w:val="none"/>
        </w:rPr>
        <w:t xml:space="preserve"> 投标人与其拟派往本项目管理机构的所有人员之间必须具备合法、唯一的劳动聘用关系（提供社保证明或劳动合同）。拟派人员中具备注册执业资格的，其注册单位须与投标人保持一致。</w:t>
      </w:r>
    </w:p>
    <w:p w14:paraId="2D1FB1FB">
      <w:pPr>
        <w:pStyle w:val="136"/>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 xml:space="preserve"> 禁止投标条款</w:t>
      </w:r>
    </w:p>
    <w:p w14:paraId="0C20DC31">
      <w:pPr>
        <w:pStyle w:val="136"/>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2.4.1</w:t>
      </w:r>
      <w:r>
        <w:rPr>
          <w:rFonts w:hint="eastAsia" w:ascii="宋体" w:hAnsi="宋体" w:eastAsia="宋体" w:cs="宋体"/>
          <w:snapToGrid w:val="0"/>
          <w:color w:val="auto"/>
          <w:kern w:val="0"/>
          <w:sz w:val="24"/>
          <w:szCs w:val="24"/>
          <w:highlight w:val="none"/>
        </w:rPr>
        <w:t xml:space="preserve"> 投标人不得存在下列情形之一：</w:t>
      </w:r>
    </w:p>
    <w:p w14:paraId="5A630184">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（1）为招标人不具有独立法人资格的附属机构（单位）；</w:t>
      </w:r>
    </w:p>
    <w:p w14:paraId="37AACD8F">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（2）为本招标项目前期准备提供设计或咨询服务的；</w:t>
      </w:r>
    </w:p>
    <w:p w14:paraId="6ED5380C">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（3）与本招标项目的其他投标人为同一个单位负责人；</w:t>
      </w:r>
    </w:p>
    <w:p w14:paraId="45D1E826">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（4）与本招标项目的其他投标人存在控股、管理关系；</w:t>
      </w:r>
    </w:p>
    <w:p w14:paraId="48C03CCF">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（5）为本招标项目的监理人；</w:t>
      </w:r>
    </w:p>
    <w:p w14:paraId="26427379">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（6）为本招标项目的代建人；</w:t>
      </w:r>
    </w:p>
    <w:p w14:paraId="21AD29A6">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（7）为本招标项目的招标代理机构；</w:t>
      </w:r>
    </w:p>
    <w:p w14:paraId="32386F3B">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（8）与本招标项目的监理人或代建人或招标代理机构同为一个法定代表人；</w:t>
      </w:r>
    </w:p>
    <w:p w14:paraId="6E6DF385">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（9）与本招标项目的监理人或代建人或招标代理机构存在控股或参股关系；</w:t>
      </w:r>
    </w:p>
    <w:p w14:paraId="676F3247">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（10）与本招标项目的监理人或代建人或招标代理机构存在相互任职或工作关系；</w:t>
      </w:r>
    </w:p>
    <w:p w14:paraId="1AABBAF7">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（11）被依法暂停或者取消投标资格；</w:t>
      </w:r>
    </w:p>
    <w:p w14:paraId="42A8425B">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（12）被责令停产停业、暂扣或者吊销许可证、暂扣或者吊销执照；</w:t>
      </w:r>
    </w:p>
    <w:p w14:paraId="4E7DF616">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（13）进入清算程序，或被宣告破产，或其他丧失履约能力的情形；</w:t>
      </w:r>
    </w:p>
    <w:p w14:paraId="4A09F6A2">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3FAD7B0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（15）被“信用中国”网站（https://www.creditchina.gov.cn）发布的《</w:t>
      </w:r>
      <w:r>
        <w:rPr>
          <w:rFonts w:hint="eastAsia" w:ascii="宋体" w:hAnsi="宋体" w:eastAsia="宋体" w:cs="宋体"/>
          <w:snapToGrid w:val="0"/>
          <w:color w:val="auto"/>
          <w:kern w:val="0"/>
          <w:sz w:val="24"/>
          <w:szCs w:val="24"/>
          <w:highlight w:val="none"/>
          <w:lang w:eastAsia="zh-CN"/>
        </w:rPr>
        <w:t>法人和非法人组织公共信用信息报告</w:t>
      </w:r>
      <w:r>
        <w:rPr>
          <w:rFonts w:hint="eastAsia" w:ascii="宋体" w:hAnsi="宋体" w:eastAsia="宋体" w:cs="宋体"/>
          <w:snapToGrid w:val="0"/>
          <w:color w:val="auto"/>
          <w:kern w:val="0"/>
          <w:sz w:val="24"/>
          <w:szCs w:val="24"/>
          <w:highlight w:val="none"/>
        </w:rPr>
        <w:t>》列为严重失信主体名单的。</w:t>
      </w:r>
    </w:p>
    <w:p w14:paraId="71572E2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2.4.2</w:t>
      </w:r>
      <w:r>
        <w:rPr>
          <w:rFonts w:hint="eastAsia" w:ascii="宋体" w:hAnsi="宋体" w:eastAsia="宋体" w:cs="宋体"/>
          <w:snapToGrid w:val="0"/>
          <w:color w:val="auto"/>
          <w:kern w:val="0"/>
          <w:sz w:val="24"/>
          <w:szCs w:val="24"/>
          <w:highlight w:val="none"/>
        </w:rPr>
        <w:t xml:space="preserve"> 招标人拒绝以下名单中的单位参加本次投标：</w:t>
      </w:r>
    </w:p>
    <w:tbl>
      <w:tblPr>
        <w:tblStyle w:val="30"/>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4368"/>
        <w:gridCol w:w="3690"/>
      </w:tblGrid>
      <w:tr w14:paraId="0796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65" w:type="dxa"/>
            <w:noWrap w:val="0"/>
            <w:vAlign w:val="center"/>
          </w:tcPr>
          <w:p w14:paraId="25A1B51C">
            <w:pPr>
              <w:pageBreakBefore w:val="0"/>
              <w:kinsoku/>
              <w:wordWrap w:val="0"/>
              <w:overflowPunct/>
              <w:topLinePunct w:val="0"/>
              <w:autoSpaceDE/>
              <w:autoSpaceDN/>
              <w:bidi w:val="0"/>
              <w:adjustRightInd w:val="0"/>
              <w:snapToGrid w:val="0"/>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368" w:type="dxa"/>
            <w:noWrap w:val="0"/>
            <w:vAlign w:val="center"/>
          </w:tcPr>
          <w:p w14:paraId="02669242">
            <w:pPr>
              <w:pageBreakBefore w:val="0"/>
              <w:kinsoku/>
              <w:wordWrap w:val="0"/>
              <w:overflowPunct/>
              <w:topLinePunct w:val="0"/>
              <w:autoSpaceDE/>
              <w:autoSpaceDN/>
              <w:bidi w:val="0"/>
              <w:adjustRightInd w:val="0"/>
              <w:snapToGrid w:val="0"/>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3690" w:type="dxa"/>
            <w:noWrap w:val="0"/>
            <w:vAlign w:val="center"/>
          </w:tcPr>
          <w:p w14:paraId="7C48B829">
            <w:pPr>
              <w:pageBreakBefore w:val="0"/>
              <w:kinsoku/>
              <w:wordWrap w:val="0"/>
              <w:overflowPunct/>
              <w:topLinePunct w:val="0"/>
              <w:autoSpaceDE/>
              <w:autoSpaceDN/>
              <w:bidi w:val="0"/>
              <w:adjustRightInd w:val="0"/>
              <w:snapToGrid w:val="0"/>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14:paraId="3057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65" w:type="dxa"/>
            <w:noWrap w:val="0"/>
            <w:vAlign w:val="center"/>
          </w:tcPr>
          <w:p w14:paraId="4336E695">
            <w:pPr>
              <w:pStyle w:val="136"/>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4368" w:type="dxa"/>
            <w:noWrap w:val="0"/>
            <w:vAlign w:val="center"/>
          </w:tcPr>
          <w:p w14:paraId="1374F252">
            <w:pPr>
              <w:pageBreakBefore w:val="0"/>
              <w:tabs>
                <w:tab w:val="left" w:pos="1180"/>
              </w:tabs>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开复项目管理有限公司</w:t>
            </w:r>
          </w:p>
        </w:tc>
        <w:tc>
          <w:tcPr>
            <w:tcW w:w="3690" w:type="dxa"/>
            <w:noWrap w:val="0"/>
            <w:vAlign w:val="center"/>
          </w:tcPr>
          <w:p w14:paraId="03F38670">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w:t>
            </w:r>
            <w:r>
              <w:rPr>
                <w:rFonts w:hint="eastAsia" w:ascii="宋体" w:hAnsi="宋体" w:eastAsia="宋体" w:cs="宋体"/>
                <w:color w:val="auto"/>
                <w:sz w:val="24"/>
                <w:szCs w:val="24"/>
                <w:highlight w:val="none"/>
                <w:lang w:val="en-US" w:eastAsia="zh-CN"/>
              </w:rPr>
              <w:t>造价</w:t>
            </w:r>
            <w:r>
              <w:rPr>
                <w:rFonts w:hint="eastAsia" w:ascii="宋体" w:hAnsi="宋体" w:eastAsia="宋体" w:cs="宋体"/>
                <w:color w:val="auto"/>
                <w:sz w:val="24"/>
                <w:szCs w:val="24"/>
                <w:highlight w:val="none"/>
              </w:rPr>
              <w:t>单位</w:t>
            </w:r>
          </w:p>
        </w:tc>
      </w:tr>
      <w:tr w14:paraId="0E4C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65" w:type="dxa"/>
            <w:noWrap w:val="0"/>
            <w:vAlign w:val="center"/>
          </w:tcPr>
          <w:p w14:paraId="69099EE8">
            <w:pPr>
              <w:pStyle w:val="136"/>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4368" w:type="dxa"/>
            <w:noWrap w:val="0"/>
            <w:vAlign w:val="center"/>
          </w:tcPr>
          <w:p w14:paraId="4F1D218D">
            <w:pPr>
              <w:pageBreakBefore w:val="0"/>
              <w:tabs>
                <w:tab w:val="left" w:pos="1180"/>
              </w:tabs>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中亿国际设计集团有限公司</w:t>
            </w:r>
          </w:p>
        </w:tc>
        <w:tc>
          <w:tcPr>
            <w:tcW w:w="3690" w:type="dxa"/>
            <w:noWrap w:val="0"/>
            <w:vAlign w:val="center"/>
          </w:tcPr>
          <w:p w14:paraId="7655CC5B">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为本招标项目的设计单位</w:t>
            </w:r>
          </w:p>
        </w:tc>
      </w:tr>
      <w:tr w14:paraId="4768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65" w:type="dxa"/>
            <w:noWrap w:val="0"/>
            <w:vAlign w:val="center"/>
          </w:tcPr>
          <w:p w14:paraId="1EEFA53E">
            <w:pPr>
              <w:pStyle w:val="136"/>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4368" w:type="dxa"/>
            <w:noWrap w:val="0"/>
            <w:vAlign w:val="center"/>
          </w:tcPr>
          <w:p w14:paraId="50679C12">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广东穗源工程项目管理有限公司</w:t>
            </w:r>
          </w:p>
        </w:tc>
        <w:tc>
          <w:tcPr>
            <w:tcW w:w="3690" w:type="dxa"/>
            <w:noWrap w:val="0"/>
            <w:vAlign w:val="center"/>
          </w:tcPr>
          <w:p w14:paraId="1ADDACC2">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为本招标项目的招标代理机构</w:t>
            </w:r>
          </w:p>
        </w:tc>
      </w:tr>
      <w:tr w14:paraId="3C11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65" w:type="dxa"/>
            <w:noWrap w:val="0"/>
            <w:vAlign w:val="center"/>
          </w:tcPr>
          <w:p w14:paraId="1E8109E4">
            <w:pPr>
              <w:pStyle w:val="136"/>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4368" w:type="dxa"/>
            <w:noWrap w:val="0"/>
            <w:vAlign w:val="center"/>
          </w:tcPr>
          <w:p w14:paraId="64368625">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乐昌市白石镇人民政府</w:t>
            </w:r>
          </w:p>
        </w:tc>
        <w:tc>
          <w:tcPr>
            <w:tcW w:w="3690" w:type="dxa"/>
            <w:noWrap w:val="0"/>
            <w:vAlign w:val="center"/>
          </w:tcPr>
          <w:p w14:paraId="2198F98C">
            <w:pPr>
              <w:pStyle w:val="136"/>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为本招标项目的招标人</w:t>
            </w:r>
          </w:p>
        </w:tc>
      </w:tr>
      <w:tr w14:paraId="44FA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65" w:type="dxa"/>
            <w:noWrap w:val="0"/>
            <w:vAlign w:val="center"/>
          </w:tcPr>
          <w:p w14:paraId="462D0013">
            <w:pPr>
              <w:pStyle w:val="136"/>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4368" w:type="dxa"/>
            <w:noWrap w:val="0"/>
            <w:vAlign w:val="center"/>
          </w:tcPr>
          <w:p w14:paraId="53A63BE4">
            <w:pPr>
              <w:pStyle w:val="136"/>
              <w:wordWrap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乐昌市农业农村局(乐昌市乡村振兴局)</w:t>
            </w:r>
          </w:p>
        </w:tc>
        <w:tc>
          <w:tcPr>
            <w:tcW w:w="3690" w:type="dxa"/>
            <w:noWrap w:val="0"/>
            <w:vAlign w:val="center"/>
          </w:tcPr>
          <w:p w14:paraId="02D74343">
            <w:pPr>
              <w:pStyle w:val="136"/>
              <w:wordWrap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监督单位</w:t>
            </w:r>
          </w:p>
        </w:tc>
      </w:tr>
      <w:tr w14:paraId="3241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65" w:type="dxa"/>
            <w:noWrap w:val="0"/>
            <w:vAlign w:val="center"/>
          </w:tcPr>
          <w:p w14:paraId="272061D0">
            <w:pPr>
              <w:pStyle w:val="136"/>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4368" w:type="dxa"/>
            <w:noWrap w:val="0"/>
            <w:vAlign w:val="center"/>
          </w:tcPr>
          <w:p w14:paraId="4765AB9D">
            <w:pPr>
              <w:pStyle w:val="136"/>
              <w:wordWrap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广东粤能工程管理有限公司</w:t>
            </w:r>
          </w:p>
        </w:tc>
        <w:tc>
          <w:tcPr>
            <w:tcW w:w="3690" w:type="dxa"/>
            <w:noWrap w:val="0"/>
            <w:vAlign w:val="center"/>
          </w:tcPr>
          <w:p w14:paraId="14C39424">
            <w:pPr>
              <w:pStyle w:val="136"/>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可研编制单位</w:t>
            </w:r>
          </w:p>
        </w:tc>
      </w:tr>
    </w:tbl>
    <w:p w14:paraId="5E9B2F75">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2.5</w:t>
      </w:r>
      <w:r>
        <w:rPr>
          <w:rFonts w:hint="eastAsia" w:ascii="宋体" w:hAnsi="宋体" w:eastAsia="宋体" w:cs="宋体"/>
          <w:snapToGrid w:val="0"/>
          <w:color w:val="auto"/>
          <w:kern w:val="0"/>
          <w:sz w:val="24"/>
          <w:szCs w:val="24"/>
          <w:highlight w:val="none"/>
        </w:rPr>
        <w:t xml:space="preserve"> 其他要求</w:t>
      </w:r>
    </w:p>
    <w:p w14:paraId="3ED53606">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color w:val="auto"/>
          <w:sz w:val="24"/>
          <w:szCs w:val="24"/>
        </w:rPr>
      </w:pPr>
      <w:r>
        <w:rPr>
          <w:rFonts w:hint="eastAsia" w:ascii="宋体" w:hAnsi="宋体" w:eastAsia="宋体" w:cs="宋体"/>
          <w:snapToGrid w:val="0"/>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bookmarkStart w:id="44" w:name="_Toc7546"/>
      <w:bookmarkStart w:id="45" w:name="_Toc6745"/>
      <w:bookmarkStart w:id="46" w:name="_Toc4046"/>
      <w:bookmarkStart w:id="47" w:name="_Toc22815"/>
    </w:p>
    <w:p w14:paraId="09B3CBD5">
      <w:pPr>
        <w:rPr>
          <w:rFonts w:hint="eastAsia" w:ascii="宋体" w:hAnsi="宋体" w:eastAsia="宋体" w:cs="宋体"/>
          <w:color w:val="auto"/>
        </w:rPr>
      </w:pPr>
    </w:p>
    <w:p w14:paraId="50A33841">
      <w:pPr>
        <w:pStyle w:val="4"/>
        <w:keepNext/>
        <w:keepLines/>
        <w:pageBreakBefore w:val="0"/>
        <w:widowControl/>
        <w:kinsoku/>
        <w:wordWrap/>
        <w:overflowPunct/>
        <w:topLinePunct w:val="0"/>
        <w:autoSpaceDE/>
        <w:autoSpaceDN/>
        <w:bidi w:val="0"/>
        <w:adjustRightInd/>
        <w:snapToGrid/>
        <w:spacing w:beforeLines="0" w:afterLines="0" w:line="360" w:lineRule="auto"/>
        <w:ind w:left="0" w:leftChars="0" w:right="0" w:firstLine="482"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3．招标文件的获取</w:t>
      </w:r>
      <w:bookmarkEnd w:id="44"/>
      <w:bookmarkEnd w:id="45"/>
      <w:bookmarkEnd w:id="46"/>
      <w:bookmarkEnd w:id="47"/>
    </w:p>
    <w:p w14:paraId="1562302D">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3.1 </w:t>
      </w:r>
      <w:r>
        <w:rPr>
          <w:rFonts w:hint="eastAsia" w:ascii="宋体" w:hAnsi="宋体" w:eastAsia="宋体" w:cs="宋体"/>
          <w:snapToGrid w:val="0"/>
          <w:color w:val="auto"/>
          <w:kern w:val="0"/>
          <w:sz w:val="24"/>
          <w:szCs w:val="24"/>
          <w:highlight w:val="none"/>
        </w:rPr>
        <w:t>本次招标实行电子投标。</w:t>
      </w:r>
    </w:p>
    <w:p w14:paraId="5028BEF8">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本次招标实行电子投标。本项目招标文件随招标公告一并在</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网站发布。招标文件一经在</w:t>
      </w:r>
      <w:r>
        <w:rPr>
          <w:rFonts w:hint="eastAsia" w:ascii="宋体" w:hAnsi="宋体" w:eastAsia="宋体" w:cs="宋体"/>
          <w:snapToGrid w:val="0"/>
          <w:color w:val="auto"/>
          <w:kern w:val="0"/>
          <w:sz w:val="24"/>
          <w:szCs w:val="24"/>
          <w:highlight w:val="none"/>
          <w:lang w:eastAsia="zh-CN"/>
        </w:rPr>
        <w:t>全国公共资源交易平台（广东省·韶关市）</w:t>
      </w:r>
      <w:r>
        <w:rPr>
          <w:rFonts w:hint="eastAsia" w:ascii="宋体" w:hAnsi="宋体" w:eastAsia="宋体" w:cs="宋体"/>
          <w:snapToGrid w:val="0"/>
          <w:color w:val="auto"/>
          <w:kern w:val="0"/>
          <w:sz w:val="24"/>
          <w:szCs w:val="24"/>
          <w:highlight w:val="none"/>
        </w:rPr>
        <w:t>发布，视为</w:t>
      </w:r>
      <w:r>
        <w:rPr>
          <w:rFonts w:hint="eastAsia" w:ascii="宋体" w:hAnsi="宋体" w:eastAsia="宋体" w:cs="宋体"/>
          <w:snapToGrid w:val="0"/>
          <w:color w:val="auto"/>
          <w:kern w:val="0"/>
          <w:sz w:val="24"/>
          <w:szCs w:val="24"/>
          <w:highlight w:val="none"/>
          <w:lang w:eastAsia="zh-CN"/>
        </w:rPr>
        <w:t>发送</w:t>
      </w:r>
      <w:r>
        <w:rPr>
          <w:rFonts w:hint="eastAsia" w:ascii="宋体" w:hAnsi="宋体" w:eastAsia="宋体" w:cs="宋体"/>
          <w:snapToGrid w:val="0"/>
          <w:color w:val="auto"/>
          <w:kern w:val="0"/>
          <w:sz w:val="24"/>
          <w:szCs w:val="24"/>
          <w:highlight w:val="none"/>
        </w:rPr>
        <w:t>投标人，招标文件及相关附件由投标人自行在</w:t>
      </w:r>
      <w:r>
        <w:rPr>
          <w:rFonts w:hint="eastAsia" w:ascii="宋体" w:hAnsi="宋体" w:eastAsia="宋体" w:cs="宋体"/>
          <w:snapToGrid w:val="0"/>
          <w:color w:val="auto"/>
          <w:kern w:val="0"/>
          <w:sz w:val="24"/>
          <w:szCs w:val="24"/>
          <w:highlight w:val="none"/>
          <w:lang w:eastAsia="zh-CN"/>
        </w:rPr>
        <w:t>全国公共资源交易平台（广东省·韶关市）</w:t>
      </w:r>
      <w:r>
        <w:rPr>
          <w:rFonts w:hint="eastAsia" w:ascii="宋体" w:hAnsi="宋体" w:eastAsia="宋体" w:cs="宋体"/>
          <w:snapToGrid w:val="0"/>
          <w:color w:val="auto"/>
          <w:kern w:val="0"/>
          <w:sz w:val="24"/>
          <w:szCs w:val="24"/>
          <w:highlight w:val="none"/>
        </w:rPr>
        <w:t>网站下载。请于招标文件获取期间,（见本章第二节“重要事项时间地点一览表”）招标文件获取期间与招标公告发布时间一致，投标人须登录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，使用新建设工程交易系统进行下载招标文件及相关附件，并于电子投标截止时间（见本章第二节“重要事项时间地点一览表”）前完成电子投标。投标人可登录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，在【</w:t>
      </w:r>
      <w:r>
        <w:rPr>
          <w:rFonts w:hint="eastAsia" w:ascii="宋体" w:hAnsi="宋体" w:eastAsia="宋体" w:cs="宋体"/>
          <w:snapToGrid w:val="0"/>
          <w:color w:val="auto"/>
          <w:kern w:val="0"/>
          <w:sz w:val="24"/>
          <w:szCs w:val="24"/>
          <w:highlight w:val="none"/>
          <w:lang w:val="en-US" w:eastAsia="zh-CN"/>
        </w:rPr>
        <w:t>服务指南</w:t>
      </w:r>
      <w:r>
        <w:rPr>
          <w:rFonts w:hint="eastAsia" w:ascii="宋体" w:hAnsi="宋体" w:eastAsia="宋体" w:cs="宋体"/>
          <w:snapToGrid w:val="0"/>
          <w:color w:val="auto"/>
          <w:kern w:val="0"/>
          <w:sz w:val="24"/>
          <w:szCs w:val="24"/>
          <w:highlight w:val="none"/>
        </w:rPr>
        <w:t>】栏目中建设工程交易中下载《韶关市公共资源一体化平台——建设工程交易投标人操作指南（电子评标）》（附件</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），了解网上获取招标文件操作流程。技术咨询电话：0751-8379671 伍先生，业务咨询电话：0751-8633211、8379023。</w:t>
      </w:r>
    </w:p>
    <w:p w14:paraId="04BC3524">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3.2 </w:t>
      </w:r>
      <w:r>
        <w:rPr>
          <w:rFonts w:hint="eastAsia" w:ascii="宋体" w:hAnsi="宋体" w:eastAsia="宋体" w:cs="宋体"/>
          <w:snapToGrid w:val="0"/>
          <w:color w:val="auto"/>
          <w:kern w:val="0"/>
          <w:sz w:val="24"/>
          <w:szCs w:val="24"/>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14:paraId="0F65984B">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首次在韶关市参与建设工程招标投标活动的投标人，必须在平台系统上传企业相关资料办理企业入库事宜。投标人可登录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办理办理企业入库、数字证书及电子印章事宜，具体请在平台查阅相应的交易指引。</w:t>
      </w:r>
    </w:p>
    <w:p w14:paraId="355CC6E4">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6EA60F7D">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5533CA0C">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投标保证</w:t>
      </w:r>
    </w:p>
    <w:p w14:paraId="0941DE31">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3.3.1</w:t>
      </w:r>
      <w:r>
        <w:rPr>
          <w:rFonts w:hint="eastAsia" w:ascii="宋体" w:hAnsi="宋体" w:eastAsia="宋体" w:cs="宋体"/>
          <w:snapToGrid w:val="0"/>
          <w:color w:val="auto"/>
          <w:kern w:val="0"/>
          <w:sz w:val="24"/>
          <w:szCs w:val="24"/>
          <w:highlight w:val="none"/>
        </w:rPr>
        <w:t xml:space="preserve"> 投标人须缴纳金额为人民币</w:t>
      </w:r>
      <w:r>
        <w:rPr>
          <w:rFonts w:hint="eastAsia" w:ascii="宋体" w:hAnsi="宋体" w:eastAsia="宋体" w:cs="宋体"/>
          <w:b/>
          <w:bCs/>
          <w:snapToGrid w:val="0"/>
          <w:color w:val="auto"/>
          <w:kern w:val="0"/>
          <w:sz w:val="24"/>
          <w:szCs w:val="24"/>
          <w:highlight w:val="none"/>
          <w:u w:val="single"/>
          <w:lang w:val="en-US" w:eastAsia="zh-CN"/>
        </w:rPr>
        <w:t>30万元</w:t>
      </w:r>
      <w:r>
        <w:rPr>
          <w:rFonts w:hint="eastAsia" w:ascii="宋体" w:hAnsi="宋体" w:eastAsia="宋体" w:cs="宋体"/>
          <w:snapToGrid w:val="0"/>
          <w:color w:val="auto"/>
          <w:kern w:val="0"/>
          <w:sz w:val="24"/>
          <w:szCs w:val="24"/>
          <w:highlight w:val="none"/>
        </w:rPr>
        <w:t xml:space="preserve">的投标保证。  </w:t>
      </w:r>
    </w:p>
    <w:p w14:paraId="0D951ABB">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3.3.2</w:t>
      </w:r>
      <w:r>
        <w:rPr>
          <w:rFonts w:hint="eastAsia" w:ascii="宋体" w:hAnsi="宋体" w:eastAsia="宋体" w:cs="宋体"/>
          <w:snapToGrid w:val="0"/>
          <w:color w:val="auto"/>
          <w:kern w:val="0"/>
          <w:sz w:val="24"/>
          <w:szCs w:val="24"/>
          <w:highlight w:val="none"/>
        </w:rPr>
        <w:t xml:space="preserve"> 投标保证的形式包括投标保证金、投标保证担保、投标保证保险三种，由投标人自主选择。</w:t>
      </w:r>
    </w:p>
    <w:p w14:paraId="469F208C">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47608B81">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采用投标保证担保的，投标人应提交有效的电子保函或保证保险，电子保函或保证保险的有效期不得短于投标有效期。投标人必须在投标保证担保截止时间（见本章第二节“重要事项时间地点一览表”）前，使用工程建设交易系统完成网上办理电子保函或保证保险。</w:t>
      </w:r>
    </w:p>
    <w:p w14:paraId="13E6C517">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在【服务指南】栏目中下载《韶关市公共资源建设工程交易系统-投标人操作指南》，了解网上投保具体操作流程。逾期投保的，其投标无效。</w:t>
      </w:r>
      <w:r>
        <w:rPr>
          <w:rFonts w:hint="eastAsia" w:ascii="宋体" w:hAnsi="宋体" w:eastAsia="宋体" w:cs="宋体"/>
          <w:color w:val="auto"/>
          <w:sz w:val="24"/>
          <w:szCs w:val="24"/>
          <w:highlight w:val="none"/>
        </w:rPr>
        <w:t xml:space="preserve">    </w:t>
      </w:r>
    </w:p>
    <w:p w14:paraId="7D1E5CAA">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color w:val="auto"/>
        </w:rPr>
      </w:pPr>
      <w:r>
        <w:rPr>
          <w:rFonts w:hint="eastAsia" w:ascii="宋体" w:hAnsi="宋体" w:eastAsia="宋体" w:cs="宋体"/>
          <w:snapToGrid w:val="0"/>
          <w:color w:val="auto"/>
          <w:kern w:val="0"/>
          <w:sz w:val="24"/>
          <w:szCs w:val="24"/>
          <w:highlight w:val="none"/>
        </w:rPr>
        <w:t>温馨提醒：</w:t>
      </w:r>
      <w:r>
        <w:rPr>
          <w:rFonts w:hint="eastAsia" w:ascii="宋体" w:hAnsi="宋体" w:eastAsia="宋体" w:cs="宋体"/>
          <w:color w:val="auto"/>
          <w:sz w:val="24"/>
          <w:szCs w:val="24"/>
        </w:rPr>
        <w:t>1.投标人采用投标保证担保或投标保证保险的，为避免在评标过程中因有效期发生争议，建议投标人将银行保函或电子保单有效期设置为较招标文件规定的投标有效期延长不少于20个日历天。</w:t>
      </w:r>
    </w:p>
    <w:p w14:paraId="62682BE6">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hint="eastAsia" w:ascii="宋体" w:hAnsi="宋体" w:eastAsia="宋体" w:cs="宋体"/>
          <w:color w:val="auto"/>
        </w:rPr>
      </w:pPr>
      <w:r>
        <w:rPr>
          <w:rFonts w:hint="eastAsia" w:ascii="宋体" w:hAnsi="宋体" w:eastAsia="宋体" w:cs="宋体"/>
          <w:color w:val="auto"/>
          <w:sz w:val="24"/>
          <w:szCs w:val="24"/>
        </w:rPr>
        <w:t>2.根据《建设工程质量保证金管理办法》等有关规定，发包人应按照合同约定方式预留保证金（按规定，比例不得高于工程价款结算总额的3%）。合同约定由承包人以银行保函替代预留保证金的，保函金额不得高于工程价款结算总额的3%。</w:t>
      </w:r>
    </w:p>
    <w:p w14:paraId="76A40EFE">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hint="eastAsia" w:ascii="宋体" w:hAnsi="宋体" w:eastAsia="宋体" w:cs="宋体"/>
          <w:color w:val="auto"/>
        </w:rPr>
      </w:pPr>
      <w:r>
        <w:rPr>
          <w:rFonts w:hint="eastAsia" w:ascii="宋体" w:hAnsi="宋体" w:eastAsia="宋体" w:cs="宋体"/>
          <w:color w:val="auto"/>
          <w:sz w:val="24"/>
          <w:szCs w:val="24"/>
        </w:rPr>
        <w:t>3.根据《保障农民工工资支付条例》，发包人必须落实工程款支付担保制度，需有项目预付款。2017年2月，国务院出台《关于促进建筑业持续健康发展的意见》，要求“严格执行工程预付款制度，及时按合同约定足额向承包单位支付预付款。通过工程款支付担保等经济、法律手段约束建设单位履约行为，预防拖欠工程款。”</w:t>
      </w:r>
    </w:p>
    <w:p w14:paraId="6A8AEEFC">
      <w:pPr>
        <w:pStyle w:val="28"/>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color w:val="auto"/>
          <w:sz w:val="24"/>
          <w:szCs w:val="24"/>
        </w:rPr>
        <w:t>4.根据《关于印发广东省根治欠薪冬季专项行动工作方案的通知》（粤治欠办函〔2021〕49号）要求，鼓励项目采用担保，担保形式可包括银行保函、工程保证保险以及专业工程担保公司保函等。</w:t>
      </w:r>
    </w:p>
    <w:p w14:paraId="148B7AEB">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若投标人因自身原因未能正确完成</w:t>
      </w:r>
      <w:r>
        <w:rPr>
          <w:rFonts w:hint="eastAsia" w:ascii="宋体" w:hAnsi="宋体" w:eastAsia="宋体" w:cs="宋体"/>
          <w:snapToGrid w:val="0"/>
          <w:color w:val="auto"/>
          <w:kern w:val="0"/>
          <w:sz w:val="24"/>
          <w:szCs w:val="24"/>
          <w:highlight w:val="none"/>
          <w:lang w:eastAsia="zh-CN"/>
        </w:rPr>
        <w:t>获取招标文件</w:t>
      </w:r>
      <w:r>
        <w:rPr>
          <w:rFonts w:hint="eastAsia" w:ascii="宋体" w:hAnsi="宋体" w:eastAsia="宋体" w:cs="宋体"/>
          <w:snapToGrid w:val="0"/>
          <w:color w:val="auto"/>
          <w:kern w:val="0"/>
          <w:sz w:val="24"/>
          <w:szCs w:val="24"/>
          <w:highlight w:val="none"/>
        </w:rPr>
        <w:t>、电子投标、缴纳投标保证的，其投标无效。</w:t>
      </w:r>
    </w:p>
    <w:p w14:paraId="0D225CE9">
      <w:pPr>
        <w:pageBreakBefore w:val="0"/>
        <w:numPr>
          <w:ilvl w:val="0"/>
          <w:numId w:val="0"/>
        </w:numPr>
        <w:tabs>
          <w:tab w:val="left" w:pos="288"/>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lang w:val="en-US" w:eastAsia="zh-CN" w:bidi="ar-SA"/>
        </w:rPr>
      </w:pPr>
    </w:p>
    <w:p w14:paraId="53AE0C50">
      <w:pPr>
        <w:pStyle w:val="4"/>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48" w:name="_Toc10093"/>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工期要求</w:t>
      </w:r>
      <w:bookmarkEnd w:id="48"/>
      <w:bookmarkStart w:id="49" w:name="_Toc7508"/>
    </w:p>
    <w:p w14:paraId="271E14BC">
      <w:pPr>
        <w:pStyle w:val="6"/>
        <w:keepNext/>
        <w:keepLines/>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0" w:firstLineChars="200"/>
        <w:textAlignment w:val="auto"/>
        <w:rPr>
          <w:rFonts w:hint="eastAsia" w:ascii="宋体" w:hAnsi="宋体" w:eastAsia="宋体" w:cs="宋体"/>
          <w:b w:val="0"/>
          <w:bCs/>
          <w:snapToGrid w:val="0"/>
          <w:color w:val="auto"/>
          <w:sz w:val="24"/>
          <w:szCs w:val="24"/>
          <w:highlight w:val="none"/>
          <w:lang w:val="en-US" w:eastAsia="zh-CN"/>
        </w:rPr>
      </w:pPr>
      <w:bookmarkStart w:id="50" w:name="_Toc3615"/>
      <w:bookmarkStart w:id="51" w:name="_Toc16606"/>
      <w:r>
        <w:rPr>
          <w:rFonts w:hint="eastAsia" w:ascii="宋体" w:hAnsi="宋体" w:eastAsia="宋体" w:cs="宋体"/>
          <w:b w:val="0"/>
          <w:bCs/>
          <w:snapToGrid w:val="0"/>
          <w:color w:val="auto"/>
          <w:sz w:val="24"/>
          <w:szCs w:val="24"/>
          <w:highlight w:val="none"/>
        </w:rPr>
        <w:t>本招标项目施工工期为</w:t>
      </w:r>
      <w:r>
        <w:rPr>
          <w:rFonts w:hint="eastAsia" w:ascii="宋体" w:hAnsi="宋体" w:eastAsia="宋体" w:cs="宋体"/>
          <w:b w:val="0"/>
          <w:bCs/>
          <w:snapToGrid w:val="0"/>
          <w:color w:val="auto"/>
          <w:sz w:val="24"/>
          <w:szCs w:val="24"/>
          <w:highlight w:val="none"/>
          <w:u w:val="single"/>
          <w:lang w:val="en-US" w:eastAsia="zh-CN"/>
        </w:rPr>
        <w:t>120</w:t>
      </w:r>
      <w:r>
        <w:rPr>
          <w:rFonts w:hint="eastAsia" w:ascii="宋体" w:hAnsi="宋体" w:eastAsia="宋体" w:cs="宋体"/>
          <w:b w:val="0"/>
          <w:bCs/>
          <w:snapToGrid w:val="0"/>
          <w:color w:val="auto"/>
          <w:sz w:val="24"/>
          <w:szCs w:val="24"/>
          <w:highlight w:val="none"/>
        </w:rPr>
        <w:t>个日历天</w:t>
      </w:r>
      <w:r>
        <w:rPr>
          <w:rFonts w:hint="eastAsia" w:ascii="宋体" w:hAnsi="宋体" w:eastAsia="宋体" w:cs="宋体"/>
          <w:b w:val="0"/>
          <w:bCs/>
          <w:snapToGrid w:val="0"/>
          <w:color w:val="auto"/>
          <w:sz w:val="24"/>
          <w:szCs w:val="24"/>
          <w:highlight w:val="none"/>
          <w:lang w:eastAsia="zh-CN"/>
        </w:rPr>
        <w:t>，</w:t>
      </w:r>
      <w:r>
        <w:rPr>
          <w:rFonts w:hint="eastAsia" w:ascii="宋体" w:hAnsi="宋体" w:eastAsia="宋体" w:cs="宋体"/>
          <w:b w:val="0"/>
          <w:bCs/>
          <w:snapToGrid w:val="0"/>
          <w:color w:val="auto"/>
          <w:sz w:val="24"/>
          <w:szCs w:val="24"/>
          <w:highlight w:val="none"/>
          <w:lang w:val="en-US" w:eastAsia="zh-CN"/>
        </w:rPr>
        <w:t>中标人必须在招标工期内完成招标范围内的全部内容。</w:t>
      </w:r>
    </w:p>
    <w:p w14:paraId="37EC3B82">
      <w:pPr>
        <w:rPr>
          <w:rFonts w:hint="eastAsia" w:ascii="宋体" w:hAnsi="宋体" w:eastAsia="宋体" w:cs="宋体"/>
          <w:color w:val="auto"/>
          <w:sz w:val="13"/>
          <w:szCs w:val="8"/>
        </w:rPr>
      </w:pPr>
      <w:bookmarkStart w:id="52" w:name="_Toc762"/>
    </w:p>
    <w:p w14:paraId="7DA76FA1">
      <w:pPr>
        <w:pStyle w:val="4"/>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r>
        <w:rPr>
          <w:rFonts w:hint="eastAsia" w:ascii="宋体" w:hAnsi="宋体" w:eastAsia="宋体" w:cs="宋体"/>
          <w:color w:val="auto"/>
          <w:sz w:val="24"/>
          <w:szCs w:val="24"/>
        </w:rPr>
        <w:t>5．质量标准和材料、机械要求</w:t>
      </w:r>
      <w:bookmarkEnd w:id="49"/>
      <w:bookmarkEnd w:id="50"/>
      <w:bookmarkEnd w:id="51"/>
      <w:bookmarkEnd w:id="52"/>
    </w:p>
    <w:p w14:paraId="6A1DD7B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施工工艺严格按照国家和广东省的有关现行施工技术规范及标准执行，工程质量标准须达到</w:t>
      </w:r>
      <w:r>
        <w:rPr>
          <w:rFonts w:hint="eastAsia" w:ascii="宋体" w:hAnsi="宋体" w:eastAsia="宋体" w:cs="宋体"/>
          <w:snapToGrid w:val="0"/>
          <w:color w:val="auto"/>
          <w:kern w:val="0"/>
          <w:sz w:val="24"/>
          <w:szCs w:val="24"/>
          <w:highlight w:val="none"/>
          <w:u w:val="single"/>
          <w:lang w:val="en-US" w:eastAsia="zh-CN"/>
        </w:rPr>
        <w:t>符合现行国家有关工程施工质量验收规范和标准的要求，质量目标达到合格</w:t>
      </w:r>
      <w:r>
        <w:rPr>
          <w:rFonts w:hint="eastAsia" w:ascii="宋体" w:hAnsi="宋体" w:eastAsia="宋体" w:cs="宋体"/>
          <w:snapToGrid w:val="0"/>
          <w:color w:val="auto"/>
          <w:kern w:val="0"/>
          <w:sz w:val="24"/>
          <w:szCs w:val="24"/>
          <w:highlight w:val="none"/>
          <w:u w:val="single"/>
        </w:rPr>
        <w:t>。如未达到合格标准，则按合同价款的 1 %向招标人返纳质量违约金，并由中标人负责返修至合格标准，返修费用由中标人承担，同时承担所有的责任及经济损失。</w:t>
      </w:r>
    </w:p>
    <w:p w14:paraId="384D25AC">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5.2</w:t>
      </w:r>
      <w:r>
        <w:rPr>
          <w:rFonts w:hint="eastAsia" w:ascii="宋体" w:hAnsi="宋体" w:eastAsia="宋体" w:cs="宋体"/>
          <w:snapToGrid w:val="0"/>
          <w:color w:val="auto"/>
          <w:kern w:val="0"/>
          <w:sz w:val="24"/>
          <w:szCs w:val="24"/>
          <w:highlight w:val="none"/>
        </w:rPr>
        <w:t xml:space="preserve"> 中标人在施工中如果工程质量不符合设计要求和有关规定，招标人或监理单位要求停工和返工的必须立即执行，并承担由此产生的各种费用，工期不予顺延。</w:t>
      </w:r>
    </w:p>
    <w:p w14:paraId="21E1F18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5.3</w:t>
      </w:r>
      <w:r>
        <w:rPr>
          <w:rFonts w:hint="eastAsia" w:ascii="宋体" w:hAnsi="宋体" w:eastAsia="宋体" w:cs="宋体"/>
          <w:snapToGrid w:val="0"/>
          <w:color w:val="auto"/>
          <w:kern w:val="0"/>
          <w:sz w:val="24"/>
          <w:szCs w:val="24"/>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73DF636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5.4</w:t>
      </w:r>
      <w:r>
        <w:rPr>
          <w:rFonts w:hint="eastAsia" w:ascii="宋体" w:hAnsi="宋体" w:eastAsia="宋体" w:cs="宋体"/>
          <w:snapToGrid w:val="0"/>
          <w:color w:val="auto"/>
          <w:kern w:val="0"/>
          <w:sz w:val="24"/>
          <w:szCs w:val="24"/>
          <w:highlight w:val="none"/>
        </w:rPr>
        <w:t xml:space="preserve"> 工程使用的主要材料质量要求不低于招标工程量清单所列的要求。主要材料必须先提供样板给招标人确定其颜色、等级等，</w:t>
      </w:r>
      <w:r>
        <w:rPr>
          <w:rFonts w:hint="eastAsia" w:ascii="宋体" w:hAnsi="宋体" w:eastAsia="宋体" w:cs="宋体"/>
          <w:snapToGrid w:val="0"/>
          <w:color w:val="auto"/>
          <w:kern w:val="0"/>
          <w:sz w:val="24"/>
          <w:szCs w:val="24"/>
          <w:highlight w:val="none"/>
          <w:lang w:val="zh-CN"/>
        </w:rPr>
        <w:t>并经检测部门检测合格</w:t>
      </w:r>
      <w:r>
        <w:rPr>
          <w:rFonts w:hint="eastAsia" w:ascii="宋体" w:hAnsi="宋体" w:eastAsia="宋体" w:cs="宋体"/>
          <w:snapToGrid w:val="0"/>
          <w:color w:val="auto"/>
          <w:kern w:val="0"/>
          <w:sz w:val="24"/>
          <w:szCs w:val="24"/>
          <w:highlight w:val="none"/>
        </w:rPr>
        <w:t>方可使用，所有材料必须使用合格产品。</w:t>
      </w:r>
    </w:p>
    <w:p w14:paraId="5453B2A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i/>
          <w:iCs/>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5.5</w:t>
      </w:r>
      <w:r>
        <w:rPr>
          <w:rFonts w:hint="eastAsia" w:ascii="宋体" w:hAnsi="宋体" w:eastAsia="宋体" w:cs="宋体"/>
          <w:snapToGrid w:val="0"/>
          <w:color w:val="auto"/>
          <w:kern w:val="0"/>
          <w:sz w:val="24"/>
          <w:szCs w:val="24"/>
          <w:highlight w:val="none"/>
        </w:rPr>
        <w:t xml:space="preserve"> 根据韶关市人民政府《关于加快推进全市绿色建筑发展工作的通知》（韶府办明电〔2013〕277号）有关规定，本招标项目</w:t>
      </w:r>
      <w:r>
        <w:rPr>
          <w:rFonts w:hint="eastAsia" w:ascii="宋体" w:hAnsi="宋体" w:eastAsia="宋体" w:cs="宋体"/>
          <w:snapToGrid w:val="0"/>
          <w:color w:val="auto"/>
          <w:kern w:val="0"/>
          <w:sz w:val="24"/>
          <w:szCs w:val="24"/>
          <w:highlight w:val="none"/>
          <w:lang w:val="en-US" w:eastAsia="zh-CN"/>
        </w:rPr>
        <w:t>不</w:t>
      </w:r>
      <w:r>
        <w:rPr>
          <w:rFonts w:hint="eastAsia" w:ascii="宋体" w:hAnsi="宋体" w:eastAsia="宋体" w:cs="宋体"/>
          <w:snapToGrid w:val="0"/>
          <w:color w:val="auto"/>
          <w:kern w:val="0"/>
          <w:sz w:val="24"/>
          <w:szCs w:val="24"/>
          <w:highlight w:val="none"/>
        </w:rPr>
        <w:t>纳入绿色建设实施范围</w:t>
      </w:r>
      <w:r>
        <w:rPr>
          <w:rFonts w:hint="eastAsia" w:ascii="宋体" w:hAnsi="宋体" w:eastAsia="宋体" w:cs="宋体"/>
          <w:snapToGrid w:val="0"/>
          <w:color w:val="auto"/>
          <w:kern w:val="0"/>
          <w:sz w:val="24"/>
          <w:szCs w:val="24"/>
          <w:highlight w:val="none"/>
          <w:lang w:eastAsia="zh-CN"/>
        </w:rPr>
        <w:t>。</w:t>
      </w:r>
    </w:p>
    <w:p w14:paraId="6BBD86A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bookmarkStart w:id="53" w:name="_Hlt69699204"/>
      <w:bookmarkEnd w:id="53"/>
      <w:bookmarkStart w:id="54" w:name="_Hlt88974078"/>
      <w:bookmarkEnd w:id="54"/>
      <w:bookmarkStart w:id="55" w:name="_Hlt121563076"/>
      <w:bookmarkEnd w:id="55"/>
      <w:bookmarkStart w:id="56" w:name="_Hlt74496537"/>
      <w:bookmarkEnd w:id="56"/>
      <w:bookmarkStart w:id="57" w:name="_Hlt69356505"/>
      <w:bookmarkEnd w:id="57"/>
      <w:bookmarkStart w:id="58" w:name="_Hlt74493474"/>
      <w:bookmarkEnd w:id="58"/>
      <w:bookmarkStart w:id="59" w:name="_Hlt120502666"/>
      <w:bookmarkEnd w:id="59"/>
      <w:bookmarkStart w:id="60" w:name="_Hlt111690342"/>
      <w:bookmarkEnd w:id="60"/>
      <w:bookmarkStart w:id="61" w:name="_Toc2679"/>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主要材料和设备在使用之前通知监理工程师验收，经验收合格后方可使用。</w:t>
      </w:r>
    </w:p>
    <w:p w14:paraId="7719640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工程使用的主要材料质量要求：不低于强制标准所列的要求，主要材料必须先提供样板或相关资料给招标人同意确定其规格、型号、颜色、等级等，</w:t>
      </w:r>
      <w:r>
        <w:rPr>
          <w:rFonts w:hint="eastAsia" w:ascii="宋体" w:hAnsi="宋体" w:eastAsia="宋体" w:cs="宋体"/>
          <w:color w:val="auto"/>
          <w:sz w:val="24"/>
          <w:szCs w:val="24"/>
          <w:highlight w:val="none"/>
          <w:lang w:val="zh-CN"/>
        </w:rPr>
        <w:t>并经发包人委托的第三方检测部门检测合格</w:t>
      </w:r>
      <w:r>
        <w:rPr>
          <w:rFonts w:hint="eastAsia" w:ascii="宋体" w:hAnsi="宋体" w:eastAsia="宋体" w:cs="宋体"/>
          <w:color w:val="auto"/>
          <w:sz w:val="24"/>
          <w:szCs w:val="24"/>
          <w:highlight w:val="none"/>
        </w:rPr>
        <w:t>方可使用，所有材料必须使用合格产品。</w:t>
      </w:r>
      <w:bookmarkStart w:id="62" w:name="_Toc26469"/>
      <w:bookmarkStart w:id="63" w:name="_Toc2752"/>
    </w:p>
    <w:p w14:paraId="08FCA397">
      <w:pPr>
        <w:pStyle w:val="3"/>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p>
    <w:p w14:paraId="19E19CD1">
      <w:pPr>
        <w:pStyle w:val="4"/>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64" w:name="_Toc23462"/>
      <w:r>
        <w:rPr>
          <w:rFonts w:hint="eastAsia" w:ascii="宋体" w:hAnsi="宋体" w:eastAsia="宋体" w:cs="宋体"/>
          <w:color w:val="auto"/>
          <w:sz w:val="24"/>
          <w:szCs w:val="24"/>
        </w:rPr>
        <w:t>6．施工条件及现场踏勘</w:t>
      </w:r>
      <w:bookmarkEnd w:id="61"/>
      <w:bookmarkEnd w:id="62"/>
      <w:bookmarkEnd w:id="63"/>
      <w:bookmarkEnd w:id="64"/>
    </w:p>
    <w:p w14:paraId="7851656B">
      <w:pPr>
        <w:pStyle w:val="12"/>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6.1</w:t>
      </w:r>
      <w:r>
        <w:rPr>
          <w:rFonts w:hint="eastAsia" w:ascii="宋体" w:hAnsi="宋体" w:eastAsia="宋体" w:cs="宋体"/>
          <w:snapToGrid w:val="0"/>
          <w:color w:val="auto"/>
          <w:kern w:val="0"/>
          <w:sz w:val="24"/>
          <w:szCs w:val="24"/>
          <w:highlight w:val="none"/>
        </w:rPr>
        <w:t xml:space="preserve"> 招标人仅在本招标项目征地红线范围内提供场地，其他一切场地费用由中标人自行负责（含临时道路）。</w:t>
      </w:r>
    </w:p>
    <w:p w14:paraId="2BAA9CA2">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6.2</w:t>
      </w:r>
      <w:r>
        <w:rPr>
          <w:rFonts w:hint="eastAsia" w:ascii="宋体" w:hAnsi="宋体" w:eastAsia="宋体" w:cs="宋体"/>
          <w:snapToGrid w:val="0"/>
          <w:color w:val="auto"/>
          <w:kern w:val="0"/>
          <w:sz w:val="24"/>
          <w:szCs w:val="24"/>
          <w:highlight w:val="none"/>
        </w:rPr>
        <w:t xml:space="preserve"> 施工用水：</w:t>
      </w:r>
      <w:r>
        <w:rPr>
          <w:rFonts w:hint="eastAsia" w:ascii="宋体" w:hAnsi="宋体" w:eastAsia="宋体" w:cs="宋体"/>
          <w:snapToGrid w:val="0"/>
          <w:color w:val="auto"/>
          <w:kern w:val="0"/>
          <w:sz w:val="24"/>
          <w:szCs w:val="24"/>
          <w:highlight w:val="none"/>
          <w:u w:val="single"/>
        </w:rPr>
        <w:t xml:space="preserve"> 由中标人自行解决，费用考虑在投标报价中。</w:t>
      </w:r>
    </w:p>
    <w:p w14:paraId="6D0CB70F">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w:t>
      </w:r>
      <w:r>
        <w:rPr>
          <w:rFonts w:hint="eastAsia" w:ascii="宋体" w:hAnsi="宋体" w:eastAsia="宋体" w:cs="宋体"/>
          <w:snapToGrid w:val="0"/>
          <w:color w:val="auto"/>
          <w:kern w:val="0"/>
          <w:sz w:val="24"/>
          <w:szCs w:val="24"/>
          <w:highlight w:val="none"/>
        </w:rPr>
        <w:t xml:space="preserve"> 施工用电：</w:t>
      </w:r>
      <w:r>
        <w:rPr>
          <w:rFonts w:hint="eastAsia" w:ascii="宋体" w:hAnsi="宋体" w:eastAsia="宋体" w:cs="宋体"/>
          <w:snapToGrid w:val="0"/>
          <w:color w:val="auto"/>
          <w:kern w:val="0"/>
          <w:sz w:val="24"/>
          <w:szCs w:val="24"/>
          <w:highlight w:val="none"/>
          <w:u w:val="single"/>
        </w:rPr>
        <w:t xml:space="preserve"> 由中标人自行解决，费用考虑在投标报价中。</w:t>
      </w:r>
    </w:p>
    <w:p w14:paraId="2FF35390">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highlight w:val="none"/>
        </w:rPr>
        <w:t>施工用水、用电各提供一驳接点</w:t>
      </w:r>
      <w:r>
        <w:rPr>
          <w:rFonts w:hint="eastAsia" w:ascii="宋体" w:hAnsi="宋体" w:eastAsia="宋体" w:cs="宋体"/>
          <w:snapToGrid w:val="0"/>
          <w:color w:val="auto"/>
          <w:kern w:val="0"/>
          <w:highlight w:val="none"/>
          <w:lang w:val="en-US" w:eastAsia="zh-CN"/>
        </w:rPr>
        <w:t>到现场旁边</w:t>
      </w:r>
      <w:r>
        <w:rPr>
          <w:rFonts w:hint="eastAsia" w:ascii="宋体" w:hAnsi="宋体" w:eastAsia="宋体" w:cs="宋体"/>
          <w:snapToGrid w:val="0"/>
          <w:color w:val="auto"/>
          <w:kern w:val="0"/>
          <w:highlight w:val="none"/>
        </w:rPr>
        <w:t>。要求中标人单独安装水表、电表，其水、电费按项目所在地</w:t>
      </w:r>
      <w:r>
        <w:rPr>
          <w:rFonts w:hint="eastAsia" w:ascii="宋体" w:hAnsi="宋体" w:eastAsia="宋体" w:cs="宋体"/>
          <w:snapToGrid w:val="0"/>
          <w:color w:val="auto"/>
          <w:kern w:val="0"/>
          <w:highlight w:val="none"/>
          <w:u w:val="single"/>
        </w:rPr>
        <w:t>乐昌市</w:t>
      </w:r>
      <w:r>
        <w:rPr>
          <w:rFonts w:hint="eastAsia" w:ascii="宋体" w:hAnsi="宋体" w:eastAsia="宋体" w:cs="宋体"/>
          <w:snapToGrid w:val="0"/>
          <w:color w:val="auto"/>
          <w:kern w:val="0"/>
          <w:highlight w:val="none"/>
        </w:rPr>
        <w:t>基建工程水、电计费标准计算并由中标人缴纳。</w:t>
      </w:r>
    </w:p>
    <w:p w14:paraId="7467803A">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6.5</w:t>
      </w:r>
      <w:r>
        <w:rPr>
          <w:rFonts w:hint="eastAsia" w:ascii="宋体" w:hAnsi="宋体" w:eastAsia="宋体" w:cs="宋体"/>
          <w:snapToGrid w:val="0"/>
          <w:color w:val="auto"/>
          <w:kern w:val="0"/>
          <w:sz w:val="24"/>
          <w:szCs w:val="24"/>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12C0155D">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6.6</w:t>
      </w:r>
      <w:r>
        <w:rPr>
          <w:rFonts w:hint="eastAsia" w:ascii="宋体" w:hAnsi="宋体" w:eastAsia="宋体" w:cs="宋体"/>
          <w:snapToGrid w:val="0"/>
          <w:color w:val="auto"/>
          <w:kern w:val="0"/>
          <w:sz w:val="24"/>
          <w:szCs w:val="24"/>
          <w:highlight w:val="none"/>
        </w:rPr>
        <w:t xml:space="preserve"> 在现场踏勘过程中，投标人应确保自身安全，投标人如果发生人身伤亡、财物或其他损失，法律法规有规定的按有关规定处理，没有规定的由投标人自行负责。</w:t>
      </w:r>
    </w:p>
    <w:p w14:paraId="1CF7804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6.7</w:t>
      </w:r>
      <w:r>
        <w:rPr>
          <w:rFonts w:hint="eastAsia" w:ascii="宋体" w:hAnsi="宋体" w:eastAsia="宋体" w:cs="宋体"/>
          <w:snapToGrid w:val="0"/>
          <w:color w:val="auto"/>
          <w:kern w:val="0"/>
          <w:sz w:val="24"/>
          <w:szCs w:val="24"/>
          <w:highlight w:val="none"/>
        </w:rPr>
        <w:t xml:space="preserve"> 现场踏勘期间的交通、食宿由投标人自行安排，费用自理。</w:t>
      </w:r>
      <w:bookmarkStart w:id="65" w:name="_Toc18204"/>
    </w:p>
    <w:p w14:paraId="24C56DCB">
      <w:pPr>
        <w:pStyle w:val="3"/>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bookmarkStart w:id="66" w:name="_Toc7565"/>
      <w:bookmarkStart w:id="67" w:name="_Toc17908"/>
    </w:p>
    <w:p w14:paraId="32888A14">
      <w:pPr>
        <w:pStyle w:val="4"/>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68" w:name="_Toc29845"/>
      <w:r>
        <w:rPr>
          <w:rFonts w:hint="eastAsia" w:ascii="宋体" w:hAnsi="宋体" w:eastAsia="宋体" w:cs="宋体"/>
          <w:color w:val="auto"/>
          <w:sz w:val="24"/>
          <w:szCs w:val="24"/>
        </w:rPr>
        <w:t>7．招标文件的提问和答疑</w:t>
      </w:r>
      <w:bookmarkEnd w:id="65"/>
      <w:bookmarkEnd w:id="66"/>
      <w:bookmarkEnd w:id="67"/>
      <w:bookmarkEnd w:id="68"/>
      <w:bookmarkStart w:id="69" w:name="_Hlt74496410"/>
      <w:bookmarkEnd w:id="69"/>
    </w:p>
    <w:p w14:paraId="691B5C13">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投标人若对招标文件（含施工图、招标工程量清单）有疑问，应在提问截止时间（见本章第二节“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 w:val="24"/>
          <w:szCs w:val="24"/>
          <w:highlight w:val="none"/>
          <w:lang w:bidi="ar"/>
        </w:rPr>
        <w:t>。</w:t>
      </w:r>
    </w:p>
    <w:p w14:paraId="322C7C4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7.2 </w:t>
      </w:r>
      <w:r>
        <w:rPr>
          <w:rFonts w:hint="eastAsia" w:ascii="宋体" w:hAnsi="宋体" w:eastAsia="宋体" w:cs="宋体"/>
          <w:snapToGrid w:val="0"/>
          <w:color w:val="auto"/>
          <w:kern w:val="0"/>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74BD811A">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招标人对招标文件所作的答疑（或修改）公告，构成招标文件的组成部分。</w:t>
      </w:r>
      <w:bookmarkStart w:id="70" w:name="_Hlt69699188"/>
      <w:bookmarkEnd w:id="70"/>
      <w:bookmarkStart w:id="71" w:name="_Hlt92513711"/>
      <w:bookmarkEnd w:id="71"/>
      <w:bookmarkStart w:id="72" w:name="_Hlt92513715"/>
      <w:bookmarkEnd w:id="72"/>
      <w:bookmarkStart w:id="73" w:name="_Toc15556"/>
      <w:bookmarkStart w:id="74" w:name="_Toc12685"/>
      <w:bookmarkStart w:id="75" w:name="_Toc29680"/>
    </w:p>
    <w:p w14:paraId="7161F84D">
      <w:pPr>
        <w:pStyle w:val="3"/>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p>
    <w:bookmarkEnd w:id="73"/>
    <w:bookmarkEnd w:id="74"/>
    <w:p w14:paraId="170D590C">
      <w:pPr>
        <w:pStyle w:val="4"/>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lang w:eastAsia="zh-CN"/>
        </w:rPr>
      </w:pPr>
      <w:bookmarkStart w:id="76" w:name="_Toc21026"/>
      <w:r>
        <w:rPr>
          <w:rFonts w:hint="eastAsia" w:ascii="宋体" w:hAnsi="宋体" w:eastAsia="宋体" w:cs="宋体"/>
          <w:color w:val="auto"/>
          <w:sz w:val="24"/>
          <w:szCs w:val="24"/>
        </w:rPr>
        <w:t>8．</w:t>
      </w:r>
      <w:bookmarkEnd w:id="76"/>
      <w:r>
        <w:rPr>
          <w:rFonts w:hint="eastAsia" w:ascii="宋体" w:hAnsi="宋体" w:eastAsia="宋体" w:cs="宋体"/>
          <w:color w:val="auto"/>
          <w:sz w:val="24"/>
          <w:szCs w:val="24"/>
          <w:lang w:eastAsia="zh-CN"/>
        </w:rPr>
        <w:t>最高投标限价</w:t>
      </w:r>
    </w:p>
    <w:p w14:paraId="569EAAB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ascii="宋体" w:hAnsi="宋体" w:eastAsia="宋体" w:cs="宋体"/>
          <w:snapToGrid w:val="0"/>
          <w:color w:val="auto"/>
          <w:kern w:val="0"/>
          <w:sz w:val="24"/>
          <w:szCs w:val="24"/>
          <w:highlight w:val="none"/>
        </w:rPr>
        <w:t xml:space="preserve"> 本招标项目按照以下依据编制</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w:t>
      </w:r>
    </w:p>
    <w:p w14:paraId="78D837A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eastAsia="zh-CN"/>
        </w:rPr>
        <w:t>《建设工程工程量清单计价标准》(GB/T50500-2024)</w:t>
      </w:r>
      <w:r>
        <w:rPr>
          <w:rFonts w:hint="eastAsia" w:ascii="宋体" w:hAnsi="宋体" w:eastAsia="宋体" w:cs="宋体"/>
          <w:snapToGrid w:val="0"/>
          <w:color w:val="auto"/>
          <w:kern w:val="0"/>
          <w:sz w:val="24"/>
          <w:szCs w:val="24"/>
          <w:highlight w:val="none"/>
        </w:rPr>
        <w:t>；</w:t>
      </w:r>
    </w:p>
    <w:p w14:paraId="517A743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41CA9D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snapToGrid w:val="0"/>
          <w:color w:val="auto"/>
          <w:kern w:val="0"/>
          <w:sz w:val="24"/>
          <w:szCs w:val="24"/>
          <w:highlight w:val="none"/>
          <w:lang w:val="en-US" w:eastAsia="zh-CN"/>
        </w:rPr>
        <w:t>（3）《房屋建筑与装饰工程工程量计算标准》(GB/T50854-2024)；</w:t>
      </w:r>
    </w:p>
    <w:p w14:paraId="75DF131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）施工图及相关资料；</w:t>
      </w:r>
    </w:p>
    <w:p w14:paraId="769F831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）招标文件及招标工程量清单；</w:t>
      </w:r>
    </w:p>
    <w:p w14:paraId="5CC36838">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）施工现场情况、工程特点及常规施工方案；</w:t>
      </w:r>
    </w:p>
    <w:p w14:paraId="00CF2A5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）项目所在地工程造价管理机构发布的工程造价信息，工程造价信息缺项的，参照市场价格；</w:t>
      </w:r>
    </w:p>
    <w:p w14:paraId="3B78A1B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）与建设项目相关的标准、规范、技术资料。</w:t>
      </w:r>
    </w:p>
    <w:p w14:paraId="5F063D32">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u w:val="single"/>
        </w:rPr>
      </w:pPr>
      <w:r>
        <w:rPr>
          <w:rFonts w:hint="eastAsia" w:ascii="宋体" w:hAnsi="宋体" w:eastAsia="宋体" w:cs="宋体"/>
          <w:b/>
          <w:bCs/>
          <w:color w:val="auto"/>
          <w:sz w:val="24"/>
          <w:szCs w:val="24"/>
          <w:highlight w:val="none"/>
          <w:shd w:val="clear" w:fill="FFFFFF"/>
          <w:lang w:val="en-US" w:eastAsia="zh-CN"/>
        </w:rPr>
        <w:t>8.2</w:t>
      </w:r>
      <w:r>
        <w:rPr>
          <w:rFonts w:hint="eastAsia" w:ascii="宋体" w:hAnsi="宋体" w:eastAsia="宋体" w:cs="宋体"/>
          <w:color w:val="auto"/>
          <w:sz w:val="24"/>
          <w:szCs w:val="24"/>
          <w:highlight w:val="none"/>
          <w:shd w:val="clear" w:fill="FFFFFF"/>
        </w:rPr>
        <w:t>本项目的</w:t>
      </w:r>
      <w:r>
        <w:rPr>
          <w:rFonts w:hint="eastAsia" w:ascii="宋体" w:hAnsi="宋体" w:eastAsia="宋体" w:cs="宋体"/>
          <w:color w:val="auto"/>
          <w:sz w:val="24"/>
          <w:szCs w:val="24"/>
          <w:highlight w:val="none"/>
          <w:shd w:val="clear" w:fill="FFFFFF"/>
          <w:lang w:eastAsia="zh-CN"/>
        </w:rPr>
        <w:t>最高投标限价</w:t>
      </w:r>
      <w:r>
        <w:rPr>
          <w:rFonts w:hint="eastAsia" w:ascii="宋体" w:hAnsi="宋体" w:eastAsia="宋体" w:cs="宋体"/>
          <w:color w:val="auto"/>
          <w:sz w:val="24"/>
          <w:szCs w:val="24"/>
          <w:highlight w:val="none"/>
          <w:shd w:val="clear" w:fill="FFFFFF"/>
        </w:rPr>
        <w:t>为人民币（大写）：</w:t>
      </w:r>
      <w:r>
        <w:rPr>
          <w:rFonts w:hint="eastAsia" w:hAnsi="宋体" w:cs="宋体"/>
          <w:color w:val="auto"/>
          <w:sz w:val="24"/>
          <w:szCs w:val="24"/>
          <w:highlight w:val="none"/>
          <w:u w:val="single"/>
          <w:shd w:val="clear" w:fill="FFFFFF"/>
          <w:lang w:val="en-US" w:eastAsia="zh-CN"/>
        </w:rPr>
        <w:t>壹仟陆佰零陆万玖仟捌佰壹拾陆元叁角伍分</w:t>
      </w:r>
      <w:r>
        <w:rPr>
          <w:rFonts w:hint="eastAsia" w:ascii="宋体" w:hAnsi="宋体" w:eastAsia="宋体" w:cs="宋体"/>
          <w:color w:val="auto"/>
          <w:sz w:val="24"/>
          <w:szCs w:val="24"/>
          <w:highlight w:val="none"/>
          <w:u w:val="single"/>
          <w:shd w:val="clear" w:fill="FFFFFF"/>
        </w:rPr>
        <w:t>(</w:t>
      </w:r>
      <w:r>
        <w:rPr>
          <w:rFonts w:hint="eastAsia" w:ascii="宋体" w:hAnsi="宋体" w:eastAsia="宋体" w:cs="宋体"/>
          <w:color w:val="auto"/>
          <w:sz w:val="24"/>
          <w:szCs w:val="24"/>
          <w:highlight w:val="none"/>
          <w:u w:val="single"/>
          <w:shd w:val="clear" w:fill="FFFFFF"/>
          <w:lang w:val="en-US" w:eastAsia="zh-CN"/>
        </w:rPr>
        <w:t>小写：</w:t>
      </w:r>
      <w:r>
        <w:rPr>
          <w:rFonts w:hint="eastAsia" w:ascii="宋体" w:hAnsi="宋体" w:eastAsia="宋体" w:cs="宋体"/>
          <w:snapToGrid w:val="0"/>
          <w:color w:val="auto"/>
          <w:kern w:val="0"/>
          <w:highlight w:val="none"/>
          <w:u w:val="single"/>
        </w:rPr>
        <w:t>¥</w:t>
      </w:r>
      <w:r>
        <w:rPr>
          <w:rFonts w:hint="eastAsia" w:ascii="宋体" w:hAnsi="宋体" w:eastAsia="宋体" w:cs="宋体"/>
          <w:color w:val="auto"/>
          <w:sz w:val="24"/>
          <w:szCs w:val="24"/>
          <w:highlight w:val="none"/>
          <w:u w:val="single"/>
          <w:shd w:val="clear" w:fill="FFFFFF"/>
          <w:lang w:val="en-US" w:eastAsia="zh-CN"/>
        </w:rPr>
        <w:t>16069816.35</w:t>
      </w:r>
      <w:r>
        <w:rPr>
          <w:rFonts w:hint="eastAsia" w:ascii="宋体" w:hAnsi="宋体" w:eastAsia="宋体" w:cs="宋体"/>
          <w:color w:val="auto"/>
          <w:sz w:val="24"/>
          <w:szCs w:val="24"/>
          <w:highlight w:val="none"/>
          <w:u w:val="single"/>
          <w:shd w:val="clear" w:fill="FFFFFF"/>
        </w:rPr>
        <w:t>元)</w:t>
      </w:r>
      <w:r>
        <w:rPr>
          <w:rFonts w:hint="eastAsia" w:hAnsi="宋体" w:cs="宋体"/>
          <w:color w:val="auto"/>
          <w:sz w:val="24"/>
          <w:szCs w:val="24"/>
          <w:highlight w:val="none"/>
          <w:u w:val="single"/>
          <w:shd w:val="clear" w:fill="FFFFFF"/>
          <w:lang w:eastAsia="zh-CN"/>
        </w:rPr>
        <w:t>，</w:t>
      </w:r>
      <w:r>
        <w:rPr>
          <w:rFonts w:hint="eastAsia" w:ascii="宋体" w:hAnsi="宋体" w:eastAsia="宋体" w:cs="宋体"/>
          <w:color w:val="auto"/>
          <w:sz w:val="24"/>
          <w:szCs w:val="24"/>
          <w:highlight w:val="none"/>
          <w:u w:val="single"/>
          <w:shd w:val="clear" w:fill="FFFFFF"/>
        </w:rPr>
        <w:t>其中</w:t>
      </w:r>
      <w:r>
        <w:rPr>
          <w:rFonts w:hint="eastAsia" w:ascii="宋体" w:hAnsi="宋体" w:eastAsia="宋体" w:cs="宋体"/>
          <w:color w:val="auto"/>
          <w:sz w:val="24"/>
          <w:szCs w:val="24"/>
          <w:highlight w:val="none"/>
          <w:u w:val="single"/>
          <w:shd w:val="clear" w:fill="FFFFFF"/>
          <w:lang w:eastAsia="zh-CN"/>
        </w:rPr>
        <w:t>安全生产措施费不得少于</w:t>
      </w:r>
      <w:r>
        <w:rPr>
          <w:rFonts w:hint="eastAsia" w:ascii="宋体" w:hAnsi="宋体" w:eastAsia="宋体" w:cs="宋体"/>
          <w:color w:val="auto"/>
          <w:sz w:val="24"/>
          <w:szCs w:val="24"/>
          <w:highlight w:val="none"/>
          <w:u w:val="single"/>
          <w:shd w:val="clear" w:fill="FFFFFF"/>
        </w:rPr>
        <w:t>¥</w:t>
      </w:r>
      <w:r>
        <w:rPr>
          <w:rFonts w:hint="eastAsia" w:hAnsi="宋体" w:cs="宋体"/>
          <w:color w:val="auto"/>
          <w:sz w:val="24"/>
          <w:szCs w:val="24"/>
          <w:highlight w:val="none"/>
          <w:u w:val="single"/>
          <w:shd w:val="clear" w:fill="FFFFFF"/>
          <w:lang w:val="en-US" w:eastAsia="zh-CN"/>
        </w:rPr>
        <w:t>210887.39</w:t>
      </w:r>
      <w:r>
        <w:rPr>
          <w:rFonts w:hint="eastAsia" w:ascii="宋体" w:hAnsi="宋体" w:eastAsia="宋体" w:cs="宋体"/>
          <w:color w:val="auto"/>
          <w:sz w:val="24"/>
          <w:szCs w:val="24"/>
          <w:highlight w:val="none"/>
          <w:u w:val="single"/>
          <w:shd w:val="clear" w:fill="FFFFFF"/>
        </w:rPr>
        <w:t>元，</w:t>
      </w:r>
      <w:r>
        <w:rPr>
          <w:rFonts w:hint="eastAsia" w:ascii="宋体" w:hAnsi="宋体" w:eastAsia="宋体" w:cs="宋体"/>
          <w:color w:val="auto"/>
          <w:sz w:val="24"/>
          <w:szCs w:val="24"/>
          <w:highlight w:val="none"/>
          <w:u w:val="single"/>
          <w:shd w:val="clear" w:fill="FFFFFF"/>
          <w:lang w:val="en-US" w:eastAsia="zh-CN"/>
        </w:rPr>
        <w:t>暂列金额</w:t>
      </w:r>
      <w:r>
        <w:rPr>
          <w:rFonts w:hint="eastAsia" w:ascii="宋体" w:hAnsi="宋体" w:eastAsia="宋体" w:cs="宋体"/>
          <w:color w:val="auto"/>
          <w:sz w:val="24"/>
          <w:szCs w:val="24"/>
          <w:highlight w:val="none"/>
          <w:u w:val="single"/>
          <w:shd w:val="clear" w:fill="FFFFFF"/>
        </w:rPr>
        <w:t>为</w:t>
      </w:r>
      <w:r>
        <w:rPr>
          <w:rFonts w:hint="eastAsia" w:ascii="宋体" w:hAnsi="宋体" w:eastAsia="宋体" w:cs="宋体"/>
          <w:snapToGrid w:val="0"/>
          <w:color w:val="auto"/>
          <w:kern w:val="0"/>
          <w:highlight w:val="none"/>
          <w:u w:val="single"/>
        </w:rPr>
        <w:t>¥</w:t>
      </w:r>
      <w:r>
        <w:rPr>
          <w:rFonts w:hint="eastAsia" w:ascii="宋体" w:hAnsi="宋体" w:eastAsia="宋体" w:cs="宋体"/>
          <w:color w:val="auto"/>
          <w:sz w:val="24"/>
          <w:szCs w:val="24"/>
          <w:highlight w:val="none"/>
          <w:u w:val="single"/>
          <w:shd w:val="clear" w:fill="FFFFFF"/>
          <w:lang w:val="en-US" w:eastAsia="zh-CN"/>
        </w:rPr>
        <w:t>378000.00</w:t>
      </w:r>
      <w:r>
        <w:rPr>
          <w:rFonts w:hint="eastAsia" w:ascii="宋体" w:hAnsi="宋体" w:eastAsia="宋体" w:cs="宋体"/>
          <w:color w:val="auto"/>
          <w:sz w:val="24"/>
          <w:szCs w:val="24"/>
          <w:highlight w:val="none"/>
          <w:u w:val="single"/>
          <w:shd w:val="clear" w:fill="FFFFFF"/>
        </w:rPr>
        <w:t>元</w:t>
      </w:r>
      <w:r>
        <w:rPr>
          <w:rFonts w:hint="eastAsia" w:ascii="宋体" w:hAnsi="宋体" w:eastAsia="宋体" w:cs="宋体"/>
          <w:color w:val="auto"/>
          <w:sz w:val="24"/>
          <w:szCs w:val="24"/>
          <w:highlight w:val="none"/>
          <w:u w:val="single"/>
          <w:shd w:val="clear" w:fill="FFFFFF"/>
          <w:lang w:eastAsia="zh-CN"/>
        </w:rPr>
        <w:t>，</w:t>
      </w:r>
      <w:r>
        <w:rPr>
          <w:rFonts w:hint="eastAsia" w:ascii="宋体" w:hAnsi="宋体" w:eastAsia="宋体" w:cs="宋体"/>
          <w:color w:val="auto"/>
          <w:sz w:val="24"/>
          <w:szCs w:val="24"/>
          <w:highlight w:val="none"/>
          <w:u w:val="single"/>
          <w:shd w:val="clear" w:fill="FFFFFF"/>
          <w:lang w:val="en-US" w:eastAsia="zh-CN"/>
        </w:rPr>
        <w:t>暂估价</w:t>
      </w:r>
      <w:r>
        <w:rPr>
          <w:rFonts w:hint="eastAsia" w:ascii="宋体" w:hAnsi="宋体" w:eastAsia="宋体" w:cs="宋体"/>
          <w:color w:val="auto"/>
          <w:sz w:val="24"/>
          <w:szCs w:val="24"/>
          <w:highlight w:val="none"/>
          <w:u w:val="single"/>
          <w:shd w:val="clear" w:fill="FFFFFF"/>
        </w:rPr>
        <w:t>为</w:t>
      </w:r>
      <w:r>
        <w:rPr>
          <w:rFonts w:hint="eastAsia" w:ascii="宋体" w:hAnsi="宋体" w:eastAsia="宋体" w:cs="宋体"/>
          <w:snapToGrid w:val="0"/>
          <w:color w:val="auto"/>
          <w:kern w:val="0"/>
          <w:highlight w:val="none"/>
          <w:u w:val="single"/>
        </w:rPr>
        <w:t>¥</w:t>
      </w:r>
      <w:r>
        <w:rPr>
          <w:rFonts w:hint="eastAsia" w:ascii="宋体" w:hAnsi="宋体" w:eastAsia="宋体" w:cs="宋体"/>
          <w:color w:val="auto"/>
          <w:sz w:val="24"/>
          <w:szCs w:val="24"/>
          <w:highlight w:val="none"/>
          <w:u w:val="single"/>
          <w:shd w:val="clear" w:fill="FFFFFF"/>
          <w:lang w:val="en-US" w:eastAsia="zh-CN"/>
        </w:rPr>
        <w:t>/</w:t>
      </w:r>
      <w:r>
        <w:rPr>
          <w:rFonts w:hint="eastAsia" w:ascii="宋体" w:hAnsi="宋体" w:eastAsia="宋体" w:cs="宋体"/>
          <w:color w:val="auto"/>
          <w:sz w:val="24"/>
          <w:szCs w:val="24"/>
          <w:highlight w:val="none"/>
          <w:u w:val="single"/>
          <w:shd w:val="clear" w:fill="FFFFFF"/>
        </w:rPr>
        <w:t>元。</w:t>
      </w:r>
    </w:p>
    <w:p w14:paraId="26E433D6">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8.3</w:t>
      </w:r>
      <w:r>
        <w:rPr>
          <w:rFonts w:hint="eastAsia" w:ascii="宋体" w:hAnsi="宋体" w:eastAsia="宋体" w:cs="宋体"/>
          <w:snapToGrid w:val="0"/>
          <w:color w:val="auto"/>
          <w:kern w:val="0"/>
          <w:sz w:val="24"/>
          <w:szCs w:val="24"/>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5DDF4C56">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8.4</w:t>
      </w:r>
      <w:r>
        <w:rPr>
          <w:rFonts w:hint="eastAsia" w:ascii="宋体" w:hAnsi="宋体" w:eastAsia="宋体" w:cs="宋体"/>
          <w:snapToGrid w:val="0"/>
          <w:color w:val="auto"/>
          <w:kern w:val="0"/>
          <w:sz w:val="24"/>
          <w:szCs w:val="24"/>
          <w:highlight w:val="none"/>
        </w:rPr>
        <w:t xml:space="preserve"> 本招标项目以暂估价形式列入招标工程量清单中的材料、工程设备、专业工程（以下统称“暂估价项目”）包括：</w:t>
      </w:r>
      <w:r>
        <w:rPr>
          <w:rFonts w:hint="eastAsia" w:ascii="宋体" w:hAnsi="宋体" w:eastAsia="宋体" w:cs="宋体"/>
          <w:snapToGrid w:val="0"/>
          <w:color w:val="auto"/>
          <w:kern w:val="0"/>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snapToGrid w:val="0"/>
          <w:color w:val="auto"/>
          <w:kern w:val="0"/>
          <w:sz w:val="24"/>
          <w:szCs w:val="24"/>
          <w:highlight w:val="none"/>
        </w:rPr>
        <w:t>。</w:t>
      </w:r>
    </w:p>
    <w:p w14:paraId="6E91E6D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8.5</w:t>
      </w:r>
      <w:r>
        <w:rPr>
          <w:rFonts w:hint="eastAsia" w:ascii="宋体" w:hAnsi="宋体" w:eastAsia="宋体" w:cs="宋体"/>
          <w:snapToGrid w:val="0"/>
          <w:color w:val="auto"/>
          <w:kern w:val="0"/>
          <w:sz w:val="24"/>
          <w:szCs w:val="24"/>
          <w:highlight w:val="none"/>
        </w:rPr>
        <w:t xml:space="preserve"> 当暂估价项目的内容、标准、要求在项目实施过程中得以深化、明确、固定后，按以下原则发包：</w:t>
      </w:r>
    </w:p>
    <w:p w14:paraId="1A0A573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（1）暂估价项目按工程、货物（指材料或工程设备，下同）的类别分类汇总的金额，达到必须招标规模标准的，由</w:t>
      </w:r>
      <w:r>
        <w:rPr>
          <w:rFonts w:hint="eastAsia" w:ascii="宋体" w:hAnsi="宋体" w:eastAsia="宋体" w:cs="宋体"/>
          <w:snapToGrid w:val="0"/>
          <w:color w:val="auto"/>
          <w:kern w:val="0"/>
          <w:sz w:val="24"/>
          <w:szCs w:val="24"/>
          <w:highlight w:val="none"/>
          <w:u w:val="single"/>
        </w:rPr>
        <w:t xml:space="preserve"> 中标人招标，招标人参与管理 </w:t>
      </w:r>
      <w:r>
        <w:rPr>
          <w:rFonts w:hint="eastAsia" w:ascii="宋体" w:hAnsi="宋体" w:eastAsia="宋体" w:cs="宋体"/>
          <w:snapToGrid w:val="0"/>
          <w:color w:val="auto"/>
          <w:kern w:val="0"/>
          <w:sz w:val="24"/>
          <w:szCs w:val="24"/>
          <w:highlight w:val="none"/>
        </w:rPr>
        <w:t>，确定专业工程承包人（或材料、工程设备供应商）和合同价格。</w:t>
      </w:r>
    </w:p>
    <w:p w14:paraId="6FE7774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49BC859B">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01F343F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3E0DBD3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（5）暂估价项目由其他承包人承包的，纳入中标人的管理和协调范围，由其他承包人向中标人承担质量、安全、文明施工、工期责任，中标人向招标人承担责任。</w:t>
      </w:r>
    </w:p>
    <w:p w14:paraId="258019D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sz w:val="24"/>
          <w:szCs w:val="24"/>
          <w:highlight w:val="none"/>
        </w:rPr>
      </w:pPr>
      <w:r>
        <w:rPr>
          <w:rFonts w:hint="eastAsia" w:ascii="宋体" w:hAnsi="宋体" w:eastAsia="宋体" w:cs="宋体"/>
          <w:b/>
          <w:bCs/>
          <w:snapToGrid w:val="0"/>
          <w:color w:val="auto"/>
          <w:kern w:val="0"/>
          <w:sz w:val="24"/>
          <w:szCs w:val="24"/>
          <w:highlight w:val="none"/>
        </w:rPr>
        <w:t>8.6</w:t>
      </w:r>
      <w:r>
        <w:rPr>
          <w:rFonts w:hint="eastAsia" w:ascii="宋体" w:hAnsi="宋体" w:eastAsia="宋体" w:cs="宋体"/>
          <w:snapToGrid w:val="0"/>
          <w:color w:val="auto"/>
          <w:kern w:val="0"/>
          <w:sz w:val="24"/>
          <w:szCs w:val="24"/>
          <w:highlight w:val="none"/>
        </w:rPr>
        <w:t xml:space="preserve"> 本招标项目以</w:t>
      </w:r>
      <w:r>
        <w:rPr>
          <w:rFonts w:hint="eastAsia" w:ascii="宋体" w:hAnsi="宋体" w:eastAsia="宋体" w:cs="宋体"/>
          <w:snapToGrid w:val="0"/>
          <w:color w:val="auto"/>
          <w:sz w:val="24"/>
          <w:szCs w:val="24"/>
          <w:highlight w:val="none"/>
        </w:rPr>
        <w:t>暂列金额</w:t>
      </w:r>
      <w:r>
        <w:rPr>
          <w:rFonts w:hint="eastAsia" w:ascii="宋体" w:hAnsi="宋体" w:eastAsia="宋体" w:cs="宋体"/>
          <w:snapToGrid w:val="0"/>
          <w:color w:val="auto"/>
          <w:kern w:val="0"/>
          <w:sz w:val="24"/>
          <w:szCs w:val="24"/>
          <w:highlight w:val="none"/>
        </w:rPr>
        <w:t>形式列入招标工程量清单中的</w:t>
      </w:r>
      <w:r>
        <w:rPr>
          <w:rFonts w:hint="eastAsia" w:ascii="宋体" w:hAnsi="宋体" w:eastAsia="宋体" w:cs="宋体"/>
          <w:snapToGrid w:val="0"/>
          <w:color w:val="auto"/>
          <w:sz w:val="24"/>
          <w:szCs w:val="24"/>
          <w:highlight w:val="none"/>
        </w:rPr>
        <w:t>所需货物和服务的采购</w:t>
      </w:r>
      <w:r>
        <w:rPr>
          <w:rFonts w:hint="eastAsia" w:ascii="宋体" w:hAnsi="宋体" w:eastAsia="宋体" w:cs="宋体"/>
          <w:snapToGrid w:val="0"/>
          <w:color w:val="auto"/>
          <w:kern w:val="0"/>
          <w:sz w:val="24"/>
          <w:szCs w:val="24"/>
          <w:highlight w:val="none"/>
        </w:rPr>
        <w:t>（以下统称“暂列金额项目”）若有</w:t>
      </w:r>
      <w:r>
        <w:rPr>
          <w:rFonts w:hint="eastAsia" w:ascii="宋体" w:hAnsi="宋体" w:eastAsia="宋体" w:cs="宋体"/>
          <w:snapToGrid w:val="0"/>
          <w:color w:val="auto"/>
          <w:sz w:val="24"/>
          <w:szCs w:val="24"/>
          <w:highlight w:val="none"/>
        </w:rPr>
        <w:t>发生，按照本节第</w:t>
      </w:r>
      <w:r>
        <w:rPr>
          <w:rFonts w:hint="eastAsia" w:ascii="宋体" w:hAnsi="宋体" w:eastAsia="宋体" w:cs="宋体"/>
          <w:b/>
          <w:bCs/>
          <w:snapToGrid w:val="0"/>
          <w:color w:val="auto"/>
          <w:kern w:val="0"/>
          <w:sz w:val="24"/>
          <w:szCs w:val="24"/>
          <w:highlight w:val="none"/>
        </w:rPr>
        <w:t>8.5</w:t>
      </w:r>
      <w:r>
        <w:rPr>
          <w:rFonts w:hint="eastAsia" w:ascii="宋体" w:hAnsi="宋体" w:eastAsia="宋体" w:cs="宋体"/>
          <w:snapToGrid w:val="0"/>
          <w:color w:val="auto"/>
          <w:sz w:val="24"/>
          <w:szCs w:val="24"/>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p>
    <w:p w14:paraId="77B2F1D7">
      <w:pPr>
        <w:pStyle w:val="3"/>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bookmarkStart w:id="77" w:name="_Toc8163"/>
      <w:bookmarkStart w:id="78" w:name="_Toc17205"/>
    </w:p>
    <w:p w14:paraId="6F87D27A">
      <w:pPr>
        <w:pStyle w:val="4"/>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79" w:name="_Toc19680"/>
      <w:r>
        <w:rPr>
          <w:rFonts w:hint="eastAsia" w:ascii="宋体" w:hAnsi="宋体" w:eastAsia="宋体" w:cs="宋体"/>
          <w:color w:val="auto"/>
          <w:sz w:val="24"/>
          <w:szCs w:val="24"/>
        </w:rPr>
        <w:t>9．投标报价</w:t>
      </w:r>
      <w:bookmarkEnd w:id="75"/>
      <w:bookmarkEnd w:id="77"/>
      <w:bookmarkEnd w:id="78"/>
      <w:bookmarkEnd w:id="79"/>
      <w:bookmarkStart w:id="80" w:name="_Hlt74498519"/>
      <w:bookmarkEnd w:id="80"/>
    </w:p>
    <w:p w14:paraId="1EDAD06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9.1</w:t>
      </w:r>
      <w:r>
        <w:rPr>
          <w:rFonts w:hint="eastAsia" w:ascii="宋体" w:hAnsi="宋体" w:eastAsia="宋体" w:cs="宋体"/>
          <w:snapToGrid w:val="0"/>
          <w:color w:val="auto"/>
          <w:kern w:val="0"/>
          <w:sz w:val="24"/>
          <w:szCs w:val="24"/>
          <w:highlight w:val="none"/>
        </w:rPr>
        <w:t xml:space="preserve"> 投标人应按照以下依据编制投标报价：</w:t>
      </w:r>
    </w:p>
    <w:p w14:paraId="0CE2ACB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eastAsia="zh-CN"/>
        </w:rPr>
        <w:t>《建设工程工程量清单计价标准》(GB/T50500-2024)</w:t>
      </w:r>
      <w:r>
        <w:rPr>
          <w:rFonts w:hint="eastAsia" w:ascii="宋体" w:hAnsi="宋体" w:eastAsia="宋体" w:cs="宋体"/>
          <w:snapToGrid w:val="0"/>
          <w:color w:val="auto"/>
          <w:kern w:val="0"/>
          <w:sz w:val="24"/>
          <w:szCs w:val="24"/>
          <w:highlight w:val="none"/>
        </w:rPr>
        <w:t>；</w:t>
      </w:r>
    </w:p>
    <w:p w14:paraId="78B1CF2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2E83F0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snapToGrid w:val="0"/>
          <w:color w:val="auto"/>
          <w:kern w:val="0"/>
          <w:sz w:val="24"/>
          <w:szCs w:val="24"/>
          <w:highlight w:val="none"/>
          <w:lang w:val="en-US" w:eastAsia="zh-CN"/>
        </w:rPr>
        <w:t>（3）《房屋建筑与装饰工程工程量计算标准》(GB/T50854-2024)；</w:t>
      </w:r>
    </w:p>
    <w:p w14:paraId="3A15E6F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）企业定额；</w:t>
      </w:r>
    </w:p>
    <w:p w14:paraId="5E48E41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）招标文件及其答疑（或修改）公告、招标工程量清单；</w:t>
      </w:r>
    </w:p>
    <w:p w14:paraId="75C244C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）施工图及相关资料；</w:t>
      </w:r>
    </w:p>
    <w:p w14:paraId="7BD286AC">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）施工现场情况、工程特点及投标时拟定的施工组织设计或施工方案；</w:t>
      </w:r>
    </w:p>
    <w:p w14:paraId="3E2BF5DF">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）市场价格信息或项目所在地工程造价管理机构发布的工程造价信息；</w:t>
      </w:r>
    </w:p>
    <w:p w14:paraId="1DC0034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）与建设项目相关的标准、规范、技术资料。</w:t>
      </w:r>
    </w:p>
    <w:p w14:paraId="6924CD5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eastAsia="宋体" w:cs="宋体"/>
          <w:snapToGrid w:val="0"/>
          <w:color w:val="auto"/>
          <w:kern w:val="0"/>
          <w:sz w:val="24"/>
          <w:szCs w:val="24"/>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81" w:name="_Hlt66594003"/>
      <w:bookmarkEnd w:id="81"/>
      <w:r>
        <w:rPr>
          <w:rFonts w:hint="eastAsia" w:ascii="宋体" w:hAnsi="宋体" w:eastAsia="宋体" w:cs="宋体"/>
          <w:snapToGrid w:val="0"/>
          <w:color w:val="auto"/>
          <w:kern w:val="0"/>
          <w:sz w:val="24"/>
          <w:szCs w:val="24"/>
          <w:highlight w:val="none"/>
        </w:rPr>
        <w:t>所谓“一定范围内的风险”是指合同约定的风险。</w:t>
      </w:r>
      <w:bookmarkStart w:id="82" w:name="_Hlt69335755"/>
      <w:bookmarkEnd w:id="82"/>
    </w:p>
    <w:p w14:paraId="5ED40A69">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9.3</w:t>
      </w:r>
      <w:r>
        <w:rPr>
          <w:rFonts w:hint="eastAsia" w:ascii="宋体" w:hAnsi="宋体" w:eastAsia="宋体" w:cs="宋体"/>
          <w:snapToGrid w:val="0"/>
          <w:color w:val="auto"/>
          <w:kern w:val="0"/>
          <w:sz w:val="24"/>
          <w:szCs w:val="24"/>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83" w:name="_Hlt66509056"/>
      <w:bookmarkEnd w:id="83"/>
      <w:r>
        <w:rPr>
          <w:rFonts w:hint="eastAsia" w:ascii="宋体" w:hAnsi="宋体" w:eastAsia="宋体" w:cs="宋体"/>
          <w:snapToGrid w:val="0"/>
          <w:color w:val="auto"/>
          <w:kern w:val="0"/>
          <w:sz w:val="24"/>
          <w:szCs w:val="24"/>
          <w:highlight w:val="none"/>
        </w:rPr>
        <w:t>接资料。投标人应针对现场情况编制施工组织设计，并在编制投标报价时考虑现场情况的影响。</w:t>
      </w:r>
    </w:p>
    <w:p w14:paraId="77A54009">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9.4</w:t>
      </w:r>
      <w:r>
        <w:rPr>
          <w:rFonts w:hint="eastAsia" w:ascii="宋体" w:hAnsi="宋体" w:eastAsia="宋体" w:cs="宋体"/>
          <w:snapToGrid w:val="0"/>
          <w:color w:val="auto"/>
          <w:kern w:val="0"/>
          <w:sz w:val="24"/>
          <w:szCs w:val="24"/>
          <w:highlight w:val="none"/>
        </w:rPr>
        <w:t xml:space="preserve"> 招标人向投标人提供的有关现场的数据和资料，是招标人现有的能被投标人利用的资料，招标人对投标人做出的任何推论、理解和结论均不负责任。</w:t>
      </w:r>
    </w:p>
    <w:p w14:paraId="7BFC179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9.5</w:t>
      </w:r>
      <w:r>
        <w:rPr>
          <w:rFonts w:hint="eastAsia" w:ascii="宋体" w:hAnsi="宋体" w:eastAsia="宋体" w:cs="宋体"/>
          <w:snapToGrid w:val="0"/>
          <w:color w:val="auto"/>
          <w:kern w:val="0"/>
          <w:sz w:val="24"/>
          <w:szCs w:val="24"/>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7C6B3BEC">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9.6</w:t>
      </w:r>
      <w:r>
        <w:rPr>
          <w:rFonts w:hint="eastAsia" w:ascii="宋体" w:hAnsi="宋体" w:eastAsia="宋体" w:cs="宋体"/>
          <w:snapToGrid w:val="0"/>
          <w:color w:val="auto"/>
          <w:kern w:val="0"/>
          <w:sz w:val="24"/>
          <w:szCs w:val="24"/>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44F45FE9">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9.7</w:t>
      </w:r>
      <w:r>
        <w:rPr>
          <w:rFonts w:hint="eastAsia" w:ascii="宋体" w:hAnsi="宋体" w:eastAsia="宋体" w:cs="宋体"/>
          <w:snapToGrid w:val="0"/>
          <w:color w:val="auto"/>
          <w:kern w:val="0"/>
          <w:sz w:val="24"/>
          <w:szCs w:val="24"/>
          <w:highlight w:val="none"/>
        </w:rPr>
        <w:t xml:space="preserve"> 投标人的投标总价不得高于</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val="0"/>
          <w:bCs/>
          <w:snapToGrid w:val="0"/>
          <w:color w:val="auto"/>
          <w:kern w:val="0"/>
          <w:sz w:val="24"/>
          <w:szCs w:val="24"/>
          <w:highlight w:val="none"/>
        </w:rPr>
        <w:t>如果投标人的投标总价下浮率（投标总价下浮率＝100%－投标总价÷</w:t>
      </w:r>
      <w:r>
        <w:rPr>
          <w:rFonts w:hint="eastAsia" w:ascii="宋体" w:hAnsi="宋体" w:eastAsia="宋体" w:cs="宋体"/>
          <w:b w:val="0"/>
          <w:bCs/>
          <w:snapToGrid w:val="0"/>
          <w:color w:val="auto"/>
          <w:kern w:val="0"/>
          <w:sz w:val="24"/>
          <w:szCs w:val="24"/>
          <w:highlight w:val="none"/>
          <w:lang w:eastAsia="zh-CN"/>
        </w:rPr>
        <w:t>最高投标限价</w:t>
      </w:r>
      <w:r>
        <w:rPr>
          <w:rFonts w:hint="eastAsia" w:ascii="宋体" w:hAnsi="宋体" w:eastAsia="宋体" w:cs="宋体"/>
          <w:b w:val="0"/>
          <w:bCs/>
          <w:snapToGrid w:val="0"/>
          <w:color w:val="auto"/>
          <w:kern w:val="0"/>
          <w:sz w:val="24"/>
          <w:szCs w:val="24"/>
          <w:highlight w:val="none"/>
        </w:rPr>
        <w:t>×100%）高于15%时，投标人必须在投标文件中专项作出详细合理的书面说明并提供以往类似工程详细成本分析报告供评标委员会审查。</w:t>
      </w:r>
    </w:p>
    <w:p w14:paraId="4F1621F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9.8</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snapToGrid w:val="0"/>
          <w:color w:val="auto"/>
          <w:kern w:val="0"/>
          <w:sz w:val="24"/>
          <w:szCs w:val="24"/>
          <w:highlight w:val="none"/>
        </w:rPr>
        <w:t>投标人的</w:t>
      </w:r>
      <w:r>
        <w:rPr>
          <w:rFonts w:hint="eastAsia" w:ascii="宋体" w:hAnsi="宋体" w:eastAsia="宋体" w:cs="宋体"/>
          <w:b/>
          <w:bCs/>
          <w:snapToGrid w:val="0"/>
          <w:color w:val="auto"/>
          <w:kern w:val="0"/>
          <w:sz w:val="24"/>
          <w:szCs w:val="24"/>
          <w:highlight w:val="none"/>
          <w:lang w:eastAsia="zh-CN"/>
        </w:rPr>
        <w:t>安全生产措施费</w:t>
      </w:r>
      <w:r>
        <w:rPr>
          <w:rFonts w:hint="eastAsia" w:ascii="宋体" w:hAnsi="宋体" w:eastAsia="宋体" w:cs="宋体"/>
          <w:b/>
          <w:bCs/>
          <w:snapToGrid w:val="0"/>
          <w:color w:val="auto"/>
          <w:kern w:val="0"/>
          <w:sz w:val="24"/>
          <w:szCs w:val="24"/>
          <w:highlight w:val="none"/>
        </w:rPr>
        <w:t>报价必须达到或超过招标</w:t>
      </w:r>
      <w:r>
        <w:rPr>
          <w:rFonts w:hint="eastAsia" w:ascii="宋体" w:hAnsi="宋体" w:eastAsia="宋体" w:cs="宋体"/>
          <w:b/>
          <w:bCs/>
          <w:snapToGrid w:val="0"/>
          <w:color w:val="auto"/>
          <w:kern w:val="0"/>
          <w:sz w:val="24"/>
          <w:szCs w:val="24"/>
          <w:highlight w:val="none"/>
          <w:lang w:val="en-US" w:eastAsia="zh-CN"/>
        </w:rPr>
        <w:t>文件</w:t>
      </w:r>
      <w:r>
        <w:rPr>
          <w:rFonts w:hint="eastAsia" w:ascii="宋体" w:hAnsi="宋体" w:eastAsia="宋体" w:cs="宋体"/>
          <w:b/>
          <w:bCs/>
          <w:snapToGrid w:val="0"/>
          <w:color w:val="auto"/>
          <w:kern w:val="0"/>
          <w:sz w:val="24"/>
          <w:szCs w:val="24"/>
          <w:highlight w:val="none"/>
        </w:rPr>
        <w:t>中提供的</w:t>
      </w:r>
      <w:r>
        <w:rPr>
          <w:rFonts w:hint="eastAsia" w:ascii="宋体" w:hAnsi="宋体" w:eastAsia="宋体" w:cs="宋体"/>
          <w:b/>
          <w:bCs/>
          <w:snapToGrid w:val="0"/>
          <w:color w:val="auto"/>
          <w:kern w:val="0"/>
          <w:sz w:val="24"/>
          <w:szCs w:val="24"/>
          <w:highlight w:val="none"/>
          <w:lang w:eastAsia="zh-CN"/>
        </w:rPr>
        <w:t>安全生产措施费</w:t>
      </w:r>
      <w:r>
        <w:rPr>
          <w:rFonts w:hint="eastAsia" w:ascii="宋体" w:hAnsi="宋体" w:eastAsia="宋体" w:cs="宋体"/>
          <w:b/>
          <w:bCs/>
          <w:snapToGrid w:val="0"/>
          <w:color w:val="auto"/>
          <w:kern w:val="0"/>
          <w:sz w:val="24"/>
          <w:szCs w:val="24"/>
          <w:highlight w:val="none"/>
        </w:rPr>
        <w:t>。</w:t>
      </w:r>
    </w:p>
    <w:p w14:paraId="72E6963D">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9.9</w:t>
      </w:r>
      <w:r>
        <w:rPr>
          <w:rFonts w:hint="eastAsia" w:ascii="宋体" w:hAnsi="宋体" w:eastAsia="宋体" w:cs="宋体"/>
          <w:snapToGrid w:val="0"/>
          <w:color w:val="auto"/>
          <w:kern w:val="0"/>
          <w:sz w:val="24"/>
          <w:szCs w:val="24"/>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bookmarkStart w:id="84" w:name="_（十）投标文件的编制、包装、密封"/>
      <w:bookmarkEnd w:id="84"/>
      <w:bookmarkStart w:id="85" w:name="_Toc28889"/>
      <w:bookmarkStart w:id="86" w:name="_Toc721"/>
      <w:bookmarkStart w:id="87" w:name="_Toc11437"/>
    </w:p>
    <w:p w14:paraId="68ED725C">
      <w:pPr>
        <w:pStyle w:val="3"/>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p>
    <w:bookmarkEnd w:id="85"/>
    <w:bookmarkEnd w:id="86"/>
    <w:bookmarkEnd w:id="87"/>
    <w:p w14:paraId="1D853762">
      <w:pPr>
        <w:pStyle w:val="4"/>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88" w:name="_Toc15652"/>
      <w:bookmarkStart w:id="89" w:name="_Hlt121629839"/>
      <w:r>
        <w:rPr>
          <w:rFonts w:hint="eastAsia" w:ascii="宋体" w:hAnsi="宋体" w:eastAsia="宋体" w:cs="宋体"/>
          <w:color w:val="auto"/>
          <w:sz w:val="24"/>
          <w:szCs w:val="24"/>
        </w:rPr>
        <w:t>10．投标文件的编制</w:t>
      </w:r>
      <w:bookmarkStart w:id="90" w:name="_Hlt69208262"/>
      <w:bookmarkEnd w:id="90"/>
      <w:bookmarkStart w:id="91" w:name="_Hlt69332370"/>
      <w:bookmarkEnd w:id="91"/>
      <w:r>
        <w:rPr>
          <w:rFonts w:hint="eastAsia" w:ascii="宋体" w:hAnsi="宋体" w:eastAsia="宋体" w:cs="宋体"/>
          <w:color w:val="auto"/>
          <w:sz w:val="24"/>
          <w:szCs w:val="24"/>
        </w:rPr>
        <w:t>要求</w:t>
      </w:r>
      <w:bookmarkEnd w:id="88"/>
      <w:bookmarkStart w:id="92" w:name="_Hlt74495594"/>
      <w:bookmarkEnd w:id="92"/>
      <w:bookmarkStart w:id="93" w:name="_Hlt74497202"/>
      <w:bookmarkEnd w:id="93"/>
      <w:bookmarkStart w:id="94" w:name="_Hlt78768224"/>
      <w:bookmarkEnd w:id="94"/>
      <w:bookmarkStart w:id="95" w:name="_Toc17114"/>
    </w:p>
    <w:p w14:paraId="59672748">
      <w:pPr>
        <w:pStyle w:val="4"/>
        <w:keepNext w:val="0"/>
        <w:keepLines w:val="0"/>
        <w:pageBreakBefore w:val="0"/>
        <w:kinsoku/>
        <w:wordWrap w:val="0"/>
        <w:overflowPunct/>
        <w:topLinePunct w:val="0"/>
        <w:autoSpaceDE/>
        <w:autoSpaceDN/>
        <w:bidi w:val="0"/>
        <w:adjustRightInd w:val="0"/>
        <w:snapToGrid w:val="0"/>
        <w:spacing w:beforeLines="0" w:afterLines="0" w:line="360" w:lineRule="auto"/>
        <w:ind w:left="0" w:leftChars="0" w:right="0" w:firstLine="482" w:firstLineChars="200"/>
        <w:jc w:val="both"/>
        <w:rPr>
          <w:rFonts w:hint="eastAsia" w:ascii="宋体" w:hAnsi="宋体" w:eastAsia="宋体" w:cs="宋体"/>
          <w:b/>
          <w:snapToGrid w:val="0"/>
          <w:color w:val="auto"/>
          <w:kern w:val="0"/>
          <w:sz w:val="24"/>
          <w:szCs w:val="24"/>
          <w:highlight w:val="none"/>
        </w:rPr>
      </w:pPr>
      <w:bookmarkStart w:id="96" w:name="_Toc32090"/>
      <w:bookmarkStart w:id="97" w:name="_Toc15062"/>
      <w:bookmarkStart w:id="98" w:name="_Toc3493"/>
      <w:bookmarkStart w:id="99" w:name="_Toc8710"/>
      <w:r>
        <w:rPr>
          <w:rFonts w:hint="eastAsia" w:ascii="宋体" w:hAnsi="宋体" w:eastAsia="宋体" w:cs="宋体"/>
          <w:b/>
          <w:bCs/>
          <w:snapToGrid w:val="0"/>
          <w:color w:val="auto"/>
          <w:kern w:val="0"/>
          <w:sz w:val="24"/>
          <w:szCs w:val="24"/>
          <w:highlight w:val="none"/>
        </w:rPr>
        <w:t>10.1</w:t>
      </w:r>
      <w:r>
        <w:rPr>
          <w:rFonts w:hint="eastAsia" w:ascii="宋体" w:hAnsi="宋体" w:eastAsia="宋体" w:cs="宋体"/>
          <w:bCs/>
          <w:snapToGrid w:val="0"/>
          <w:color w:val="auto"/>
          <w:kern w:val="0"/>
          <w:sz w:val="24"/>
          <w:szCs w:val="24"/>
          <w:highlight w:val="none"/>
        </w:rPr>
        <w:t xml:space="preserve"> 一般要求</w:t>
      </w:r>
      <w:bookmarkEnd w:id="95"/>
      <w:bookmarkEnd w:id="96"/>
      <w:bookmarkEnd w:id="97"/>
      <w:bookmarkEnd w:id="98"/>
      <w:bookmarkEnd w:id="99"/>
    </w:p>
    <w:p w14:paraId="7042858A">
      <w:pPr>
        <w:pStyle w:val="12"/>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投标文件应按第六章 投标文件格式规定的内容，投标人提交的投标文件应当使用招标文件所提供的投标文件全部格式。</w:t>
      </w:r>
    </w:p>
    <w:p w14:paraId="4B261205">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10.1.1</w:t>
      </w:r>
      <w:r>
        <w:rPr>
          <w:rFonts w:hint="eastAsia" w:ascii="宋体" w:hAnsi="宋体" w:eastAsia="宋体" w:cs="宋体"/>
          <w:snapToGrid w:val="0"/>
          <w:color w:val="auto"/>
          <w:kern w:val="0"/>
          <w:sz w:val="24"/>
          <w:szCs w:val="24"/>
          <w:highlight w:val="none"/>
        </w:rPr>
        <w:t xml:space="preserve"> 投标人必须响应招标文件，并在充分理解招标人提供的全部文件、设计图纸、资料及现场条件的基础</w:t>
      </w:r>
      <w:bookmarkStart w:id="100" w:name="_Hlt78709790"/>
      <w:bookmarkEnd w:id="100"/>
      <w:r>
        <w:rPr>
          <w:rFonts w:hint="eastAsia" w:ascii="宋体" w:hAnsi="宋体" w:eastAsia="宋体" w:cs="宋体"/>
          <w:snapToGrid w:val="0"/>
          <w:color w:val="auto"/>
          <w:kern w:val="0"/>
          <w:sz w:val="24"/>
          <w:szCs w:val="24"/>
          <w:highlight w:val="none"/>
        </w:rPr>
        <w:t>上编制投标文件。因投标文件不符合招标文件的要求而造成的损失和后果，由投标人自行承担。</w:t>
      </w:r>
      <w:bookmarkStart w:id="101" w:name="_Hlt74496890"/>
      <w:bookmarkEnd w:id="101"/>
    </w:p>
    <w:p w14:paraId="4FBAC89E">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10.1.2</w:t>
      </w:r>
      <w:r>
        <w:rPr>
          <w:rFonts w:hint="eastAsia" w:ascii="宋体" w:hAnsi="宋体" w:eastAsia="宋体" w:cs="宋体"/>
          <w:snapToGrid w:val="0"/>
          <w:color w:val="auto"/>
          <w:kern w:val="0"/>
          <w:sz w:val="24"/>
          <w:szCs w:val="24"/>
          <w:highlight w:val="none"/>
        </w:rPr>
        <w:t xml:space="preserve">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ascii="宋体" w:hAnsi="宋体" w:eastAsia="宋体" w:cs="宋体"/>
          <w:snapToGrid w:val="0"/>
          <w:color w:val="auto"/>
          <w:kern w:val="0"/>
          <w:sz w:val="24"/>
          <w:szCs w:val="24"/>
          <w:highlight w:val="none"/>
          <w:lang w:eastAsia="zh-CN"/>
        </w:rPr>
        <w:t>全国公共资源交易平台（广东省·韶关市）</w:t>
      </w:r>
      <w:r>
        <w:rPr>
          <w:rFonts w:hint="eastAsia" w:ascii="宋体" w:hAnsi="宋体" w:eastAsia="宋体" w:cs="宋体"/>
          <w:snapToGrid w:val="0"/>
          <w:color w:val="auto"/>
          <w:kern w:val="0"/>
          <w:sz w:val="24"/>
          <w:szCs w:val="24"/>
          <w:highlight w:val="none"/>
        </w:rPr>
        <w:t>交易指引。</w:t>
      </w:r>
    </w:p>
    <w:p w14:paraId="3188623D">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w:t>
      </w:r>
      <w:r>
        <w:rPr>
          <w:rFonts w:hint="eastAsia" w:ascii="宋体" w:hAnsi="宋体" w:eastAsia="宋体" w:cs="宋体"/>
          <w:snapToGrid w:val="0"/>
          <w:color w:val="auto"/>
          <w:kern w:val="0"/>
          <w:sz w:val="24"/>
          <w:szCs w:val="24"/>
          <w:highlight w:val="none"/>
        </w:rPr>
        <w:t>投标文件需按以下要求签字、盖章：电子投标文件：</w:t>
      </w:r>
    </w:p>
    <w:p w14:paraId="6012A029">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10.1.3.1</w:t>
      </w:r>
      <w:r>
        <w:rPr>
          <w:rFonts w:hint="eastAsia" w:ascii="宋体" w:hAnsi="宋体" w:eastAsia="宋体" w:cs="宋体"/>
          <w:snapToGrid w:val="0"/>
          <w:color w:val="auto"/>
          <w:kern w:val="0"/>
          <w:sz w:val="24"/>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65CB7E9D">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10.1.3.2</w:t>
      </w:r>
      <w:r>
        <w:rPr>
          <w:rFonts w:hint="eastAsia" w:ascii="宋体" w:hAnsi="宋体" w:eastAsia="宋体" w:cs="宋体"/>
          <w:snapToGrid w:val="0"/>
          <w:color w:val="auto"/>
          <w:kern w:val="0"/>
          <w:sz w:val="24"/>
          <w:szCs w:val="24"/>
          <w:highlight w:val="none"/>
        </w:rPr>
        <w:t>投标文件封套、封面、组成内容中凡要求录入投标人名称且注明“盖单位章”处盖单位法人公章（电子印章）。</w:t>
      </w:r>
    </w:p>
    <w:p w14:paraId="76BF475D">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10.1.3.3 </w:t>
      </w:r>
      <w:r>
        <w:rPr>
          <w:rFonts w:hint="eastAsia" w:ascii="宋体" w:hAnsi="宋体" w:eastAsia="宋体" w:cs="宋体"/>
          <w:snapToGrid w:val="0"/>
          <w:color w:val="auto"/>
          <w:kern w:val="0"/>
          <w:sz w:val="24"/>
          <w:szCs w:val="24"/>
          <w:highlight w:val="none"/>
        </w:rPr>
        <w:t>投标文件的签字均为签字人本人亲笔署名或签章（电子印章），其余部分的复印件无须另行签字、盖章。</w:t>
      </w:r>
    </w:p>
    <w:p w14:paraId="557D78D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10.1.3.4</w:t>
      </w:r>
      <w:r>
        <w:rPr>
          <w:rFonts w:hint="eastAsia" w:ascii="宋体" w:hAnsi="宋体" w:eastAsia="宋体" w:cs="宋体"/>
          <w:snapToGrid w:val="0"/>
          <w:color w:val="auto"/>
          <w:kern w:val="0"/>
          <w:sz w:val="24"/>
          <w:szCs w:val="24"/>
          <w:highlight w:val="none"/>
        </w:rPr>
        <w:t xml:space="preserve"> 联合体投标的，除《联合体协议书》外，由联合体牵头人按以上要求签亲笔署名或签章（电子印章）即可。</w:t>
      </w:r>
      <w:bookmarkStart w:id="102" w:name="_Toc257031159"/>
      <w:bookmarkStart w:id="103" w:name="_Toc29774"/>
      <w:bookmarkStart w:id="104" w:name="_Toc274313880"/>
    </w:p>
    <w:p w14:paraId="56CC41CD">
      <w:pPr>
        <w:pStyle w:val="4"/>
        <w:keepNext w:val="0"/>
        <w:keepLines w:val="0"/>
        <w:pageBreakBefore w:val="0"/>
        <w:kinsoku/>
        <w:wordWrap w:val="0"/>
        <w:overflowPunct/>
        <w:topLinePunct w:val="0"/>
        <w:autoSpaceDE/>
        <w:autoSpaceDN/>
        <w:bidi w:val="0"/>
        <w:adjustRightInd w:val="0"/>
        <w:snapToGrid w:val="0"/>
        <w:spacing w:beforeLines="0" w:afterLines="0" w:line="360" w:lineRule="auto"/>
        <w:ind w:left="0" w:leftChars="0" w:right="0" w:firstLine="482" w:firstLineChars="200"/>
        <w:jc w:val="both"/>
        <w:rPr>
          <w:rFonts w:hint="eastAsia" w:ascii="宋体" w:hAnsi="宋体" w:eastAsia="宋体" w:cs="宋体"/>
          <w:b w:val="0"/>
          <w:bCs w:val="0"/>
          <w:snapToGrid w:val="0"/>
          <w:color w:val="auto"/>
          <w:kern w:val="0"/>
          <w:sz w:val="24"/>
          <w:szCs w:val="24"/>
          <w:highlight w:val="none"/>
        </w:rPr>
      </w:pPr>
      <w:bookmarkStart w:id="105" w:name="_Toc3004"/>
      <w:bookmarkStart w:id="106" w:name="_Toc2278"/>
      <w:bookmarkStart w:id="107" w:name="_Toc27367"/>
      <w:bookmarkStart w:id="108" w:name="_Toc18037"/>
      <w:r>
        <w:rPr>
          <w:rFonts w:hint="eastAsia" w:ascii="宋体" w:hAnsi="宋体" w:eastAsia="宋体" w:cs="宋体"/>
          <w:b/>
          <w:bCs/>
          <w:snapToGrid w:val="0"/>
          <w:color w:val="auto"/>
          <w:kern w:val="0"/>
          <w:sz w:val="24"/>
          <w:szCs w:val="24"/>
          <w:highlight w:val="none"/>
        </w:rPr>
        <w:t xml:space="preserve">10.2 </w:t>
      </w:r>
      <w:r>
        <w:rPr>
          <w:rFonts w:hint="eastAsia" w:ascii="宋体" w:hAnsi="宋体" w:eastAsia="宋体" w:cs="宋体"/>
          <w:b w:val="0"/>
          <w:bCs w:val="0"/>
          <w:snapToGrid w:val="0"/>
          <w:color w:val="auto"/>
          <w:kern w:val="0"/>
          <w:sz w:val="24"/>
          <w:szCs w:val="24"/>
          <w:highlight w:val="none"/>
        </w:rPr>
        <w:t>商务标书的编制要求</w:t>
      </w:r>
      <w:bookmarkEnd w:id="102"/>
      <w:bookmarkEnd w:id="103"/>
      <w:bookmarkEnd w:id="104"/>
      <w:bookmarkEnd w:id="105"/>
      <w:bookmarkEnd w:id="106"/>
      <w:bookmarkEnd w:id="107"/>
      <w:bookmarkEnd w:id="108"/>
    </w:p>
    <w:p w14:paraId="6599076A">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rPr>
        <w:t>商务标书</w:t>
      </w:r>
      <w:r>
        <w:rPr>
          <w:rFonts w:hint="eastAsia" w:ascii="宋体" w:hAnsi="宋体" w:eastAsia="宋体" w:cs="宋体"/>
          <w:snapToGrid w:val="0"/>
          <w:color w:val="auto"/>
          <w:kern w:val="0"/>
          <w:sz w:val="24"/>
          <w:szCs w:val="24"/>
          <w:highlight w:val="none"/>
        </w:rPr>
        <w:t>包括但不限于以下内容：</w:t>
      </w:r>
    </w:p>
    <w:p w14:paraId="57244A7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334047B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（2）目录； </w:t>
      </w:r>
    </w:p>
    <w:p w14:paraId="259C4E9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（3）《投标函》（格式二）；</w:t>
      </w:r>
    </w:p>
    <w:p w14:paraId="11BEC83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（4）《各项承诺一览表》（格式三）；</w:t>
      </w:r>
    </w:p>
    <w:p w14:paraId="37F2EC2F">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（5）《授权委托书》（格式四）；</w:t>
      </w:r>
    </w:p>
    <w:p w14:paraId="3969470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（6）《法定代表人身份证明》（格式五）；</w:t>
      </w:r>
    </w:p>
    <w:p w14:paraId="25A3E1B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（7）《联合体协议书》（格式六）及所附资料；</w:t>
      </w:r>
    </w:p>
    <w:p w14:paraId="3EA17C4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（8）投标保证缴纳证明（投标人采用投标保证金的，附建设工程交易系统《缴纳投标保证金通知书》页面截图打印件和银行转账单</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；采用投标保证担保的，附银行保函</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；采用投标保证保险的，附电子保单和</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韶关市公共资源交易一体化平台保证金缴纳信息</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snapToGrid w:val="0"/>
          <w:color w:val="auto"/>
          <w:kern w:val="0"/>
          <w:sz w:val="24"/>
          <w:szCs w:val="24"/>
          <w:highlight w:val="none"/>
        </w:rPr>
        <w:t>页面截图）；</w:t>
      </w:r>
    </w:p>
    <w:p w14:paraId="0D262DD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（9）《投标人基本情况表》（格式七）及所附资料；</w:t>
      </w:r>
    </w:p>
    <w:p w14:paraId="3180A4A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（10）《项目经理简历表》（格式八）及所附资料；</w:t>
      </w:r>
    </w:p>
    <w:p w14:paraId="479569D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（11）《项目经理任职声明》（格式九）；</w:t>
      </w:r>
    </w:p>
    <w:p w14:paraId="55D40E7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（12）《项目技术负责人简历表》（格式十）及所附资料；</w:t>
      </w:r>
    </w:p>
    <w:p w14:paraId="17540D2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13</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《专职安全员简历表》（格式十一）及所附资料</w:t>
      </w:r>
      <w:r>
        <w:rPr>
          <w:rFonts w:hint="eastAsia" w:ascii="宋体" w:hAnsi="宋体" w:eastAsia="宋体" w:cs="宋体"/>
          <w:snapToGrid w:val="0"/>
          <w:color w:val="auto"/>
          <w:kern w:val="0"/>
          <w:sz w:val="24"/>
          <w:szCs w:val="24"/>
          <w:highlight w:val="none"/>
          <w:lang w:val="en-US" w:eastAsia="zh-CN"/>
        </w:rPr>
        <w:t>；</w:t>
      </w:r>
    </w:p>
    <w:p w14:paraId="2338B1D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）《项目管理机构组成表》（格式十</w:t>
      </w:r>
      <w:r>
        <w:rPr>
          <w:rFonts w:hint="eastAsia" w:ascii="宋体" w:hAnsi="宋体" w:eastAsia="宋体" w:cs="宋体"/>
          <w:snapToGrid w:val="0"/>
          <w:color w:val="auto"/>
          <w:kern w:val="0"/>
          <w:sz w:val="24"/>
          <w:szCs w:val="24"/>
          <w:highlight w:val="none"/>
          <w:lang w:val="en-US" w:eastAsia="zh-CN"/>
        </w:rPr>
        <w:t>二</w:t>
      </w:r>
      <w:r>
        <w:rPr>
          <w:rFonts w:hint="eastAsia" w:ascii="宋体" w:hAnsi="宋体" w:eastAsia="宋体" w:cs="宋体"/>
          <w:snapToGrid w:val="0"/>
          <w:color w:val="auto"/>
          <w:kern w:val="0"/>
          <w:sz w:val="24"/>
          <w:szCs w:val="24"/>
          <w:highlight w:val="none"/>
        </w:rPr>
        <w:t>）及所附资料；</w:t>
      </w:r>
    </w:p>
    <w:p w14:paraId="10DE681F">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）本节第15.5.1目“评标方法”要求提供的评审资料；</w:t>
      </w:r>
    </w:p>
    <w:p w14:paraId="0A54ABB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2106DCE8">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目中所列出的商务标书组成内容中，第（1）至第（1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）项所有投标人均应提供，</w:t>
      </w:r>
      <w:r>
        <w:rPr>
          <w:rFonts w:hint="eastAsia" w:ascii="宋体" w:hAnsi="宋体" w:eastAsia="宋体" w:cs="宋体"/>
          <w:b/>
          <w:bCs/>
          <w:snapToGrid w:val="0"/>
          <w:color w:val="auto"/>
          <w:kern w:val="0"/>
          <w:sz w:val="24"/>
          <w:szCs w:val="24"/>
          <w:highlight w:val="none"/>
        </w:rPr>
        <w:t>但非联合体投标的，无需提供第（7）项内容。</w:t>
      </w:r>
    </w:p>
    <w:p w14:paraId="2E24DA0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10.2.3</w:t>
      </w:r>
      <w:r>
        <w:rPr>
          <w:rFonts w:hint="eastAsia" w:ascii="宋体" w:hAnsi="宋体" w:eastAsia="宋体" w:cs="宋体"/>
          <w:b w:val="0"/>
          <w:bCs w:val="0"/>
          <w:snapToGrid w:val="0"/>
          <w:color w:val="auto"/>
          <w:kern w:val="0"/>
          <w:sz w:val="24"/>
          <w:szCs w:val="24"/>
          <w:highlight w:val="none"/>
          <w:lang w:val="en-US" w:eastAsia="zh-CN"/>
        </w:rPr>
        <w:t>商务标书的组成内容按本节第 10.2.1 目规定的顺序整理、编排后，逐页（页码起始从封面开始）连续标记页码。</w:t>
      </w:r>
    </w:p>
    <w:p w14:paraId="5E0D2034">
      <w:pPr>
        <w:pStyle w:val="4"/>
        <w:keepNext w:val="0"/>
        <w:keepLines w:val="0"/>
        <w:pageBreakBefore w:val="0"/>
        <w:kinsoku/>
        <w:wordWrap w:val="0"/>
        <w:overflowPunct/>
        <w:topLinePunct w:val="0"/>
        <w:autoSpaceDE/>
        <w:autoSpaceDN/>
        <w:bidi w:val="0"/>
        <w:adjustRightInd w:val="0"/>
        <w:snapToGrid w:val="0"/>
        <w:spacing w:beforeLines="0" w:afterLines="0" w:line="360" w:lineRule="auto"/>
        <w:ind w:left="0" w:leftChars="0" w:right="0" w:firstLine="482" w:firstLineChars="200"/>
        <w:jc w:val="both"/>
        <w:rPr>
          <w:rFonts w:hint="eastAsia" w:ascii="宋体" w:hAnsi="宋体" w:eastAsia="宋体" w:cs="宋体"/>
          <w:b/>
          <w:bCs/>
          <w:snapToGrid w:val="0"/>
          <w:color w:val="auto"/>
          <w:kern w:val="0"/>
          <w:sz w:val="24"/>
          <w:szCs w:val="24"/>
          <w:highlight w:val="none"/>
        </w:rPr>
      </w:pPr>
      <w:bookmarkStart w:id="109" w:name="_Toc274313881"/>
      <w:bookmarkStart w:id="110" w:name="_Toc30069"/>
      <w:bookmarkStart w:id="111" w:name="_Toc24061"/>
      <w:bookmarkStart w:id="112" w:name="_Toc1257"/>
      <w:bookmarkStart w:id="113" w:name="_Toc23486"/>
      <w:bookmarkStart w:id="114" w:name="_Toc6621"/>
      <w:r>
        <w:rPr>
          <w:rFonts w:hint="eastAsia" w:ascii="宋体" w:hAnsi="宋体" w:eastAsia="宋体" w:cs="宋体"/>
          <w:b/>
          <w:bCs/>
          <w:snapToGrid w:val="0"/>
          <w:color w:val="auto"/>
          <w:kern w:val="0"/>
          <w:sz w:val="24"/>
          <w:szCs w:val="24"/>
          <w:highlight w:val="none"/>
        </w:rPr>
        <w:t>10.3</w:t>
      </w:r>
      <w:bookmarkStart w:id="115" w:name="_Hlt69670035"/>
      <w:bookmarkEnd w:id="115"/>
      <w:r>
        <w:rPr>
          <w:rFonts w:hint="eastAsia" w:ascii="宋体" w:hAnsi="宋体" w:eastAsia="宋体" w:cs="宋体"/>
          <w:b/>
          <w:bCs/>
          <w:snapToGrid w:val="0"/>
          <w:color w:val="auto"/>
          <w:kern w:val="0"/>
          <w:sz w:val="24"/>
          <w:szCs w:val="24"/>
          <w:highlight w:val="none"/>
        </w:rPr>
        <w:t xml:space="preserve"> 经济标书的编制要求</w:t>
      </w:r>
      <w:bookmarkEnd w:id="109"/>
      <w:bookmarkEnd w:id="110"/>
      <w:bookmarkEnd w:id="111"/>
      <w:bookmarkEnd w:id="112"/>
      <w:bookmarkEnd w:id="113"/>
      <w:bookmarkEnd w:id="114"/>
    </w:p>
    <w:p w14:paraId="7CEA28A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 xml:space="preserve"> 经济标书包括以下内容：</w:t>
      </w:r>
    </w:p>
    <w:p w14:paraId="19ADA4F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00FD861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185A08A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（3）《投标总价》；</w:t>
      </w:r>
    </w:p>
    <w:p w14:paraId="1D9C0D4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说明：《投标总价》的格式按照</w:t>
      </w:r>
      <w:r>
        <w:rPr>
          <w:rFonts w:hint="eastAsia" w:ascii="宋体" w:hAnsi="宋体" w:eastAsia="宋体" w:cs="宋体"/>
          <w:snapToGrid w:val="0"/>
          <w:color w:val="auto"/>
          <w:kern w:val="0"/>
          <w:sz w:val="24"/>
          <w:szCs w:val="24"/>
          <w:highlight w:val="none"/>
          <w:lang w:val="en-US" w:eastAsia="zh-CN"/>
        </w:rPr>
        <w:t>《建设工程工程量清单计价标准》(GB/T50500-2024)</w:t>
      </w:r>
      <w:r>
        <w:rPr>
          <w:rFonts w:hint="eastAsia" w:ascii="宋体" w:hAnsi="宋体" w:eastAsia="宋体" w:cs="宋体"/>
          <w:snapToGrid w:val="0"/>
          <w:color w:val="auto"/>
          <w:kern w:val="0"/>
          <w:sz w:val="24"/>
          <w:szCs w:val="24"/>
          <w:highlight w:val="none"/>
        </w:rPr>
        <w:t>执行，并应满足以下要求：</w:t>
      </w:r>
    </w:p>
    <w:p w14:paraId="62970EB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spacing w:val="-2"/>
          <w:sz w:val="24"/>
          <w:szCs w:val="24"/>
          <w:highlight w:val="none"/>
        </w:rPr>
        <w:t>《投标总价》后应附编制人的造价工程师注册证书彩色扫描件（须扫描至变更注册栏，</w:t>
      </w:r>
      <w:r>
        <w:rPr>
          <w:rFonts w:hint="eastAsia" w:ascii="宋体" w:hAnsi="宋体" w:eastAsia="宋体" w:cs="宋体"/>
          <w:b w:val="0"/>
          <w:bCs w:val="0"/>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并在该页后附造价咨询人的营业执照扫描件。</w:t>
      </w:r>
    </w:p>
    <w:p w14:paraId="37409A4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w:t>
      </w:r>
      <w:bookmarkStart w:id="116" w:name="_Hlt69699579"/>
      <w:bookmarkEnd w:id="116"/>
      <w:r>
        <w:rPr>
          <w:rFonts w:hint="eastAsia" w:ascii="宋体" w:hAnsi="宋体" w:eastAsia="宋体" w:cs="宋体"/>
          <w:snapToGrid w:val="0"/>
          <w:color w:val="auto"/>
          <w:kern w:val="0"/>
          <w:sz w:val="24"/>
          <w:szCs w:val="24"/>
          <w:highlight w:val="none"/>
        </w:rPr>
        <w:t>投标人认为有必要补充的其他资料（例如关于投标总价下浮率超过15%的书面说明和佐证材料）。</w:t>
      </w:r>
    </w:p>
    <w:p w14:paraId="18AF6EA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目中所列出的经济标书组成内容中，第（1）至第（3）项所有投标人均应提供</w:t>
      </w:r>
      <w:bookmarkStart w:id="117" w:name="_Hlt145127239"/>
      <w:bookmarkEnd w:id="117"/>
      <w:bookmarkStart w:id="118" w:name="_Toc7035"/>
      <w:r>
        <w:rPr>
          <w:rFonts w:hint="eastAsia" w:ascii="宋体" w:hAnsi="宋体" w:eastAsia="宋体" w:cs="宋体"/>
          <w:snapToGrid w:val="0"/>
          <w:color w:val="auto"/>
          <w:kern w:val="0"/>
          <w:sz w:val="24"/>
          <w:szCs w:val="24"/>
          <w:highlight w:val="none"/>
        </w:rPr>
        <w:t>。</w:t>
      </w:r>
    </w:p>
    <w:p w14:paraId="4DC1329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经济标书的组成内容按本节第10.3.1目规定的顺序整理、编排后，逐页（页码起始从封面开始）连续标记页码。</w:t>
      </w:r>
    </w:p>
    <w:p w14:paraId="1108FDA3">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w:t>
      </w:r>
      <w:r>
        <w:rPr>
          <w:rFonts w:hint="eastAsia" w:ascii="宋体" w:hAnsi="宋体" w:eastAsia="宋体" w:cs="宋体"/>
          <w:bCs/>
          <w:snapToGrid w:val="0"/>
          <w:color w:val="auto"/>
          <w:kern w:val="0"/>
          <w:sz w:val="24"/>
          <w:szCs w:val="24"/>
          <w:highlight w:val="none"/>
        </w:rPr>
        <w:t xml:space="preserve"> 施工组织设计的编制要求</w:t>
      </w:r>
    </w:p>
    <w:p w14:paraId="53FC768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施工组织设计的编制依据包括且不限于</w:t>
      </w:r>
      <w:r>
        <w:rPr>
          <w:rFonts w:hint="eastAsia" w:ascii="宋体" w:hAnsi="宋体" w:eastAsia="宋体" w:cs="宋体"/>
          <w:bCs/>
          <w:snapToGrid w:val="0"/>
          <w:color w:val="auto"/>
          <w:kern w:val="0"/>
          <w:sz w:val="24"/>
          <w:szCs w:val="24"/>
          <w:highlight w:val="none"/>
        </w:rPr>
        <w:t>：</w:t>
      </w:r>
    </w:p>
    <w:p w14:paraId="4792F47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（1）招标文件及</w:t>
      </w:r>
      <w:r>
        <w:rPr>
          <w:rFonts w:hint="eastAsia" w:ascii="宋体" w:hAnsi="宋体" w:eastAsia="宋体" w:cs="宋体"/>
          <w:snapToGrid w:val="0"/>
          <w:color w:val="auto"/>
          <w:kern w:val="0"/>
          <w:sz w:val="24"/>
          <w:szCs w:val="24"/>
          <w:highlight w:val="none"/>
        </w:rPr>
        <w:t>其答疑（或修改）公告；</w:t>
      </w:r>
    </w:p>
    <w:p w14:paraId="0089846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（2）施工图及相关资料；</w:t>
      </w:r>
    </w:p>
    <w:p w14:paraId="7FFDB39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（3）施工现场情况、工程特点；</w:t>
      </w:r>
    </w:p>
    <w:p w14:paraId="77A22E1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（4）相关法律、法规、规定；</w:t>
      </w:r>
    </w:p>
    <w:p w14:paraId="5F6096B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0FF00AE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（6）企业内部标准、工法。</w:t>
      </w:r>
    </w:p>
    <w:p w14:paraId="215DB10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10.4.2</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施工组织设计包括但不限于以下内容：</w:t>
      </w:r>
    </w:p>
    <w:p w14:paraId="118F7F6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0418AE0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2941539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（3）总体概述（包括施工程序总体设想及施工段划分等内容）；</w:t>
      </w:r>
    </w:p>
    <w:p w14:paraId="059C77A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5247D07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（5）质量保证措施（包括质量管理目标；相应保证措施；违约责任承诺等内容）；</w:t>
      </w:r>
    </w:p>
    <w:p w14:paraId="1993F8D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（6）施工技术措施（包括关键施工技术、工艺及工程项目实施的重点、难点分析和解决方案；新技术应用与承诺等内容）；</w:t>
      </w:r>
    </w:p>
    <w:p w14:paraId="2608709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（7）绿色施工、安全防护、文明施工措施计划；</w:t>
      </w:r>
    </w:p>
    <w:p w14:paraId="0CB5FB9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7D2AA36C">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i/>
          <w:i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（9）项目管理机构。</w:t>
      </w:r>
    </w:p>
    <w:p w14:paraId="579062E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（10）投标人认为有必要补充的其他内容（例如对总包管理的认识以及对专业分包工程的管理、协调、配合、服务方案）。</w:t>
      </w:r>
    </w:p>
    <w:p w14:paraId="40970C5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10.4.3</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10.4.2</w:t>
      </w:r>
      <w:r>
        <w:rPr>
          <w:rFonts w:hint="eastAsia" w:ascii="宋体" w:hAnsi="宋体" w:eastAsia="宋体" w:cs="宋体"/>
          <w:snapToGrid w:val="0"/>
          <w:color w:val="auto"/>
          <w:kern w:val="0"/>
          <w:sz w:val="24"/>
          <w:szCs w:val="24"/>
          <w:highlight w:val="none"/>
        </w:rPr>
        <w:t>目中所列出的施工组织设计组成内容中，第（1）至第（9）项所有投标人均应提供。</w:t>
      </w:r>
    </w:p>
    <w:p w14:paraId="535615B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施工组织设计的组成内容按本节第10.4.2目规定的顺序整理、编排后，逐页（页码起始从封面开始）连续标记页码。</w:t>
      </w:r>
      <w:r>
        <w:rPr>
          <w:rFonts w:hint="eastAsia" w:ascii="宋体" w:hAnsi="宋体" w:eastAsia="宋体" w:cs="宋体"/>
          <w:snapToGrid w:val="0"/>
          <w:color w:val="auto"/>
          <w:kern w:val="0"/>
          <w:sz w:val="24"/>
          <w:szCs w:val="24"/>
          <w:highlight w:val="none"/>
        </w:rPr>
        <w:t xml:space="preserve">  </w:t>
      </w:r>
    </w:p>
    <w:bookmarkEnd w:id="118"/>
    <w:p w14:paraId="52E748F8">
      <w:pPr>
        <w:rPr>
          <w:rFonts w:hint="eastAsia" w:ascii="宋体" w:hAnsi="宋体" w:eastAsia="宋体" w:cs="宋体"/>
          <w:color w:val="auto"/>
        </w:rPr>
      </w:pPr>
      <w:bookmarkStart w:id="119" w:name="_Toc18012"/>
      <w:bookmarkStart w:id="120" w:name="_Toc32203"/>
    </w:p>
    <w:p w14:paraId="7A9E63DC">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Fonts w:hint="eastAsia" w:ascii="宋体" w:hAnsi="宋体" w:eastAsia="宋体" w:cs="宋体"/>
          <w:bCs/>
          <w:snapToGrid w:val="0"/>
          <w:color w:val="auto"/>
          <w:sz w:val="24"/>
          <w:szCs w:val="24"/>
          <w:highlight w:val="none"/>
        </w:rPr>
      </w:pPr>
      <w:bookmarkStart w:id="121" w:name="_Toc5963"/>
      <w:r>
        <w:rPr>
          <w:rStyle w:val="154"/>
          <w:rFonts w:hint="eastAsia" w:ascii="宋体" w:hAnsi="宋体" w:eastAsia="宋体" w:cs="宋体"/>
          <w:color w:val="auto"/>
          <w:sz w:val="24"/>
          <w:szCs w:val="24"/>
          <w:lang w:val="en-US" w:eastAsia="zh-CN"/>
        </w:rPr>
        <w:t>11.电子投标</w:t>
      </w:r>
      <w:bookmarkEnd w:id="119"/>
      <w:bookmarkEnd w:id="121"/>
    </w:p>
    <w:p w14:paraId="31CB50F9">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
          <w:snapToGrid w:val="0"/>
          <w:color w:val="auto"/>
          <w:sz w:val="24"/>
          <w:szCs w:val="24"/>
          <w:highlight w:val="none"/>
        </w:rPr>
      </w:pPr>
      <w:bookmarkStart w:id="122" w:name="_Hlt88627590"/>
      <w:bookmarkEnd w:id="122"/>
      <w:r>
        <w:rPr>
          <w:rFonts w:hint="eastAsia" w:ascii="宋体" w:hAnsi="宋体" w:eastAsia="宋体" w:cs="宋体"/>
          <w:b/>
          <w:bCs w:val="0"/>
          <w:snapToGrid w:val="0"/>
          <w:color w:val="auto"/>
          <w:sz w:val="24"/>
          <w:szCs w:val="24"/>
          <w:highlight w:val="none"/>
        </w:rPr>
        <w:t>11.1</w:t>
      </w:r>
      <w:r>
        <w:rPr>
          <w:rFonts w:hint="eastAsia" w:ascii="宋体" w:hAnsi="宋体" w:eastAsia="宋体" w:cs="宋体"/>
          <w:b w:val="0"/>
          <w:bCs/>
          <w:snapToGrid w:val="0"/>
          <w:color w:val="auto"/>
          <w:sz w:val="24"/>
          <w:szCs w:val="24"/>
          <w:highlight w:val="none"/>
          <w:lang w:val="en-US" w:eastAsia="zh-CN"/>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D2DB26E">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bookmarkStart w:id="123" w:name="_Hlt127590288"/>
      <w:bookmarkEnd w:id="123"/>
      <w:r>
        <w:rPr>
          <w:rFonts w:hint="eastAsia" w:ascii="宋体" w:hAnsi="宋体" w:eastAsia="宋体" w:cs="宋体"/>
          <w:b/>
          <w:bCs w:val="0"/>
          <w:snapToGrid w:val="0"/>
          <w:color w:val="auto"/>
          <w:sz w:val="24"/>
          <w:szCs w:val="24"/>
          <w:highlight w:val="none"/>
        </w:rPr>
        <w:t>11.2</w:t>
      </w:r>
      <w:r>
        <w:rPr>
          <w:rFonts w:hint="eastAsia" w:ascii="宋体" w:hAnsi="宋体" w:eastAsia="宋体" w:cs="宋体"/>
          <w:bCs/>
          <w:snapToGrid w:val="0"/>
          <w:color w:val="auto"/>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bookmarkEnd w:id="120"/>
    </w:p>
    <w:p w14:paraId="1CE24FDD">
      <w:pPr>
        <w:rPr>
          <w:rFonts w:hint="eastAsia" w:ascii="宋体" w:hAnsi="宋体" w:eastAsia="宋体" w:cs="宋体"/>
          <w:color w:val="auto"/>
          <w:lang w:val="en-US" w:eastAsia="zh-CN"/>
        </w:rPr>
      </w:pPr>
      <w:bookmarkStart w:id="124" w:name="_Toc25051"/>
    </w:p>
    <w:p w14:paraId="28E13027">
      <w:pPr>
        <w:pStyle w:val="136"/>
        <w:keepNext w:val="0"/>
        <w:keepLines w:val="0"/>
        <w:pageBreakBefore w:val="0"/>
        <w:widowControl w:val="0"/>
        <w:kinsoku/>
        <w:wordWrap w:val="0"/>
        <w:overflowPunct/>
        <w:topLinePunct w:val="0"/>
        <w:autoSpaceDE/>
        <w:autoSpaceDN/>
        <w:bidi w:val="0"/>
        <w:adjustRightInd w:val="0"/>
        <w:snapToGrid w:val="0"/>
        <w:spacing w:line="360" w:lineRule="auto"/>
        <w:ind w:right="0" w:firstLine="482" w:firstLineChars="200"/>
        <w:jc w:val="left"/>
        <w:textAlignment w:val="auto"/>
        <w:rPr>
          <w:rStyle w:val="154"/>
          <w:rFonts w:hint="eastAsia" w:ascii="宋体" w:hAnsi="宋体" w:eastAsia="宋体" w:cs="宋体"/>
          <w:color w:val="auto"/>
          <w:kern w:val="2"/>
          <w:sz w:val="24"/>
          <w:szCs w:val="24"/>
          <w:lang w:val="en-US" w:eastAsia="zh-CN" w:bidi="ar-SA"/>
        </w:rPr>
      </w:pPr>
      <w:r>
        <w:rPr>
          <w:rStyle w:val="154"/>
          <w:rFonts w:hint="eastAsia" w:ascii="宋体" w:hAnsi="宋体" w:eastAsia="宋体" w:cs="宋体"/>
          <w:color w:val="auto"/>
          <w:kern w:val="2"/>
          <w:sz w:val="24"/>
          <w:szCs w:val="24"/>
          <w:lang w:val="en-US" w:eastAsia="zh-CN" w:bidi="ar-SA"/>
        </w:rPr>
        <w:t>12.电子投标及投标解密失败及突发情况的补救方案</w:t>
      </w:r>
    </w:p>
    <w:bookmarkEnd w:id="124"/>
    <w:p w14:paraId="2A11A4DB">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12.1</w:t>
      </w:r>
      <w:r>
        <w:rPr>
          <w:rFonts w:hint="eastAsia" w:ascii="宋体" w:hAnsi="宋体" w:eastAsia="宋体" w:cs="宋体"/>
          <w:bCs/>
          <w:snapToGrid w:val="0"/>
          <w:color w:val="auto"/>
          <w:sz w:val="24"/>
          <w:szCs w:val="24"/>
          <w:highlight w:val="none"/>
        </w:rPr>
        <w:t xml:space="preserve">按照交易平台关于全流程电子化项目的相关指南进行操作。详见：全国公共资源交易平台（广东省·韶关市）（https://ygp.gdzwfw.gov.cn/ggzy-portal/#/440200/index）交易指引栏目发布的最新版操作指引。  </w:t>
      </w:r>
    </w:p>
    <w:p w14:paraId="5A18F35F">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12.2</w:t>
      </w:r>
      <w:r>
        <w:rPr>
          <w:rFonts w:hint="eastAsia" w:ascii="宋体" w:hAnsi="宋体" w:eastAsia="宋体" w:cs="宋体"/>
          <w:bCs/>
          <w:snapToGrid w:val="0"/>
          <w:color w:val="auto"/>
          <w:sz w:val="24"/>
          <w:szCs w:val="24"/>
          <w:highlight w:val="none"/>
        </w:rPr>
        <w:t>补救方案：</w:t>
      </w:r>
    </w:p>
    <w:p w14:paraId="73FF47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2"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
          <w:bCs w:val="0"/>
          <w:snapToGrid w:val="0"/>
          <w:color w:val="auto"/>
          <w:sz w:val="24"/>
          <w:szCs w:val="24"/>
          <w:highlight w:val="none"/>
          <w:lang w:val="en-US" w:eastAsia="zh-CN"/>
        </w:rPr>
        <w:t>12.2.1</w:t>
      </w:r>
      <w:r>
        <w:rPr>
          <w:rFonts w:hint="eastAsia" w:ascii="宋体" w:hAnsi="宋体" w:eastAsia="宋体" w:cs="宋体"/>
          <w:bCs/>
          <w:snapToGrid w:val="0"/>
          <w:color w:val="auto"/>
          <w:sz w:val="24"/>
          <w:szCs w:val="24"/>
          <w:highlight w:val="none"/>
        </w:rPr>
        <w:t>投标文件解密失败的补救方案：</w:t>
      </w:r>
    </w:p>
    <w:p w14:paraId="58EDECDB">
      <w:pPr>
        <w:pageBreakBefore w:val="0"/>
        <w:kinsoku/>
        <w:wordWrap w:val="0"/>
        <w:overflowPunct/>
        <w:topLinePunct w:val="0"/>
        <w:autoSpaceDE/>
        <w:autoSpaceDN/>
        <w:bidi w:val="0"/>
        <w:adjustRightInd w:val="0"/>
        <w:spacing w:line="360" w:lineRule="auto"/>
        <w:ind w:left="0" w:leftChars="0" w:right="0"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2778DE7F">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val="0"/>
          <w:snapToGrid w:val="0"/>
          <w:color w:val="auto"/>
          <w:sz w:val="24"/>
          <w:szCs w:val="24"/>
          <w:highlight w:val="none"/>
          <w:lang w:val="en-US" w:eastAsia="zh-CN"/>
        </w:rPr>
        <w:t>12.2.2</w:t>
      </w:r>
      <w:r>
        <w:rPr>
          <w:rFonts w:hint="eastAsia" w:ascii="宋体" w:hAnsi="宋体" w:eastAsia="宋体" w:cs="宋体"/>
          <w:bCs/>
          <w:snapToGrid w:val="0"/>
          <w:color w:val="auto"/>
          <w:sz w:val="24"/>
          <w:szCs w:val="24"/>
          <w:highlight w:val="none"/>
        </w:rPr>
        <w:t>评标时突发情况的补救方案</w:t>
      </w:r>
    </w:p>
    <w:p w14:paraId="02506F98">
      <w:pPr>
        <w:pageBreakBefore w:val="0"/>
        <w:kinsoku/>
        <w:wordWrap w:val="0"/>
        <w:overflowPunct/>
        <w:topLinePunct w:val="0"/>
        <w:autoSpaceDE/>
        <w:autoSpaceDN/>
        <w:bidi w:val="0"/>
        <w:adjustRightInd w:val="0"/>
        <w:spacing w:line="360" w:lineRule="auto"/>
        <w:ind w:left="0" w:leftChars="0" w:right="0"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07179AD">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kern w:val="2"/>
          <w:sz w:val="24"/>
          <w:szCs w:val="24"/>
          <w:highlight w:val="none"/>
          <w:lang w:val="en-US" w:eastAsia="zh-CN" w:bidi="ar-SA"/>
        </w:rPr>
      </w:pPr>
      <w:r>
        <w:rPr>
          <w:rFonts w:hint="eastAsia" w:ascii="宋体" w:hAnsi="宋体" w:eastAsia="宋体" w:cs="宋体"/>
          <w:b/>
          <w:bCs w:val="0"/>
          <w:snapToGrid w:val="0"/>
          <w:color w:val="auto"/>
          <w:sz w:val="24"/>
          <w:szCs w:val="24"/>
          <w:highlight w:val="none"/>
          <w:lang w:val="en-US" w:eastAsia="zh-CN"/>
        </w:rPr>
        <w:t>12.2.3</w:t>
      </w:r>
      <w:r>
        <w:rPr>
          <w:rFonts w:hint="eastAsia" w:ascii="宋体" w:hAnsi="宋体" w:eastAsia="宋体" w:cs="宋体"/>
          <w:b w:val="0"/>
          <w:bCs/>
          <w:snapToGrid w:val="0"/>
          <w:color w:val="auto"/>
          <w:sz w:val="24"/>
          <w:szCs w:val="24"/>
          <w:highlight w:val="none"/>
          <w:lang w:val="en-US" w:eastAsia="zh-CN"/>
        </w:rPr>
        <w:t>除发生上述情况外，开标评标均以投标人（联合体投标的，由联合体牵头人）通过交易平台网上递交的电子投标文件为准。</w:t>
      </w:r>
    </w:p>
    <w:p w14:paraId="42346281">
      <w:pPr>
        <w:rPr>
          <w:rFonts w:hint="eastAsia" w:ascii="宋体" w:hAnsi="宋体" w:eastAsia="宋体" w:cs="宋体"/>
          <w:color w:val="auto"/>
        </w:rPr>
      </w:pPr>
    </w:p>
    <w:p w14:paraId="34E872B4">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Style w:val="154"/>
          <w:rFonts w:hint="eastAsia" w:ascii="宋体" w:hAnsi="宋体" w:eastAsia="宋体" w:cs="宋体"/>
          <w:color w:val="auto"/>
          <w:sz w:val="24"/>
          <w:szCs w:val="24"/>
          <w:lang w:val="en-US" w:eastAsia="zh-CN"/>
        </w:rPr>
      </w:pPr>
      <w:bookmarkStart w:id="125" w:name="_Toc31800"/>
      <w:r>
        <w:rPr>
          <w:rStyle w:val="154"/>
          <w:rFonts w:hint="eastAsia" w:ascii="宋体" w:hAnsi="宋体" w:eastAsia="宋体" w:cs="宋体"/>
          <w:color w:val="auto"/>
          <w:sz w:val="24"/>
          <w:szCs w:val="24"/>
          <w:lang w:val="en-US" w:eastAsia="zh-CN"/>
        </w:rPr>
        <w:t>13．投标文件的提交</w:t>
      </w:r>
      <w:bookmarkEnd w:id="125"/>
    </w:p>
    <w:p w14:paraId="5BEEDFBF">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13.1</w:t>
      </w:r>
      <w:r>
        <w:rPr>
          <w:rFonts w:hint="eastAsia" w:ascii="宋体" w:hAnsi="宋体" w:eastAsia="宋体" w:cs="宋体"/>
          <w:snapToGrid w:val="0"/>
          <w:color w:val="auto"/>
          <w:kern w:val="0"/>
          <w:sz w:val="24"/>
          <w:szCs w:val="24"/>
          <w:highlight w:val="none"/>
        </w:rPr>
        <w:t>在投标文件提交截止时间前，投标人通过</w:t>
      </w:r>
      <w:r>
        <w:rPr>
          <w:rFonts w:hint="eastAsia" w:ascii="宋体" w:hAnsi="宋体" w:eastAsia="宋体" w:cs="宋体"/>
          <w:bCs/>
          <w:snapToGrid w:val="0"/>
          <w:color w:val="auto"/>
          <w:sz w:val="24"/>
          <w:szCs w:val="24"/>
          <w:highlight w:val="none"/>
        </w:rPr>
        <w:t>全国公共资源交易平台（广东省·韶关市）</w:t>
      </w:r>
      <w:r>
        <w:rPr>
          <w:rFonts w:hint="eastAsia" w:ascii="宋体" w:hAnsi="宋体" w:eastAsia="宋体" w:cs="宋体"/>
          <w:snapToGrid w:val="0"/>
          <w:color w:val="auto"/>
          <w:kern w:val="0"/>
          <w:sz w:val="24"/>
          <w:szCs w:val="24"/>
          <w:highlight w:val="none"/>
        </w:rPr>
        <w:t>提交已加密投标文件。逾期提交的电子投标文件，</w:t>
      </w:r>
      <w:r>
        <w:rPr>
          <w:rFonts w:hint="eastAsia" w:ascii="宋体" w:hAnsi="宋体" w:eastAsia="宋体" w:cs="宋体"/>
          <w:bCs/>
          <w:snapToGrid w:val="0"/>
          <w:color w:val="auto"/>
          <w:sz w:val="24"/>
          <w:szCs w:val="24"/>
          <w:highlight w:val="none"/>
        </w:rPr>
        <w:t>全国公共资源交易平台（广东省·韶关市）</w:t>
      </w:r>
      <w:r>
        <w:rPr>
          <w:rFonts w:hint="eastAsia" w:ascii="宋体" w:hAnsi="宋体" w:eastAsia="宋体" w:cs="宋体"/>
          <w:snapToGrid w:val="0"/>
          <w:color w:val="auto"/>
          <w:kern w:val="0"/>
          <w:sz w:val="24"/>
          <w:szCs w:val="24"/>
          <w:highlight w:val="none"/>
        </w:rPr>
        <w:t>将予以拒收。</w:t>
      </w:r>
    </w:p>
    <w:p w14:paraId="3A86658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13.2</w:t>
      </w:r>
      <w:r>
        <w:rPr>
          <w:rFonts w:hint="eastAsia" w:ascii="宋体" w:hAnsi="宋体" w:eastAsia="宋体" w:cs="宋体"/>
          <w:snapToGrid w:val="0"/>
          <w:color w:val="auto"/>
          <w:kern w:val="0"/>
          <w:sz w:val="24"/>
          <w:szCs w:val="24"/>
          <w:highlight w:val="none"/>
        </w:rPr>
        <w:t>提交时间和地点：见本章第二节“重要事项时间地点一览表”</w:t>
      </w:r>
    </w:p>
    <w:p w14:paraId="447F6263">
      <w:pPr>
        <w:pStyle w:val="10"/>
        <w:keepNext w:val="0"/>
        <w:keepLines w:val="0"/>
        <w:pageBreakBefore w:val="0"/>
        <w:widowControl w:val="0"/>
        <w:kinsoku/>
        <w:overflowPunct/>
        <w:topLinePunct w:val="0"/>
        <w:autoSpaceDE/>
        <w:autoSpaceDN/>
        <w:bidi w:val="0"/>
        <w:spacing w:line="360" w:lineRule="auto"/>
        <w:ind w:left="0" w:leftChars="0" w:right="0" w:firstLine="482" w:firstLineChars="200"/>
        <w:rPr>
          <w:rFonts w:hint="eastAsia" w:ascii="宋体" w:hAnsi="宋体" w:eastAsia="宋体" w:cs="宋体"/>
          <w:b/>
          <w:bCs/>
          <w:snapToGrid w:val="0"/>
          <w:color w:val="auto"/>
          <w:sz w:val="24"/>
          <w:szCs w:val="24"/>
          <w:highlight w:val="none"/>
        </w:rPr>
      </w:pPr>
      <w:r>
        <w:rPr>
          <w:rFonts w:hint="eastAsia" w:ascii="宋体" w:hAnsi="宋体" w:eastAsia="宋体" w:cs="宋体"/>
          <w:b/>
          <w:bCs/>
          <w:snapToGrid w:val="0"/>
          <w:color w:val="auto"/>
          <w:sz w:val="24"/>
          <w:szCs w:val="24"/>
          <w:highlight w:val="none"/>
        </w:rPr>
        <w:t xml:space="preserve">13.3 </w:t>
      </w:r>
      <w:r>
        <w:rPr>
          <w:rFonts w:hint="eastAsia" w:ascii="宋体" w:hAnsi="宋体" w:eastAsia="宋体" w:cs="宋体"/>
          <w:snapToGrid w:val="0"/>
          <w:color w:val="auto"/>
          <w:kern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w:t>
      </w:r>
    </w:p>
    <w:p w14:paraId="3B250463">
      <w:pPr>
        <w:pStyle w:val="10"/>
        <w:keepNext w:val="0"/>
        <w:keepLines w:val="0"/>
        <w:pageBreakBefore w:val="0"/>
        <w:widowControl w:val="0"/>
        <w:kinsoku/>
        <w:overflowPunct/>
        <w:topLinePunct w:val="0"/>
        <w:autoSpaceDE/>
        <w:autoSpaceDN/>
        <w:bidi w:val="0"/>
        <w:spacing w:line="360" w:lineRule="auto"/>
        <w:ind w:left="0" w:leftChars="0" w:right="0" w:firstLine="482" w:firstLineChars="200"/>
        <w:rPr>
          <w:rFonts w:hint="eastAsia" w:ascii="宋体" w:hAnsi="宋体" w:eastAsia="宋体" w:cs="宋体"/>
          <w:bCs/>
          <w:snapToGrid w:val="0"/>
          <w:color w:val="auto"/>
          <w:sz w:val="24"/>
          <w:szCs w:val="24"/>
          <w:highlight w:val="none"/>
          <w:lang w:val="en-US" w:eastAsia="zh-CN"/>
        </w:rPr>
      </w:pPr>
      <w:r>
        <w:rPr>
          <w:rFonts w:hint="eastAsia" w:ascii="宋体" w:hAnsi="宋体" w:eastAsia="宋体" w:cs="宋体"/>
          <w:b/>
          <w:bCs w:val="0"/>
          <w:snapToGrid w:val="0"/>
          <w:color w:val="auto"/>
          <w:sz w:val="24"/>
          <w:szCs w:val="24"/>
          <w:highlight w:val="none"/>
          <w:lang w:val="en-US" w:eastAsia="zh-CN"/>
        </w:rPr>
        <w:t xml:space="preserve">13.4 </w:t>
      </w:r>
      <w:r>
        <w:rPr>
          <w:rFonts w:hint="eastAsia" w:ascii="宋体" w:hAnsi="宋体" w:eastAsia="宋体" w:cs="宋体"/>
          <w:snapToGrid w:val="0"/>
          <w:color w:val="auto"/>
          <w:kern w:val="0"/>
          <w:sz w:val="24"/>
          <w:szCs w:val="24"/>
          <w:highlight w:val="none"/>
        </w:rPr>
        <w:t>代理机构对因不可抗力事件造成的投标文件的损坏、丢失的，不承担责任。</w:t>
      </w:r>
    </w:p>
    <w:p w14:paraId="0D98FEB5">
      <w:pPr>
        <w:pStyle w:val="10"/>
        <w:keepNext w:val="0"/>
        <w:keepLines w:val="0"/>
        <w:pageBreakBefore w:val="0"/>
        <w:widowControl w:val="0"/>
        <w:kinsoku/>
        <w:overflowPunct/>
        <w:topLinePunct w:val="0"/>
        <w:autoSpaceDE/>
        <w:autoSpaceDN/>
        <w:bidi w:val="0"/>
        <w:spacing w:line="360" w:lineRule="auto"/>
        <w:ind w:left="0" w:leftChars="0" w:right="0" w:firstLine="480" w:firstLineChars="200"/>
        <w:rPr>
          <w:rFonts w:hint="eastAsia" w:ascii="宋体" w:hAnsi="宋体" w:eastAsia="宋体" w:cs="宋体"/>
          <w:strike/>
          <w:dstrike w:val="0"/>
          <w:snapToGrid w:val="0"/>
          <w:color w:val="auto"/>
          <w:kern w:val="0"/>
          <w:sz w:val="24"/>
          <w:szCs w:val="24"/>
          <w:highlight w:val="none"/>
        </w:rPr>
      </w:pPr>
      <w:r>
        <w:rPr>
          <w:rFonts w:hint="eastAsia" w:ascii="宋体" w:hAnsi="宋体" w:eastAsia="宋体" w:cs="宋体"/>
          <w:bCs/>
          <w:snapToGrid w:val="0"/>
          <w:color w:val="auto"/>
          <w:sz w:val="24"/>
          <w:szCs w:val="24"/>
          <w:highlight w:val="none"/>
        </w:rPr>
        <w:t>投标人法定代表人或其委托代理人（以下简称“投标人代表”）应在指定的时间和地点递交投标相关资料（如有）。</w:t>
      </w:r>
    </w:p>
    <w:p w14:paraId="444F38AE">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出现下述情形之一，属于未成功提交投标文件，按无效投标处理：</w:t>
      </w:r>
    </w:p>
    <w:p w14:paraId="102CFAE0">
      <w:pPr>
        <w:keepNext w:val="0"/>
        <w:keepLines w:val="0"/>
        <w:pageBreakBefore w:val="0"/>
        <w:widowControl w:val="0"/>
        <w:numPr>
          <w:ilvl w:val="0"/>
          <w:numId w:val="0"/>
        </w:numPr>
        <w:kinsoku/>
        <w:overflowPunct/>
        <w:topLinePunct w:val="0"/>
        <w:autoSpaceDE/>
        <w:autoSpaceDN/>
        <w:bidi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highlight w:val="none"/>
        </w:rPr>
        <w:t>至提交投标文件截止时，投标文件未完整上传及提交标书；</w:t>
      </w:r>
    </w:p>
    <w:p w14:paraId="1F4ECA62">
      <w:pPr>
        <w:keepNext w:val="0"/>
        <w:keepLines w:val="0"/>
        <w:pageBreakBefore w:val="0"/>
        <w:widowControl w:val="0"/>
        <w:numPr>
          <w:ilvl w:val="0"/>
          <w:numId w:val="0"/>
        </w:numPr>
        <w:kinsoku/>
        <w:overflowPunct/>
        <w:topLinePunct w:val="0"/>
        <w:autoSpaceDE/>
        <w:autoSpaceDN/>
        <w:bidi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（2）</w:t>
      </w:r>
      <w:r>
        <w:rPr>
          <w:rFonts w:hint="eastAsia" w:ascii="宋体" w:hAnsi="宋体" w:eastAsia="宋体" w:cs="宋体"/>
          <w:snapToGrid w:val="0"/>
          <w:color w:val="auto"/>
          <w:kern w:val="0"/>
          <w:sz w:val="24"/>
          <w:szCs w:val="24"/>
          <w:highlight w:val="none"/>
        </w:rPr>
        <w:t>解密失败且在规定时间内未重新提交投标文件的</w:t>
      </w:r>
      <w:r>
        <w:rPr>
          <w:rFonts w:hint="eastAsia" w:ascii="宋体" w:hAnsi="宋体" w:eastAsia="宋体" w:cs="宋体"/>
          <w:snapToGrid w:val="0"/>
          <w:color w:val="auto"/>
          <w:kern w:val="0"/>
          <w:sz w:val="24"/>
          <w:szCs w:val="24"/>
          <w:highlight w:val="none"/>
          <w:lang w:eastAsia="zh-CN"/>
        </w:rPr>
        <w:t>；</w:t>
      </w:r>
    </w:p>
    <w:p w14:paraId="4B336C96">
      <w:pPr>
        <w:keepNext w:val="0"/>
        <w:keepLines w:val="0"/>
        <w:pageBreakBefore w:val="0"/>
        <w:widowControl w:val="0"/>
        <w:numPr>
          <w:ilvl w:val="0"/>
          <w:numId w:val="0"/>
        </w:numPr>
        <w:kinsoku/>
        <w:overflowPunct/>
        <w:topLinePunct w:val="0"/>
        <w:autoSpaceDE/>
        <w:autoSpaceDN/>
        <w:bidi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（3）</w:t>
      </w:r>
      <w:r>
        <w:rPr>
          <w:rFonts w:hint="eastAsia" w:ascii="宋体" w:hAnsi="宋体" w:eastAsia="宋体" w:cs="宋体"/>
          <w:snapToGrid w:val="0"/>
          <w:color w:val="auto"/>
          <w:kern w:val="0"/>
          <w:sz w:val="24"/>
          <w:szCs w:val="24"/>
          <w:highlight w:val="none"/>
        </w:rPr>
        <w:t>投标文件损坏或格式不正确的；</w:t>
      </w:r>
    </w:p>
    <w:p w14:paraId="56ACA964">
      <w:pPr>
        <w:keepNext w:val="0"/>
        <w:keepLines w:val="0"/>
        <w:pageBreakBefore w:val="0"/>
        <w:widowControl w:val="0"/>
        <w:numPr>
          <w:ilvl w:val="0"/>
          <w:numId w:val="0"/>
        </w:numPr>
        <w:kinsoku/>
        <w:overflowPunct/>
        <w:topLinePunct w:val="0"/>
        <w:autoSpaceDE/>
        <w:autoSpaceDN/>
        <w:bidi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13.6</w:t>
      </w:r>
      <w:r>
        <w:rPr>
          <w:rFonts w:hint="eastAsia" w:ascii="宋体" w:hAnsi="宋体" w:eastAsia="宋体" w:cs="宋体"/>
          <w:snapToGrid w:val="0"/>
          <w:color w:val="auto"/>
          <w:kern w:val="0"/>
          <w:sz w:val="24"/>
          <w:szCs w:val="24"/>
          <w:highlight w:val="none"/>
          <w:lang w:val="en-US" w:eastAsia="zh-CN"/>
        </w:rPr>
        <w:t xml:space="preserve"> 联合体投标的，由联合体牵头人按以上要求递交相关资料。</w:t>
      </w:r>
    </w:p>
    <w:p w14:paraId="5BA01358">
      <w:pPr>
        <w:keepNext w:val="0"/>
        <w:keepLines w:val="0"/>
        <w:pageBreakBefore w:val="0"/>
        <w:widowControl w:val="0"/>
        <w:kinsoku/>
        <w:overflowPunct/>
        <w:topLinePunct w:val="0"/>
        <w:autoSpaceDE/>
        <w:autoSpaceDN/>
        <w:bidi w:val="0"/>
        <w:spacing w:line="360" w:lineRule="auto"/>
        <w:ind w:left="0" w:leftChars="0"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13.</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color w:val="auto"/>
          <w:sz w:val="24"/>
          <w:szCs w:val="24"/>
          <w:highlight w:val="none"/>
        </w:rPr>
        <w:t>招标人或其授权的招标代理机构核对、接收投标人递交的投标相关资料后，应向投标人出具标明签收人和签收时间的凭证，并妥善保管。</w:t>
      </w:r>
    </w:p>
    <w:p w14:paraId="68A4EE6B">
      <w:pPr>
        <w:pageBreakBefore w:val="0"/>
        <w:kinsoku/>
        <w:overflowPunct/>
        <w:topLinePunct w:val="0"/>
        <w:autoSpaceDE/>
        <w:autoSpaceDN/>
        <w:bidi w:val="0"/>
        <w:spacing w:line="360" w:lineRule="auto"/>
        <w:ind w:left="0" w:leftChars="0" w:right="0" w:firstLine="482" w:firstLineChars="200"/>
        <w:rPr>
          <w:rFonts w:hint="eastAsia" w:ascii="宋体" w:hAnsi="宋体" w:eastAsia="宋体" w:cs="宋体"/>
          <w:color w:val="auto"/>
        </w:rPr>
      </w:pPr>
      <w:r>
        <w:rPr>
          <w:rFonts w:hint="eastAsia" w:ascii="宋体" w:hAnsi="宋体" w:eastAsia="宋体" w:cs="宋体"/>
          <w:b/>
          <w:bCs/>
          <w:color w:val="auto"/>
          <w:sz w:val="24"/>
          <w:szCs w:val="24"/>
          <w:highlight w:val="none"/>
        </w:rPr>
        <w:t>13.</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color w:val="auto"/>
          <w:sz w:val="24"/>
          <w:szCs w:val="24"/>
          <w:highlight w:val="none"/>
        </w:rPr>
        <w:t>本次招标投标有效期为</w:t>
      </w: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个日历天，投标有效期从提交投标文件的截止之日起计算。在此期间，投标人不得撤销或修改其投标文件，否则其投标保证不予退还。</w:t>
      </w:r>
    </w:p>
    <w:p w14:paraId="1F956CB3">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Style w:val="154"/>
          <w:rFonts w:hint="eastAsia" w:ascii="宋体" w:hAnsi="宋体" w:eastAsia="宋体" w:cs="宋体"/>
          <w:color w:val="auto"/>
          <w:sz w:val="24"/>
          <w:szCs w:val="24"/>
          <w:lang w:val="en-US" w:eastAsia="zh-CN"/>
        </w:rPr>
      </w:pPr>
      <w:bookmarkStart w:id="126" w:name="_Toc358"/>
      <w:r>
        <w:rPr>
          <w:rStyle w:val="154"/>
          <w:rFonts w:hint="eastAsia" w:ascii="宋体" w:hAnsi="宋体" w:eastAsia="宋体" w:cs="宋体"/>
          <w:color w:val="auto"/>
          <w:sz w:val="24"/>
          <w:szCs w:val="24"/>
          <w:lang w:val="en-US" w:eastAsia="zh-CN"/>
        </w:rPr>
        <w:t>14．开标</w:t>
      </w:r>
      <w:bookmarkEnd w:id="126"/>
    </w:p>
    <w:p w14:paraId="29C3732F">
      <w:pPr>
        <w:pStyle w:val="136"/>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snapToGrid w:val="0"/>
          <w:color w:val="auto"/>
          <w:kern w:val="0"/>
          <w:sz w:val="24"/>
          <w:szCs w:val="24"/>
          <w:highlight w:val="none"/>
        </w:rPr>
        <w:t xml:space="preserve"> 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74FDBAFD">
      <w:pPr>
        <w:pStyle w:val="136"/>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7AB82DEA">
      <w:pPr>
        <w:pStyle w:val="136"/>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查询是否发布了取消开标活动的相关信息。</w:t>
      </w:r>
    </w:p>
    <w:p w14:paraId="5FC547AC">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14.1.3</w:t>
      </w:r>
      <w:r>
        <w:rPr>
          <w:rFonts w:hint="eastAsia" w:ascii="宋体" w:hAnsi="宋体" w:eastAsia="宋体" w:cs="宋体"/>
          <w:snapToGrid w:val="0"/>
          <w:color w:val="auto"/>
          <w:kern w:val="0"/>
          <w:sz w:val="24"/>
          <w:szCs w:val="24"/>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810519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14.2</w:t>
      </w:r>
      <w:r>
        <w:rPr>
          <w:rFonts w:hint="eastAsia" w:ascii="宋体" w:hAnsi="宋体" w:eastAsia="宋体" w:cs="宋体"/>
          <w:snapToGrid w:val="0"/>
          <w:color w:val="auto"/>
          <w:kern w:val="0"/>
          <w:sz w:val="24"/>
          <w:szCs w:val="24"/>
          <w:highlight w:val="none"/>
        </w:rPr>
        <w:t xml:space="preserve"> 开标程序</w:t>
      </w:r>
      <w:bookmarkStart w:id="127" w:name="_Toc1282"/>
      <w:bookmarkStart w:id="128" w:name="_Toc7418"/>
    </w:p>
    <w:p w14:paraId="19BC455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（1）主持人（招标人代表或招标人授权的招标代理机构人员）宣读开标纪律。</w:t>
      </w:r>
      <w:bookmarkEnd w:id="127"/>
      <w:bookmarkEnd w:id="128"/>
      <w:bookmarkStart w:id="129" w:name="_Toc30474"/>
      <w:bookmarkStart w:id="130" w:name="_Toc4807"/>
    </w:p>
    <w:p w14:paraId="1C5847E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（2）主持人宣布唱标人、记录人、见证人、监督人等有关人员姓名。</w:t>
      </w:r>
      <w:bookmarkEnd w:id="129"/>
      <w:bookmarkEnd w:id="130"/>
      <w:bookmarkStart w:id="131" w:name="_Toc3180"/>
      <w:bookmarkStart w:id="132" w:name="_Toc28242"/>
    </w:p>
    <w:p w14:paraId="1EA7D9B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（3）唱标人公布在投标截止时间前进行投标文件的投标人数量和名称</w:t>
      </w:r>
      <w:bookmarkEnd w:id="131"/>
      <w:bookmarkEnd w:id="132"/>
      <w:bookmarkStart w:id="133" w:name="_Toc29778"/>
      <w:bookmarkStart w:id="134" w:name="_Toc10498"/>
      <w:r>
        <w:rPr>
          <w:rFonts w:hint="eastAsia" w:ascii="宋体" w:hAnsi="宋体" w:eastAsia="宋体" w:cs="宋体"/>
          <w:snapToGrid w:val="0"/>
          <w:color w:val="auto"/>
          <w:kern w:val="0"/>
          <w:sz w:val="24"/>
          <w:szCs w:val="24"/>
          <w:highlight w:val="none"/>
          <w:lang w:eastAsia="zh-CN"/>
        </w:rPr>
        <w:t>。</w:t>
      </w:r>
    </w:p>
    <w:p w14:paraId="61B11B3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color w:val="auto"/>
          <w:sz w:val="24"/>
          <w:szCs w:val="24"/>
          <w:highlight w:val="none"/>
        </w:rPr>
      </w:pPr>
      <w:r>
        <w:rPr>
          <w:rFonts w:hint="eastAsia" w:ascii="宋体" w:hAnsi="宋体" w:eastAsia="宋体" w:cs="宋体"/>
          <w:snapToGrid w:val="0"/>
          <w:color w:val="auto"/>
          <w:kern w:val="0"/>
          <w:sz w:val="24"/>
          <w:szCs w:val="24"/>
          <w:highlight w:val="none"/>
        </w:rPr>
        <w:t>（4）招标代理机构</w:t>
      </w:r>
      <w:r>
        <w:rPr>
          <w:rFonts w:hint="eastAsia" w:ascii="宋体" w:hAnsi="宋体" w:eastAsia="宋体" w:cs="宋体"/>
          <w:snapToGrid w:val="0"/>
          <w:color w:val="auto"/>
          <w:kern w:val="0"/>
          <w:sz w:val="24"/>
          <w:szCs w:val="24"/>
          <w:highlight w:val="none"/>
          <w:lang w:val="en-US" w:eastAsia="zh-CN"/>
        </w:rPr>
        <w:t>在</w:t>
      </w:r>
      <w:r>
        <w:rPr>
          <w:rFonts w:hint="eastAsia" w:ascii="宋体" w:hAnsi="宋体" w:eastAsia="宋体" w:cs="宋体"/>
          <w:snapToGrid w:val="0"/>
          <w:color w:val="auto"/>
          <w:kern w:val="0"/>
          <w:sz w:val="24"/>
          <w:szCs w:val="24"/>
          <w:highlight w:val="none"/>
        </w:rPr>
        <w:t>交易场所工作人员</w:t>
      </w:r>
      <w:r>
        <w:rPr>
          <w:rFonts w:hint="eastAsia" w:ascii="宋体" w:hAnsi="宋体" w:eastAsia="宋体" w:cs="宋体"/>
          <w:snapToGrid w:val="0"/>
          <w:color w:val="auto"/>
          <w:kern w:val="0"/>
          <w:sz w:val="24"/>
          <w:szCs w:val="24"/>
          <w:highlight w:val="none"/>
          <w:lang w:val="en-US" w:eastAsia="zh-CN"/>
        </w:rPr>
        <w:t>见证下</w:t>
      </w:r>
      <w:r>
        <w:rPr>
          <w:rFonts w:hint="eastAsia" w:ascii="宋体" w:hAnsi="宋体" w:eastAsia="宋体" w:cs="宋体"/>
          <w:snapToGrid w:val="0"/>
          <w:color w:val="auto"/>
          <w:kern w:val="0"/>
          <w:sz w:val="24"/>
          <w:szCs w:val="24"/>
          <w:highlight w:val="none"/>
        </w:rPr>
        <w:t>对投标人的电子投标信息进行解密，建设工程交易系统自动生成《投标保证缴纳情况表》和《开标一览表》。</w:t>
      </w:r>
      <w:bookmarkEnd w:id="133"/>
      <w:bookmarkEnd w:id="134"/>
    </w:p>
    <w:p w14:paraId="174B74F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color w:val="auto"/>
          <w:sz w:val="24"/>
          <w:szCs w:val="24"/>
          <w:highlight w:val="none"/>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508A6E4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14.3</w:t>
      </w:r>
      <w:r>
        <w:rPr>
          <w:rFonts w:hint="eastAsia" w:ascii="宋体" w:hAnsi="宋体" w:eastAsia="宋体" w:cs="宋体"/>
          <w:snapToGrid w:val="0"/>
          <w:color w:val="auto"/>
          <w:kern w:val="0"/>
          <w:sz w:val="24"/>
          <w:szCs w:val="24"/>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2959DE1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w:t>
      </w:r>
      <w:bookmarkStart w:id="135" w:name="_Hlt127093805"/>
      <w:bookmarkEnd w:id="135"/>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招标代理机构将资料原件</w:t>
      </w:r>
      <w:r>
        <w:rPr>
          <w:rFonts w:hint="eastAsia" w:ascii="宋体" w:hAnsi="宋体" w:eastAsia="宋体" w:cs="宋体"/>
          <w:snapToGrid w:val="0"/>
          <w:color w:val="auto"/>
          <w:kern w:val="0"/>
          <w:sz w:val="24"/>
          <w:szCs w:val="24"/>
          <w:highlight w:val="none"/>
          <w:lang w:eastAsia="zh-CN"/>
        </w:rPr>
        <w:t>（如有）</w:t>
      </w:r>
      <w:r>
        <w:rPr>
          <w:rFonts w:hint="eastAsia" w:ascii="宋体" w:hAnsi="宋体" w:eastAsia="宋体" w:cs="宋体"/>
          <w:snapToGrid w:val="0"/>
          <w:color w:val="auto"/>
          <w:kern w:val="0"/>
          <w:sz w:val="24"/>
          <w:szCs w:val="24"/>
          <w:highlight w:val="none"/>
        </w:rPr>
        <w:t>、《开标一览表》以及其他有关资料移交评标委员会。</w:t>
      </w:r>
    </w:p>
    <w:p w14:paraId="60D6BDB4">
      <w:pPr>
        <w:rPr>
          <w:rFonts w:hint="eastAsia" w:ascii="宋体" w:hAnsi="宋体" w:eastAsia="宋体" w:cs="宋体"/>
          <w:color w:val="auto"/>
          <w:sz w:val="22"/>
          <w:szCs w:val="18"/>
          <w:lang w:val="en-US" w:eastAsia="zh-CN"/>
        </w:rPr>
      </w:pPr>
      <w:bookmarkStart w:id="136" w:name="_Toc28090"/>
    </w:p>
    <w:p w14:paraId="368AF657">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Style w:val="154"/>
          <w:rFonts w:hint="eastAsia" w:ascii="宋体" w:hAnsi="宋体" w:eastAsia="宋体" w:cs="宋体"/>
          <w:color w:val="auto"/>
          <w:sz w:val="24"/>
          <w:szCs w:val="24"/>
          <w:lang w:val="en-US" w:eastAsia="zh-CN"/>
        </w:rPr>
      </w:pPr>
      <w:r>
        <w:rPr>
          <w:rStyle w:val="154"/>
          <w:rFonts w:hint="eastAsia" w:ascii="宋体" w:hAnsi="宋体" w:eastAsia="宋体" w:cs="宋体"/>
          <w:color w:val="auto"/>
          <w:sz w:val="24"/>
          <w:szCs w:val="24"/>
          <w:lang w:val="en-US" w:eastAsia="zh-CN"/>
        </w:rPr>
        <w:t>15．评标</w:t>
      </w:r>
      <w:bookmarkEnd w:id="136"/>
    </w:p>
    <w:p w14:paraId="7D30E67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个中标候选人，并向招标人提交由全体评标委员会成员签字的评标报告。</w:t>
      </w:r>
    </w:p>
    <w:p w14:paraId="78DD948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w:t>
      </w:r>
      <w:r>
        <w:rPr>
          <w:rFonts w:hint="eastAsia" w:ascii="宋体" w:hAnsi="宋体" w:eastAsia="宋体" w:cs="宋体"/>
          <w:bCs/>
          <w:snapToGrid w:val="0"/>
          <w:color w:val="auto"/>
          <w:kern w:val="0"/>
          <w:sz w:val="24"/>
          <w:szCs w:val="24"/>
          <w:highlight w:val="none"/>
        </w:rPr>
        <w:t xml:space="preserve"> 评标委员会</w:t>
      </w:r>
    </w:p>
    <w:p w14:paraId="6149B2D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15.1.1</w:t>
      </w:r>
      <w:r>
        <w:rPr>
          <w:rFonts w:hint="eastAsia" w:ascii="宋体" w:hAnsi="宋体" w:eastAsia="宋体" w:cs="宋体"/>
          <w:snapToGrid w:val="0"/>
          <w:color w:val="auto"/>
          <w:kern w:val="0"/>
          <w:sz w:val="24"/>
          <w:szCs w:val="24"/>
          <w:highlight w:val="none"/>
        </w:rPr>
        <w:t xml:space="preserve"> 评标委员会由</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0</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人。</w:t>
      </w:r>
      <w:r>
        <w:rPr>
          <w:rFonts w:hint="eastAsia" w:ascii="宋体" w:hAnsi="宋体" w:eastAsia="宋体" w:cs="宋体"/>
          <w:b w:val="0"/>
          <w:bCs w:val="0"/>
          <w:snapToGrid w:val="0"/>
          <w:color w:val="auto"/>
          <w:kern w:val="0"/>
          <w:sz w:val="24"/>
          <w:szCs w:val="24"/>
          <w:highlight w:val="none"/>
          <w:u w:val="none"/>
        </w:rPr>
        <w:t>专家从广东省综合评标评审专家库</w:t>
      </w:r>
      <w:r>
        <w:rPr>
          <w:rFonts w:hint="eastAsia" w:ascii="宋体" w:hAnsi="宋体" w:eastAsia="宋体" w:cs="宋体"/>
          <w:b w:val="0"/>
          <w:bCs w:val="0"/>
          <w:snapToGrid w:val="0"/>
          <w:color w:val="auto"/>
          <w:kern w:val="0"/>
          <w:sz w:val="24"/>
          <w:szCs w:val="24"/>
          <w:highlight w:val="none"/>
          <w:u w:val="none"/>
          <w:lang w:val="en-US" w:eastAsia="zh-CN"/>
        </w:rPr>
        <w:t>-韶关区域中</w:t>
      </w:r>
      <w:r>
        <w:rPr>
          <w:rFonts w:hint="eastAsia" w:ascii="宋体" w:hAnsi="宋体" w:eastAsia="宋体" w:cs="宋体"/>
          <w:b w:val="0"/>
          <w:bCs w:val="0"/>
          <w:snapToGrid w:val="0"/>
          <w:color w:val="auto"/>
          <w:kern w:val="0"/>
          <w:sz w:val="24"/>
          <w:szCs w:val="24"/>
          <w:highlight w:val="none"/>
          <w:u w:val="none"/>
        </w:rPr>
        <w:t>随机抽取，</w:t>
      </w:r>
      <w:r>
        <w:rPr>
          <w:rFonts w:hint="eastAsia" w:ascii="宋体" w:hAnsi="宋体" w:eastAsia="宋体" w:cs="宋体"/>
          <w:snapToGrid w:val="0"/>
          <w:color w:val="auto"/>
          <w:kern w:val="0"/>
          <w:sz w:val="24"/>
          <w:szCs w:val="24"/>
          <w:highlight w:val="none"/>
        </w:rPr>
        <w:t>其中技术类专家</w:t>
      </w:r>
      <w:r>
        <w:rPr>
          <w:rFonts w:hint="eastAsia" w:ascii="宋体" w:hAnsi="宋体" w:eastAsia="宋体" w:cs="宋体"/>
          <w:snapToGrid w:val="0"/>
          <w:color w:val="auto"/>
          <w:kern w:val="0"/>
          <w:sz w:val="24"/>
          <w:szCs w:val="24"/>
          <w:highlight w:val="none"/>
          <w:u w:val="single"/>
        </w:rPr>
        <w:t>3</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人。评标委员会设负责人，由评标委员会成员推举产生。评标委员会负责人与评标委员会的其他成员有同等的表决权。</w:t>
      </w:r>
    </w:p>
    <w:p w14:paraId="63B4E1F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15.1.2</w:t>
      </w:r>
      <w:r>
        <w:rPr>
          <w:rFonts w:hint="eastAsia" w:ascii="宋体" w:hAnsi="宋体" w:eastAsia="宋体" w:cs="宋体"/>
          <w:snapToGrid w:val="0"/>
          <w:color w:val="auto"/>
          <w:kern w:val="0"/>
          <w:sz w:val="24"/>
          <w:szCs w:val="24"/>
          <w:highlight w:val="none"/>
        </w:rPr>
        <w:t xml:space="preserve"> 评标委员会应认真、公正、诚实、廉洁地履行职责。有下列情形之一的，不得担任评标委员会成员：</w:t>
      </w:r>
    </w:p>
    <w:p w14:paraId="344982C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6C0B912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7522E6D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6995E11C">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6042B65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7ED4836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3C89B68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63D9DF4A">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799B01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15.2</w:t>
      </w:r>
      <w:r>
        <w:rPr>
          <w:rFonts w:hint="eastAsia" w:ascii="宋体" w:hAnsi="宋体" w:eastAsia="宋体" w:cs="宋体"/>
          <w:bCs/>
          <w:snapToGrid w:val="0"/>
          <w:color w:val="auto"/>
          <w:kern w:val="0"/>
          <w:sz w:val="24"/>
          <w:szCs w:val="24"/>
          <w:highlight w:val="none"/>
        </w:rPr>
        <w:t xml:space="preserve"> 评标方法</w:t>
      </w:r>
    </w:p>
    <w:p w14:paraId="4C7343E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4"/>
          <w:szCs w:val="24"/>
          <w:highlight w:val="none"/>
          <w:u w:val="single"/>
        </w:rPr>
        <w:t>综合评估法</w:t>
      </w:r>
      <w:r>
        <w:rPr>
          <w:rFonts w:hint="eastAsia" w:ascii="宋体" w:hAnsi="宋体" w:eastAsia="宋体" w:cs="宋体"/>
          <w:snapToGrid w:val="0"/>
          <w:color w:val="auto"/>
          <w:kern w:val="0"/>
          <w:sz w:val="24"/>
          <w:szCs w:val="24"/>
          <w:highlight w:val="none"/>
        </w:rPr>
        <w:t>（评标方法名称）进行评标。</w:t>
      </w:r>
    </w:p>
    <w:p w14:paraId="1EB910A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15.3 </w:t>
      </w:r>
      <w:r>
        <w:rPr>
          <w:rFonts w:hint="eastAsia" w:ascii="宋体" w:hAnsi="宋体" w:eastAsia="宋体" w:cs="宋体"/>
          <w:snapToGrid w:val="0"/>
          <w:color w:val="auto"/>
          <w:kern w:val="0"/>
          <w:sz w:val="24"/>
          <w:szCs w:val="24"/>
          <w:highlight w:val="none"/>
        </w:rPr>
        <w:t>评审范围：评标委员会应对所有投标人的投标文件进行评审。</w:t>
      </w:r>
    </w:p>
    <w:p w14:paraId="4C44A4C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w:t>
      </w:r>
      <w:r>
        <w:rPr>
          <w:rFonts w:hint="eastAsia" w:ascii="宋体" w:hAnsi="宋体" w:eastAsia="宋体" w:cs="宋体"/>
          <w:snapToGrid w:val="0"/>
          <w:color w:val="auto"/>
          <w:kern w:val="0"/>
          <w:sz w:val="24"/>
          <w:szCs w:val="24"/>
          <w:highlight w:val="none"/>
        </w:rPr>
        <w:t xml:space="preserve"> 初步评审阶段</w:t>
      </w:r>
    </w:p>
    <w:p w14:paraId="6EF661E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0A45EA58">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15.4.1</w:t>
      </w:r>
      <w:r>
        <w:rPr>
          <w:rFonts w:hint="eastAsia" w:ascii="宋体" w:hAnsi="宋体" w:eastAsia="宋体" w:cs="宋体"/>
          <w:snapToGrid w:val="0"/>
          <w:color w:val="auto"/>
          <w:kern w:val="0"/>
          <w:sz w:val="24"/>
          <w:szCs w:val="24"/>
          <w:highlight w:val="none"/>
        </w:rPr>
        <w:t xml:space="preserve"> 资格评审环节</w:t>
      </w:r>
    </w:p>
    <w:p w14:paraId="66EC6A7E">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1E1D6D9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（1）投标人是否符合本章第三节第2.4条“禁止投标条款”规定。</w:t>
      </w:r>
    </w:p>
    <w:p w14:paraId="282D605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（2）投标人名称是否与营业执照、资质证书、安全生产许可证一致。</w:t>
      </w:r>
    </w:p>
    <w:p w14:paraId="5AFD67B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（3）投标人的资质是否符合招标文件规定；其营业执照、资质证书、安全生产许可证是否合法、有效、准确。</w:t>
      </w:r>
    </w:p>
    <w:p w14:paraId="222F0511">
      <w:pPr>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color w:val="auto"/>
          <w:sz w:val="24"/>
          <w:szCs w:val="24"/>
          <w:highlight w:val="none"/>
        </w:rPr>
        <w:t>《项目经理简历表》中拟派项目经理是否与《开标一览表》一致。</w:t>
      </w:r>
    </w:p>
    <w:p w14:paraId="1391DD8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拟派项目经理、项目技术负责人、专职安全员的条件是否符合招标文件规定；项目管理机构组成人员的各类证书、证件、证明是否合法、有效、准确；是否擅自修改、遗漏《项目经理任职声明》的实质性内容。</w:t>
      </w:r>
    </w:p>
    <w:p w14:paraId="7CC8CA5A">
      <w:pPr>
        <w:pStyle w:val="136"/>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）投标人为外省建筑企业的，是否按规定在“进粤企业和人员诚信信息登记平台”录入企业及其拟派人员有关信息并通过数据规范检查。</w:t>
      </w:r>
    </w:p>
    <w:p w14:paraId="7C7FDDAC">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15.4.2</w:t>
      </w:r>
      <w:r>
        <w:rPr>
          <w:rFonts w:hint="eastAsia" w:ascii="宋体" w:hAnsi="宋体" w:eastAsia="宋体" w:cs="宋体"/>
          <w:snapToGrid w:val="0"/>
          <w:color w:val="auto"/>
          <w:kern w:val="0"/>
          <w:sz w:val="24"/>
          <w:szCs w:val="24"/>
          <w:highlight w:val="none"/>
        </w:rPr>
        <w:t xml:space="preserve"> 形式评审环节</w:t>
      </w:r>
    </w:p>
    <w:p w14:paraId="0303D0E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形式评审事项包括：</w:t>
      </w:r>
    </w:p>
    <w:p w14:paraId="42F2801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各分册是否按招标文件规定加盖电子印章。</w:t>
      </w:r>
    </w:p>
    <w:p w14:paraId="67184E7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）本节第10.2.2目、第10.3.2目、第10.4.3目中规定的“所有投标人均应提供”的组成内容（包括该组成内容的所附资料）是否完整、齐全</w:t>
      </w:r>
      <w:r>
        <w:rPr>
          <w:rFonts w:hint="eastAsia" w:ascii="宋体" w:hAnsi="宋体" w:eastAsia="宋体" w:cs="宋体"/>
          <w:snapToGrid w:val="0"/>
          <w:color w:val="auto"/>
          <w:kern w:val="0"/>
          <w:sz w:val="24"/>
          <w:szCs w:val="24"/>
          <w:highlight w:val="none"/>
          <w:lang w:eastAsia="zh-CN"/>
        </w:rPr>
        <w:t>。</w:t>
      </w:r>
    </w:p>
    <w:p w14:paraId="666AF006">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15.4.3</w:t>
      </w:r>
      <w:r>
        <w:rPr>
          <w:rFonts w:hint="eastAsia" w:ascii="宋体" w:hAnsi="宋体" w:eastAsia="宋体" w:cs="宋体"/>
          <w:snapToGrid w:val="0"/>
          <w:color w:val="auto"/>
          <w:kern w:val="0"/>
          <w:sz w:val="24"/>
          <w:szCs w:val="24"/>
          <w:highlight w:val="none"/>
        </w:rPr>
        <w:t xml:space="preserve"> 响应性评审环节</w:t>
      </w:r>
    </w:p>
    <w:p w14:paraId="179454E3">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5ED68A8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（1）投标有效期、质量标准、工期等是否响应招标文件实质性要求；是否擅自修改、遗漏《投标函》《各项承诺一览表》的实质性内容。</w:t>
      </w:r>
    </w:p>
    <w:p w14:paraId="2F181F2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（2）编制《投标总价》的造价工程师，其注册证书是否合法、有效。</w:t>
      </w:r>
    </w:p>
    <w:p w14:paraId="3A8C3B0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（3）投标人委托造价咨询单位编制《投标总价》的，是否在《投标总价》“投标人”栏目加盖造价咨询人公章；是否提供造价咨询人的营业执照</w:t>
      </w:r>
      <w:r>
        <w:rPr>
          <w:rFonts w:hint="eastAsia" w:ascii="宋体" w:hAnsi="宋体" w:eastAsia="宋体" w:cs="宋体"/>
          <w:snapToGrid w:val="0"/>
          <w:color w:val="auto"/>
          <w:kern w:val="0"/>
          <w:sz w:val="24"/>
          <w:szCs w:val="24"/>
          <w:highlight w:val="none"/>
          <w:lang w:eastAsia="zh-CN"/>
        </w:rPr>
        <w:t>扫描件</w:t>
      </w:r>
      <w:r>
        <w:rPr>
          <w:rFonts w:hint="eastAsia" w:ascii="宋体" w:hAnsi="宋体" w:eastAsia="宋体" w:cs="宋体"/>
          <w:snapToGrid w:val="0"/>
          <w:color w:val="auto"/>
          <w:kern w:val="0"/>
          <w:sz w:val="24"/>
          <w:szCs w:val="24"/>
          <w:highlight w:val="none"/>
        </w:rPr>
        <w:t>；</w:t>
      </w:r>
    </w:p>
    <w:p w14:paraId="693F49D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（4）投标总价是否唯一；投标总价是否超出</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eastAsia="zh-CN"/>
        </w:rPr>
        <w:t>安全生产措施费</w:t>
      </w:r>
      <w:r>
        <w:rPr>
          <w:rFonts w:hint="eastAsia" w:ascii="宋体" w:hAnsi="宋体" w:eastAsia="宋体" w:cs="宋体"/>
          <w:snapToGrid w:val="0"/>
          <w:color w:val="auto"/>
          <w:kern w:val="0"/>
          <w:sz w:val="24"/>
          <w:szCs w:val="24"/>
          <w:highlight w:val="none"/>
        </w:rPr>
        <w:t>是否达到最低要求；暂列金额、暂估价是否按照招标工程量清单统一报价；投标人是否以低于成本的价格竞标。</w:t>
      </w:r>
    </w:p>
    <w:p w14:paraId="5B28F3E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注：如果某投标人的投标总价下浮率（投标总价下浮率＝100%－投标总价÷</w:t>
      </w:r>
      <w:r>
        <w:rPr>
          <w:rFonts w:hint="eastAsia" w:ascii="宋体" w:hAnsi="宋体" w:eastAsia="宋体" w:cs="宋体"/>
          <w:b/>
          <w:bCs/>
          <w:snapToGrid w:val="0"/>
          <w:color w:val="auto"/>
          <w:kern w:val="0"/>
          <w:sz w:val="24"/>
          <w:szCs w:val="24"/>
          <w:highlight w:val="none"/>
          <w:lang w:eastAsia="zh-CN"/>
        </w:rPr>
        <w:t>最高投标限价</w:t>
      </w:r>
      <w:r>
        <w:rPr>
          <w:rFonts w:hint="eastAsia" w:ascii="宋体" w:hAnsi="宋体" w:eastAsia="宋体" w:cs="宋体"/>
          <w:b/>
          <w:bCs/>
          <w:snapToGrid w:val="0"/>
          <w:color w:val="auto"/>
          <w:kern w:val="0"/>
          <w:sz w:val="24"/>
          <w:szCs w:val="24"/>
          <w:highlight w:val="none"/>
        </w:rPr>
        <w:t>×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67EFFC5A">
      <w:pPr>
        <w:pageBreakBefore w:val="0"/>
        <w:kinsoku/>
        <w:wordWrap w:val="0"/>
        <w:overflowPunct/>
        <w:topLinePunct w:val="0"/>
        <w:autoSpaceDE/>
        <w:autoSpaceDN/>
        <w:bidi w:val="0"/>
        <w:adjustRightIn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（5）施工组织设计的质量、进度保障措施是否符合国家和省市现行有关规范、规定、标准，是否能实现工程质量、进度管理目标。  </w:t>
      </w:r>
    </w:p>
    <w:p w14:paraId="1F78BC5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15.4.4</w:t>
      </w:r>
      <w:r>
        <w:rPr>
          <w:rFonts w:hint="eastAsia" w:ascii="宋体" w:hAnsi="宋体" w:eastAsia="宋体" w:cs="宋体"/>
          <w:snapToGrid w:val="0"/>
          <w:color w:val="auto"/>
          <w:kern w:val="0"/>
          <w:sz w:val="24"/>
          <w:szCs w:val="24"/>
          <w:highlight w:val="none"/>
        </w:rPr>
        <w:t xml:space="preserve"> 否决投标说明</w:t>
      </w:r>
    </w:p>
    <w:p w14:paraId="71E2841F">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591D577B">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15.5</w:t>
      </w:r>
      <w:r>
        <w:rPr>
          <w:rFonts w:hint="eastAsia" w:ascii="宋体" w:hAnsi="宋体" w:eastAsia="宋体" w:cs="宋体"/>
          <w:snapToGrid w:val="0"/>
          <w:color w:val="auto"/>
          <w:kern w:val="0"/>
          <w:sz w:val="24"/>
          <w:szCs w:val="24"/>
          <w:highlight w:val="none"/>
        </w:rPr>
        <w:t xml:space="preserve"> 详细评审阶段</w:t>
      </w:r>
    </w:p>
    <w:p w14:paraId="6F5ABB79">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15.5.1</w:t>
      </w:r>
      <w:r>
        <w:rPr>
          <w:rFonts w:hint="eastAsia" w:ascii="宋体" w:hAnsi="宋体" w:eastAsia="宋体" w:cs="宋体"/>
          <w:bCs/>
          <w:snapToGrid w:val="0"/>
          <w:color w:val="auto"/>
          <w:kern w:val="0"/>
          <w:sz w:val="24"/>
          <w:szCs w:val="24"/>
          <w:highlight w:val="none"/>
        </w:rPr>
        <w:t xml:space="preserve"> “综合评估法”评审程序</w:t>
      </w:r>
    </w:p>
    <w:p w14:paraId="43B4D432">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评审内容分为商务技术和投标报价两大部分。其中，商务技术合计满分</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100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分，权重为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40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%；投标报价满分100分，权重为</w:t>
      </w:r>
      <w:r>
        <w:rPr>
          <w:rFonts w:hint="eastAsia" w:ascii="宋体" w:hAnsi="宋体" w:eastAsia="宋体" w:cs="宋体"/>
          <w:snapToGrid w:val="0"/>
          <w:color w:val="auto"/>
          <w:kern w:val="0"/>
          <w:sz w:val="24"/>
          <w:szCs w:val="24"/>
          <w:highlight w:val="none"/>
          <w:u w:val="single"/>
          <w:lang w:val="en-US" w:eastAsia="zh-CN"/>
        </w:rPr>
        <w:t>60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%。两大部分权重之和应为</w:t>
      </w:r>
      <w:r>
        <w:rPr>
          <w:rFonts w:hint="eastAsia" w:ascii="宋体" w:hAnsi="宋体" w:eastAsia="宋体" w:cs="宋体"/>
          <w:snapToGrid w:val="0"/>
          <w:color w:val="auto"/>
          <w:kern w:val="0"/>
          <w:sz w:val="24"/>
          <w:szCs w:val="24"/>
          <w:highlight w:val="none"/>
          <w:u w:val="single"/>
        </w:rPr>
        <w:t>100</w:t>
      </w:r>
      <w:r>
        <w:rPr>
          <w:rFonts w:hint="eastAsia" w:ascii="宋体" w:hAnsi="宋体" w:eastAsia="宋体" w:cs="宋体"/>
          <w:snapToGrid w:val="0"/>
          <w:color w:val="auto"/>
          <w:kern w:val="0"/>
          <w:sz w:val="24"/>
          <w:szCs w:val="24"/>
          <w:highlight w:val="none"/>
        </w:rPr>
        <w:t>%。</w:t>
      </w:r>
    </w:p>
    <w:p w14:paraId="6800A856">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除特别注明外，综合得分以及商务技术得分、投标报价得分的中间过程计算值和最终值，均按“四舍五入”原则精确到两位小数。</w:t>
      </w:r>
    </w:p>
    <w:p w14:paraId="3800178D">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（1）商务技术得分M</w:t>
      </w:r>
    </w:p>
    <w:p w14:paraId="27315233">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w:t>
      </w:r>
    </w:p>
    <w:p w14:paraId="52A417FF">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w:t>
      </w:r>
    </w:p>
    <w:p w14:paraId="643640C6">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．M＝M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2</w:t>
      </w:r>
    </w:p>
    <w:p w14:paraId="7E05BCFC">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为某投标人的商务得分，M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为某投标人的技术得分。</w:t>
      </w:r>
    </w:p>
    <w:p w14:paraId="65688A7A">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（2）投标报价得分N</w:t>
      </w:r>
    </w:p>
    <w:p w14:paraId="4959AEE7">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．评标委员会按照《综合评分表》投标报价部分指定的方法计算评标基准价D。</w:t>
      </w:r>
    </w:p>
    <w:p w14:paraId="2A56735D">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 每低于评标基准价一个百分点扣</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分，扣完为止。公式如下：</w:t>
      </w:r>
    </w:p>
    <w:p w14:paraId="7457B9F0">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 Di－D | ÷D）×100×E</w:t>
      </w:r>
    </w:p>
    <w:p w14:paraId="0FF61F3C">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p>
    <w:p w14:paraId="5D56130C">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（3）综合得分</w:t>
      </w:r>
    </w:p>
    <w:p w14:paraId="7CBD7B16">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综合得分换算为百分制，满分100分，公式如下：</w:t>
      </w:r>
    </w:p>
    <w:p w14:paraId="03CF0169">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综合得分＝M÷商务技术合计满分×100×商务技术权重＋N×投标报价权重</w:t>
      </w:r>
    </w:p>
    <w:p w14:paraId="0F3ED5EB">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式中：M为商务技术得分，N为投标报价得分。</w:t>
      </w:r>
    </w:p>
    <w:p w14:paraId="5A7138CF">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sz w:val="24"/>
          <w:szCs w:val="24"/>
          <w:highlight w:val="none"/>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5B7DBDBF">
      <w:pPr>
        <w:keepNext w:val="0"/>
        <w:keepLines w:val="0"/>
        <w:pageBreakBefore w:val="0"/>
        <w:widowControl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kern w:val="0"/>
          <w:sz w:val="28"/>
          <w:szCs w:val="28"/>
          <w:highlight w:val="none"/>
        </w:rPr>
        <w:t>综合评分表</w:t>
      </w:r>
    </w:p>
    <w:tbl>
      <w:tblPr>
        <w:tblStyle w:val="30"/>
        <w:tblW w:w="10853" w:type="dxa"/>
        <w:jc w:val="center"/>
        <w:tblLayout w:type="fixed"/>
        <w:tblCellMar>
          <w:top w:w="0" w:type="dxa"/>
          <w:left w:w="108" w:type="dxa"/>
          <w:bottom w:w="0" w:type="dxa"/>
          <w:right w:w="108" w:type="dxa"/>
        </w:tblCellMar>
      </w:tblPr>
      <w:tblGrid>
        <w:gridCol w:w="1493"/>
        <w:gridCol w:w="3927"/>
        <w:gridCol w:w="690"/>
        <w:gridCol w:w="4743"/>
      </w:tblGrid>
      <w:tr w14:paraId="2515FCC3">
        <w:tblPrEx>
          <w:tblCellMar>
            <w:top w:w="0" w:type="dxa"/>
            <w:left w:w="108" w:type="dxa"/>
            <w:bottom w:w="0" w:type="dxa"/>
            <w:right w:w="108" w:type="dxa"/>
          </w:tblCellMar>
        </w:tblPrEx>
        <w:trPr>
          <w:trHeight w:val="23" w:hRule="atLeast"/>
          <w:jc w:val="center"/>
        </w:trPr>
        <w:tc>
          <w:tcPr>
            <w:tcW w:w="10853"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163E87D1">
            <w:pPr>
              <w:pStyle w:val="11"/>
              <w:tabs>
                <w:tab w:val="left" w:pos="1354"/>
                <w:tab w:val="left" w:pos="1459"/>
                <w:tab w:val="center" w:pos="3902"/>
                <w:tab w:val="right" w:pos="7805"/>
              </w:tabs>
              <w:wordWrap w:val="0"/>
              <w:adjustRightInd w:val="0"/>
              <w:snapToGrid w:val="0"/>
              <w:spacing w:after="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lang w:val="en-US" w:eastAsia="zh-CN"/>
              </w:rPr>
              <w:t>80</w:t>
            </w:r>
            <w:r>
              <w:rPr>
                <w:rFonts w:hint="eastAsia" w:ascii="宋体" w:hAnsi="宋体" w:eastAsia="宋体" w:cs="宋体"/>
                <w:b/>
                <w:bCs/>
                <w:snapToGrid w:val="0"/>
                <w:color w:val="auto"/>
                <w:kern w:val="0"/>
                <w:sz w:val="24"/>
                <w:szCs w:val="24"/>
                <w:highlight w:val="none"/>
                <w:u w:val="single"/>
              </w:rPr>
              <w:t xml:space="preserve"> </w:t>
            </w:r>
            <w:r>
              <w:rPr>
                <w:rFonts w:hint="eastAsia" w:ascii="宋体" w:hAnsi="宋体" w:eastAsia="宋体" w:cs="宋体"/>
                <w:b/>
                <w:bCs/>
                <w:snapToGrid w:val="0"/>
                <w:color w:val="auto"/>
                <w:kern w:val="0"/>
                <w:sz w:val="24"/>
                <w:szCs w:val="24"/>
                <w:highlight w:val="none"/>
              </w:rPr>
              <w:t>分。</w:t>
            </w:r>
          </w:p>
        </w:tc>
      </w:tr>
      <w:tr w14:paraId="715481E6">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E5B5EE4">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63478C55">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2DD875DA">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14:paraId="59847AB3">
        <w:tblPrEx>
          <w:tblCellMar>
            <w:top w:w="0" w:type="dxa"/>
            <w:left w:w="108" w:type="dxa"/>
            <w:bottom w:w="0" w:type="dxa"/>
            <w:right w:w="108" w:type="dxa"/>
          </w:tblCellMar>
        </w:tblPrEx>
        <w:trPr>
          <w:trHeight w:val="318"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EA3B44F">
            <w:pPr>
              <w:pStyle w:val="11"/>
              <w:wordWrap w:val="0"/>
              <w:adjustRightInd w:val="0"/>
              <w:snapToGrid w:val="0"/>
              <w:spacing w:after="0"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企业业绩</w:t>
            </w:r>
          </w:p>
          <w:p w14:paraId="6D3C3FF0">
            <w:pPr>
              <w:pStyle w:val="11"/>
              <w:wordWrap w:val="0"/>
              <w:adjustRightInd w:val="0"/>
              <w:snapToGrid w:val="0"/>
              <w:spacing w:after="0"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rPr>
              <w:t>（</w:t>
            </w:r>
            <w:r>
              <w:rPr>
                <w:rFonts w:hint="eastAsia" w:ascii="宋体" w:hAnsi="宋体" w:eastAsia="宋体" w:cs="宋体"/>
                <w:snapToGrid w:val="0"/>
                <w:color w:val="auto"/>
                <w:kern w:val="0"/>
                <w:sz w:val="24"/>
                <w:szCs w:val="24"/>
                <w:lang w:val="en-US" w:eastAsia="zh-CN"/>
              </w:rPr>
              <w:t>15</w:t>
            </w:r>
            <w:r>
              <w:rPr>
                <w:rFonts w:hint="eastAsia" w:ascii="宋体" w:hAnsi="宋体" w:eastAsia="宋体" w:cs="宋体"/>
                <w:snapToGrid w:val="0"/>
                <w:color w:val="auto"/>
                <w:kern w:val="0"/>
                <w:sz w:val="24"/>
                <w:szCs w:val="24"/>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0F302765">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企业近</w:t>
            </w:r>
            <w:r>
              <w:rPr>
                <w:rFonts w:hint="eastAsia" w:ascii="宋体" w:hAnsi="宋体" w:eastAsia="宋体" w:cs="宋体"/>
                <w:b w:val="0"/>
                <w:bCs w:val="0"/>
                <w:snapToGrid w:val="0"/>
                <w:color w:val="auto"/>
                <w:kern w:val="0"/>
                <w:sz w:val="24"/>
                <w:szCs w:val="24"/>
                <w:u w:val="single"/>
              </w:rPr>
              <w:t xml:space="preserve"> 5 </w:t>
            </w:r>
            <w:r>
              <w:rPr>
                <w:rFonts w:hint="eastAsia" w:ascii="宋体" w:hAnsi="宋体" w:eastAsia="宋体" w:cs="宋体"/>
                <w:snapToGrid w:val="0"/>
                <w:color w:val="auto"/>
                <w:kern w:val="0"/>
                <w:sz w:val="24"/>
                <w:szCs w:val="24"/>
              </w:rPr>
              <w:t>年来（</w:t>
            </w:r>
            <w:r>
              <w:rPr>
                <w:rFonts w:hint="eastAsia" w:ascii="宋体" w:hAnsi="宋体" w:eastAsia="宋体" w:cs="宋体"/>
                <w:snapToGrid w:val="0"/>
                <w:color w:val="auto"/>
                <w:kern w:val="0"/>
                <w:sz w:val="24"/>
                <w:szCs w:val="24"/>
                <w:lang w:val="en-US" w:eastAsia="zh-CN"/>
              </w:rPr>
              <w:t>202</w:t>
            </w:r>
            <w:r>
              <w:rPr>
                <w:rFonts w:hint="eastAsia" w:hAnsi="宋体" w:cs="宋体"/>
                <w:snapToGrid w:val="0"/>
                <w:color w:val="auto"/>
                <w:kern w:val="0"/>
                <w:sz w:val="24"/>
                <w:szCs w:val="24"/>
                <w:lang w:val="en-US" w:eastAsia="zh-CN"/>
              </w:rPr>
              <w:t>1</w:t>
            </w:r>
            <w:r>
              <w:rPr>
                <w:rFonts w:hint="eastAsia" w:ascii="宋体" w:hAnsi="宋体" w:eastAsia="宋体" w:cs="宋体"/>
                <w:snapToGrid w:val="0"/>
                <w:color w:val="auto"/>
                <w:kern w:val="0"/>
                <w:sz w:val="24"/>
                <w:szCs w:val="24"/>
              </w:rPr>
              <w:t>年</w:t>
            </w:r>
            <w:r>
              <w:rPr>
                <w:rFonts w:hint="eastAsia" w:ascii="宋体" w:hAnsi="宋体" w:eastAsia="宋体" w:cs="宋体"/>
                <w:snapToGrid w:val="0"/>
                <w:color w:val="auto"/>
                <w:kern w:val="0"/>
                <w:sz w:val="24"/>
                <w:szCs w:val="24"/>
                <w:lang w:val="en-US" w:eastAsia="zh-CN"/>
              </w:rPr>
              <w:t>1</w:t>
            </w:r>
            <w:r>
              <w:rPr>
                <w:rFonts w:hint="eastAsia" w:ascii="宋体" w:hAnsi="宋体" w:eastAsia="宋体" w:cs="宋体"/>
                <w:snapToGrid w:val="0"/>
                <w:color w:val="auto"/>
                <w:kern w:val="0"/>
                <w:sz w:val="24"/>
                <w:szCs w:val="24"/>
              </w:rPr>
              <w:t>月</w:t>
            </w:r>
            <w:r>
              <w:rPr>
                <w:rFonts w:hint="eastAsia" w:ascii="宋体" w:hAnsi="宋体" w:eastAsia="宋体" w:cs="宋体"/>
                <w:snapToGrid w:val="0"/>
                <w:color w:val="auto"/>
                <w:kern w:val="0"/>
                <w:sz w:val="24"/>
                <w:szCs w:val="24"/>
                <w:lang w:val="en-US" w:eastAsia="zh-CN"/>
              </w:rPr>
              <w:t>1</w:t>
            </w:r>
            <w:r>
              <w:rPr>
                <w:rFonts w:hint="eastAsia" w:ascii="宋体" w:hAnsi="宋体" w:eastAsia="宋体" w:cs="宋体"/>
                <w:snapToGrid w:val="0"/>
                <w:color w:val="auto"/>
                <w:kern w:val="0"/>
                <w:sz w:val="24"/>
                <w:szCs w:val="24"/>
              </w:rPr>
              <w:t>日至</w:t>
            </w:r>
            <w:r>
              <w:rPr>
                <w:rFonts w:hint="eastAsia" w:ascii="宋体" w:hAnsi="宋体" w:eastAsia="宋体" w:cs="宋体"/>
                <w:snapToGrid w:val="0"/>
                <w:color w:val="auto"/>
                <w:kern w:val="0"/>
                <w:sz w:val="24"/>
                <w:szCs w:val="24"/>
                <w:lang w:val="en-US" w:eastAsia="zh-CN"/>
              </w:rPr>
              <w:t>今</w:t>
            </w:r>
            <w:r>
              <w:rPr>
                <w:rFonts w:hint="eastAsia" w:ascii="宋体" w:hAnsi="宋体" w:eastAsia="宋体" w:cs="宋体"/>
                <w:snapToGrid w:val="0"/>
                <w:color w:val="auto"/>
                <w:kern w:val="0"/>
                <w:sz w:val="24"/>
                <w:szCs w:val="24"/>
              </w:rPr>
              <w:t>）业绩情况：</w:t>
            </w:r>
          </w:p>
          <w:p w14:paraId="5058F0BE">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w:t>
            </w:r>
            <w:r>
              <w:rPr>
                <w:rFonts w:hint="eastAsia" w:ascii="宋体" w:hAnsi="宋体" w:eastAsia="宋体" w:cs="宋体"/>
                <w:snapToGrid w:val="0"/>
                <w:color w:val="auto"/>
                <w:kern w:val="0"/>
                <w:sz w:val="24"/>
                <w:szCs w:val="24"/>
                <w:u w:val="single"/>
              </w:rPr>
              <w:t>完成</w:t>
            </w:r>
            <w:r>
              <w:rPr>
                <w:rFonts w:hint="eastAsia" w:ascii="宋体" w:hAnsi="宋体" w:eastAsia="宋体" w:cs="宋体"/>
                <w:snapToGrid w:val="0"/>
                <w:color w:val="auto"/>
                <w:kern w:val="0"/>
                <w:sz w:val="24"/>
                <w:szCs w:val="24"/>
              </w:rPr>
              <w:t>过类似工程的，每个得</w:t>
            </w:r>
            <w:r>
              <w:rPr>
                <w:rFonts w:hint="eastAsia" w:ascii="宋体" w:hAnsi="宋体" w:eastAsia="宋体" w:cs="宋体"/>
                <w:snapToGrid w:val="0"/>
                <w:color w:val="auto"/>
                <w:kern w:val="0"/>
                <w:sz w:val="24"/>
                <w:szCs w:val="24"/>
                <w:u w:val="single"/>
              </w:rPr>
              <w:t xml:space="preserve"> 5 </w:t>
            </w:r>
            <w:r>
              <w:rPr>
                <w:rFonts w:hint="eastAsia" w:ascii="宋体" w:hAnsi="宋体" w:eastAsia="宋体" w:cs="宋体"/>
                <w:snapToGrid w:val="0"/>
                <w:color w:val="auto"/>
                <w:kern w:val="0"/>
                <w:sz w:val="24"/>
                <w:szCs w:val="24"/>
              </w:rPr>
              <w:t>分。</w:t>
            </w:r>
          </w:p>
          <w:p w14:paraId="49C4E71A">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2．未</w:t>
            </w:r>
            <w:r>
              <w:rPr>
                <w:rFonts w:hint="eastAsia" w:ascii="宋体" w:hAnsi="宋体" w:eastAsia="宋体" w:cs="宋体"/>
                <w:snapToGrid w:val="0"/>
                <w:color w:val="auto"/>
                <w:kern w:val="0"/>
                <w:sz w:val="24"/>
                <w:szCs w:val="24"/>
                <w:u w:val="single"/>
              </w:rPr>
              <w:t>完成</w:t>
            </w:r>
            <w:r>
              <w:rPr>
                <w:rFonts w:hint="eastAsia" w:ascii="宋体" w:hAnsi="宋体" w:eastAsia="宋体" w:cs="宋体"/>
                <w:snapToGrid w:val="0"/>
                <w:color w:val="auto"/>
                <w:kern w:val="0"/>
                <w:sz w:val="24"/>
                <w:szCs w:val="24"/>
              </w:rPr>
              <w:t>过类似工程的，不予计分。</w:t>
            </w:r>
          </w:p>
          <w:p w14:paraId="0B2256A2">
            <w:pPr>
              <w:pStyle w:val="11"/>
              <w:wordWrap w:val="0"/>
              <w:adjustRightInd w:val="0"/>
              <w:snapToGrid w:val="0"/>
              <w:spacing w:after="0"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rPr>
              <w:t>3．本项最高得</w:t>
            </w:r>
            <w:r>
              <w:rPr>
                <w:rFonts w:hint="eastAsia" w:ascii="宋体" w:hAnsi="宋体" w:eastAsia="宋体" w:cs="宋体"/>
                <w:snapToGrid w:val="0"/>
                <w:color w:val="auto"/>
                <w:kern w:val="0"/>
                <w:sz w:val="24"/>
                <w:szCs w:val="24"/>
                <w:lang w:val="en-US" w:eastAsia="zh-CN"/>
              </w:rPr>
              <w:t>15</w:t>
            </w:r>
            <w:r>
              <w:rPr>
                <w:rFonts w:hint="eastAsia" w:ascii="宋体" w:hAnsi="宋体" w:eastAsia="宋体" w:cs="宋体"/>
                <w:snapToGrid w:val="0"/>
                <w:color w:val="auto"/>
                <w:kern w:val="0"/>
                <w:sz w:val="24"/>
                <w:szCs w:val="24"/>
              </w:rPr>
              <w:t xml:space="preserve">分。 </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5239E6F8">
            <w:pPr>
              <w:pStyle w:val="11"/>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1．类似工程指：</w:t>
            </w:r>
            <w:r>
              <w:rPr>
                <w:rFonts w:hint="eastAsia" w:ascii="宋体" w:hAnsi="宋体" w:eastAsia="宋体" w:cs="宋体"/>
                <w:snapToGrid w:val="0"/>
                <w:color w:val="auto"/>
                <w:kern w:val="0"/>
                <w:sz w:val="24"/>
                <w:szCs w:val="24"/>
                <w:highlight w:val="none"/>
                <w:u w:val="single"/>
                <w:lang w:val="en-US" w:eastAsia="zh-CN"/>
              </w:rPr>
              <w:t>市政类工程</w:t>
            </w:r>
            <w:r>
              <w:rPr>
                <w:rFonts w:hint="eastAsia" w:ascii="宋体" w:hAnsi="宋体" w:eastAsia="宋体" w:cs="宋体"/>
                <w:snapToGrid w:val="0"/>
                <w:color w:val="auto"/>
                <w:kern w:val="0"/>
                <w:sz w:val="24"/>
                <w:szCs w:val="24"/>
                <w:highlight w:val="none"/>
                <w:u w:val="single"/>
              </w:rPr>
              <w:t>。</w:t>
            </w:r>
          </w:p>
          <w:p w14:paraId="19D91983">
            <w:pPr>
              <w:pStyle w:val="11"/>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2．需附有关业绩（仅限于已竣工验收的项目）合同协议书和竣工验收报告的</w:t>
            </w:r>
            <w:r>
              <w:rPr>
                <w:rFonts w:hint="eastAsia" w:ascii="宋体" w:hAnsi="宋体" w:eastAsia="宋体" w:cs="宋体"/>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rPr>
              <w:t>。</w:t>
            </w:r>
          </w:p>
          <w:p w14:paraId="52E46D4D">
            <w:pPr>
              <w:pStyle w:val="11"/>
              <w:wordWrap w:val="0"/>
              <w:adjustRightInd w:val="0"/>
              <w:snapToGrid w:val="0"/>
              <w:spacing w:after="0" w:line="360" w:lineRule="auto"/>
              <w:rPr>
                <w:rFonts w:hint="eastAsia" w:ascii="宋体" w:hAnsi="宋体" w:eastAsia="宋体" w:cs="宋体"/>
                <w:i/>
                <w:i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3．业绩时间以竣工验收报告日期为准。</w:t>
            </w:r>
          </w:p>
          <w:p w14:paraId="78F2906D">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4．任一业绩有以下情形之一的，该业绩视为无效，不予计分：</w:t>
            </w:r>
          </w:p>
          <w:p w14:paraId="44F2023F">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lang w:val="en-US" w:eastAsia="zh-CN"/>
              </w:rPr>
              <w:t>①</w:t>
            </w:r>
            <w:r>
              <w:rPr>
                <w:rFonts w:hint="eastAsia" w:ascii="宋体" w:hAnsi="宋体" w:eastAsia="宋体" w:cs="宋体"/>
                <w:snapToGrid w:val="0"/>
                <w:color w:val="auto"/>
                <w:kern w:val="0"/>
                <w:sz w:val="24"/>
                <w:szCs w:val="24"/>
              </w:rPr>
              <w:t>业绩不属于类似工程的；</w:t>
            </w:r>
          </w:p>
          <w:p w14:paraId="4784B9BA">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lang w:val="en-US" w:eastAsia="zh-CN"/>
              </w:rPr>
              <w:t>②</w:t>
            </w:r>
            <w:r>
              <w:rPr>
                <w:rFonts w:hint="eastAsia" w:ascii="宋体" w:hAnsi="宋体" w:eastAsia="宋体" w:cs="宋体"/>
                <w:snapToGrid w:val="0"/>
                <w:color w:val="auto"/>
                <w:kern w:val="0"/>
                <w:sz w:val="24"/>
                <w:szCs w:val="24"/>
              </w:rPr>
              <w:t>业绩时间不符合要求的；</w:t>
            </w:r>
          </w:p>
          <w:p w14:paraId="4EB28F8E">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lang w:val="en-US" w:eastAsia="zh-CN"/>
              </w:rPr>
              <w:t>③</w:t>
            </w:r>
            <w:r>
              <w:rPr>
                <w:rFonts w:hint="eastAsia" w:ascii="宋体" w:hAnsi="宋体" w:eastAsia="宋体" w:cs="宋体"/>
                <w:snapToGrid w:val="0"/>
                <w:color w:val="auto"/>
                <w:kern w:val="0"/>
                <w:sz w:val="24"/>
                <w:szCs w:val="24"/>
              </w:rPr>
              <w:t>业绩未竣工验收的。</w:t>
            </w:r>
          </w:p>
        </w:tc>
      </w:tr>
      <w:tr w14:paraId="72FF3856">
        <w:tblPrEx>
          <w:tblCellMar>
            <w:top w:w="0" w:type="dxa"/>
            <w:left w:w="108" w:type="dxa"/>
            <w:bottom w:w="0" w:type="dxa"/>
            <w:right w:w="108" w:type="dxa"/>
          </w:tblCellMar>
        </w:tblPrEx>
        <w:trPr>
          <w:trHeight w:val="318"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FE85D6F">
            <w:pPr>
              <w:pStyle w:val="11"/>
              <w:wordWrap w:val="0"/>
              <w:adjustRightInd w:val="0"/>
              <w:snapToGrid w:val="0"/>
              <w:spacing w:after="0"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项目经理</w:t>
            </w:r>
          </w:p>
          <w:p w14:paraId="510E62FE">
            <w:pPr>
              <w:pStyle w:val="11"/>
              <w:wordWrap w:val="0"/>
              <w:adjustRightInd w:val="0"/>
              <w:snapToGrid w:val="0"/>
              <w:spacing w:after="0" w:line="360" w:lineRule="auto"/>
              <w:jc w:val="center"/>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综合素质</w:t>
            </w:r>
          </w:p>
          <w:p w14:paraId="0E68CB76">
            <w:pPr>
              <w:pStyle w:val="11"/>
              <w:wordWrap w:val="0"/>
              <w:adjustRightInd w:val="0"/>
              <w:snapToGrid w:val="0"/>
              <w:spacing w:after="0"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rPr>
              <w:t>（10分）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1A83B972">
            <w:pPr>
              <w:pStyle w:val="11"/>
              <w:wordWrap w:val="0"/>
              <w:adjustRightInd w:val="0"/>
              <w:snapToGrid w:val="0"/>
              <w:spacing w:after="0" w:line="400" w:lineRule="exac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项目经理工程类技术职称情况：</w:t>
            </w:r>
          </w:p>
          <w:p w14:paraId="5A4604A5">
            <w:pPr>
              <w:pStyle w:val="11"/>
              <w:numPr>
                <w:ilvl w:val="0"/>
                <w:numId w:val="0"/>
              </w:numPr>
              <w:wordWrap w:val="0"/>
              <w:adjustRightInd w:val="0"/>
              <w:snapToGrid w:val="0"/>
              <w:spacing w:after="0" w:line="400" w:lineRule="exac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rPr>
              <w:t>具备工程师或以上职称的，得</w:t>
            </w:r>
            <w:r>
              <w:rPr>
                <w:rFonts w:hint="eastAsia" w:ascii="宋体" w:hAnsi="宋体" w:eastAsia="宋体" w:cs="宋体"/>
                <w:snapToGrid w:val="0"/>
                <w:color w:val="auto"/>
                <w:kern w:val="0"/>
                <w:sz w:val="24"/>
                <w:szCs w:val="24"/>
                <w:u w:val="single"/>
              </w:rPr>
              <w:t>10</w:t>
            </w:r>
            <w:r>
              <w:rPr>
                <w:rFonts w:hint="eastAsia" w:ascii="宋体" w:hAnsi="宋体" w:eastAsia="宋体" w:cs="宋体"/>
                <w:snapToGrid w:val="0"/>
                <w:color w:val="auto"/>
                <w:kern w:val="0"/>
                <w:sz w:val="24"/>
                <w:szCs w:val="24"/>
              </w:rPr>
              <w:t>分。</w:t>
            </w:r>
          </w:p>
          <w:p w14:paraId="61B577F0">
            <w:pPr>
              <w:pStyle w:val="11"/>
              <w:numPr>
                <w:ilvl w:val="0"/>
                <w:numId w:val="0"/>
              </w:numPr>
              <w:wordWrap w:val="0"/>
              <w:adjustRightInd w:val="0"/>
              <w:snapToGrid w:val="0"/>
              <w:spacing w:after="0" w:line="400" w:lineRule="exac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lang w:val="en-US" w:eastAsia="zh-CN" w:bidi="ar-SA"/>
              </w:rPr>
              <w:t>2.</w:t>
            </w:r>
            <w:r>
              <w:rPr>
                <w:rFonts w:hint="eastAsia" w:ascii="宋体" w:hAnsi="宋体" w:eastAsia="宋体" w:cs="宋体"/>
                <w:snapToGrid w:val="0"/>
                <w:color w:val="auto"/>
                <w:kern w:val="0"/>
                <w:sz w:val="24"/>
                <w:szCs w:val="24"/>
              </w:rPr>
              <w:t xml:space="preserve">具备助理工程师职称的，得 </w:t>
            </w:r>
            <w:r>
              <w:rPr>
                <w:rFonts w:hint="eastAsia" w:ascii="宋体" w:hAnsi="宋体" w:eastAsia="宋体" w:cs="宋体"/>
                <w:snapToGrid w:val="0"/>
                <w:color w:val="auto"/>
                <w:kern w:val="0"/>
                <w:sz w:val="24"/>
                <w:szCs w:val="24"/>
                <w:u w:val="single"/>
              </w:rPr>
              <w:t>5</w:t>
            </w:r>
            <w:r>
              <w:rPr>
                <w:rFonts w:hint="eastAsia" w:ascii="宋体" w:hAnsi="宋体" w:eastAsia="宋体" w:cs="宋体"/>
                <w:snapToGrid w:val="0"/>
                <w:color w:val="auto"/>
                <w:kern w:val="0"/>
                <w:sz w:val="24"/>
                <w:szCs w:val="24"/>
              </w:rPr>
              <w:t>分。</w:t>
            </w:r>
          </w:p>
          <w:p w14:paraId="0B4A1AB2">
            <w:pPr>
              <w:pStyle w:val="11"/>
              <w:numPr>
                <w:ilvl w:val="0"/>
                <w:numId w:val="0"/>
              </w:numPr>
              <w:wordWrap w:val="0"/>
              <w:adjustRightInd w:val="0"/>
              <w:snapToGrid w:val="0"/>
              <w:spacing w:after="0" w:line="400" w:lineRule="exact"/>
              <w:ind w:left="0" w:leftChars="0" w:firstLine="0" w:firstLineChars="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lang w:val="en-US" w:eastAsia="zh-CN" w:bidi="ar-SA"/>
              </w:rPr>
              <w:t>3.</w:t>
            </w:r>
            <w:r>
              <w:rPr>
                <w:rFonts w:hint="eastAsia" w:ascii="宋体" w:hAnsi="宋体" w:eastAsia="宋体" w:cs="宋体"/>
                <w:snapToGrid w:val="0"/>
                <w:color w:val="auto"/>
                <w:kern w:val="0"/>
                <w:sz w:val="24"/>
                <w:szCs w:val="24"/>
              </w:rPr>
              <w:t>不具备以上职称的，不予计分。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37599A0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highlight w:val="none"/>
                <w:lang w:val="en-US" w:eastAsia="zh-CN" w:bidi="ar-SA"/>
              </w:rPr>
              <w:t>需附职称证扫描件。</w:t>
            </w:r>
          </w:p>
        </w:tc>
      </w:tr>
      <w:tr w14:paraId="6C4C3AA6">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EC1B09D">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企业银行</w:t>
            </w:r>
          </w:p>
          <w:p w14:paraId="52143FC1">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资信评级</w:t>
            </w:r>
          </w:p>
          <w:p w14:paraId="3ABEEDBF">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5C6D497A">
            <w:pPr>
              <w:pStyle w:val="11"/>
              <w:wordWrap w:val="0"/>
              <w:adjustRightInd w:val="0"/>
              <w:snapToGrid w:val="0"/>
              <w:spacing w:after="0" w:line="360" w:lineRule="auto"/>
              <w:rPr>
                <w:rFonts w:hint="eastAsia" w:ascii="宋体" w:hAnsi="宋体" w:eastAsia="宋体" w:cs="宋体"/>
                <w:snapToGrid w:val="0"/>
                <w:color w:val="auto"/>
                <w:kern w:val="0"/>
                <w:sz w:val="24"/>
                <w:szCs w:val="24"/>
                <w:lang w:eastAsia="zh-CN"/>
              </w:rPr>
            </w:pPr>
            <w:r>
              <w:rPr>
                <w:rFonts w:hint="eastAsia" w:ascii="宋体" w:hAnsi="宋体" w:eastAsia="宋体" w:cs="宋体"/>
                <w:snapToGrid w:val="0"/>
                <w:color w:val="auto"/>
                <w:kern w:val="0"/>
                <w:sz w:val="24"/>
                <w:szCs w:val="24"/>
              </w:rPr>
              <w:t>1．银行资信评级AAA的，得</w:t>
            </w:r>
            <w:r>
              <w:rPr>
                <w:rFonts w:hint="eastAsia" w:ascii="宋体" w:hAnsi="宋体" w:eastAsia="宋体" w:cs="宋体"/>
                <w:snapToGrid w:val="0"/>
                <w:color w:val="auto"/>
                <w:kern w:val="0"/>
                <w:sz w:val="24"/>
                <w:szCs w:val="24"/>
                <w:u w:val="single"/>
                <w:lang w:val="en-US" w:eastAsia="zh-CN"/>
              </w:rPr>
              <w:t>5</w:t>
            </w:r>
            <w:r>
              <w:rPr>
                <w:rFonts w:hint="eastAsia" w:ascii="宋体" w:hAnsi="宋体" w:eastAsia="宋体" w:cs="宋体"/>
                <w:snapToGrid w:val="0"/>
                <w:color w:val="auto"/>
                <w:kern w:val="0"/>
                <w:sz w:val="24"/>
                <w:szCs w:val="24"/>
              </w:rPr>
              <w:t>分</w:t>
            </w:r>
            <w:r>
              <w:rPr>
                <w:rFonts w:hint="eastAsia" w:ascii="宋体" w:hAnsi="宋体" w:eastAsia="宋体" w:cs="宋体"/>
                <w:snapToGrid w:val="0"/>
                <w:color w:val="auto"/>
                <w:kern w:val="0"/>
                <w:sz w:val="24"/>
                <w:szCs w:val="24"/>
                <w:lang w:eastAsia="zh-CN"/>
              </w:rPr>
              <w:t>。</w:t>
            </w:r>
          </w:p>
          <w:p w14:paraId="5D9072F9">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2．银行资信评级AA（含AA＋、AA－）的，得</w:t>
            </w:r>
            <w:r>
              <w:rPr>
                <w:rFonts w:hint="eastAsia" w:ascii="宋体" w:hAnsi="宋体" w:eastAsia="宋体" w:cs="宋体"/>
                <w:snapToGrid w:val="0"/>
                <w:color w:val="auto"/>
                <w:kern w:val="0"/>
                <w:sz w:val="24"/>
                <w:szCs w:val="24"/>
                <w:u w:val="single"/>
                <w:lang w:val="en-US" w:eastAsia="zh-CN"/>
              </w:rPr>
              <w:t>3</w:t>
            </w:r>
            <w:r>
              <w:rPr>
                <w:rFonts w:hint="eastAsia" w:ascii="宋体" w:hAnsi="宋体" w:eastAsia="宋体" w:cs="宋体"/>
                <w:snapToGrid w:val="0"/>
                <w:color w:val="auto"/>
                <w:kern w:val="0"/>
                <w:sz w:val="24"/>
                <w:szCs w:val="24"/>
              </w:rPr>
              <w:t>分。</w:t>
            </w:r>
          </w:p>
          <w:p w14:paraId="59D05833">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3．银行资信评级A（含A＋、A－）的，得</w:t>
            </w:r>
            <w:r>
              <w:rPr>
                <w:rFonts w:hint="eastAsia" w:ascii="宋体" w:hAnsi="宋体" w:eastAsia="宋体" w:cs="宋体"/>
                <w:snapToGrid w:val="0"/>
                <w:color w:val="auto"/>
                <w:kern w:val="0"/>
                <w:sz w:val="24"/>
                <w:szCs w:val="24"/>
                <w:u w:val="single"/>
                <w:lang w:val="en-US" w:eastAsia="zh-CN"/>
              </w:rPr>
              <w:t>1</w:t>
            </w:r>
            <w:r>
              <w:rPr>
                <w:rFonts w:hint="eastAsia" w:ascii="宋体" w:hAnsi="宋体" w:eastAsia="宋体" w:cs="宋体"/>
                <w:snapToGrid w:val="0"/>
                <w:color w:val="auto"/>
                <w:kern w:val="0"/>
                <w:sz w:val="24"/>
                <w:szCs w:val="24"/>
              </w:rPr>
              <w:t>分。</w:t>
            </w:r>
          </w:p>
          <w:p w14:paraId="186AC64C">
            <w:pPr>
              <w:pStyle w:val="11"/>
              <w:keepNext w:val="0"/>
              <w:keepLines w:val="0"/>
              <w:pageBreakBefore w:val="0"/>
              <w:widowControl w:val="0"/>
              <w:numPr>
                <w:ilvl w:val="0"/>
                <w:numId w:val="0"/>
              </w:numPr>
              <w:kinsoku/>
              <w:wordWrap w:val="0"/>
              <w:overflowPunct/>
              <w:topLinePunct w:val="0"/>
              <w:autoSpaceDE/>
              <w:autoSpaceDN/>
              <w:bidi w:val="0"/>
              <w:adjustRightInd w:val="0"/>
              <w:snapToGrid w:val="0"/>
              <w:spacing w:before="0" w:after="0" w:afterLines="0" w:line="360" w:lineRule="auto"/>
              <w:ind w:left="0" w:leftChars="0" w:right="0" w:rightChars="0" w:firstLine="0" w:firstLineChars="0"/>
              <w:textAlignment w:val="auto"/>
              <w:outlineLvl w:val="9"/>
              <w:rPr>
                <w:rFonts w:hint="eastAsia" w:ascii="宋体" w:hAnsi="宋体" w:eastAsia="宋体" w:cs="宋体"/>
                <w:color w:val="auto"/>
                <w:kern w:val="0"/>
                <w:sz w:val="22"/>
                <w:szCs w:val="22"/>
                <w:highlight w:val="none"/>
              </w:rPr>
            </w:pPr>
            <w:r>
              <w:rPr>
                <w:rFonts w:hint="eastAsia" w:ascii="宋体" w:hAnsi="宋体" w:eastAsia="宋体" w:cs="宋体"/>
                <w:snapToGrid w:val="0"/>
                <w:color w:val="auto"/>
                <w:kern w:val="0"/>
                <w:sz w:val="24"/>
                <w:szCs w:val="24"/>
              </w:rPr>
              <w:t>4．未获得过以上评级的，或评级证书无效的，不予计分。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4477D7BB">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1．需附在有效期内的资信评级证书（证明）</w:t>
            </w:r>
            <w:r>
              <w:rPr>
                <w:rFonts w:hint="eastAsia" w:ascii="宋体" w:hAnsi="宋体" w:eastAsia="宋体" w:cs="宋体"/>
                <w:snapToGrid w:val="0"/>
                <w:color w:val="auto"/>
                <w:kern w:val="0"/>
                <w:sz w:val="24"/>
                <w:szCs w:val="24"/>
                <w:lang w:val="en-US" w:eastAsia="zh-CN"/>
              </w:rPr>
              <w:t>扫描件</w:t>
            </w:r>
            <w:r>
              <w:rPr>
                <w:rFonts w:hint="eastAsia" w:ascii="宋体" w:hAnsi="宋体" w:eastAsia="宋体" w:cs="宋体"/>
                <w:snapToGrid w:val="0"/>
                <w:color w:val="auto"/>
                <w:kern w:val="0"/>
                <w:sz w:val="24"/>
                <w:szCs w:val="24"/>
              </w:rPr>
              <w:t>（或打印件）。</w:t>
            </w:r>
          </w:p>
          <w:p w14:paraId="2AE42D4F">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2．评级证书（证明）须由</w:t>
            </w:r>
            <w:r>
              <w:rPr>
                <w:rFonts w:hint="eastAsia" w:ascii="宋体" w:hAnsi="宋体" w:eastAsia="宋体" w:cs="宋体"/>
                <w:snapToGrid w:val="0"/>
                <w:color w:val="auto"/>
                <w:kern w:val="0"/>
                <w:sz w:val="24"/>
                <w:szCs w:val="24"/>
                <w:u w:val="single"/>
                <w:lang w:val="en-US" w:eastAsia="zh-CN"/>
              </w:rPr>
              <w:t>银行或人民银行信用监督机构</w:t>
            </w:r>
            <w:r>
              <w:rPr>
                <w:rFonts w:hint="eastAsia" w:ascii="宋体" w:hAnsi="宋体" w:eastAsia="宋体" w:cs="宋体"/>
                <w:snapToGrid w:val="0"/>
                <w:color w:val="auto"/>
                <w:kern w:val="0"/>
                <w:sz w:val="24"/>
                <w:szCs w:val="24"/>
              </w:rPr>
              <w:t>出具。</w:t>
            </w:r>
          </w:p>
          <w:p w14:paraId="12E2828E">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3．评级证书（证明）有以下情形之一的，视为无效：</w:t>
            </w:r>
          </w:p>
          <w:p w14:paraId="41607FC6">
            <w:pPr>
              <w:pStyle w:val="11"/>
              <w:wordWrap w:val="0"/>
              <w:adjustRightInd w:val="0"/>
              <w:snapToGrid w:val="0"/>
              <w:spacing w:after="0" w:line="360" w:lineRule="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lang w:val="en-US" w:eastAsia="zh-CN"/>
              </w:rPr>
              <w:t>①</w:t>
            </w:r>
            <w:r>
              <w:rPr>
                <w:rFonts w:hint="eastAsia" w:ascii="宋体" w:hAnsi="宋体" w:eastAsia="宋体" w:cs="宋体"/>
                <w:snapToGrid w:val="0"/>
                <w:color w:val="auto"/>
                <w:kern w:val="0"/>
                <w:sz w:val="24"/>
                <w:szCs w:val="24"/>
              </w:rPr>
              <w:t>评级证书（证明）不在有效期内的；</w:t>
            </w:r>
          </w:p>
          <w:p w14:paraId="40A4B839">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lang w:val="en-US" w:eastAsia="zh-CN"/>
              </w:rPr>
              <w:t>②</w:t>
            </w:r>
            <w:r>
              <w:rPr>
                <w:rFonts w:hint="eastAsia" w:ascii="宋体" w:hAnsi="宋体" w:eastAsia="宋体" w:cs="宋体"/>
                <w:snapToGrid w:val="0"/>
                <w:color w:val="auto"/>
                <w:kern w:val="0"/>
                <w:sz w:val="24"/>
                <w:szCs w:val="24"/>
              </w:rPr>
              <w:t>出具机构不符合要求的。</w:t>
            </w:r>
          </w:p>
        </w:tc>
      </w:tr>
      <w:tr w14:paraId="23EEFD50">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F0C76E1">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企业获得认证证书</w:t>
            </w:r>
          </w:p>
          <w:p w14:paraId="75E40B1F">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highlight w:val="none"/>
                <w:lang w:bidi="ar"/>
              </w:rPr>
              <w:t>（</w:t>
            </w:r>
            <w:r>
              <w:rPr>
                <w:rFonts w:hint="eastAsia" w:ascii="宋体" w:hAnsi="宋体" w:eastAsia="宋体" w:cs="宋体"/>
                <w:snapToGrid w:val="0"/>
                <w:color w:val="auto"/>
                <w:kern w:val="0"/>
                <w:sz w:val="24"/>
                <w:szCs w:val="24"/>
                <w:highlight w:val="none"/>
                <w:lang w:val="en-US" w:eastAsia="zh-CN" w:bidi="ar"/>
              </w:rPr>
              <w:t>15</w:t>
            </w:r>
            <w:r>
              <w:rPr>
                <w:rFonts w:hint="eastAsia" w:ascii="宋体" w:hAnsi="宋体" w:eastAsia="宋体" w:cs="宋体"/>
                <w:snapToGrid w:val="0"/>
                <w:color w:val="auto"/>
                <w:kern w:val="0"/>
                <w:sz w:val="24"/>
                <w:szCs w:val="24"/>
                <w:highlight w:val="none"/>
                <w:lang w:bidi="ar"/>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top"/>
          </w:tcPr>
          <w:p w14:paraId="7F1D8160">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投标人在招标公告发布前具有下列有效的认证证书</w:t>
            </w:r>
            <w:r>
              <w:rPr>
                <w:rFonts w:hint="eastAsia" w:ascii="宋体" w:hAnsi="宋体" w:eastAsia="宋体" w:cs="宋体"/>
                <w:color w:val="auto"/>
                <w:sz w:val="24"/>
                <w:szCs w:val="24"/>
                <w:lang w:eastAsia="zh-CN"/>
              </w:rPr>
              <w:t>：</w:t>
            </w:r>
          </w:p>
          <w:p w14:paraId="74E338D8">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①</w:t>
            </w:r>
            <w:r>
              <w:rPr>
                <w:rFonts w:hint="eastAsia" w:ascii="宋体" w:hAnsi="宋体" w:eastAsia="宋体" w:cs="宋体"/>
                <w:color w:val="auto"/>
                <w:sz w:val="24"/>
                <w:szCs w:val="24"/>
              </w:rPr>
              <w:t>质量管理体系认证证书</w:t>
            </w:r>
            <w:r>
              <w:rPr>
                <w:rFonts w:hint="eastAsia" w:ascii="宋体" w:hAnsi="宋体" w:eastAsia="宋体" w:cs="宋体"/>
                <w:color w:val="auto"/>
                <w:sz w:val="24"/>
                <w:szCs w:val="24"/>
                <w:lang w:eastAsia="zh-CN"/>
              </w:rPr>
              <w:t>；</w:t>
            </w:r>
          </w:p>
          <w:p w14:paraId="7D632157">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②</w:t>
            </w:r>
            <w:r>
              <w:rPr>
                <w:rFonts w:hint="eastAsia" w:ascii="宋体" w:hAnsi="宋体" w:eastAsia="宋体" w:cs="宋体"/>
                <w:color w:val="auto"/>
                <w:sz w:val="24"/>
                <w:szCs w:val="24"/>
              </w:rPr>
              <w:t>职业健康安全管理体系认证证书</w:t>
            </w:r>
            <w:r>
              <w:rPr>
                <w:rFonts w:hint="eastAsia" w:ascii="宋体" w:hAnsi="宋体" w:eastAsia="宋体" w:cs="宋体"/>
                <w:color w:val="auto"/>
                <w:sz w:val="24"/>
                <w:szCs w:val="24"/>
                <w:lang w:eastAsia="zh-CN"/>
              </w:rPr>
              <w:t>；</w:t>
            </w:r>
          </w:p>
          <w:p w14:paraId="6DDD37AF">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③</w:t>
            </w:r>
            <w:r>
              <w:rPr>
                <w:rFonts w:hint="eastAsia" w:ascii="宋体" w:hAnsi="宋体" w:eastAsia="宋体" w:cs="宋体"/>
                <w:color w:val="auto"/>
                <w:sz w:val="24"/>
                <w:szCs w:val="24"/>
              </w:rPr>
              <w:t>环境管理体系认证证书</w:t>
            </w:r>
            <w:r>
              <w:rPr>
                <w:rFonts w:hint="eastAsia" w:ascii="宋体" w:hAnsi="宋体" w:eastAsia="宋体" w:cs="宋体"/>
                <w:color w:val="auto"/>
                <w:sz w:val="24"/>
                <w:szCs w:val="24"/>
                <w:lang w:eastAsia="zh-CN"/>
              </w:rPr>
              <w:t>；</w:t>
            </w:r>
          </w:p>
          <w:p w14:paraId="76C06FE8">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④</w:t>
            </w:r>
            <w:r>
              <w:rPr>
                <w:rFonts w:hint="eastAsia" w:ascii="宋体" w:hAnsi="宋体" w:eastAsia="宋体" w:cs="宋体"/>
                <w:color w:val="auto"/>
                <w:sz w:val="24"/>
                <w:szCs w:val="24"/>
              </w:rPr>
              <w:t>市政工程施工安全规范体系认证证书</w:t>
            </w:r>
            <w:r>
              <w:rPr>
                <w:rFonts w:hint="eastAsia" w:ascii="宋体" w:hAnsi="宋体" w:eastAsia="宋体" w:cs="宋体"/>
                <w:color w:val="auto"/>
                <w:sz w:val="24"/>
                <w:szCs w:val="24"/>
                <w:lang w:eastAsia="zh-CN"/>
              </w:rPr>
              <w:t>；</w:t>
            </w:r>
          </w:p>
          <w:p w14:paraId="054F8EDA">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⑤工程项目管理规范</w:t>
            </w:r>
            <w:r>
              <w:rPr>
                <w:rFonts w:hint="eastAsia" w:ascii="宋体" w:hAnsi="宋体" w:eastAsia="宋体" w:cs="宋体"/>
                <w:color w:val="auto"/>
                <w:sz w:val="24"/>
                <w:szCs w:val="24"/>
              </w:rPr>
              <w:t>认证证书</w:t>
            </w:r>
            <w:r>
              <w:rPr>
                <w:rFonts w:hint="eastAsia" w:ascii="宋体" w:hAnsi="宋体" w:eastAsia="宋体" w:cs="宋体"/>
                <w:color w:val="auto"/>
                <w:sz w:val="24"/>
                <w:szCs w:val="24"/>
                <w:lang w:eastAsia="zh-CN"/>
              </w:rPr>
              <w:t>；</w:t>
            </w:r>
          </w:p>
          <w:p w14:paraId="20C4FED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⑥服务质量评价体系</w:t>
            </w:r>
            <w:r>
              <w:rPr>
                <w:rFonts w:hint="eastAsia" w:ascii="宋体" w:hAnsi="宋体" w:eastAsia="宋体" w:cs="宋体"/>
                <w:color w:val="auto"/>
                <w:sz w:val="24"/>
                <w:szCs w:val="24"/>
              </w:rPr>
              <w:t>认证</w:t>
            </w:r>
            <w:r>
              <w:rPr>
                <w:rFonts w:hint="eastAsia" w:ascii="宋体" w:hAnsi="宋体" w:eastAsia="宋体" w:cs="宋体"/>
                <w:color w:val="auto"/>
                <w:sz w:val="24"/>
                <w:szCs w:val="24"/>
                <w:lang w:val="en-US" w:eastAsia="zh-CN"/>
              </w:rPr>
              <w:t>证书</w:t>
            </w:r>
            <w:r>
              <w:rPr>
                <w:rFonts w:hint="eastAsia" w:ascii="宋体" w:hAnsi="宋体" w:eastAsia="宋体" w:cs="宋体"/>
                <w:color w:val="auto"/>
                <w:sz w:val="24"/>
                <w:szCs w:val="24"/>
                <w:lang w:eastAsia="zh-CN"/>
              </w:rPr>
              <w:t>；</w:t>
            </w:r>
          </w:p>
          <w:p w14:paraId="1FAD729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获得</w:t>
            </w:r>
            <w:r>
              <w:rPr>
                <w:rFonts w:hint="eastAsia" w:ascii="宋体" w:hAnsi="宋体" w:eastAsia="宋体" w:cs="宋体"/>
                <w:color w:val="auto"/>
                <w:sz w:val="24"/>
                <w:szCs w:val="24"/>
                <w:lang w:val="en-US" w:eastAsia="zh-CN"/>
              </w:rPr>
              <w:t>其中6个</w:t>
            </w:r>
            <w:r>
              <w:rPr>
                <w:rFonts w:hint="eastAsia" w:ascii="宋体" w:hAnsi="宋体" w:eastAsia="宋体" w:cs="宋体"/>
                <w:color w:val="auto"/>
                <w:sz w:val="24"/>
                <w:szCs w:val="24"/>
              </w:rPr>
              <w:t>认证证书的得</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 xml:space="preserve">分； </w:t>
            </w:r>
          </w:p>
          <w:p w14:paraId="210C8A1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获得</w:t>
            </w:r>
            <w:r>
              <w:rPr>
                <w:rFonts w:hint="eastAsia" w:ascii="宋体" w:hAnsi="宋体" w:eastAsia="宋体" w:cs="宋体"/>
                <w:color w:val="auto"/>
                <w:sz w:val="24"/>
                <w:szCs w:val="24"/>
                <w:lang w:val="en-US" w:eastAsia="zh-CN"/>
              </w:rPr>
              <w:t>其中5个</w:t>
            </w:r>
            <w:r>
              <w:rPr>
                <w:rFonts w:hint="eastAsia" w:ascii="宋体" w:hAnsi="宋体" w:eastAsia="宋体" w:cs="宋体"/>
                <w:color w:val="auto"/>
                <w:sz w:val="24"/>
                <w:szCs w:val="24"/>
              </w:rPr>
              <w:t>认证证书的得</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p w14:paraId="7C4F5C4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获得其中4个认证证书的得8分</w:t>
            </w:r>
            <w:r>
              <w:rPr>
                <w:rFonts w:hint="eastAsia" w:ascii="宋体" w:hAnsi="宋体" w:eastAsia="宋体" w:cs="宋体"/>
                <w:color w:val="auto"/>
                <w:sz w:val="24"/>
                <w:szCs w:val="24"/>
              </w:rPr>
              <w:t>；</w:t>
            </w:r>
          </w:p>
          <w:p w14:paraId="3947398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获得其中3个认证证书的得5分；</w:t>
            </w:r>
          </w:p>
          <w:p w14:paraId="133252E7">
            <w:pPr>
              <w:spacing w:line="360" w:lineRule="auto"/>
              <w:rPr>
                <w:rFonts w:hint="eastAsia" w:ascii="宋体" w:hAnsi="宋体" w:eastAsia="宋体" w:cs="宋体"/>
                <w:b w:val="0"/>
                <w:bCs w:val="0"/>
                <w:caps w:val="0"/>
                <w:smallCaps w:val="0"/>
                <w:snapToGrid w:val="0"/>
                <w:color w:val="auto"/>
                <w:spacing w:val="0"/>
                <w:kern w:val="0"/>
                <w:sz w:val="22"/>
                <w:szCs w:val="22"/>
                <w:highlight w:val="none"/>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snapToGrid w:val="0"/>
                <w:color w:val="auto"/>
                <w:kern w:val="0"/>
                <w:sz w:val="24"/>
                <w:szCs w:val="24"/>
              </w:rPr>
              <w:t>其他情形的，</w:t>
            </w:r>
            <w:r>
              <w:rPr>
                <w:rFonts w:hint="eastAsia" w:ascii="宋体" w:hAnsi="宋体" w:eastAsia="宋体" w:cs="宋体"/>
                <w:color w:val="auto"/>
                <w:sz w:val="24"/>
                <w:szCs w:val="24"/>
              </w:rPr>
              <w:t>不予计分。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66A596BD">
            <w:pPr>
              <w:spacing w:line="360" w:lineRule="auto"/>
              <w:rPr>
                <w:rFonts w:hint="eastAsia" w:ascii="宋体" w:hAnsi="宋体" w:eastAsia="宋体" w:cs="宋体"/>
                <w:color w:val="auto"/>
                <w:sz w:val="24"/>
                <w:szCs w:val="24"/>
                <w:lang w:val="en-US"/>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需附在有效期内的体系认证证书扫描件</w:t>
            </w:r>
            <w:r>
              <w:rPr>
                <w:rFonts w:hint="eastAsia" w:ascii="宋体" w:hAnsi="宋体" w:eastAsia="宋体" w:cs="宋体"/>
                <w:color w:val="auto"/>
                <w:sz w:val="24"/>
                <w:szCs w:val="24"/>
                <w:lang w:val="en-US" w:eastAsia="zh-CN"/>
              </w:rPr>
              <w:t>，且证书有效性在国家认证认可监督管理委员会官网（http://www.cnca.gov.cn/)可查，并提供网页截图，未提供不得分。</w:t>
            </w:r>
          </w:p>
          <w:p w14:paraId="4E3152E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2.证书④</w:t>
            </w:r>
            <w:r>
              <w:rPr>
                <w:rFonts w:hint="eastAsia" w:ascii="宋体" w:hAnsi="宋体" w:eastAsia="宋体" w:cs="宋体"/>
                <w:color w:val="auto"/>
                <w:sz w:val="24"/>
                <w:szCs w:val="24"/>
              </w:rPr>
              <w:t>达到CJJ/T275-2018、CCCH1001-2020</w:t>
            </w:r>
            <w:r>
              <w:rPr>
                <w:rFonts w:hint="eastAsia" w:ascii="宋体" w:hAnsi="宋体" w:eastAsia="宋体" w:cs="宋体"/>
                <w:color w:val="auto"/>
                <w:sz w:val="24"/>
                <w:szCs w:val="24"/>
                <w:lang w:val="en-US" w:eastAsia="zh-CN"/>
              </w:rPr>
              <w:t>的标准要求，不符合不得分。</w:t>
            </w:r>
          </w:p>
          <w:p w14:paraId="16B73C40">
            <w:pPr>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3.证书⑤</w:t>
            </w:r>
            <w:r>
              <w:rPr>
                <w:rFonts w:hint="eastAsia" w:ascii="宋体" w:hAnsi="宋体" w:eastAsia="宋体" w:cs="宋体"/>
                <w:color w:val="auto"/>
                <w:sz w:val="24"/>
                <w:szCs w:val="24"/>
              </w:rPr>
              <w:t>达到GB/T</w:t>
            </w:r>
            <w:r>
              <w:rPr>
                <w:rFonts w:hint="eastAsia" w:ascii="宋体" w:hAnsi="宋体" w:eastAsia="宋体" w:cs="宋体"/>
                <w:color w:val="auto"/>
                <w:sz w:val="24"/>
                <w:szCs w:val="24"/>
                <w:lang w:val="en-US" w:eastAsia="zh-CN"/>
              </w:rPr>
              <w:t>50326</w:t>
            </w:r>
            <w:r>
              <w:rPr>
                <w:rFonts w:hint="eastAsia" w:ascii="宋体" w:hAnsi="宋体" w:eastAsia="宋体" w:cs="宋体"/>
                <w:color w:val="auto"/>
                <w:sz w:val="24"/>
                <w:szCs w:val="24"/>
              </w:rPr>
              <w:t>-201</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、C</w:t>
            </w:r>
            <w:r>
              <w:rPr>
                <w:rFonts w:hint="eastAsia" w:ascii="宋体" w:hAnsi="宋体" w:eastAsia="宋体" w:cs="宋体"/>
                <w:color w:val="auto"/>
                <w:sz w:val="24"/>
                <w:szCs w:val="24"/>
                <w:lang w:val="en-US" w:eastAsia="zh-CN"/>
              </w:rPr>
              <w:t>RCESS1001</w:t>
            </w: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21的标准要求，不符合不得分。</w:t>
            </w:r>
          </w:p>
          <w:p w14:paraId="748E67BC">
            <w:pPr>
              <w:spacing w:line="360" w:lineRule="auto"/>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4"/>
                <w:szCs w:val="24"/>
                <w:lang w:val="en-US" w:eastAsia="zh-CN"/>
              </w:rPr>
              <w:t>4.证书⑥达到</w:t>
            </w:r>
            <w:r>
              <w:rPr>
                <w:rFonts w:hint="eastAsia" w:ascii="宋体" w:hAnsi="宋体" w:eastAsia="宋体" w:cs="宋体"/>
                <w:color w:val="auto"/>
                <w:sz w:val="24"/>
                <w:szCs w:val="24"/>
              </w:rPr>
              <w:t>GB/T</w:t>
            </w:r>
            <w:r>
              <w:rPr>
                <w:rFonts w:hint="eastAsia" w:ascii="宋体" w:hAnsi="宋体" w:eastAsia="宋体" w:cs="宋体"/>
                <w:color w:val="auto"/>
                <w:sz w:val="24"/>
                <w:szCs w:val="24"/>
                <w:lang w:val="en-US" w:eastAsia="zh-CN"/>
              </w:rPr>
              <w:t>36733</w:t>
            </w:r>
            <w:r>
              <w:rPr>
                <w:rFonts w:hint="eastAsia" w:ascii="宋体" w:hAnsi="宋体" w:eastAsia="宋体" w:cs="宋体"/>
                <w:color w:val="auto"/>
                <w:sz w:val="24"/>
                <w:szCs w:val="24"/>
              </w:rPr>
              <w:t>-201</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、GB/T</w:t>
            </w:r>
            <w:r>
              <w:rPr>
                <w:rFonts w:hint="eastAsia" w:ascii="宋体" w:hAnsi="宋体" w:eastAsia="宋体" w:cs="宋体"/>
                <w:color w:val="auto"/>
                <w:sz w:val="24"/>
                <w:szCs w:val="24"/>
                <w:lang w:val="en-US" w:eastAsia="zh-CN"/>
              </w:rPr>
              <w:t>19039</w:t>
            </w: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09、CTSSES1001-2019的标准要求，不符合不得分。</w:t>
            </w:r>
          </w:p>
        </w:tc>
      </w:tr>
      <w:tr w14:paraId="1876F594">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1FED876">
            <w:pPr>
              <w:pStyle w:val="11"/>
              <w:keepNext w:val="0"/>
              <w:keepLines w:val="0"/>
              <w:pageBreakBefore w:val="0"/>
              <w:widowControl/>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企业财务状况</w:t>
            </w:r>
          </w:p>
          <w:p w14:paraId="6434A334">
            <w:pPr>
              <w:pStyle w:val="11"/>
              <w:keepNext w:val="0"/>
              <w:keepLines w:val="0"/>
              <w:pageBreakBefore w:val="0"/>
              <w:widowControl/>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highlight w:val="none"/>
              </w:rPr>
              <w:t>（9分）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41F571AF">
            <w:pPr>
              <w:pStyle w:val="58"/>
              <w:wordWrap w:val="0"/>
              <w:adjustRightInd w:val="0"/>
              <w:snapToGrid w:val="0"/>
              <w:spacing w:line="360" w:lineRule="auto"/>
              <w:jc w:val="left"/>
              <w:rPr>
                <w:rFonts w:hint="eastAsia" w:ascii="宋体" w:hAnsi="宋体" w:eastAsia="宋体" w:cs="宋体"/>
                <w:color w:val="auto"/>
                <w:sz w:val="22"/>
                <w:szCs w:val="22"/>
              </w:rPr>
            </w:pPr>
            <w:r>
              <w:rPr>
                <w:rFonts w:hint="eastAsia" w:ascii="宋体" w:hAnsi="宋体" w:eastAsia="宋体" w:cs="宋体"/>
                <w:snapToGrid w:val="0"/>
                <w:color w:val="auto"/>
                <w:kern w:val="0"/>
                <w:sz w:val="24"/>
                <w:szCs w:val="24"/>
              </w:rPr>
              <w:t>提供投标人基本账户在本项目招标公告发布之日起至投标截止时间期间出现过至少连续3日不少于</w:t>
            </w:r>
            <w:r>
              <w:rPr>
                <w:rFonts w:hint="eastAsia" w:ascii="宋体" w:hAnsi="宋体" w:eastAsia="宋体" w:cs="宋体"/>
                <w:snapToGrid w:val="0"/>
                <w:color w:val="auto"/>
                <w:kern w:val="0"/>
                <w:sz w:val="24"/>
                <w:szCs w:val="24"/>
                <w:u w:val="single"/>
                <w:lang w:val="en-US" w:eastAsia="zh-CN"/>
              </w:rPr>
              <w:t>150</w:t>
            </w:r>
            <w:r>
              <w:rPr>
                <w:rFonts w:hint="eastAsia" w:ascii="宋体" w:hAnsi="宋体" w:eastAsia="宋体" w:cs="宋体"/>
                <w:snapToGrid w:val="0"/>
                <w:color w:val="auto"/>
                <w:kern w:val="0"/>
                <w:sz w:val="24"/>
                <w:szCs w:val="24"/>
              </w:rPr>
              <w:t>万元存款余额资金流水证明的，得</w:t>
            </w:r>
            <w:r>
              <w:rPr>
                <w:rFonts w:hint="eastAsia" w:ascii="宋体" w:hAnsi="宋体" w:eastAsia="宋体" w:cs="宋体"/>
                <w:snapToGrid w:val="0"/>
                <w:color w:val="auto"/>
                <w:kern w:val="0"/>
                <w:sz w:val="24"/>
                <w:szCs w:val="24"/>
                <w:lang w:val="en-US" w:eastAsia="zh-CN" w:bidi="ar-SA"/>
              </w:rPr>
              <w:t>9分。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77955006">
            <w:pPr>
              <w:pStyle w:val="11"/>
              <w:keepNext w:val="0"/>
              <w:keepLines w:val="0"/>
              <w:pageBreakBefore w:val="0"/>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1．需附在有效期内的有关证明</w:t>
            </w:r>
            <w:r>
              <w:rPr>
                <w:rFonts w:hint="eastAsia" w:ascii="宋体" w:hAnsi="宋体" w:eastAsia="宋体" w:cs="宋体"/>
                <w:snapToGrid w:val="0"/>
                <w:color w:val="auto"/>
                <w:kern w:val="0"/>
                <w:sz w:val="24"/>
                <w:szCs w:val="24"/>
                <w:lang w:val="en-US" w:eastAsia="zh-CN"/>
              </w:rPr>
              <w:t>扫描件</w:t>
            </w:r>
            <w:r>
              <w:rPr>
                <w:rFonts w:hint="eastAsia" w:ascii="宋体" w:hAnsi="宋体" w:eastAsia="宋体" w:cs="宋体"/>
                <w:snapToGrid w:val="0"/>
                <w:color w:val="auto"/>
                <w:kern w:val="0"/>
                <w:sz w:val="24"/>
                <w:szCs w:val="24"/>
              </w:rPr>
              <w:t>（或打印件）</w:t>
            </w:r>
            <w:r>
              <w:rPr>
                <w:rFonts w:hint="eastAsia" w:ascii="宋体" w:hAnsi="宋体" w:eastAsia="宋体" w:cs="宋体"/>
                <w:snapToGrid w:val="0"/>
                <w:color w:val="auto"/>
                <w:kern w:val="0"/>
                <w:sz w:val="24"/>
                <w:szCs w:val="24"/>
                <w:lang w:eastAsia="zh-CN"/>
              </w:rPr>
              <w:t>。</w:t>
            </w:r>
          </w:p>
          <w:p w14:paraId="66417DC7">
            <w:pPr>
              <w:pStyle w:val="11"/>
              <w:keepNext w:val="0"/>
              <w:keepLines w:val="0"/>
              <w:pageBreakBefore w:val="0"/>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lang w:val="en-US" w:eastAsia="zh-CN"/>
              </w:rPr>
              <w:t>2</w:t>
            </w:r>
            <w:r>
              <w:rPr>
                <w:rFonts w:hint="eastAsia" w:ascii="宋体" w:hAnsi="宋体" w:eastAsia="宋体" w:cs="宋体"/>
                <w:snapToGrid w:val="0"/>
                <w:color w:val="auto"/>
                <w:kern w:val="0"/>
                <w:sz w:val="24"/>
                <w:szCs w:val="24"/>
              </w:rPr>
              <w:t>．存款余额资金流水证明有以下情形之一的，视为无效，不予计分：</w:t>
            </w:r>
          </w:p>
          <w:p w14:paraId="3DF7EB82">
            <w:pPr>
              <w:pStyle w:val="11"/>
              <w:keepNext w:val="0"/>
              <w:keepLines w:val="0"/>
              <w:pageBreakBefore w:val="0"/>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lang w:val="en-US" w:eastAsia="zh-CN"/>
              </w:rPr>
              <w:t>①</w:t>
            </w:r>
            <w:r>
              <w:rPr>
                <w:rFonts w:hint="eastAsia" w:ascii="宋体" w:hAnsi="宋体" w:eastAsia="宋体" w:cs="宋体"/>
                <w:snapToGrid w:val="0"/>
                <w:color w:val="auto"/>
                <w:kern w:val="0"/>
                <w:sz w:val="24"/>
                <w:szCs w:val="24"/>
              </w:rPr>
              <w:t>存款账户不是基本账户的；</w:t>
            </w:r>
          </w:p>
          <w:p w14:paraId="6A06B957">
            <w:pPr>
              <w:pStyle w:val="11"/>
              <w:keepNext w:val="0"/>
              <w:keepLines w:val="0"/>
              <w:pageBreakBefore w:val="0"/>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lang w:val="en-US" w:eastAsia="zh-CN"/>
              </w:rPr>
              <w:t>②</w:t>
            </w:r>
            <w:r>
              <w:rPr>
                <w:rFonts w:hint="eastAsia" w:ascii="宋体" w:hAnsi="宋体" w:eastAsia="宋体" w:cs="宋体"/>
                <w:snapToGrid w:val="0"/>
                <w:color w:val="auto"/>
                <w:kern w:val="0"/>
                <w:sz w:val="24"/>
                <w:szCs w:val="24"/>
              </w:rPr>
              <w:t>存款时间不符合要求的；</w:t>
            </w:r>
          </w:p>
          <w:p w14:paraId="3F1293A9">
            <w:pPr>
              <w:pStyle w:val="11"/>
              <w:keepNext w:val="0"/>
              <w:keepLines w:val="0"/>
              <w:pageBreakBefore w:val="0"/>
              <w:widowControl/>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2"/>
                <w:szCs w:val="22"/>
              </w:rPr>
            </w:pPr>
            <w:r>
              <w:rPr>
                <w:rFonts w:hint="eastAsia" w:ascii="宋体" w:hAnsi="宋体" w:eastAsia="宋体" w:cs="宋体"/>
                <w:snapToGrid w:val="0"/>
                <w:color w:val="auto"/>
                <w:kern w:val="0"/>
                <w:sz w:val="24"/>
                <w:szCs w:val="24"/>
                <w:lang w:val="en-US" w:eastAsia="zh-CN"/>
              </w:rPr>
              <w:t>③</w:t>
            </w:r>
            <w:r>
              <w:rPr>
                <w:rFonts w:hint="eastAsia" w:ascii="宋体" w:hAnsi="宋体" w:eastAsia="宋体" w:cs="宋体"/>
                <w:snapToGrid w:val="0"/>
                <w:color w:val="auto"/>
                <w:kern w:val="0"/>
                <w:sz w:val="24"/>
                <w:szCs w:val="24"/>
              </w:rPr>
              <w:t>存款额度不符合要求的。</w:t>
            </w:r>
          </w:p>
        </w:tc>
      </w:tr>
      <w:tr w14:paraId="5478A7D2">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6F013C7">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纳税信用</w:t>
            </w:r>
            <w:r>
              <w:rPr>
                <w:rFonts w:hint="eastAsia" w:ascii="宋体" w:hAnsi="宋体" w:eastAsia="宋体" w:cs="宋体"/>
                <w:snapToGrid w:val="0"/>
                <w:color w:val="auto"/>
                <w:kern w:val="0"/>
                <w:sz w:val="24"/>
                <w:szCs w:val="24"/>
                <w:highlight w:val="none"/>
                <w:lang w:val="en-US" w:eastAsia="zh-CN"/>
              </w:rPr>
              <w:t>情况</w:t>
            </w:r>
          </w:p>
          <w:p w14:paraId="43099BCC">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6分</w:t>
            </w:r>
            <w:r>
              <w:rPr>
                <w:rFonts w:hint="eastAsia" w:ascii="宋体" w:hAnsi="宋体" w:eastAsia="宋体" w:cs="宋体"/>
                <w:snapToGrid w:val="0"/>
                <w:color w:val="auto"/>
                <w:kern w:val="0"/>
                <w:sz w:val="24"/>
                <w:szCs w:val="24"/>
                <w:highlight w:val="none"/>
                <w:lang w:eastAsia="zh-CN"/>
              </w:rPr>
              <w:t>）</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478580DE">
            <w:pPr>
              <w:pStyle w:val="27"/>
              <w:keepNext w:val="0"/>
              <w:keepLines w:val="0"/>
              <w:pageBreakBefore w:val="0"/>
              <w:widowControl/>
              <w:numPr>
                <w:ilvl w:val="0"/>
                <w:numId w:val="0"/>
              </w:numPr>
              <w:kinsoku/>
              <w:overflowPunct/>
              <w:topLinePunct w:val="0"/>
              <w:autoSpaceDE/>
              <w:autoSpaceDN/>
              <w:bidi w:val="0"/>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近</w:t>
            </w:r>
            <w:r>
              <w:rPr>
                <w:rFonts w:hint="eastAsia" w:ascii="宋体" w:hAnsi="宋体" w:eastAsia="宋体" w:cs="宋体"/>
                <w:color w:val="auto"/>
                <w:kern w:val="2"/>
                <w:sz w:val="24"/>
                <w:szCs w:val="24"/>
                <w:u w:val="single"/>
                <w:lang w:val="en-US" w:eastAsia="zh-CN" w:bidi="ar-SA"/>
              </w:rPr>
              <w:t>5</w:t>
            </w:r>
            <w:r>
              <w:rPr>
                <w:rFonts w:hint="eastAsia" w:ascii="宋体" w:hAnsi="宋体" w:eastAsia="宋体" w:cs="宋体"/>
                <w:color w:val="auto"/>
                <w:kern w:val="2"/>
                <w:sz w:val="24"/>
                <w:szCs w:val="24"/>
                <w:lang w:val="en-US" w:eastAsia="zh-CN" w:bidi="ar-SA"/>
              </w:rPr>
              <w:t>年来（202</w:t>
            </w:r>
            <w:r>
              <w:rPr>
                <w:rFonts w:hint="eastAsia" w:hAnsi="宋体" w:cs="宋体"/>
                <w:color w:val="auto"/>
                <w:kern w:val="2"/>
                <w:sz w:val="24"/>
                <w:szCs w:val="24"/>
                <w:lang w:val="en-US" w:eastAsia="zh-CN" w:bidi="ar-SA"/>
              </w:rPr>
              <w:t>1</w:t>
            </w:r>
            <w:r>
              <w:rPr>
                <w:rFonts w:hint="eastAsia" w:ascii="宋体" w:hAnsi="宋体" w:eastAsia="宋体" w:cs="宋体"/>
                <w:color w:val="auto"/>
                <w:kern w:val="2"/>
                <w:sz w:val="24"/>
                <w:szCs w:val="24"/>
                <w:lang w:val="en-US" w:eastAsia="zh-CN" w:bidi="ar-SA"/>
              </w:rPr>
              <w:t>年1月1日至今）企业获得过纳税等级A级。</w:t>
            </w:r>
          </w:p>
          <w:p w14:paraId="11574FC8">
            <w:pPr>
              <w:pStyle w:val="27"/>
              <w:keepNext w:val="0"/>
              <w:keepLines w:val="0"/>
              <w:pageBreakBefore w:val="0"/>
              <w:widowControl/>
              <w:numPr>
                <w:ilvl w:val="0"/>
                <w:numId w:val="0"/>
              </w:numPr>
              <w:kinsoku/>
              <w:overflowPunct/>
              <w:topLinePunct w:val="0"/>
              <w:autoSpaceDE/>
              <w:autoSpaceDN/>
              <w:bidi w:val="0"/>
              <w:spacing w:line="360" w:lineRule="auto"/>
              <w:ind w:left="0" w:leftChars="0" w:firstLine="0"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4"/>
                <w:szCs w:val="24"/>
                <w:lang w:val="en-US" w:eastAsia="zh-CN" w:bidi="ar-SA"/>
              </w:rPr>
              <w:t>说明：本项最高得6分。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0F787CE2">
            <w:pPr>
              <w:pStyle w:val="11"/>
              <w:keepNext w:val="0"/>
              <w:keepLines w:val="0"/>
              <w:pageBreakBefore w:val="0"/>
              <w:widowControl/>
              <w:kinsoku/>
              <w:wordWrap w:val="0"/>
              <w:overflowPunct/>
              <w:topLinePunct w:val="0"/>
              <w:autoSpaceDE/>
              <w:autoSpaceDN/>
              <w:bidi w:val="0"/>
              <w:adjustRightInd w:val="0"/>
              <w:snapToGrid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1.需</w:t>
            </w:r>
            <w:r>
              <w:rPr>
                <w:rFonts w:hint="eastAsia" w:ascii="宋体" w:hAnsi="宋体" w:eastAsia="宋体" w:cs="宋体"/>
                <w:color w:val="auto"/>
                <w:kern w:val="0"/>
                <w:sz w:val="24"/>
                <w:szCs w:val="24"/>
                <w:highlight w:val="none"/>
                <w:lang w:val="en-US" w:eastAsia="zh-CN"/>
              </w:rPr>
              <w:t>提供相关证书（或证明材料）扫描件及税务部门的带网址的网页查询截图，否则不得分。</w:t>
            </w:r>
          </w:p>
          <w:p w14:paraId="7C673BEA">
            <w:pPr>
              <w:pStyle w:val="11"/>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left="0" w:leftChars="0" w:firstLine="0" w:firstLineChars="0"/>
              <w:jc w:val="both"/>
              <w:rPr>
                <w:rFonts w:hint="eastAsia" w:ascii="宋体" w:hAnsi="宋体" w:eastAsia="宋体" w:cs="宋体"/>
                <w:i/>
                <w:iCs/>
                <w:snapToGrid w:val="0"/>
                <w:color w:val="auto"/>
                <w:kern w:val="0"/>
                <w:sz w:val="22"/>
                <w:szCs w:val="22"/>
                <w:highlight w:val="none"/>
              </w:rPr>
            </w:pPr>
            <w:r>
              <w:rPr>
                <w:rFonts w:hint="eastAsia" w:ascii="宋体" w:hAnsi="宋体" w:eastAsia="宋体" w:cs="宋体"/>
                <w:color w:val="auto"/>
                <w:kern w:val="0"/>
                <w:sz w:val="24"/>
                <w:szCs w:val="24"/>
                <w:highlight w:val="none"/>
              </w:rPr>
              <w:t>2.只计算投标人自身（不计算投标人的分公司、子公司及分支机构）</w:t>
            </w:r>
            <w:r>
              <w:rPr>
                <w:rFonts w:hint="eastAsia" w:ascii="宋体" w:hAnsi="宋体" w:eastAsia="宋体" w:cs="宋体"/>
                <w:color w:val="auto"/>
                <w:kern w:val="0"/>
                <w:sz w:val="24"/>
                <w:szCs w:val="24"/>
                <w:highlight w:val="none"/>
                <w:lang w:eastAsia="zh-CN"/>
              </w:rPr>
              <w:t>。</w:t>
            </w:r>
          </w:p>
        </w:tc>
      </w:tr>
      <w:tr w14:paraId="01BD465F">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006745B6">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企业安全质量管理</w:t>
            </w:r>
          </w:p>
          <w:p w14:paraId="6FA3D2A2">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4"/>
                <w:szCs w:val="24"/>
                <w:highlight w:val="none"/>
                <w:lang w:val="en-US" w:eastAsia="zh-CN"/>
              </w:rPr>
              <w:t>（10分）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3AF2E6DF">
            <w:pPr>
              <w:pStyle w:val="11"/>
              <w:numPr>
                <w:ilvl w:val="0"/>
                <w:numId w:val="0"/>
              </w:numPr>
              <w:wordWrap w:val="0"/>
              <w:adjustRightInd w:val="0"/>
              <w:snapToGrid w:val="0"/>
              <w:spacing w:after="0" w:line="360" w:lineRule="auto"/>
              <w:jc w:val="lef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rPr>
              <w:t>近</w:t>
            </w:r>
            <w:r>
              <w:rPr>
                <w:rFonts w:hint="eastAsia" w:ascii="宋体" w:hAnsi="宋体" w:eastAsia="宋体" w:cs="宋体"/>
                <w:snapToGrid w:val="0"/>
                <w:color w:val="auto"/>
                <w:kern w:val="0"/>
                <w:sz w:val="24"/>
                <w:szCs w:val="24"/>
                <w:u w:val="single"/>
              </w:rPr>
              <w:t xml:space="preserve"> 5 </w:t>
            </w:r>
            <w:r>
              <w:rPr>
                <w:rFonts w:hint="eastAsia" w:ascii="宋体" w:hAnsi="宋体" w:eastAsia="宋体" w:cs="宋体"/>
                <w:snapToGrid w:val="0"/>
                <w:color w:val="auto"/>
                <w:kern w:val="0"/>
                <w:sz w:val="24"/>
                <w:szCs w:val="24"/>
              </w:rPr>
              <w:t>年来（</w:t>
            </w:r>
            <w:r>
              <w:rPr>
                <w:rFonts w:hint="eastAsia" w:ascii="宋体" w:hAnsi="宋体" w:eastAsia="宋体" w:cs="宋体"/>
                <w:snapToGrid w:val="0"/>
                <w:color w:val="auto"/>
                <w:kern w:val="0"/>
                <w:sz w:val="24"/>
                <w:szCs w:val="24"/>
                <w:lang w:val="en-US" w:eastAsia="zh-CN"/>
              </w:rPr>
              <w:t>202</w:t>
            </w:r>
            <w:r>
              <w:rPr>
                <w:rFonts w:hint="eastAsia" w:hAnsi="宋体" w:cs="宋体"/>
                <w:snapToGrid w:val="0"/>
                <w:color w:val="auto"/>
                <w:kern w:val="0"/>
                <w:sz w:val="24"/>
                <w:szCs w:val="24"/>
                <w:lang w:val="en-US" w:eastAsia="zh-CN"/>
              </w:rPr>
              <w:t>1</w:t>
            </w:r>
            <w:r>
              <w:rPr>
                <w:rFonts w:hint="eastAsia" w:ascii="宋体" w:hAnsi="宋体" w:eastAsia="宋体" w:cs="宋体"/>
                <w:snapToGrid w:val="0"/>
                <w:color w:val="auto"/>
                <w:kern w:val="0"/>
                <w:sz w:val="24"/>
                <w:szCs w:val="24"/>
              </w:rPr>
              <w:t>年</w:t>
            </w:r>
            <w:r>
              <w:rPr>
                <w:rFonts w:hint="eastAsia" w:ascii="宋体" w:hAnsi="宋体" w:eastAsia="宋体" w:cs="宋体"/>
                <w:snapToGrid w:val="0"/>
                <w:color w:val="auto"/>
                <w:kern w:val="0"/>
                <w:sz w:val="24"/>
                <w:szCs w:val="24"/>
                <w:lang w:val="en-US" w:eastAsia="zh-CN"/>
              </w:rPr>
              <w:t>1</w:t>
            </w:r>
            <w:r>
              <w:rPr>
                <w:rFonts w:hint="eastAsia" w:ascii="宋体" w:hAnsi="宋体" w:eastAsia="宋体" w:cs="宋体"/>
                <w:snapToGrid w:val="0"/>
                <w:color w:val="auto"/>
                <w:kern w:val="0"/>
                <w:sz w:val="24"/>
                <w:szCs w:val="24"/>
              </w:rPr>
              <w:t>月</w:t>
            </w:r>
            <w:r>
              <w:rPr>
                <w:rFonts w:hint="eastAsia" w:ascii="宋体" w:hAnsi="宋体" w:eastAsia="宋体" w:cs="宋体"/>
                <w:snapToGrid w:val="0"/>
                <w:color w:val="auto"/>
                <w:kern w:val="0"/>
                <w:sz w:val="24"/>
                <w:szCs w:val="24"/>
                <w:lang w:val="en-US" w:eastAsia="zh-CN"/>
              </w:rPr>
              <w:t>1</w:t>
            </w:r>
            <w:r>
              <w:rPr>
                <w:rFonts w:hint="eastAsia" w:ascii="宋体" w:hAnsi="宋体" w:eastAsia="宋体" w:cs="宋体"/>
                <w:snapToGrid w:val="0"/>
                <w:color w:val="auto"/>
                <w:kern w:val="0"/>
                <w:sz w:val="24"/>
                <w:szCs w:val="24"/>
              </w:rPr>
              <w:t>日至</w:t>
            </w:r>
            <w:r>
              <w:rPr>
                <w:rFonts w:hint="eastAsia" w:ascii="宋体" w:hAnsi="宋体" w:eastAsia="宋体" w:cs="宋体"/>
                <w:snapToGrid w:val="0"/>
                <w:color w:val="auto"/>
                <w:kern w:val="0"/>
                <w:sz w:val="24"/>
                <w:szCs w:val="24"/>
                <w:lang w:val="en-US" w:eastAsia="zh-CN"/>
              </w:rPr>
              <w:t>今</w:t>
            </w:r>
            <w:r>
              <w:rPr>
                <w:rFonts w:hint="eastAsia" w:ascii="宋体" w:hAnsi="宋体" w:eastAsia="宋体" w:cs="宋体"/>
                <w:snapToGrid w:val="0"/>
                <w:color w:val="auto"/>
                <w:kern w:val="0"/>
                <w:sz w:val="24"/>
                <w:szCs w:val="24"/>
              </w:rPr>
              <w:t>）投标人未发生事故等级为一般事故及以上的生产安全事故、一般质量事故及以上的工程质量事故的，得</w:t>
            </w:r>
            <w:r>
              <w:rPr>
                <w:rFonts w:hint="eastAsia" w:ascii="宋体" w:hAnsi="宋体" w:eastAsia="宋体" w:cs="宋体"/>
                <w:snapToGrid w:val="0"/>
                <w:color w:val="auto"/>
                <w:kern w:val="0"/>
                <w:sz w:val="24"/>
                <w:szCs w:val="24"/>
                <w:u w:val="none"/>
                <w:lang w:val="en-US" w:eastAsia="zh-CN"/>
              </w:rPr>
              <w:t>10</w:t>
            </w:r>
            <w:r>
              <w:rPr>
                <w:rFonts w:hint="eastAsia" w:ascii="宋体" w:hAnsi="宋体" w:eastAsia="宋体" w:cs="宋体"/>
                <w:snapToGrid w:val="0"/>
                <w:color w:val="auto"/>
                <w:kern w:val="0"/>
                <w:sz w:val="24"/>
                <w:szCs w:val="24"/>
              </w:rPr>
              <w:t>分；</w:t>
            </w:r>
          </w:p>
          <w:p w14:paraId="5A912CBC">
            <w:pPr>
              <w:pStyle w:val="11"/>
              <w:wordWrap w:val="0"/>
              <w:adjustRightInd w:val="0"/>
              <w:snapToGrid w:val="0"/>
              <w:spacing w:after="0" w:line="360" w:lineRule="auto"/>
              <w:jc w:val="left"/>
              <w:rPr>
                <w:rFonts w:hint="eastAsia" w:ascii="宋体" w:hAnsi="宋体" w:eastAsia="宋体" w:cs="宋体"/>
                <w:color w:val="auto"/>
                <w:kern w:val="2"/>
                <w:sz w:val="22"/>
                <w:szCs w:val="22"/>
                <w:lang w:val="en-US" w:eastAsia="zh-CN" w:bidi="ar-SA"/>
              </w:rPr>
            </w:pPr>
            <w:r>
              <w:rPr>
                <w:rFonts w:hint="eastAsia" w:ascii="宋体" w:hAnsi="宋体" w:eastAsia="宋体" w:cs="宋体"/>
                <w:snapToGrid w:val="0"/>
                <w:color w:val="auto"/>
                <w:kern w:val="0"/>
                <w:sz w:val="24"/>
                <w:szCs w:val="24"/>
              </w:rPr>
              <w:t>2.其他情形的，不予计分。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35F7BA0E">
            <w:pPr>
              <w:pStyle w:val="58"/>
              <w:numPr>
                <w:ilvl w:val="0"/>
                <w:numId w:val="0"/>
              </w:numPr>
              <w:wordWrap w:val="0"/>
              <w:adjustRightInd w:val="0"/>
              <w:snapToGrid w:val="0"/>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bidi="ar-SA"/>
              </w:rPr>
              <w:t>1.</w:t>
            </w:r>
            <w:r>
              <w:rPr>
                <w:rFonts w:hint="eastAsia" w:ascii="宋体" w:hAnsi="宋体" w:eastAsia="宋体" w:cs="宋体"/>
                <w:color w:val="auto"/>
                <w:kern w:val="0"/>
                <w:sz w:val="24"/>
                <w:szCs w:val="24"/>
              </w:rPr>
              <w:t>需提供本单位承诺书（格式自定）并加盖本单位公章。</w:t>
            </w:r>
          </w:p>
          <w:p w14:paraId="61C0F6B4">
            <w:pPr>
              <w:pStyle w:val="58"/>
              <w:numPr>
                <w:ilvl w:val="0"/>
                <w:numId w:val="0"/>
              </w:numPr>
              <w:wordWrap w:val="0"/>
              <w:adjustRightInd w:val="0"/>
              <w:snapToGrid w:val="0"/>
              <w:spacing w:line="360" w:lineRule="auto"/>
              <w:ind w:left="0" w:leftChars="0" w:firstLine="0" w:firstLineChars="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kern w:val="0"/>
                <w:sz w:val="24"/>
                <w:szCs w:val="24"/>
                <w:lang w:val="en-US" w:eastAsia="zh-CN" w:bidi="ar-SA"/>
              </w:rPr>
              <w:t>2.</w:t>
            </w:r>
            <w:r>
              <w:rPr>
                <w:rFonts w:hint="eastAsia" w:ascii="宋体" w:hAnsi="宋体" w:eastAsia="宋体" w:cs="宋体"/>
                <w:color w:val="auto"/>
                <w:kern w:val="0"/>
                <w:sz w:val="24"/>
                <w:szCs w:val="24"/>
              </w:rPr>
              <w:t>未提供本单位承诺书并加盖本单位公章的，按第2项标准处理。</w:t>
            </w:r>
          </w:p>
        </w:tc>
      </w:tr>
      <w:tr w14:paraId="648AC0CE">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6736BA21">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快速服务保障能力</w:t>
            </w:r>
          </w:p>
          <w:p w14:paraId="65DFCB57">
            <w:pPr>
              <w:pStyle w:val="11"/>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00BA0474">
            <w:pPr>
              <w:pStyle w:val="11"/>
              <w:keepNext w:val="0"/>
              <w:keepLines w:val="0"/>
              <w:pageBreakBefore w:val="0"/>
              <w:widowControl/>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对所有投标人的快速服务保障能力（包括保修期快速服务保障能力）进行横向比较：</w:t>
            </w:r>
          </w:p>
          <w:p w14:paraId="564E282A">
            <w:pPr>
              <w:pStyle w:val="11"/>
              <w:keepNext w:val="0"/>
              <w:keepLines w:val="0"/>
              <w:pageBreakBefore w:val="0"/>
              <w:widowControl/>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1.快速服务保障能力优的得10分；</w:t>
            </w:r>
          </w:p>
          <w:p w14:paraId="71427385">
            <w:pPr>
              <w:pStyle w:val="11"/>
              <w:keepNext w:val="0"/>
              <w:keepLines w:val="0"/>
              <w:pageBreakBefore w:val="0"/>
              <w:widowControl/>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2.快速服务保障能力良的得5分；</w:t>
            </w:r>
          </w:p>
          <w:p w14:paraId="11FA889C">
            <w:pPr>
              <w:pStyle w:val="11"/>
              <w:keepNext w:val="0"/>
              <w:keepLines w:val="0"/>
              <w:pageBreakBefore w:val="0"/>
              <w:widowControl/>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3.快速服务保障能力一般的得2分；</w:t>
            </w:r>
          </w:p>
          <w:p w14:paraId="6D2BE5FD">
            <w:pPr>
              <w:pStyle w:val="11"/>
              <w:keepNext w:val="0"/>
              <w:keepLines w:val="0"/>
              <w:pageBreakBefore w:val="0"/>
              <w:widowControl/>
              <w:kinsoku/>
              <w:wordWrap w:val="0"/>
              <w:overflowPunct/>
              <w:topLinePunct w:val="0"/>
              <w:autoSpaceDE/>
              <w:autoSpaceDN/>
              <w:bidi w:val="0"/>
              <w:adjustRightInd w:val="0"/>
              <w:snapToGrid w:val="0"/>
              <w:spacing w:line="360" w:lineRule="auto"/>
              <w:rPr>
                <w:rFonts w:hint="eastAsia" w:ascii="宋体" w:hAnsi="宋体" w:eastAsia="宋体" w:cs="宋体"/>
                <w:color w:val="auto"/>
                <w:kern w:val="2"/>
                <w:sz w:val="22"/>
                <w:szCs w:val="22"/>
                <w:lang w:val="en-US" w:eastAsia="zh-CN" w:bidi="ar-SA"/>
              </w:rPr>
            </w:pPr>
            <w:r>
              <w:rPr>
                <w:rFonts w:hint="eastAsia" w:ascii="宋体" w:hAnsi="宋体" w:eastAsia="宋体" w:cs="宋体"/>
                <w:snapToGrid w:val="0"/>
                <w:color w:val="auto"/>
                <w:kern w:val="0"/>
                <w:sz w:val="24"/>
                <w:szCs w:val="24"/>
                <w:highlight w:val="none"/>
                <w:lang w:val="en-US" w:eastAsia="zh-CN" w:bidi="ar-SA"/>
              </w:rPr>
              <w:t xml:space="preserve">本项最高得10分。  </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3B60C2E9">
            <w:pPr>
              <w:pStyle w:val="11"/>
              <w:keepNext w:val="0"/>
              <w:keepLines w:val="0"/>
              <w:pageBreakBefore w:val="0"/>
              <w:widowControl/>
              <w:kinsoku/>
              <w:wordWrap w:val="0"/>
              <w:overflowPunct/>
              <w:topLinePunct w:val="0"/>
              <w:autoSpaceDE/>
              <w:autoSpaceDN/>
              <w:bidi w:val="0"/>
              <w:adjustRightInd w:val="0"/>
              <w:snapToGrid w:val="0"/>
              <w:spacing w:after="0" w:line="360" w:lineRule="auto"/>
              <w:jc w:val="left"/>
              <w:textAlignment w:val="baseline"/>
              <w:rPr>
                <w:rFonts w:hint="eastAsia" w:ascii="宋体" w:hAnsi="宋体" w:eastAsia="宋体" w:cs="宋体"/>
                <w:snapToGrid w:val="0"/>
                <w:color w:val="auto"/>
                <w:kern w:val="0"/>
                <w:sz w:val="24"/>
                <w:szCs w:val="24"/>
                <w:highlight w:val="none"/>
                <w:shd w:val="clear" w:color="auto" w:fill="auto"/>
                <w:lang w:eastAsia="zh-CN"/>
              </w:rPr>
            </w:pPr>
            <w:r>
              <w:rPr>
                <w:rFonts w:hint="eastAsia" w:ascii="宋体" w:hAnsi="宋体" w:eastAsia="宋体" w:cs="宋体"/>
                <w:snapToGrid w:val="0"/>
                <w:color w:val="auto"/>
                <w:kern w:val="0"/>
                <w:sz w:val="24"/>
                <w:szCs w:val="24"/>
                <w:highlight w:val="none"/>
                <w:shd w:val="clear" w:color="auto" w:fill="auto"/>
              </w:rPr>
              <w:t>1.投标人须提供快速服务保障能力的承诺函，承诺函中必须包含响应时间及保修期服务的承诺，并提供投标人营业执照的所在地距离招标人地点的百度地图路线网上截图</w:t>
            </w:r>
            <w:r>
              <w:rPr>
                <w:rFonts w:hint="eastAsia" w:ascii="宋体" w:hAnsi="宋体" w:eastAsia="宋体" w:cs="宋体"/>
                <w:snapToGrid w:val="0"/>
                <w:color w:val="auto"/>
                <w:kern w:val="0"/>
                <w:sz w:val="24"/>
                <w:szCs w:val="24"/>
                <w:highlight w:val="none"/>
                <w:shd w:val="clear" w:color="auto" w:fill="auto"/>
                <w:lang w:eastAsia="zh-CN"/>
              </w:rPr>
              <w:t>，</w:t>
            </w:r>
            <w:r>
              <w:rPr>
                <w:rFonts w:hint="eastAsia" w:ascii="宋体" w:hAnsi="宋体" w:eastAsia="宋体" w:cs="宋体"/>
                <w:snapToGrid w:val="0"/>
                <w:color w:val="auto"/>
                <w:kern w:val="0"/>
                <w:sz w:val="24"/>
                <w:szCs w:val="24"/>
                <w:highlight w:val="none"/>
                <w:shd w:val="clear" w:color="auto" w:fill="auto"/>
              </w:rPr>
              <w:t>同城</w:t>
            </w:r>
            <w:r>
              <w:rPr>
                <w:rFonts w:hint="eastAsia" w:ascii="宋体" w:hAnsi="宋体" w:eastAsia="宋体" w:cs="宋体"/>
                <w:snapToGrid w:val="0"/>
                <w:color w:val="auto"/>
                <w:kern w:val="0"/>
                <w:sz w:val="24"/>
                <w:szCs w:val="24"/>
                <w:highlight w:val="none"/>
                <w:shd w:val="clear" w:color="auto" w:fill="auto"/>
                <w:lang w:eastAsia="zh-CN"/>
              </w:rPr>
              <w:t>（</w:t>
            </w:r>
            <w:r>
              <w:rPr>
                <w:rFonts w:hint="eastAsia" w:ascii="宋体" w:hAnsi="宋体" w:eastAsia="宋体" w:cs="宋体"/>
                <w:snapToGrid w:val="0"/>
                <w:color w:val="auto"/>
                <w:kern w:val="0"/>
                <w:sz w:val="24"/>
                <w:szCs w:val="24"/>
                <w:highlight w:val="none"/>
                <w:shd w:val="clear" w:color="auto" w:fill="auto"/>
              </w:rPr>
              <w:t>同个县/区</w:t>
            </w:r>
            <w:r>
              <w:rPr>
                <w:rFonts w:hint="eastAsia" w:ascii="宋体" w:hAnsi="宋体" w:eastAsia="宋体" w:cs="宋体"/>
                <w:snapToGrid w:val="0"/>
                <w:color w:val="auto"/>
                <w:kern w:val="0"/>
                <w:sz w:val="24"/>
                <w:szCs w:val="24"/>
                <w:highlight w:val="none"/>
                <w:shd w:val="clear" w:color="auto" w:fill="auto"/>
                <w:lang w:eastAsia="zh-CN"/>
              </w:rPr>
              <w:t>）</w:t>
            </w:r>
            <w:r>
              <w:rPr>
                <w:rFonts w:hint="eastAsia" w:ascii="宋体" w:hAnsi="宋体" w:eastAsia="宋体" w:cs="宋体"/>
                <w:snapToGrid w:val="0"/>
                <w:color w:val="auto"/>
                <w:kern w:val="0"/>
                <w:sz w:val="24"/>
                <w:szCs w:val="24"/>
                <w:highlight w:val="none"/>
                <w:shd w:val="clear" w:color="auto" w:fill="auto"/>
              </w:rPr>
              <w:t>视为快速服务能力相同。拟投入本项目的施工管理机构人员在</w:t>
            </w:r>
            <w:r>
              <w:rPr>
                <w:rFonts w:hint="eastAsia" w:ascii="宋体" w:hAnsi="宋体" w:eastAsia="宋体" w:cs="宋体"/>
                <w:snapToGrid w:val="0"/>
                <w:color w:val="auto"/>
                <w:kern w:val="0"/>
                <w:sz w:val="24"/>
                <w:szCs w:val="24"/>
                <w:highlight w:val="none"/>
                <w:shd w:val="clear" w:color="auto" w:fill="auto"/>
                <w:lang w:val="en-US" w:eastAsia="zh-CN"/>
              </w:rPr>
              <w:t>投标单位注册地办理</w:t>
            </w:r>
            <w:r>
              <w:rPr>
                <w:rFonts w:hint="eastAsia" w:ascii="宋体" w:hAnsi="宋体" w:eastAsia="宋体" w:cs="宋体"/>
                <w:snapToGrid w:val="0"/>
                <w:color w:val="auto"/>
                <w:kern w:val="0"/>
                <w:sz w:val="24"/>
                <w:szCs w:val="24"/>
                <w:highlight w:val="none"/>
                <w:shd w:val="clear" w:color="auto" w:fill="auto"/>
              </w:rPr>
              <w:t>的社保证明文件</w:t>
            </w:r>
            <w:r>
              <w:rPr>
                <w:rFonts w:hint="eastAsia" w:ascii="宋体" w:hAnsi="宋体" w:eastAsia="宋体" w:cs="宋体"/>
                <w:snapToGrid w:val="0"/>
                <w:color w:val="auto"/>
                <w:kern w:val="0"/>
                <w:sz w:val="24"/>
                <w:szCs w:val="24"/>
                <w:highlight w:val="none"/>
                <w:shd w:val="clear" w:color="auto" w:fill="auto"/>
                <w:lang w:eastAsia="zh-CN"/>
              </w:rPr>
              <w:t>（</w:t>
            </w:r>
            <w:r>
              <w:rPr>
                <w:rFonts w:hint="eastAsia" w:ascii="宋体" w:hAnsi="宋体" w:eastAsia="宋体" w:cs="宋体"/>
                <w:snapToGrid w:val="0"/>
                <w:color w:val="auto"/>
                <w:kern w:val="0"/>
                <w:sz w:val="24"/>
                <w:szCs w:val="24"/>
                <w:highlight w:val="none"/>
                <w:shd w:val="clear" w:color="auto" w:fill="auto"/>
              </w:rPr>
              <w:t>至少</w:t>
            </w:r>
            <w:r>
              <w:rPr>
                <w:rFonts w:hint="eastAsia" w:ascii="宋体" w:hAnsi="宋体" w:eastAsia="宋体" w:cs="宋体"/>
                <w:snapToGrid w:val="0"/>
                <w:color w:val="auto"/>
                <w:kern w:val="0"/>
                <w:sz w:val="24"/>
                <w:szCs w:val="24"/>
                <w:highlight w:val="none"/>
                <w:shd w:val="clear" w:color="auto" w:fill="auto"/>
                <w:lang w:val="en-US" w:eastAsia="zh-CN"/>
              </w:rPr>
              <w:t>1</w:t>
            </w:r>
            <w:r>
              <w:rPr>
                <w:rFonts w:hint="eastAsia" w:ascii="宋体" w:hAnsi="宋体" w:eastAsia="宋体" w:cs="宋体"/>
                <w:snapToGrid w:val="0"/>
                <w:color w:val="auto"/>
                <w:kern w:val="0"/>
                <w:sz w:val="24"/>
                <w:szCs w:val="24"/>
                <w:highlight w:val="none"/>
                <w:shd w:val="clear" w:color="auto" w:fill="auto"/>
              </w:rPr>
              <w:t>个月，其中必须有</w:t>
            </w:r>
            <w:r>
              <w:rPr>
                <w:rFonts w:hint="eastAsia" w:ascii="宋体" w:hAnsi="宋体" w:eastAsia="宋体" w:cs="宋体"/>
                <w:color w:val="auto"/>
                <w:kern w:val="0"/>
                <w:sz w:val="24"/>
                <w:szCs w:val="24"/>
                <w:highlight w:val="none"/>
                <w:lang w:val="en-US" w:eastAsia="zh-CN"/>
              </w:rPr>
              <w:t>2025年11月</w:t>
            </w:r>
            <w:r>
              <w:rPr>
                <w:rFonts w:hint="eastAsia" w:ascii="宋体" w:hAnsi="宋体" w:eastAsia="宋体" w:cs="宋体"/>
                <w:snapToGrid w:val="0"/>
                <w:color w:val="auto"/>
                <w:kern w:val="0"/>
                <w:sz w:val="24"/>
                <w:szCs w:val="24"/>
                <w:highlight w:val="none"/>
                <w:shd w:val="clear" w:color="auto" w:fill="auto"/>
                <w:lang w:eastAsia="zh-CN"/>
              </w:rPr>
              <w:t>），</w:t>
            </w:r>
            <w:r>
              <w:rPr>
                <w:rFonts w:hint="eastAsia" w:ascii="宋体" w:hAnsi="宋体" w:eastAsia="宋体" w:cs="宋体"/>
                <w:snapToGrid w:val="0"/>
                <w:color w:val="auto"/>
                <w:kern w:val="0"/>
                <w:sz w:val="24"/>
                <w:szCs w:val="24"/>
                <w:highlight w:val="none"/>
                <w:shd w:val="clear" w:color="auto" w:fill="auto"/>
              </w:rPr>
              <w:t>投标人营业执照</w:t>
            </w:r>
            <w:r>
              <w:rPr>
                <w:rFonts w:hint="eastAsia" w:ascii="宋体" w:hAnsi="宋体" w:eastAsia="宋体" w:cs="宋体"/>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shd w:val="clear" w:color="auto" w:fill="auto"/>
              </w:rPr>
              <w:t>、人员社保证明</w:t>
            </w:r>
            <w:r>
              <w:rPr>
                <w:rFonts w:hint="eastAsia" w:ascii="宋体" w:hAnsi="宋体" w:eastAsia="宋体" w:cs="宋体"/>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shd w:val="clear" w:color="auto" w:fill="auto"/>
              </w:rPr>
              <w:t>等相关佐证材料。承诺函格式自拟。</w:t>
            </w:r>
          </w:p>
          <w:p w14:paraId="76D8FB16">
            <w:pPr>
              <w:numPr>
                <w:ilvl w:val="0"/>
                <w:numId w:val="0"/>
              </w:numPr>
              <w:wordWrap w:val="0"/>
              <w:snapToGrid w:val="0"/>
              <w:spacing w:line="360" w:lineRule="auto"/>
              <w:ind w:left="0" w:leftChars="0" w:firstLine="0" w:firstLineChars="0"/>
              <w:jc w:val="left"/>
              <w:rPr>
                <w:rFonts w:hint="eastAsia" w:ascii="宋体" w:hAnsi="宋体" w:eastAsia="宋体" w:cs="宋体"/>
                <w:color w:val="auto"/>
                <w:kern w:val="0"/>
                <w:sz w:val="22"/>
                <w:szCs w:val="22"/>
                <w:highlight w:val="none"/>
              </w:rPr>
            </w:pPr>
            <w:r>
              <w:rPr>
                <w:rFonts w:hint="eastAsia" w:ascii="宋体" w:hAnsi="宋体" w:eastAsia="宋体" w:cs="宋体"/>
                <w:snapToGrid w:val="0"/>
                <w:color w:val="auto"/>
                <w:kern w:val="0"/>
                <w:sz w:val="24"/>
                <w:szCs w:val="24"/>
                <w:highlight w:val="none"/>
                <w:shd w:val="clear" w:color="auto" w:fill="auto"/>
              </w:rPr>
              <w:t>2.不符合评分标准和备注规定的，不计分</w:t>
            </w:r>
            <w:r>
              <w:rPr>
                <w:rFonts w:hint="eastAsia" w:ascii="宋体" w:hAnsi="宋体" w:eastAsia="宋体" w:cs="宋体"/>
                <w:snapToGrid w:val="0"/>
                <w:color w:val="auto"/>
                <w:kern w:val="0"/>
                <w:sz w:val="24"/>
                <w:szCs w:val="24"/>
                <w:highlight w:val="none"/>
                <w:shd w:val="clear" w:color="auto" w:fill="auto"/>
                <w:lang w:eastAsia="zh-CN"/>
              </w:rPr>
              <w:t>。</w:t>
            </w:r>
          </w:p>
        </w:tc>
      </w:tr>
      <w:tr w14:paraId="1770ED0C">
        <w:tblPrEx>
          <w:tblCellMar>
            <w:top w:w="0" w:type="dxa"/>
            <w:left w:w="108" w:type="dxa"/>
            <w:bottom w:w="0" w:type="dxa"/>
            <w:right w:w="108" w:type="dxa"/>
          </w:tblCellMar>
        </w:tblPrEx>
        <w:trPr>
          <w:trHeight w:val="23" w:hRule="atLeast"/>
          <w:jc w:val="center"/>
        </w:trPr>
        <w:tc>
          <w:tcPr>
            <w:tcW w:w="1085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5776CCB">
            <w:pPr>
              <w:pStyle w:val="11"/>
              <w:wordWrap w:val="0"/>
              <w:adjustRightInd w:val="0"/>
              <w:snapToGrid w:val="0"/>
              <w:spacing w:after="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技术部分（施工组织设计），满分：</w:t>
            </w:r>
            <w:r>
              <w:rPr>
                <w:rFonts w:hint="eastAsia" w:ascii="宋体" w:hAnsi="宋体" w:eastAsia="宋体" w:cs="宋体"/>
                <w:b/>
                <w:bCs/>
                <w:snapToGrid w:val="0"/>
                <w:color w:val="auto"/>
                <w:kern w:val="0"/>
                <w:sz w:val="24"/>
                <w:szCs w:val="24"/>
                <w:highlight w:val="none"/>
                <w:u w:val="single"/>
                <w:lang w:val="en-US" w:eastAsia="zh-CN"/>
              </w:rPr>
              <w:t>20</w:t>
            </w:r>
            <w:r>
              <w:rPr>
                <w:rFonts w:hint="eastAsia" w:ascii="宋体" w:hAnsi="宋体" w:eastAsia="宋体" w:cs="宋体"/>
                <w:b/>
                <w:bCs/>
                <w:snapToGrid w:val="0"/>
                <w:color w:val="auto"/>
                <w:kern w:val="0"/>
                <w:sz w:val="24"/>
                <w:szCs w:val="24"/>
                <w:highlight w:val="none"/>
              </w:rPr>
              <w:t>分。</w:t>
            </w:r>
          </w:p>
        </w:tc>
      </w:tr>
      <w:tr w14:paraId="2AD7B249">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7C000DBD">
            <w:pPr>
              <w:pStyle w:val="11"/>
              <w:wordWrap w:val="0"/>
              <w:adjustRightInd w:val="0"/>
              <w:snapToGrid w:val="0"/>
              <w:spacing w:after="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评分因素</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26C2747E">
            <w:pPr>
              <w:pStyle w:val="11"/>
              <w:wordWrap w:val="0"/>
              <w:adjustRightInd w:val="0"/>
              <w:snapToGrid w:val="0"/>
              <w:spacing w:after="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评分标准</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43F36B56">
            <w:pPr>
              <w:pStyle w:val="11"/>
              <w:wordWrap w:val="0"/>
              <w:adjustRightInd w:val="0"/>
              <w:snapToGrid w:val="0"/>
              <w:spacing w:after="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备注</w:t>
            </w:r>
          </w:p>
        </w:tc>
      </w:tr>
      <w:tr w14:paraId="0943E310">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0096C62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总体概述</w:t>
            </w:r>
          </w:p>
          <w:p w14:paraId="4A6052FC">
            <w:pPr>
              <w:jc w:val="center"/>
              <w:rPr>
                <w:rFonts w:hint="eastAsia" w:ascii="宋体" w:hAnsi="宋体" w:eastAsia="宋体" w:cs="宋体"/>
                <w:color w:val="auto"/>
                <w:sz w:val="22"/>
                <w:szCs w:val="22"/>
              </w:rPr>
            </w:pPr>
            <w:r>
              <w:rPr>
                <w:rFonts w:hint="eastAsia" w:ascii="宋体" w:hAnsi="宋体" w:eastAsia="宋体" w:cs="宋体"/>
                <w:color w:val="auto"/>
                <w:sz w:val="24"/>
                <w:szCs w:val="24"/>
              </w:rPr>
              <w:t>（3分）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20754B12">
            <w:pPr>
              <w:rPr>
                <w:rFonts w:hint="eastAsia" w:ascii="宋体" w:hAnsi="宋体" w:eastAsia="宋体" w:cs="宋体"/>
                <w:color w:val="auto"/>
                <w:sz w:val="24"/>
                <w:szCs w:val="24"/>
              </w:rPr>
            </w:pPr>
            <w:r>
              <w:rPr>
                <w:rFonts w:hint="eastAsia" w:ascii="宋体" w:hAnsi="宋体" w:eastAsia="宋体" w:cs="宋体"/>
                <w:color w:val="auto"/>
                <w:sz w:val="24"/>
                <w:szCs w:val="24"/>
              </w:rPr>
              <w:t>【优】得该项评分因素分值的90%～100%（含90%）。</w:t>
            </w:r>
          </w:p>
          <w:p w14:paraId="7ED2EA7D">
            <w:pPr>
              <w:rPr>
                <w:rFonts w:hint="eastAsia" w:ascii="宋体" w:hAnsi="宋体" w:eastAsia="宋体" w:cs="宋体"/>
                <w:color w:val="auto"/>
                <w:sz w:val="24"/>
                <w:szCs w:val="24"/>
              </w:rPr>
            </w:pPr>
            <w:r>
              <w:rPr>
                <w:rFonts w:hint="eastAsia" w:ascii="宋体" w:hAnsi="宋体" w:eastAsia="宋体" w:cs="宋体"/>
                <w:color w:val="auto"/>
                <w:sz w:val="24"/>
                <w:szCs w:val="24"/>
              </w:rPr>
              <w:t>【良】得该项评分因素分值的80%～90%（含80%）。</w:t>
            </w:r>
          </w:p>
          <w:p w14:paraId="45586488">
            <w:pPr>
              <w:rPr>
                <w:rFonts w:hint="eastAsia" w:ascii="宋体" w:hAnsi="宋体" w:eastAsia="宋体" w:cs="宋体"/>
                <w:color w:val="auto"/>
                <w:sz w:val="24"/>
                <w:szCs w:val="24"/>
              </w:rPr>
            </w:pPr>
            <w:r>
              <w:rPr>
                <w:rFonts w:hint="eastAsia" w:ascii="宋体" w:hAnsi="宋体" w:eastAsia="宋体" w:cs="宋体"/>
                <w:color w:val="auto"/>
                <w:sz w:val="24"/>
                <w:szCs w:val="24"/>
              </w:rPr>
              <w:t>【中】得该项评分因素分值的70%～80%（含70%）。</w:t>
            </w:r>
          </w:p>
          <w:p w14:paraId="4D6DC20F">
            <w:pPr>
              <w:rPr>
                <w:rFonts w:hint="eastAsia" w:ascii="宋体" w:hAnsi="宋体" w:eastAsia="宋体" w:cs="宋体"/>
                <w:color w:val="auto"/>
                <w:sz w:val="22"/>
                <w:szCs w:val="22"/>
              </w:rPr>
            </w:pPr>
            <w:r>
              <w:rPr>
                <w:rFonts w:hint="eastAsia" w:ascii="宋体" w:hAnsi="宋体" w:eastAsia="宋体" w:cs="宋体"/>
                <w:color w:val="auto"/>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007D2FF1">
            <w:pPr>
              <w:rPr>
                <w:rFonts w:hint="eastAsia" w:ascii="宋体" w:hAnsi="宋体" w:eastAsia="宋体" w:cs="宋体"/>
                <w:color w:val="auto"/>
                <w:sz w:val="24"/>
                <w:szCs w:val="24"/>
              </w:rPr>
            </w:pPr>
            <w:r>
              <w:rPr>
                <w:rFonts w:hint="eastAsia" w:ascii="宋体" w:hAnsi="宋体" w:eastAsia="宋体" w:cs="宋体"/>
                <w:color w:val="auto"/>
                <w:sz w:val="24"/>
                <w:szCs w:val="24"/>
              </w:rPr>
              <w:t>【优】对项目总体有深刻认识，表述清晰、完整、严谨、合理，措施先进、具体、有效、成熟，采用了新技术、新工艺、新材料、新设备；施工段划分呼应总体表述，划分清晰、合理，符合规范要求。</w:t>
            </w:r>
          </w:p>
          <w:p w14:paraId="1FFBBD2C">
            <w:pPr>
              <w:rPr>
                <w:rFonts w:hint="eastAsia" w:ascii="宋体" w:hAnsi="宋体" w:eastAsia="宋体" w:cs="宋体"/>
                <w:color w:val="auto"/>
                <w:sz w:val="24"/>
                <w:szCs w:val="24"/>
              </w:rPr>
            </w:pPr>
            <w:r>
              <w:rPr>
                <w:rFonts w:hint="eastAsia" w:ascii="宋体" w:hAnsi="宋体" w:eastAsia="宋体" w:cs="宋体"/>
                <w:color w:val="auto"/>
                <w:sz w:val="24"/>
                <w:szCs w:val="24"/>
              </w:rPr>
              <w:t>【良】对项目总体有一定认识，表述清晰、完整，措施具体有效；施工段划分呼应总体表述，划分清晰，符合规范要求。</w:t>
            </w:r>
          </w:p>
          <w:p w14:paraId="2E06693E">
            <w:pPr>
              <w:rPr>
                <w:rFonts w:hint="eastAsia" w:ascii="宋体" w:hAnsi="宋体" w:eastAsia="宋体" w:cs="宋体"/>
                <w:color w:val="auto"/>
                <w:sz w:val="24"/>
                <w:szCs w:val="24"/>
              </w:rPr>
            </w:pPr>
            <w:r>
              <w:rPr>
                <w:rFonts w:hint="eastAsia" w:ascii="宋体" w:hAnsi="宋体" w:eastAsia="宋体" w:cs="宋体"/>
                <w:color w:val="auto"/>
                <w:sz w:val="24"/>
                <w:szCs w:val="24"/>
              </w:rPr>
              <w:t>【中】对项目总体有认识，有一定的措施但部分不具体；施工段划分较合理，符合规范要求。</w:t>
            </w:r>
          </w:p>
          <w:p w14:paraId="50CCA69A">
            <w:pPr>
              <w:rPr>
                <w:rFonts w:hint="eastAsia" w:ascii="宋体" w:hAnsi="宋体" w:eastAsia="宋体" w:cs="宋体"/>
                <w:color w:val="auto"/>
                <w:sz w:val="22"/>
                <w:szCs w:val="22"/>
              </w:rPr>
            </w:pPr>
            <w:r>
              <w:rPr>
                <w:rFonts w:hint="eastAsia" w:ascii="宋体" w:hAnsi="宋体" w:eastAsia="宋体" w:cs="宋体"/>
                <w:color w:val="auto"/>
                <w:sz w:val="24"/>
                <w:szCs w:val="24"/>
              </w:rPr>
              <w:t>【差】对项目认识不足，表述不清晰，措施不具体；施工段划分不合理。</w:t>
            </w:r>
          </w:p>
        </w:tc>
      </w:tr>
      <w:tr w14:paraId="398784B7">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29252237">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施工总进度计划及保证措施</w:t>
            </w:r>
          </w:p>
          <w:p w14:paraId="7D7AAB29">
            <w:pPr>
              <w:jc w:val="center"/>
              <w:rPr>
                <w:rFonts w:hint="eastAsia" w:ascii="宋体" w:hAnsi="宋体" w:eastAsia="宋体" w:cs="宋体"/>
                <w:color w:val="auto"/>
                <w:sz w:val="22"/>
                <w:szCs w:val="22"/>
              </w:rPr>
            </w:pPr>
            <w:r>
              <w:rPr>
                <w:rFonts w:hint="eastAsia" w:ascii="宋体" w:hAnsi="宋体" w:eastAsia="宋体" w:cs="宋体"/>
                <w:color w:val="auto"/>
                <w:sz w:val="24"/>
                <w:szCs w:val="24"/>
              </w:rPr>
              <w:t>（3分）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6E1F38EF">
            <w:pPr>
              <w:rPr>
                <w:rFonts w:hint="eastAsia" w:ascii="宋体" w:hAnsi="宋体" w:eastAsia="宋体" w:cs="宋体"/>
                <w:color w:val="auto"/>
                <w:sz w:val="24"/>
                <w:szCs w:val="24"/>
              </w:rPr>
            </w:pPr>
            <w:r>
              <w:rPr>
                <w:rFonts w:hint="eastAsia" w:ascii="宋体" w:hAnsi="宋体" w:eastAsia="宋体" w:cs="宋体"/>
                <w:color w:val="auto"/>
                <w:sz w:val="24"/>
                <w:szCs w:val="24"/>
              </w:rPr>
              <w:t>【优】得该项评分因素分值的90%～100%（含90%）。</w:t>
            </w:r>
          </w:p>
          <w:p w14:paraId="1E160652">
            <w:pPr>
              <w:rPr>
                <w:rFonts w:hint="eastAsia" w:ascii="宋体" w:hAnsi="宋体" w:eastAsia="宋体" w:cs="宋体"/>
                <w:color w:val="auto"/>
                <w:sz w:val="24"/>
                <w:szCs w:val="24"/>
              </w:rPr>
            </w:pPr>
            <w:r>
              <w:rPr>
                <w:rFonts w:hint="eastAsia" w:ascii="宋体" w:hAnsi="宋体" w:eastAsia="宋体" w:cs="宋体"/>
                <w:color w:val="auto"/>
                <w:sz w:val="24"/>
                <w:szCs w:val="24"/>
              </w:rPr>
              <w:t>【良】得该项评分因素分值的80%～90%（含80%）。</w:t>
            </w:r>
          </w:p>
          <w:p w14:paraId="5EC08AF0">
            <w:pPr>
              <w:rPr>
                <w:rFonts w:hint="eastAsia" w:ascii="宋体" w:hAnsi="宋体" w:eastAsia="宋体" w:cs="宋体"/>
                <w:color w:val="auto"/>
                <w:sz w:val="24"/>
                <w:szCs w:val="24"/>
              </w:rPr>
            </w:pPr>
            <w:r>
              <w:rPr>
                <w:rFonts w:hint="eastAsia" w:ascii="宋体" w:hAnsi="宋体" w:eastAsia="宋体" w:cs="宋体"/>
                <w:color w:val="auto"/>
                <w:sz w:val="24"/>
                <w:szCs w:val="24"/>
              </w:rPr>
              <w:t>【中】得该项评分因素分值的70%～80%（含70%）。</w:t>
            </w:r>
          </w:p>
          <w:p w14:paraId="6E39AE03">
            <w:pPr>
              <w:rPr>
                <w:rFonts w:hint="eastAsia" w:ascii="宋体" w:hAnsi="宋体" w:eastAsia="宋体" w:cs="宋体"/>
                <w:color w:val="auto"/>
                <w:sz w:val="22"/>
                <w:szCs w:val="22"/>
              </w:rPr>
            </w:pPr>
            <w:r>
              <w:rPr>
                <w:rFonts w:hint="eastAsia" w:ascii="宋体" w:hAnsi="宋体" w:eastAsia="宋体" w:cs="宋体"/>
                <w:color w:val="auto"/>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704F91BB">
            <w:pPr>
              <w:rPr>
                <w:rFonts w:hint="eastAsia" w:ascii="宋体" w:hAnsi="宋体" w:eastAsia="宋体" w:cs="宋体"/>
                <w:color w:val="auto"/>
                <w:sz w:val="24"/>
                <w:szCs w:val="24"/>
              </w:rPr>
            </w:pPr>
            <w:r>
              <w:rPr>
                <w:rFonts w:hint="eastAsia" w:ascii="宋体" w:hAnsi="宋体" w:eastAsia="宋体" w:cs="宋体"/>
                <w:color w:val="auto"/>
                <w:sz w:val="24"/>
                <w:szCs w:val="24"/>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37C55B6C">
            <w:pPr>
              <w:rPr>
                <w:rFonts w:hint="eastAsia" w:ascii="宋体" w:hAnsi="宋体" w:eastAsia="宋体" w:cs="宋体"/>
                <w:color w:val="auto"/>
                <w:sz w:val="24"/>
                <w:szCs w:val="24"/>
              </w:rPr>
            </w:pPr>
            <w:r>
              <w:rPr>
                <w:rFonts w:hint="eastAsia" w:ascii="宋体" w:hAnsi="宋体" w:eastAsia="宋体" w:cs="宋体"/>
                <w:color w:val="auto"/>
                <w:sz w:val="24"/>
                <w:szCs w:val="24"/>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1C330CA2">
            <w:pPr>
              <w:rPr>
                <w:rFonts w:hint="eastAsia" w:ascii="宋体" w:hAnsi="宋体" w:eastAsia="宋体" w:cs="宋体"/>
                <w:color w:val="auto"/>
                <w:sz w:val="24"/>
                <w:szCs w:val="24"/>
              </w:rPr>
            </w:pPr>
            <w:r>
              <w:rPr>
                <w:rFonts w:hint="eastAsia" w:ascii="宋体" w:hAnsi="宋体" w:eastAsia="宋体" w:cs="宋体"/>
                <w:color w:val="auto"/>
                <w:sz w:val="24"/>
                <w:szCs w:val="24"/>
              </w:rPr>
              <w:t>【中】关键线路基本准确，计划编制基本合理。关键节点的控制措施基本可行。人、材、机需求和进场计划与进度计划相呼应，基本满足施工需要，调配投入计划基本合理。进度违约责任承诺具体。</w:t>
            </w:r>
          </w:p>
          <w:p w14:paraId="35801B5A">
            <w:pPr>
              <w:rPr>
                <w:rFonts w:hint="eastAsia" w:ascii="宋体" w:hAnsi="宋体" w:eastAsia="宋体" w:cs="宋体"/>
                <w:color w:val="auto"/>
                <w:sz w:val="22"/>
                <w:szCs w:val="22"/>
              </w:rPr>
            </w:pPr>
            <w:r>
              <w:rPr>
                <w:rFonts w:hint="eastAsia" w:ascii="宋体" w:hAnsi="宋体" w:eastAsia="宋体" w:cs="宋体"/>
                <w:color w:val="auto"/>
                <w:sz w:val="24"/>
                <w:szCs w:val="24"/>
              </w:rPr>
              <w:t>【差】关键线路不准确，计划编制不合理。关键节点的控制不可行。人、材、机需求和进场计划与进度计划不相呼应，不能满足施工需要。没有违约责任承诺。</w:t>
            </w:r>
          </w:p>
        </w:tc>
      </w:tr>
      <w:tr w14:paraId="41603872">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E818CD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质量保证措施</w:t>
            </w:r>
          </w:p>
          <w:p w14:paraId="7BC60F80">
            <w:pPr>
              <w:jc w:val="center"/>
              <w:rPr>
                <w:rFonts w:hint="eastAsia" w:ascii="宋体" w:hAnsi="宋体" w:eastAsia="宋体" w:cs="宋体"/>
                <w:color w:val="auto"/>
                <w:sz w:val="22"/>
                <w:szCs w:val="22"/>
              </w:rPr>
            </w:pPr>
            <w:r>
              <w:rPr>
                <w:rFonts w:hint="eastAsia" w:ascii="宋体" w:hAnsi="宋体" w:eastAsia="宋体" w:cs="宋体"/>
                <w:color w:val="auto"/>
                <w:sz w:val="24"/>
                <w:szCs w:val="24"/>
              </w:rPr>
              <w:t>（4分）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40F9E74A">
            <w:pPr>
              <w:rPr>
                <w:rFonts w:hint="eastAsia" w:ascii="宋体" w:hAnsi="宋体" w:eastAsia="宋体" w:cs="宋体"/>
                <w:color w:val="auto"/>
                <w:sz w:val="24"/>
                <w:szCs w:val="24"/>
              </w:rPr>
            </w:pPr>
            <w:r>
              <w:rPr>
                <w:rFonts w:hint="eastAsia" w:ascii="宋体" w:hAnsi="宋体" w:eastAsia="宋体" w:cs="宋体"/>
                <w:color w:val="auto"/>
                <w:sz w:val="24"/>
                <w:szCs w:val="24"/>
              </w:rPr>
              <w:t>【优】得该项评分因素分值的90%～100%（含90%）。</w:t>
            </w:r>
          </w:p>
          <w:p w14:paraId="7C33F0DE">
            <w:pPr>
              <w:rPr>
                <w:rFonts w:hint="eastAsia" w:ascii="宋体" w:hAnsi="宋体" w:eastAsia="宋体" w:cs="宋体"/>
                <w:color w:val="auto"/>
                <w:sz w:val="24"/>
                <w:szCs w:val="24"/>
              </w:rPr>
            </w:pPr>
            <w:r>
              <w:rPr>
                <w:rFonts w:hint="eastAsia" w:ascii="宋体" w:hAnsi="宋体" w:eastAsia="宋体" w:cs="宋体"/>
                <w:color w:val="auto"/>
                <w:sz w:val="24"/>
                <w:szCs w:val="24"/>
              </w:rPr>
              <w:t>【良】得该项评分因素分值的80%～90%（含80%）。</w:t>
            </w:r>
          </w:p>
          <w:p w14:paraId="21E101C3">
            <w:pPr>
              <w:rPr>
                <w:rFonts w:hint="eastAsia" w:ascii="宋体" w:hAnsi="宋体" w:eastAsia="宋体" w:cs="宋体"/>
                <w:color w:val="auto"/>
                <w:sz w:val="24"/>
                <w:szCs w:val="24"/>
              </w:rPr>
            </w:pPr>
            <w:r>
              <w:rPr>
                <w:rFonts w:hint="eastAsia" w:ascii="宋体" w:hAnsi="宋体" w:eastAsia="宋体" w:cs="宋体"/>
                <w:color w:val="auto"/>
                <w:sz w:val="24"/>
                <w:szCs w:val="24"/>
              </w:rPr>
              <w:t>【中】得该项评分因素分值的70%～80%（含70%）。</w:t>
            </w:r>
          </w:p>
          <w:p w14:paraId="4FDFFEBE">
            <w:pPr>
              <w:rPr>
                <w:rFonts w:hint="eastAsia" w:ascii="宋体" w:hAnsi="宋体" w:eastAsia="宋体" w:cs="宋体"/>
                <w:color w:val="auto"/>
                <w:sz w:val="22"/>
                <w:szCs w:val="22"/>
              </w:rPr>
            </w:pPr>
            <w:r>
              <w:rPr>
                <w:rFonts w:hint="eastAsia" w:ascii="宋体" w:hAnsi="宋体" w:eastAsia="宋体" w:cs="宋体"/>
                <w:color w:val="auto"/>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06DD4374">
            <w:pPr>
              <w:widowControl w:val="0"/>
              <w:wordWrap w:val="0"/>
              <w:adjustRightInd w:val="0"/>
              <w:snapToGrid w:val="0"/>
              <w:spacing w:line="360" w:lineRule="auto"/>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【优】应用新技术、新工艺、新材料、新设备，针对项目实际提出先进、可行、具体的保证措施。超过招标文件的质量要求。质量违约责任承诺具体，经济赔偿合理。</w:t>
            </w:r>
          </w:p>
          <w:p w14:paraId="06292BA3">
            <w:pPr>
              <w:widowControl w:val="0"/>
              <w:wordWrap w:val="0"/>
              <w:adjustRightInd w:val="0"/>
              <w:snapToGrid w:val="0"/>
              <w:spacing w:line="360" w:lineRule="auto"/>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【良】针对项目实际提出先进、可行、具体的保证措施。满足招标文件的质量要求。质量违约责任承诺具体，经济赔偿较合理。</w:t>
            </w:r>
          </w:p>
          <w:p w14:paraId="12E7A513">
            <w:pPr>
              <w:widowControl w:val="0"/>
              <w:wordWrap w:val="0"/>
              <w:adjustRightInd w:val="0"/>
              <w:snapToGrid w:val="0"/>
              <w:spacing w:line="360" w:lineRule="auto"/>
              <w:jc w:val="both"/>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【中】具体措施可行。满足招标文件的质量要求。质量违约责任承诺具体。</w:t>
            </w:r>
          </w:p>
          <w:p w14:paraId="7AF0CCD7">
            <w:pPr>
              <w:rPr>
                <w:rFonts w:hint="eastAsia" w:ascii="宋体" w:hAnsi="宋体" w:eastAsia="宋体" w:cs="宋体"/>
                <w:color w:val="auto"/>
                <w:sz w:val="22"/>
                <w:szCs w:val="22"/>
              </w:rPr>
            </w:pPr>
            <w:r>
              <w:rPr>
                <w:rFonts w:hint="eastAsia" w:ascii="宋体" w:hAnsi="宋体" w:eastAsia="宋体" w:cs="宋体"/>
                <w:snapToGrid w:val="0"/>
                <w:color w:val="auto"/>
                <w:kern w:val="0"/>
                <w:sz w:val="24"/>
                <w:szCs w:val="24"/>
                <w:highlight w:val="none"/>
                <w:lang w:val="en-US" w:eastAsia="zh-CN" w:bidi="ar-SA"/>
              </w:rPr>
              <w:t>【差】措施不可行，没有质量违约责任承诺。</w:t>
            </w:r>
          </w:p>
        </w:tc>
      </w:tr>
      <w:tr w14:paraId="320C8B91">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9E74FC5">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施工技术措施</w:t>
            </w:r>
          </w:p>
          <w:p w14:paraId="2A9912B5">
            <w:pPr>
              <w:jc w:val="center"/>
              <w:rPr>
                <w:rFonts w:hint="eastAsia" w:ascii="宋体" w:hAnsi="宋体" w:eastAsia="宋体" w:cs="宋体"/>
                <w:color w:val="auto"/>
                <w:sz w:val="22"/>
                <w:szCs w:val="22"/>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0B6A52B8">
            <w:pPr>
              <w:rPr>
                <w:rFonts w:hint="eastAsia" w:ascii="宋体" w:hAnsi="宋体" w:eastAsia="宋体" w:cs="宋体"/>
                <w:color w:val="auto"/>
                <w:sz w:val="24"/>
                <w:szCs w:val="24"/>
              </w:rPr>
            </w:pPr>
            <w:r>
              <w:rPr>
                <w:rFonts w:hint="eastAsia" w:ascii="宋体" w:hAnsi="宋体" w:eastAsia="宋体" w:cs="宋体"/>
                <w:color w:val="auto"/>
                <w:sz w:val="24"/>
                <w:szCs w:val="24"/>
              </w:rPr>
              <w:t>【优】得该项评分因素分值的90%～100%（含90%）。</w:t>
            </w:r>
          </w:p>
          <w:p w14:paraId="76CEC937">
            <w:pPr>
              <w:rPr>
                <w:rFonts w:hint="eastAsia" w:ascii="宋体" w:hAnsi="宋体" w:eastAsia="宋体" w:cs="宋体"/>
                <w:color w:val="auto"/>
                <w:sz w:val="24"/>
                <w:szCs w:val="24"/>
              </w:rPr>
            </w:pPr>
            <w:r>
              <w:rPr>
                <w:rFonts w:hint="eastAsia" w:ascii="宋体" w:hAnsi="宋体" w:eastAsia="宋体" w:cs="宋体"/>
                <w:color w:val="auto"/>
                <w:sz w:val="24"/>
                <w:szCs w:val="24"/>
              </w:rPr>
              <w:t>【良】得该项评分因素分值的80%～90%（含80%）。</w:t>
            </w:r>
          </w:p>
          <w:p w14:paraId="0EE88AF8">
            <w:pPr>
              <w:rPr>
                <w:rFonts w:hint="eastAsia" w:ascii="宋体" w:hAnsi="宋体" w:eastAsia="宋体" w:cs="宋体"/>
                <w:color w:val="auto"/>
                <w:sz w:val="24"/>
                <w:szCs w:val="24"/>
              </w:rPr>
            </w:pPr>
            <w:r>
              <w:rPr>
                <w:rFonts w:hint="eastAsia" w:ascii="宋体" w:hAnsi="宋体" w:eastAsia="宋体" w:cs="宋体"/>
                <w:color w:val="auto"/>
                <w:sz w:val="24"/>
                <w:szCs w:val="24"/>
              </w:rPr>
              <w:t>【中】得该项评分因素分值的70%～80%（含70%）。</w:t>
            </w:r>
          </w:p>
          <w:p w14:paraId="0FF2E9BC">
            <w:pPr>
              <w:rPr>
                <w:rFonts w:hint="eastAsia" w:ascii="宋体" w:hAnsi="宋体" w:eastAsia="宋体" w:cs="宋体"/>
                <w:color w:val="auto"/>
                <w:sz w:val="22"/>
                <w:szCs w:val="22"/>
              </w:rPr>
            </w:pPr>
            <w:r>
              <w:rPr>
                <w:rFonts w:hint="eastAsia" w:ascii="宋体" w:hAnsi="宋体" w:eastAsia="宋体" w:cs="宋体"/>
                <w:color w:val="auto"/>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77CF327D">
            <w:pPr>
              <w:rPr>
                <w:rFonts w:hint="eastAsia" w:ascii="宋体" w:hAnsi="宋体" w:eastAsia="宋体" w:cs="宋体"/>
                <w:color w:val="auto"/>
                <w:sz w:val="24"/>
                <w:szCs w:val="24"/>
              </w:rPr>
            </w:pPr>
            <w:r>
              <w:rPr>
                <w:rFonts w:hint="eastAsia" w:ascii="宋体" w:hAnsi="宋体" w:eastAsia="宋体" w:cs="宋体"/>
                <w:color w:val="auto"/>
                <w:sz w:val="24"/>
                <w:szCs w:val="24"/>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59A546B3">
            <w:pPr>
              <w:rPr>
                <w:rFonts w:hint="eastAsia" w:ascii="宋体" w:hAnsi="宋体" w:eastAsia="宋体" w:cs="宋体"/>
                <w:color w:val="auto"/>
                <w:sz w:val="24"/>
                <w:szCs w:val="24"/>
              </w:rPr>
            </w:pPr>
            <w:r>
              <w:rPr>
                <w:rFonts w:hint="eastAsia" w:ascii="宋体" w:hAnsi="宋体" w:eastAsia="宋体" w:cs="宋体"/>
                <w:color w:val="auto"/>
                <w:sz w:val="24"/>
                <w:szCs w:val="24"/>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022F8386">
            <w:pPr>
              <w:rPr>
                <w:rFonts w:hint="eastAsia" w:ascii="宋体" w:hAnsi="宋体" w:eastAsia="宋体" w:cs="宋体"/>
                <w:color w:val="auto"/>
                <w:sz w:val="24"/>
                <w:szCs w:val="24"/>
              </w:rPr>
            </w:pPr>
            <w:r>
              <w:rPr>
                <w:rFonts w:hint="eastAsia" w:ascii="宋体" w:hAnsi="宋体" w:eastAsia="宋体" w:cs="宋体"/>
                <w:color w:val="auto"/>
                <w:sz w:val="24"/>
                <w:szCs w:val="24"/>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E412A16">
            <w:pPr>
              <w:rPr>
                <w:rFonts w:hint="eastAsia" w:ascii="宋体" w:hAnsi="宋体" w:eastAsia="宋体" w:cs="宋体"/>
                <w:color w:val="auto"/>
                <w:sz w:val="22"/>
                <w:szCs w:val="22"/>
              </w:rPr>
            </w:pPr>
            <w:r>
              <w:rPr>
                <w:rFonts w:hint="eastAsia" w:ascii="宋体" w:hAnsi="宋体" w:eastAsia="宋体" w:cs="宋体"/>
                <w:color w:val="auto"/>
                <w:sz w:val="24"/>
                <w:szCs w:val="24"/>
              </w:rPr>
              <w:t>【差】对项目关键技术有表述，对重点、难点有建议，解决方案不可行。采用的新技术针对性不强或验证材料不可靠，对节约投资、工期没有具体收益。无违约责任承诺。</w:t>
            </w:r>
          </w:p>
        </w:tc>
      </w:tr>
      <w:tr w14:paraId="7F59B1DE">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612036C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绿色施工、安全防护、文明施工措施计划</w:t>
            </w:r>
          </w:p>
          <w:p w14:paraId="5091A7B2">
            <w:pPr>
              <w:jc w:val="center"/>
              <w:rPr>
                <w:rFonts w:hint="eastAsia" w:ascii="宋体" w:hAnsi="宋体" w:eastAsia="宋体" w:cs="宋体"/>
                <w:color w:val="auto"/>
                <w:sz w:val="22"/>
                <w:szCs w:val="22"/>
              </w:rPr>
            </w:pPr>
            <w:r>
              <w:rPr>
                <w:rFonts w:hint="eastAsia" w:ascii="宋体" w:hAnsi="宋体" w:eastAsia="宋体" w:cs="宋体"/>
                <w:color w:val="auto"/>
                <w:sz w:val="24"/>
                <w:szCs w:val="24"/>
              </w:rPr>
              <w:t>（3分）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4839F742">
            <w:pPr>
              <w:rPr>
                <w:rFonts w:hint="eastAsia" w:ascii="宋体" w:hAnsi="宋体" w:eastAsia="宋体" w:cs="宋体"/>
                <w:color w:val="auto"/>
                <w:sz w:val="24"/>
                <w:szCs w:val="24"/>
              </w:rPr>
            </w:pPr>
            <w:r>
              <w:rPr>
                <w:rFonts w:hint="eastAsia" w:ascii="宋体" w:hAnsi="宋体" w:eastAsia="宋体" w:cs="宋体"/>
                <w:color w:val="auto"/>
                <w:sz w:val="24"/>
                <w:szCs w:val="24"/>
              </w:rPr>
              <w:t>【优】得该项评分因素分值的90%～100%（含90%）。</w:t>
            </w:r>
          </w:p>
          <w:p w14:paraId="008DB564">
            <w:pPr>
              <w:rPr>
                <w:rFonts w:hint="eastAsia" w:ascii="宋体" w:hAnsi="宋体" w:eastAsia="宋体" w:cs="宋体"/>
                <w:color w:val="auto"/>
                <w:sz w:val="24"/>
                <w:szCs w:val="24"/>
              </w:rPr>
            </w:pPr>
            <w:r>
              <w:rPr>
                <w:rFonts w:hint="eastAsia" w:ascii="宋体" w:hAnsi="宋体" w:eastAsia="宋体" w:cs="宋体"/>
                <w:color w:val="auto"/>
                <w:sz w:val="24"/>
                <w:szCs w:val="24"/>
              </w:rPr>
              <w:t>【良】得该项评分因素分值的80%～90%（含80%）。</w:t>
            </w:r>
          </w:p>
          <w:p w14:paraId="52674C4D">
            <w:pPr>
              <w:rPr>
                <w:rFonts w:hint="eastAsia" w:ascii="宋体" w:hAnsi="宋体" w:eastAsia="宋体" w:cs="宋体"/>
                <w:color w:val="auto"/>
                <w:sz w:val="24"/>
                <w:szCs w:val="24"/>
              </w:rPr>
            </w:pPr>
            <w:r>
              <w:rPr>
                <w:rFonts w:hint="eastAsia" w:ascii="宋体" w:hAnsi="宋体" w:eastAsia="宋体" w:cs="宋体"/>
                <w:color w:val="auto"/>
                <w:sz w:val="24"/>
                <w:szCs w:val="24"/>
              </w:rPr>
              <w:t>【中】得该项评分因素分值的70%～80%（含70%）。</w:t>
            </w:r>
          </w:p>
          <w:p w14:paraId="2156CD93">
            <w:pPr>
              <w:rPr>
                <w:rFonts w:hint="eastAsia" w:ascii="宋体" w:hAnsi="宋体" w:eastAsia="宋体" w:cs="宋体"/>
                <w:color w:val="auto"/>
                <w:sz w:val="22"/>
                <w:szCs w:val="22"/>
              </w:rPr>
            </w:pPr>
            <w:r>
              <w:rPr>
                <w:rFonts w:hint="eastAsia" w:ascii="宋体" w:hAnsi="宋体" w:eastAsia="宋体" w:cs="宋体"/>
                <w:color w:val="auto"/>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0F9D4418">
            <w:pPr>
              <w:rPr>
                <w:rFonts w:hint="eastAsia" w:ascii="宋体" w:hAnsi="宋体" w:eastAsia="宋体" w:cs="宋体"/>
                <w:color w:val="auto"/>
                <w:sz w:val="24"/>
                <w:szCs w:val="24"/>
              </w:rPr>
            </w:pPr>
            <w:r>
              <w:rPr>
                <w:rFonts w:hint="eastAsia" w:ascii="宋体" w:hAnsi="宋体" w:eastAsia="宋体" w:cs="宋体"/>
                <w:color w:val="auto"/>
                <w:sz w:val="24"/>
                <w:szCs w:val="24"/>
              </w:rPr>
              <w:t>【优】针对项目实际情况，有先进、具体、完整、可行的措施，采用规范准确、清晰。</w:t>
            </w:r>
          </w:p>
          <w:p w14:paraId="0D9987C2">
            <w:pPr>
              <w:rPr>
                <w:rFonts w:hint="eastAsia" w:ascii="宋体" w:hAnsi="宋体" w:eastAsia="宋体" w:cs="宋体"/>
                <w:color w:val="auto"/>
                <w:sz w:val="24"/>
                <w:szCs w:val="24"/>
              </w:rPr>
            </w:pPr>
            <w:r>
              <w:rPr>
                <w:rFonts w:hint="eastAsia" w:ascii="宋体" w:hAnsi="宋体" w:eastAsia="宋体" w:cs="宋体"/>
                <w:color w:val="auto"/>
                <w:sz w:val="24"/>
                <w:szCs w:val="24"/>
              </w:rPr>
              <w:t>【良】针对项目实际情况，有合理的措施且具体、完整，采用规范准确。</w:t>
            </w:r>
          </w:p>
          <w:p w14:paraId="2DBFCFBC">
            <w:pPr>
              <w:rPr>
                <w:rFonts w:hint="eastAsia" w:ascii="宋体" w:hAnsi="宋体" w:eastAsia="宋体" w:cs="宋体"/>
                <w:color w:val="auto"/>
                <w:sz w:val="24"/>
                <w:szCs w:val="24"/>
              </w:rPr>
            </w:pPr>
            <w:r>
              <w:rPr>
                <w:rFonts w:hint="eastAsia" w:ascii="宋体" w:hAnsi="宋体" w:eastAsia="宋体" w:cs="宋体"/>
                <w:color w:val="auto"/>
                <w:sz w:val="24"/>
                <w:szCs w:val="24"/>
              </w:rPr>
              <w:t>【中】有基本合理的措施，采用规范准确。</w:t>
            </w:r>
          </w:p>
          <w:p w14:paraId="2E521E5E">
            <w:pPr>
              <w:rPr>
                <w:rFonts w:hint="eastAsia" w:ascii="宋体" w:hAnsi="宋体" w:eastAsia="宋体" w:cs="宋体"/>
                <w:color w:val="auto"/>
                <w:sz w:val="22"/>
                <w:szCs w:val="22"/>
              </w:rPr>
            </w:pPr>
            <w:r>
              <w:rPr>
                <w:rFonts w:hint="eastAsia" w:ascii="宋体" w:hAnsi="宋体" w:eastAsia="宋体" w:cs="宋体"/>
                <w:color w:val="auto"/>
                <w:sz w:val="24"/>
                <w:szCs w:val="24"/>
              </w:rPr>
              <w:t>【差】措施不力，采用规范不正确。</w:t>
            </w:r>
          </w:p>
        </w:tc>
      </w:tr>
      <w:tr w14:paraId="18FD32B8">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9985C72">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施工平面布置和临时设施布置</w:t>
            </w:r>
          </w:p>
          <w:p w14:paraId="4A5FFDF2">
            <w:pPr>
              <w:jc w:val="center"/>
              <w:rPr>
                <w:rFonts w:hint="eastAsia" w:ascii="宋体" w:hAnsi="宋体" w:eastAsia="宋体" w:cs="宋体"/>
                <w:color w:val="auto"/>
                <w:sz w:val="22"/>
                <w:szCs w:val="22"/>
              </w:rPr>
            </w:pPr>
            <w:r>
              <w:rPr>
                <w:rFonts w:hint="eastAsia" w:ascii="宋体" w:hAnsi="宋体" w:eastAsia="宋体" w:cs="宋体"/>
                <w:color w:val="auto"/>
                <w:sz w:val="24"/>
                <w:szCs w:val="24"/>
              </w:rPr>
              <w:t>（2分）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42F687E9">
            <w:pPr>
              <w:rPr>
                <w:rFonts w:hint="eastAsia" w:ascii="宋体" w:hAnsi="宋体" w:eastAsia="宋体" w:cs="宋体"/>
                <w:color w:val="auto"/>
                <w:sz w:val="24"/>
                <w:szCs w:val="24"/>
              </w:rPr>
            </w:pPr>
            <w:r>
              <w:rPr>
                <w:rFonts w:hint="eastAsia" w:ascii="宋体" w:hAnsi="宋体" w:eastAsia="宋体" w:cs="宋体"/>
                <w:color w:val="auto"/>
                <w:sz w:val="24"/>
                <w:szCs w:val="24"/>
              </w:rPr>
              <w:t>【优】得该项评分因素分值的90%～100%（含90%）。</w:t>
            </w:r>
          </w:p>
          <w:p w14:paraId="270AE3C5">
            <w:pPr>
              <w:rPr>
                <w:rFonts w:hint="eastAsia" w:ascii="宋体" w:hAnsi="宋体" w:eastAsia="宋体" w:cs="宋体"/>
                <w:color w:val="auto"/>
                <w:sz w:val="24"/>
                <w:szCs w:val="24"/>
              </w:rPr>
            </w:pPr>
            <w:r>
              <w:rPr>
                <w:rFonts w:hint="eastAsia" w:ascii="宋体" w:hAnsi="宋体" w:eastAsia="宋体" w:cs="宋体"/>
                <w:color w:val="auto"/>
                <w:sz w:val="24"/>
                <w:szCs w:val="24"/>
              </w:rPr>
              <w:t>【良】得该项评分因素分值的80%～90%（含80%）。</w:t>
            </w:r>
          </w:p>
          <w:p w14:paraId="7E50EC47">
            <w:pPr>
              <w:rPr>
                <w:rFonts w:hint="eastAsia" w:ascii="宋体" w:hAnsi="宋体" w:eastAsia="宋体" w:cs="宋体"/>
                <w:color w:val="auto"/>
                <w:sz w:val="24"/>
                <w:szCs w:val="24"/>
              </w:rPr>
            </w:pPr>
            <w:r>
              <w:rPr>
                <w:rFonts w:hint="eastAsia" w:ascii="宋体" w:hAnsi="宋体" w:eastAsia="宋体" w:cs="宋体"/>
                <w:color w:val="auto"/>
                <w:sz w:val="24"/>
                <w:szCs w:val="24"/>
              </w:rPr>
              <w:t>【中】得该项评分因素分值的70%～80%（含70%）。</w:t>
            </w:r>
          </w:p>
          <w:p w14:paraId="773F9698">
            <w:pPr>
              <w:rPr>
                <w:rFonts w:hint="eastAsia" w:ascii="宋体" w:hAnsi="宋体" w:eastAsia="宋体" w:cs="宋体"/>
                <w:color w:val="auto"/>
                <w:sz w:val="22"/>
                <w:szCs w:val="22"/>
              </w:rPr>
            </w:pPr>
            <w:r>
              <w:rPr>
                <w:rFonts w:hint="eastAsia" w:ascii="宋体" w:hAnsi="宋体" w:eastAsia="宋体" w:cs="宋体"/>
                <w:color w:val="auto"/>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3A572A01">
            <w:pPr>
              <w:rPr>
                <w:rFonts w:hint="eastAsia" w:ascii="宋体" w:hAnsi="宋体" w:eastAsia="宋体" w:cs="宋体"/>
                <w:color w:val="auto"/>
                <w:sz w:val="24"/>
                <w:szCs w:val="24"/>
              </w:rPr>
            </w:pPr>
            <w:r>
              <w:rPr>
                <w:rFonts w:hint="eastAsia" w:ascii="宋体" w:hAnsi="宋体" w:eastAsia="宋体" w:cs="宋体"/>
                <w:color w:val="auto"/>
                <w:sz w:val="24"/>
                <w:szCs w:val="24"/>
              </w:rPr>
              <w:t>【优】总体布置有针对性、合理，较好满足施工需要，符合绿色施工、安全防护、文明施工要求。</w:t>
            </w:r>
          </w:p>
          <w:p w14:paraId="612DBB7E">
            <w:pPr>
              <w:rPr>
                <w:rFonts w:hint="eastAsia" w:ascii="宋体" w:hAnsi="宋体" w:eastAsia="宋体" w:cs="宋体"/>
                <w:color w:val="auto"/>
                <w:sz w:val="24"/>
                <w:szCs w:val="24"/>
              </w:rPr>
            </w:pPr>
            <w:r>
              <w:rPr>
                <w:rFonts w:hint="eastAsia" w:ascii="宋体" w:hAnsi="宋体" w:eastAsia="宋体" w:cs="宋体"/>
                <w:color w:val="auto"/>
                <w:sz w:val="24"/>
                <w:szCs w:val="24"/>
              </w:rPr>
              <w:t>【良】总体布置合理，能满足施工需要，基本符合绿色施工、安全防护、文明施工要求。</w:t>
            </w:r>
          </w:p>
          <w:p w14:paraId="122D0EF6">
            <w:pPr>
              <w:rPr>
                <w:rFonts w:hint="eastAsia" w:ascii="宋体" w:hAnsi="宋体" w:eastAsia="宋体" w:cs="宋体"/>
                <w:color w:val="auto"/>
                <w:sz w:val="24"/>
                <w:szCs w:val="24"/>
              </w:rPr>
            </w:pPr>
            <w:r>
              <w:rPr>
                <w:rFonts w:hint="eastAsia" w:ascii="宋体" w:hAnsi="宋体" w:eastAsia="宋体" w:cs="宋体"/>
                <w:color w:val="auto"/>
                <w:sz w:val="24"/>
                <w:szCs w:val="24"/>
              </w:rPr>
              <w:t>【中】总体布置基本合理，基本满足施工需要。</w:t>
            </w:r>
          </w:p>
          <w:p w14:paraId="69F3EFFA">
            <w:pPr>
              <w:rPr>
                <w:rFonts w:hint="eastAsia" w:ascii="宋体" w:hAnsi="宋体" w:eastAsia="宋体" w:cs="宋体"/>
                <w:color w:val="auto"/>
                <w:sz w:val="22"/>
                <w:szCs w:val="22"/>
              </w:rPr>
            </w:pPr>
            <w:r>
              <w:rPr>
                <w:rFonts w:hint="eastAsia" w:ascii="宋体" w:hAnsi="宋体" w:eastAsia="宋体" w:cs="宋体"/>
                <w:color w:val="auto"/>
                <w:sz w:val="24"/>
                <w:szCs w:val="24"/>
              </w:rPr>
              <w:t>【差】总体布置不合理，不符合绿色施工、安全防护、文明施工要求。</w:t>
            </w:r>
          </w:p>
        </w:tc>
      </w:tr>
      <w:tr w14:paraId="344056C5">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5D563B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项目管理机构</w:t>
            </w:r>
          </w:p>
          <w:p w14:paraId="23B2207E">
            <w:pPr>
              <w:jc w:val="center"/>
              <w:rPr>
                <w:rFonts w:hint="eastAsia" w:ascii="宋体" w:hAnsi="宋体" w:eastAsia="宋体" w:cs="宋体"/>
                <w:color w:val="auto"/>
                <w:sz w:val="22"/>
                <w:szCs w:val="22"/>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4BC0E19B">
            <w:pPr>
              <w:rPr>
                <w:rFonts w:hint="eastAsia" w:ascii="宋体" w:hAnsi="宋体" w:eastAsia="宋体" w:cs="宋体"/>
                <w:color w:val="auto"/>
                <w:sz w:val="24"/>
                <w:szCs w:val="24"/>
              </w:rPr>
            </w:pPr>
            <w:r>
              <w:rPr>
                <w:rFonts w:hint="eastAsia" w:ascii="宋体" w:hAnsi="宋体" w:eastAsia="宋体" w:cs="宋体"/>
                <w:color w:val="auto"/>
                <w:sz w:val="24"/>
                <w:szCs w:val="24"/>
              </w:rPr>
              <w:t>【优】得该项评分因素分值的90%～100%（含90%）。</w:t>
            </w:r>
          </w:p>
          <w:p w14:paraId="486AF452">
            <w:pPr>
              <w:rPr>
                <w:rFonts w:hint="eastAsia" w:ascii="宋体" w:hAnsi="宋体" w:eastAsia="宋体" w:cs="宋体"/>
                <w:color w:val="auto"/>
                <w:sz w:val="24"/>
                <w:szCs w:val="24"/>
              </w:rPr>
            </w:pPr>
            <w:r>
              <w:rPr>
                <w:rFonts w:hint="eastAsia" w:ascii="宋体" w:hAnsi="宋体" w:eastAsia="宋体" w:cs="宋体"/>
                <w:color w:val="auto"/>
                <w:sz w:val="24"/>
                <w:szCs w:val="24"/>
              </w:rPr>
              <w:t>【良】得该项评分因素分值的80%～90%（含80%）。</w:t>
            </w:r>
          </w:p>
          <w:p w14:paraId="48F95EBF">
            <w:pPr>
              <w:rPr>
                <w:rFonts w:hint="eastAsia" w:ascii="宋体" w:hAnsi="宋体" w:eastAsia="宋体" w:cs="宋体"/>
                <w:color w:val="auto"/>
                <w:sz w:val="24"/>
                <w:szCs w:val="24"/>
              </w:rPr>
            </w:pPr>
            <w:r>
              <w:rPr>
                <w:rFonts w:hint="eastAsia" w:ascii="宋体" w:hAnsi="宋体" w:eastAsia="宋体" w:cs="宋体"/>
                <w:color w:val="auto"/>
                <w:sz w:val="24"/>
                <w:szCs w:val="24"/>
              </w:rPr>
              <w:t>【中】得该项评分因素分值的70%～80%（含70%）。</w:t>
            </w:r>
          </w:p>
          <w:p w14:paraId="21AC7437">
            <w:pPr>
              <w:rPr>
                <w:rFonts w:hint="eastAsia" w:ascii="宋体" w:hAnsi="宋体" w:eastAsia="宋体" w:cs="宋体"/>
                <w:color w:val="auto"/>
                <w:sz w:val="22"/>
                <w:szCs w:val="22"/>
              </w:rPr>
            </w:pPr>
            <w:r>
              <w:rPr>
                <w:rFonts w:hint="eastAsia" w:ascii="宋体" w:hAnsi="宋体" w:eastAsia="宋体" w:cs="宋体"/>
                <w:color w:val="auto"/>
                <w:sz w:val="24"/>
                <w:szCs w:val="24"/>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1515FA73">
            <w:pPr>
              <w:rPr>
                <w:rFonts w:hint="eastAsia" w:ascii="宋体" w:hAnsi="宋体" w:eastAsia="宋体" w:cs="宋体"/>
                <w:color w:val="auto"/>
                <w:sz w:val="24"/>
                <w:szCs w:val="24"/>
              </w:rPr>
            </w:pPr>
            <w:r>
              <w:rPr>
                <w:rFonts w:hint="eastAsia" w:ascii="宋体" w:hAnsi="宋体" w:eastAsia="宋体" w:cs="宋体"/>
                <w:color w:val="auto"/>
                <w:sz w:val="24"/>
                <w:szCs w:val="24"/>
              </w:rPr>
              <w:t>【优】组织机构形式合理，有完善的指挥系统，生产及质量、绿色施工、安全、文明施工、创优达标监控系统、联络协调系统，项目管理人员内高级职称人员20%（含20%）以上、中级职称人员及以上职称60%（含60%）以上。</w:t>
            </w:r>
          </w:p>
          <w:p w14:paraId="0CFAE61F">
            <w:pPr>
              <w:rPr>
                <w:rFonts w:hint="eastAsia" w:ascii="宋体" w:hAnsi="宋体" w:eastAsia="宋体" w:cs="宋体"/>
                <w:color w:val="auto"/>
                <w:sz w:val="24"/>
                <w:szCs w:val="24"/>
              </w:rPr>
            </w:pPr>
            <w:r>
              <w:rPr>
                <w:rFonts w:hint="eastAsia" w:ascii="宋体" w:hAnsi="宋体" w:eastAsia="宋体" w:cs="宋体"/>
                <w:color w:val="auto"/>
                <w:sz w:val="24"/>
                <w:szCs w:val="24"/>
              </w:rPr>
              <w:t>【良】组织机构形式合理，指挥系统，生产及质量、绿色施工、安全、文明施工、创优达标监控系统、联络协调系统齐全，项目管理人员内高级职称人员15%～20%（含15%）、中级职称及以上职称人员50%～60%（含50%）。</w:t>
            </w:r>
          </w:p>
          <w:p w14:paraId="2ADA2725">
            <w:pPr>
              <w:rPr>
                <w:rFonts w:hint="eastAsia" w:ascii="宋体" w:hAnsi="宋体" w:eastAsia="宋体" w:cs="宋体"/>
                <w:color w:val="auto"/>
                <w:sz w:val="24"/>
                <w:szCs w:val="24"/>
              </w:rPr>
            </w:pPr>
            <w:r>
              <w:rPr>
                <w:rFonts w:hint="eastAsia" w:ascii="宋体" w:hAnsi="宋体" w:eastAsia="宋体" w:cs="宋体"/>
                <w:color w:val="auto"/>
                <w:sz w:val="24"/>
                <w:szCs w:val="24"/>
              </w:rPr>
              <w:t>【中】组织机构形式基本合理，有指挥系统，生产及质量、绿色施工、安全、文明施工、创优达标监控系统、联络协调系统，项目管理人员内高级职称人员10%～15%（含10%）、中级职称人员及以上职称40%～50%（含40%）。</w:t>
            </w:r>
          </w:p>
          <w:p w14:paraId="582C3E41">
            <w:pPr>
              <w:rPr>
                <w:rFonts w:hint="eastAsia" w:ascii="宋体" w:hAnsi="宋体" w:eastAsia="宋体" w:cs="宋体"/>
                <w:color w:val="auto"/>
                <w:sz w:val="22"/>
                <w:szCs w:val="22"/>
              </w:rPr>
            </w:pPr>
            <w:r>
              <w:rPr>
                <w:rFonts w:hint="eastAsia" w:ascii="宋体" w:hAnsi="宋体" w:eastAsia="宋体" w:cs="宋体"/>
                <w:color w:val="auto"/>
                <w:sz w:val="24"/>
                <w:szCs w:val="24"/>
              </w:rPr>
              <w:t>【差】组织机构形式合理，指挥系统，生产及质量、绿色施工、安全、文明施工、创优达标监控系统、联络协调系统不齐全，项目管理人员内高级职称人员10%以下、中级职称人员及以上职称40%以下。</w:t>
            </w:r>
          </w:p>
        </w:tc>
      </w:tr>
      <w:tr w14:paraId="6DA566AA">
        <w:tblPrEx>
          <w:tblCellMar>
            <w:top w:w="0" w:type="dxa"/>
            <w:left w:w="108" w:type="dxa"/>
            <w:bottom w:w="0" w:type="dxa"/>
            <w:right w:w="108" w:type="dxa"/>
          </w:tblCellMar>
        </w:tblPrEx>
        <w:trPr>
          <w:trHeight w:val="23" w:hRule="atLeast"/>
          <w:jc w:val="center"/>
        </w:trPr>
        <w:tc>
          <w:tcPr>
            <w:tcW w:w="1085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705CF4A">
            <w:pPr>
              <w:pStyle w:val="115"/>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w:t>
            </w:r>
            <w:r>
              <w:rPr>
                <w:rFonts w:hint="eastAsia" w:ascii="宋体" w:hAnsi="宋体" w:eastAsia="宋体" w:cs="宋体"/>
                <w:b/>
                <w:bCs/>
                <w:snapToGrid w:val="0"/>
                <w:color w:val="auto"/>
                <w:kern w:val="0"/>
                <w:sz w:val="24"/>
                <w:szCs w:val="24"/>
                <w:highlight w:val="none"/>
                <w:lang w:val="en-US" w:eastAsia="zh-CN"/>
              </w:rPr>
              <w:t>100</w:t>
            </w:r>
            <w:r>
              <w:rPr>
                <w:rFonts w:hint="eastAsia" w:ascii="宋体" w:hAnsi="宋体" w:eastAsia="宋体" w:cs="宋体"/>
                <w:b/>
                <w:bCs/>
                <w:snapToGrid w:val="0"/>
                <w:color w:val="auto"/>
                <w:kern w:val="0"/>
                <w:sz w:val="24"/>
                <w:szCs w:val="24"/>
                <w:highlight w:val="none"/>
              </w:rPr>
              <w:t>分。</w:t>
            </w:r>
          </w:p>
        </w:tc>
      </w:tr>
      <w:tr w14:paraId="2803E02E">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21F0920E">
            <w:pPr>
              <w:pStyle w:val="11"/>
              <w:wordWrap w:val="0"/>
              <w:adjustRightInd w:val="0"/>
              <w:snapToGrid w:val="0"/>
              <w:spacing w:after="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评分事项</w:t>
            </w:r>
          </w:p>
        </w:tc>
        <w:tc>
          <w:tcPr>
            <w:tcW w:w="9360" w:type="dxa"/>
            <w:gridSpan w:val="3"/>
            <w:tcBorders>
              <w:top w:val="single" w:color="auto" w:sz="4" w:space="0"/>
              <w:left w:val="single" w:color="auto" w:sz="4" w:space="0"/>
              <w:bottom w:val="single" w:color="auto" w:sz="4" w:space="0"/>
              <w:right w:val="single" w:color="auto" w:sz="4" w:space="0"/>
            </w:tcBorders>
            <w:noWrap w:val="0"/>
            <w:vAlign w:val="center"/>
          </w:tcPr>
          <w:p w14:paraId="3D48CD15">
            <w:pPr>
              <w:pStyle w:val="11"/>
              <w:wordWrap w:val="0"/>
              <w:adjustRightInd w:val="0"/>
              <w:snapToGrid w:val="0"/>
              <w:spacing w:after="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评分方法</w:t>
            </w:r>
          </w:p>
        </w:tc>
      </w:tr>
      <w:tr w14:paraId="2F4D8DE3">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C934317">
            <w:pPr>
              <w:pStyle w:val="66"/>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评标基准价D</w:t>
            </w:r>
          </w:p>
        </w:tc>
        <w:tc>
          <w:tcPr>
            <w:tcW w:w="9360" w:type="dxa"/>
            <w:gridSpan w:val="3"/>
            <w:tcBorders>
              <w:top w:val="single" w:color="auto" w:sz="4" w:space="0"/>
              <w:left w:val="single" w:color="auto" w:sz="4" w:space="0"/>
              <w:bottom w:val="single" w:color="auto" w:sz="4" w:space="0"/>
              <w:right w:val="single" w:color="auto" w:sz="4" w:space="0"/>
            </w:tcBorders>
            <w:noWrap w:val="0"/>
            <w:vAlign w:val="center"/>
          </w:tcPr>
          <w:p w14:paraId="701E6C20">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（1）确定</w:t>
            </w:r>
            <w:r>
              <w:rPr>
                <w:rFonts w:hint="eastAsia" w:ascii="宋体" w:hAnsi="宋体" w:eastAsia="宋体" w:cs="宋体"/>
                <w:snapToGrid w:val="0"/>
                <w:color w:val="auto"/>
                <w:kern w:val="0"/>
                <w:sz w:val="24"/>
                <w:szCs w:val="24"/>
                <w:lang w:eastAsia="zh-CN"/>
              </w:rPr>
              <w:t>最高投标限价</w:t>
            </w:r>
            <w:r>
              <w:rPr>
                <w:rFonts w:hint="eastAsia" w:ascii="宋体" w:hAnsi="宋体" w:eastAsia="宋体" w:cs="宋体"/>
                <w:snapToGrid w:val="0"/>
                <w:color w:val="auto"/>
                <w:kern w:val="0"/>
                <w:sz w:val="24"/>
                <w:szCs w:val="24"/>
              </w:rPr>
              <w:t>下浮系数n：用1～21号球分别代表一个下浮系数，由评委代表从这21个号码中随机抽取</w:t>
            </w:r>
            <w:r>
              <w:rPr>
                <w:rFonts w:hint="eastAsia" w:ascii="宋体" w:hAnsi="宋体" w:eastAsia="宋体" w:cs="宋体"/>
                <w:snapToGrid w:val="0"/>
                <w:color w:val="auto"/>
                <w:kern w:val="0"/>
                <w:sz w:val="24"/>
                <w:szCs w:val="24"/>
                <w:u w:val="single"/>
              </w:rPr>
              <w:t xml:space="preserve"> 3 </w:t>
            </w:r>
            <w:r>
              <w:rPr>
                <w:rFonts w:hint="eastAsia" w:ascii="宋体" w:hAnsi="宋体" w:eastAsia="宋体" w:cs="宋体"/>
                <w:snapToGrid w:val="0"/>
                <w:color w:val="auto"/>
                <w:kern w:val="0"/>
                <w:sz w:val="24"/>
                <w:szCs w:val="24"/>
              </w:rPr>
              <w:t>次，每次抽取1个号码，抽出的号球不参与下次抽取。所抽取的3个号码对应下浮系数的算术平均值作为</w:t>
            </w:r>
            <w:r>
              <w:rPr>
                <w:rFonts w:hint="eastAsia" w:ascii="宋体" w:hAnsi="宋体" w:eastAsia="宋体" w:cs="宋体"/>
                <w:snapToGrid w:val="0"/>
                <w:color w:val="auto"/>
                <w:kern w:val="0"/>
                <w:sz w:val="24"/>
                <w:szCs w:val="24"/>
                <w:lang w:eastAsia="zh-CN"/>
              </w:rPr>
              <w:t>最高投标限价</w:t>
            </w:r>
            <w:r>
              <w:rPr>
                <w:rFonts w:hint="eastAsia" w:ascii="宋体" w:hAnsi="宋体" w:eastAsia="宋体" w:cs="宋体"/>
                <w:snapToGrid w:val="0"/>
                <w:color w:val="auto"/>
                <w:kern w:val="0"/>
                <w:sz w:val="24"/>
                <w:szCs w:val="24"/>
              </w:rPr>
              <w:t>下浮系数n。具体号码对应的下浮系数可参考下表。</w:t>
            </w:r>
          </w:p>
          <w:tbl>
            <w:tblPr>
              <w:tblStyle w:val="30"/>
              <w:tblW w:w="0" w:type="auto"/>
              <w:jc w:val="center"/>
              <w:tblLayout w:type="fixed"/>
              <w:tblCellMar>
                <w:top w:w="0" w:type="dxa"/>
                <w:left w:w="108" w:type="dxa"/>
                <w:bottom w:w="0" w:type="dxa"/>
                <w:right w:w="108" w:type="dxa"/>
              </w:tblCellMar>
            </w:tblPr>
            <w:tblGrid>
              <w:gridCol w:w="1949"/>
              <w:gridCol w:w="794"/>
              <w:gridCol w:w="830"/>
              <w:gridCol w:w="864"/>
              <w:gridCol w:w="848"/>
              <w:gridCol w:w="882"/>
              <w:gridCol w:w="829"/>
              <w:gridCol w:w="819"/>
            </w:tblGrid>
            <w:tr w14:paraId="0DF1D792">
              <w:tblPrEx>
                <w:tblCellMar>
                  <w:top w:w="0" w:type="dxa"/>
                  <w:left w:w="108" w:type="dxa"/>
                  <w:bottom w:w="0" w:type="dxa"/>
                  <w:right w:w="108" w:type="dxa"/>
                </w:tblCellMar>
              </w:tblPrEx>
              <w:trPr>
                <w:trHeight w:val="248"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0DF82A2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2503CA61">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w:t>
                  </w:r>
                </w:p>
              </w:tc>
              <w:tc>
                <w:tcPr>
                  <w:tcW w:w="830" w:type="dxa"/>
                  <w:tcBorders>
                    <w:top w:val="single" w:color="000000" w:sz="4" w:space="0"/>
                    <w:left w:val="single" w:color="000000" w:sz="4" w:space="0"/>
                    <w:bottom w:val="single" w:color="000000" w:sz="4" w:space="0"/>
                    <w:right w:val="single" w:color="000000" w:sz="4" w:space="0"/>
                  </w:tcBorders>
                  <w:vAlign w:val="center"/>
                </w:tcPr>
                <w:p w14:paraId="2A6A617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w:t>
                  </w:r>
                </w:p>
              </w:tc>
              <w:tc>
                <w:tcPr>
                  <w:tcW w:w="864" w:type="dxa"/>
                  <w:tcBorders>
                    <w:top w:val="single" w:color="000000" w:sz="4" w:space="0"/>
                    <w:left w:val="single" w:color="000000" w:sz="4" w:space="0"/>
                    <w:bottom w:val="single" w:color="000000" w:sz="4" w:space="0"/>
                    <w:right w:val="single" w:color="000000" w:sz="4" w:space="0"/>
                  </w:tcBorders>
                  <w:vAlign w:val="center"/>
                </w:tcPr>
                <w:p w14:paraId="371F8ED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3</w:t>
                  </w:r>
                </w:p>
              </w:tc>
              <w:tc>
                <w:tcPr>
                  <w:tcW w:w="848" w:type="dxa"/>
                  <w:tcBorders>
                    <w:top w:val="single" w:color="000000" w:sz="4" w:space="0"/>
                    <w:left w:val="single" w:color="000000" w:sz="4" w:space="0"/>
                    <w:bottom w:val="single" w:color="000000" w:sz="4" w:space="0"/>
                    <w:right w:val="single" w:color="000000" w:sz="4" w:space="0"/>
                  </w:tcBorders>
                  <w:vAlign w:val="center"/>
                </w:tcPr>
                <w:p w14:paraId="75C4F6AF">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4</w:t>
                  </w:r>
                </w:p>
              </w:tc>
              <w:tc>
                <w:tcPr>
                  <w:tcW w:w="882" w:type="dxa"/>
                  <w:tcBorders>
                    <w:top w:val="single" w:color="000000" w:sz="4" w:space="0"/>
                    <w:left w:val="single" w:color="000000" w:sz="4" w:space="0"/>
                    <w:bottom w:val="single" w:color="000000" w:sz="4" w:space="0"/>
                    <w:right w:val="single" w:color="000000" w:sz="4" w:space="0"/>
                  </w:tcBorders>
                  <w:vAlign w:val="center"/>
                </w:tcPr>
                <w:p w14:paraId="23F174A9">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5</w:t>
                  </w:r>
                </w:p>
              </w:tc>
              <w:tc>
                <w:tcPr>
                  <w:tcW w:w="829" w:type="dxa"/>
                  <w:tcBorders>
                    <w:top w:val="single" w:color="000000" w:sz="4" w:space="0"/>
                    <w:left w:val="single" w:color="000000" w:sz="4" w:space="0"/>
                    <w:bottom w:val="single" w:color="000000" w:sz="4" w:space="0"/>
                    <w:right w:val="single" w:color="000000" w:sz="4" w:space="0"/>
                  </w:tcBorders>
                  <w:vAlign w:val="center"/>
                </w:tcPr>
                <w:p w14:paraId="79333F71">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6</w:t>
                  </w:r>
                </w:p>
              </w:tc>
              <w:tc>
                <w:tcPr>
                  <w:tcW w:w="819" w:type="dxa"/>
                  <w:tcBorders>
                    <w:top w:val="single" w:color="000000" w:sz="4" w:space="0"/>
                    <w:left w:val="single" w:color="000000" w:sz="4" w:space="0"/>
                    <w:bottom w:val="single" w:color="000000" w:sz="4" w:space="0"/>
                    <w:right w:val="single" w:color="000000" w:sz="4" w:space="0"/>
                  </w:tcBorders>
                  <w:vAlign w:val="center"/>
                </w:tcPr>
                <w:p w14:paraId="70068A15">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7</w:t>
                  </w:r>
                </w:p>
              </w:tc>
            </w:tr>
            <w:tr w14:paraId="791D8E76">
              <w:tblPrEx>
                <w:tblCellMar>
                  <w:top w:w="0" w:type="dxa"/>
                  <w:left w:w="108" w:type="dxa"/>
                  <w:bottom w:w="0" w:type="dxa"/>
                  <w:right w:w="108" w:type="dxa"/>
                </w:tblCellMar>
              </w:tblPrEx>
              <w:trPr>
                <w:trHeight w:val="575"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0D2BA57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732221F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1.0</w:t>
                  </w:r>
                </w:p>
              </w:tc>
              <w:tc>
                <w:tcPr>
                  <w:tcW w:w="830" w:type="dxa"/>
                  <w:tcBorders>
                    <w:top w:val="single" w:color="000000" w:sz="4" w:space="0"/>
                    <w:left w:val="single" w:color="000000" w:sz="4" w:space="0"/>
                    <w:bottom w:val="single" w:color="000000" w:sz="4" w:space="0"/>
                    <w:right w:val="single" w:color="000000" w:sz="4" w:space="0"/>
                  </w:tcBorders>
                  <w:vAlign w:val="center"/>
                </w:tcPr>
                <w:p w14:paraId="4DA2A8D1">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1.1</w:t>
                  </w:r>
                </w:p>
              </w:tc>
              <w:tc>
                <w:tcPr>
                  <w:tcW w:w="864" w:type="dxa"/>
                  <w:tcBorders>
                    <w:top w:val="single" w:color="000000" w:sz="4" w:space="0"/>
                    <w:left w:val="single" w:color="000000" w:sz="4" w:space="0"/>
                    <w:bottom w:val="single" w:color="000000" w:sz="4" w:space="0"/>
                    <w:right w:val="single" w:color="000000" w:sz="4" w:space="0"/>
                  </w:tcBorders>
                  <w:vAlign w:val="center"/>
                </w:tcPr>
                <w:p w14:paraId="72AB3878">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1.2</w:t>
                  </w:r>
                </w:p>
              </w:tc>
              <w:tc>
                <w:tcPr>
                  <w:tcW w:w="848" w:type="dxa"/>
                  <w:tcBorders>
                    <w:top w:val="single" w:color="000000" w:sz="4" w:space="0"/>
                    <w:left w:val="single" w:color="000000" w:sz="4" w:space="0"/>
                    <w:bottom w:val="single" w:color="000000" w:sz="4" w:space="0"/>
                    <w:right w:val="single" w:color="000000" w:sz="4" w:space="0"/>
                  </w:tcBorders>
                  <w:vAlign w:val="center"/>
                </w:tcPr>
                <w:p w14:paraId="55C80E80">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1.3</w:t>
                  </w:r>
                </w:p>
              </w:tc>
              <w:tc>
                <w:tcPr>
                  <w:tcW w:w="882" w:type="dxa"/>
                  <w:tcBorders>
                    <w:top w:val="single" w:color="000000" w:sz="4" w:space="0"/>
                    <w:left w:val="single" w:color="000000" w:sz="4" w:space="0"/>
                    <w:bottom w:val="single" w:color="000000" w:sz="4" w:space="0"/>
                    <w:right w:val="single" w:color="000000" w:sz="4" w:space="0"/>
                  </w:tcBorders>
                  <w:vAlign w:val="center"/>
                </w:tcPr>
                <w:p w14:paraId="63F20F98">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1.4</w:t>
                  </w:r>
                </w:p>
              </w:tc>
              <w:tc>
                <w:tcPr>
                  <w:tcW w:w="829" w:type="dxa"/>
                  <w:tcBorders>
                    <w:top w:val="single" w:color="000000" w:sz="4" w:space="0"/>
                    <w:left w:val="single" w:color="000000" w:sz="4" w:space="0"/>
                    <w:bottom w:val="single" w:color="000000" w:sz="4" w:space="0"/>
                    <w:right w:val="single" w:color="000000" w:sz="4" w:space="0"/>
                  </w:tcBorders>
                  <w:vAlign w:val="center"/>
                </w:tcPr>
                <w:p w14:paraId="5C6515E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1.5</w:t>
                  </w:r>
                </w:p>
              </w:tc>
              <w:tc>
                <w:tcPr>
                  <w:tcW w:w="819" w:type="dxa"/>
                  <w:tcBorders>
                    <w:top w:val="single" w:color="000000" w:sz="4" w:space="0"/>
                    <w:left w:val="single" w:color="000000" w:sz="4" w:space="0"/>
                    <w:bottom w:val="single" w:color="000000" w:sz="4" w:space="0"/>
                    <w:right w:val="single" w:color="000000" w:sz="4" w:space="0"/>
                  </w:tcBorders>
                  <w:vAlign w:val="center"/>
                </w:tcPr>
                <w:p w14:paraId="3056149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1.6</w:t>
                  </w:r>
                </w:p>
              </w:tc>
            </w:tr>
            <w:tr w14:paraId="3EAD1EE0">
              <w:tblPrEx>
                <w:tblCellMar>
                  <w:top w:w="0" w:type="dxa"/>
                  <w:left w:w="108" w:type="dxa"/>
                  <w:bottom w:w="0" w:type="dxa"/>
                  <w:right w:w="108" w:type="dxa"/>
                </w:tblCellMar>
              </w:tblPrEx>
              <w:trPr>
                <w:trHeight w:val="515"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5536D489">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3722F01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8</w:t>
                  </w:r>
                </w:p>
              </w:tc>
              <w:tc>
                <w:tcPr>
                  <w:tcW w:w="830" w:type="dxa"/>
                  <w:tcBorders>
                    <w:top w:val="single" w:color="000000" w:sz="4" w:space="0"/>
                    <w:left w:val="single" w:color="000000" w:sz="4" w:space="0"/>
                    <w:bottom w:val="single" w:color="000000" w:sz="4" w:space="0"/>
                    <w:right w:val="single" w:color="000000" w:sz="4" w:space="0"/>
                  </w:tcBorders>
                  <w:vAlign w:val="center"/>
                </w:tcPr>
                <w:p w14:paraId="471A335A">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w:t>
                  </w:r>
                </w:p>
              </w:tc>
              <w:tc>
                <w:tcPr>
                  <w:tcW w:w="864" w:type="dxa"/>
                  <w:tcBorders>
                    <w:top w:val="single" w:color="000000" w:sz="4" w:space="0"/>
                    <w:left w:val="single" w:color="000000" w:sz="4" w:space="0"/>
                    <w:bottom w:val="single" w:color="000000" w:sz="4" w:space="0"/>
                    <w:right w:val="single" w:color="000000" w:sz="4" w:space="0"/>
                  </w:tcBorders>
                  <w:vAlign w:val="center"/>
                </w:tcPr>
                <w:p w14:paraId="1D7EEDC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10</w:t>
                  </w:r>
                </w:p>
              </w:tc>
              <w:tc>
                <w:tcPr>
                  <w:tcW w:w="848" w:type="dxa"/>
                  <w:tcBorders>
                    <w:top w:val="single" w:color="000000" w:sz="4" w:space="0"/>
                    <w:left w:val="single" w:color="000000" w:sz="4" w:space="0"/>
                    <w:bottom w:val="single" w:color="000000" w:sz="4" w:space="0"/>
                    <w:right w:val="single" w:color="000000" w:sz="4" w:space="0"/>
                  </w:tcBorders>
                  <w:vAlign w:val="center"/>
                </w:tcPr>
                <w:p w14:paraId="530D318F">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11</w:t>
                  </w:r>
                </w:p>
              </w:tc>
              <w:tc>
                <w:tcPr>
                  <w:tcW w:w="882" w:type="dxa"/>
                  <w:tcBorders>
                    <w:top w:val="single" w:color="000000" w:sz="4" w:space="0"/>
                    <w:left w:val="single" w:color="000000" w:sz="4" w:space="0"/>
                    <w:bottom w:val="single" w:color="000000" w:sz="4" w:space="0"/>
                    <w:right w:val="single" w:color="000000" w:sz="4" w:space="0"/>
                  </w:tcBorders>
                  <w:vAlign w:val="center"/>
                </w:tcPr>
                <w:p w14:paraId="00C97CF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12</w:t>
                  </w:r>
                </w:p>
              </w:tc>
              <w:tc>
                <w:tcPr>
                  <w:tcW w:w="829" w:type="dxa"/>
                  <w:tcBorders>
                    <w:top w:val="single" w:color="000000" w:sz="4" w:space="0"/>
                    <w:left w:val="single" w:color="000000" w:sz="4" w:space="0"/>
                    <w:bottom w:val="single" w:color="000000" w:sz="4" w:space="0"/>
                    <w:right w:val="single" w:color="000000" w:sz="4" w:space="0"/>
                  </w:tcBorders>
                  <w:vAlign w:val="center"/>
                </w:tcPr>
                <w:p w14:paraId="33BEEA0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13</w:t>
                  </w:r>
                </w:p>
              </w:tc>
              <w:tc>
                <w:tcPr>
                  <w:tcW w:w="819" w:type="dxa"/>
                  <w:tcBorders>
                    <w:top w:val="single" w:color="000000" w:sz="4" w:space="0"/>
                    <w:left w:val="single" w:color="000000" w:sz="4" w:space="0"/>
                    <w:bottom w:val="single" w:color="000000" w:sz="4" w:space="0"/>
                    <w:right w:val="single" w:color="000000" w:sz="4" w:space="0"/>
                  </w:tcBorders>
                  <w:vAlign w:val="center"/>
                </w:tcPr>
                <w:p w14:paraId="0062697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14</w:t>
                  </w:r>
                </w:p>
              </w:tc>
            </w:tr>
            <w:tr w14:paraId="4547A747">
              <w:tblPrEx>
                <w:tblCellMar>
                  <w:top w:w="0" w:type="dxa"/>
                  <w:left w:w="108" w:type="dxa"/>
                  <w:bottom w:w="0" w:type="dxa"/>
                  <w:right w:w="108" w:type="dxa"/>
                </w:tblCellMar>
              </w:tblPrEx>
              <w:trPr>
                <w:trHeight w:val="515"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71EE082A">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04D166A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1.7</w:t>
                  </w:r>
                </w:p>
              </w:tc>
              <w:tc>
                <w:tcPr>
                  <w:tcW w:w="830" w:type="dxa"/>
                  <w:tcBorders>
                    <w:top w:val="single" w:color="000000" w:sz="4" w:space="0"/>
                    <w:left w:val="single" w:color="000000" w:sz="4" w:space="0"/>
                    <w:bottom w:val="single" w:color="000000" w:sz="4" w:space="0"/>
                    <w:right w:val="single" w:color="000000" w:sz="4" w:space="0"/>
                  </w:tcBorders>
                  <w:vAlign w:val="center"/>
                </w:tcPr>
                <w:p w14:paraId="4BFD1C5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1.8</w:t>
                  </w:r>
                </w:p>
              </w:tc>
              <w:tc>
                <w:tcPr>
                  <w:tcW w:w="864" w:type="dxa"/>
                  <w:tcBorders>
                    <w:top w:val="single" w:color="000000" w:sz="4" w:space="0"/>
                    <w:left w:val="single" w:color="000000" w:sz="4" w:space="0"/>
                    <w:bottom w:val="single" w:color="000000" w:sz="4" w:space="0"/>
                    <w:right w:val="single" w:color="000000" w:sz="4" w:space="0"/>
                  </w:tcBorders>
                  <w:vAlign w:val="center"/>
                </w:tcPr>
                <w:p w14:paraId="5B40A02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1.9</w:t>
                  </w:r>
                </w:p>
              </w:tc>
              <w:tc>
                <w:tcPr>
                  <w:tcW w:w="848" w:type="dxa"/>
                  <w:tcBorders>
                    <w:top w:val="single" w:color="000000" w:sz="4" w:space="0"/>
                    <w:left w:val="single" w:color="000000" w:sz="4" w:space="0"/>
                    <w:bottom w:val="single" w:color="000000" w:sz="4" w:space="0"/>
                    <w:right w:val="single" w:color="000000" w:sz="4" w:space="0"/>
                  </w:tcBorders>
                  <w:vAlign w:val="center"/>
                </w:tcPr>
                <w:p w14:paraId="147FC3D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2.0</w:t>
                  </w:r>
                </w:p>
              </w:tc>
              <w:tc>
                <w:tcPr>
                  <w:tcW w:w="882" w:type="dxa"/>
                  <w:tcBorders>
                    <w:top w:val="single" w:color="000000" w:sz="4" w:space="0"/>
                    <w:left w:val="single" w:color="000000" w:sz="4" w:space="0"/>
                    <w:bottom w:val="single" w:color="000000" w:sz="4" w:space="0"/>
                    <w:right w:val="single" w:color="000000" w:sz="4" w:space="0"/>
                  </w:tcBorders>
                  <w:vAlign w:val="center"/>
                </w:tcPr>
                <w:p w14:paraId="6B36024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2.1</w:t>
                  </w:r>
                </w:p>
              </w:tc>
              <w:tc>
                <w:tcPr>
                  <w:tcW w:w="829" w:type="dxa"/>
                  <w:tcBorders>
                    <w:top w:val="single" w:color="000000" w:sz="4" w:space="0"/>
                    <w:left w:val="single" w:color="000000" w:sz="4" w:space="0"/>
                    <w:bottom w:val="single" w:color="000000" w:sz="4" w:space="0"/>
                    <w:right w:val="single" w:color="000000" w:sz="4" w:space="0"/>
                  </w:tcBorders>
                  <w:vAlign w:val="center"/>
                </w:tcPr>
                <w:p w14:paraId="07BAE1CD">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2.2</w:t>
                  </w:r>
                </w:p>
              </w:tc>
              <w:tc>
                <w:tcPr>
                  <w:tcW w:w="819" w:type="dxa"/>
                  <w:tcBorders>
                    <w:top w:val="single" w:color="000000" w:sz="4" w:space="0"/>
                    <w:left w:val="single" w:color="000000" w:sz="4" w:space="0"/>
                    <w:bottom w:val="single" w:color="000000" w:sz="4" w:space="0"/>
                    <w:right w:val="single" w:color="000000" w:sz="4" w:space="0"/>
                  </w:tcBorders>
                  <w:vAlign w:val="center"/>
                </w:tcPr>
                <w:p w14:paraId="73D30A8D">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2.3</w:t>
                  </w:r>
                </w:p>
              </w:tc>
            </w:tr>
            <w:tr w14:paraId="71D73A2E">
              <w:tblPrEx>
                <w:tblCellMar>
                  <w:top w:w="0" w:type="dxa"/>
                  <w:left w:w="108" w:type="dxa"/>
                  <w:bottom w:w="0" w:type="dxa"/>
                  <w:right w:w="108" w:type="dxa"/>
                </w:tblCellMar>
              </w:tblPrEx>
              <w:trPr>
                <w:trHeight w:val="470"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335209A5">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635216F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15</w:t>
                  </w:r>
                </w:p>
              </w:tc>
              <w:tc>
                <w:tcPr>
                  <w:tcW w:w="830" w:type="dxa"/>
                  <w:tcBorders>
                    <w:top w:val="single" w:color="000000" w:sz="4" w:space="0"/>
                    <w:left w:val="single" w:color="000000" w:sz="4" w:space="0"/>
                    <w:bottom w:val="single" w:color="000000" w:sz="4" w:space="0"/>
                    <w:right w:val="single" w:color="000000" w:sz="4" w:space="0"/>
                  </w:tcBorders>
                  <w:vAlign w:val="center"/>
                </w:tcPr>
                <w:p w14:paraId="142E09A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16</w:t>
                  </w:r>
                </w:p>
              </w:tc>
              <w:tc>
                <w:tcPr>
                  <w:tcW w:w="864" w:type="dxa"/>
                  <w:tcBorders>
                    <w:top w:val="single" w:color="000000" w:sz="4" w:space="0"/>
                    <w:left w:val="single" w:color="000000" w:sz="4" w:space="0"/>
                    <w:bottom w:val="single" w:color="000000" w:sz="4" w:space="0"/>
                    <w:right w:val="single" w:color="000000" w:sz="4" w:space="0"/>
                  </w:tcBorders>
                  <w:vAlign w:val="center"/>
                </w:tcPr>
                <w:p w14:paraId="0E1E685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17</w:t>
                  </w:r>
                </w:p>
              </w:tc>
              <w:tc>
                <w:tcPr>
                  <w:tcW w:w="848" w:type="dxa"/>
                  <w:tcBorders>
                    <w:top w:val="single" w:color="000000" w:sz="4" w:space="0"/>
                    <w:left w:val="single" w:color="000000" w:sz="4" w:space="0"/>
                    <w:bottom w:val="single" w:color="000000" w:sz="4" w:space="0"/>
                    <w:right w:val="single" w:color="000000" w:sz="4" w:space="0"/>
                  </w:tcBorders>
                  <w:vAlign w:val="center"/>
                </w:tcPr>
                <w:p w14:paraId="0C86F937">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18</w:t>
                  </w:r>
                </w:p>
              </w:tc>
              <w:tc>
                <w:tcPr>
                  <w:tcW w:w="882" w:type="dxa"/>
                  <w:tcBorders>
                    <w:top w:val="single" w:color="000000" w:sz="4" w:space="0"/>
                    <w:left w:val="single" w:color="000000" w:sz="4" w:space="0"/>
                    <w:bottom w:val="single" w:color="000000" w:sz="4" w:space="0"/>
                    <w:right w:val="single" w:color="000000" w:sz="4" w:space="0"/>
                  </w:tcBorders>
                  <w:vAlign w:val="center"/>
                </w:tcPr>
                <w:p w14:paraId="50AD250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19</w:t>
                  </w:r>
                </w:p>
              </w:tc>
              <w:tc>
                <w:tcPr>
                  <w:tcW w:w="829" w:type="dxa"/>
                  <w:tcBorders>
                    <w:top w:val="single" w:color="000000" w:sz="4" w:space="0"/>
                    <w:left w:val="single" w:color="000000" w:sz="4" w:space="0"/>
                    <w:bottom w:val="single" w:color="000000" w:sz="4" w:space="0"/>
                    <w:right w:val="single" w:color="000000" w:sz="4" w:space="0"/>
                  </w:tcBorders>
                  <w:vAlign w:val="center"/>
                </w:tcPr>
                <w:p w14:paraId="49886A8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20</w:t>
                  </w:r>
                </w:p>
              </w:tc>
              <w:tc>
                <w:tcPr>
                  <w:tcW w:w="819" w:type="dxa"/>
                  <w:tcBorders>
                    <w:top w:val="single" w:color="000000" w:sz="4" w:space="0"/>
                    <w:left w:val="single" w:color="000000" w:sz="4" w:space="0"/>
                    <w:bottom w:val="single" w:color="000000" w:sz="4" w:space="0"/>
                    <w:right w:val="single" w:color="000000" w:sz="4" w:space="0"/>
                  </w:tcBorders>
                  <w:vAlign w:val="center"/>
                </w:tcPr>
                <w:p w14:paraId="5E09FA4C">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21</w:t>
                  </w:r>
                </w:p>
              </w:tc>
            </w:tr>
            <w:tr w14:paraId="792B9D54">
              <w:tblPrEx>
                <w:tblCellMar>
                  <w:top w:w="0" w:type="dxa"/>
                  <w:left w:w="108" w:type="dxa"/>
                  <w:bottom w:w="0" w:type="dxa"/>
                  <w:right w:w="108" w:type="dxa"/>
                </w:tblCellMar>
              </w:tblPrEx>
              <w:trPr>
                <w:trHeight w:val="600"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78997BCC">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75A918BF">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2.4</w:t>
                  </w:r>
                </w:p>
              </w:tc>
              <w:tc>
                <w:tcPr>
                  <w:tcW w:w="830" w:type="dxa"/>
                  <w:tcBorders>
                    <w:top w:val="single" w:color="000000" w:sz="4" w:space="0"/>
                    <w:left w:val="single" w:color="000000" w:sz="4" w:space="0"/>
                    <w:bottom w:val="single" w:color="000000" w:sz="4" w:space="0"/>
                    <w:right w:val="single" w:color="000000" w:sz="4" w:space="0"/>
                  </w:tcBorders>
                  <w:vAlign w:val="center"/>
                </w:tcPr>
                <w:p w14:paraId="4A1DAABD">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2.5</w:t>
                  </w:r>
                </w:p>
              </w:tc>
              <w:tc>
                <w:tcPr>
                  <w:tcW w:w="864" w:type="dxa"/>
                  <w:tcBorders>
                    <w:top w:val="single" w:color="000000" w:sz="4" w:space="0"/>
                    <w:left w:val="single" w:color="000000" w:sz="4" w:space="0"/>
                    <w:bottom w:val="single" w:color="000000" w:sz="4" w:space="0"/>
                    <w:right w:val="single" w:color="000000" w:sz="4" w:space="0"/>
                  </w:tcBorders>
                  <w:vAlign w:val="center"/>
                </w:tcPr>
                <w:p w14:paraId="65AE68DD">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2.6</w:t>
                  </w:r>
                </w:p>
              </w:tc>
              <w:tc>
                <w:tcPr>
                  <w:tcW w:w="848" w:type="dxa"/>
                  <w:tcBorders>
                    <w:top w:val="single" w:color="000000" w:sz="4" w:space="0"/>
                    <w:left w:val="single" w:color="000000" w:sz="4" w:space="0"/>
                    <w:bottom w:val="single" w:color="000000" w:sz="4" w:space="0"/>
                    <w:right w:val="single" w:color="000000" w:sz="4" w:space="0"/>
                  </w:tcBorders>
                  <w:vAlign w:val="center"/>
                </w:tcPr>
                <w:p w14:paraId="0FF11C2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2.7</w:t>
                  </w:r>
                </w:p>
              </w:tc>
              <w:tc>
                <w:tcPr>
                  <w:tcW w:w="882" w:type="dxa"/>
                  <w:tcBorders>
                    <w:top w:val="single" w:color="000000" w:sz="4" w:space="0"/>
                    <w:left w:val="single" w:color="000000" w:sz="4" w:space="0"/>
                    <w:bottom w:val="single" w:color="000000" w:sz="4" w:space="0"/>
                    <w:right w:val="single" w:color="000000" w:sz="4" w:space="0"/>
                  </w:tcBorders>
                  <w:vAlign w:val="center"/>
                </w:tcPr>
                <w:p w14:paraId="5B044708">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2.8</w:t>
                  </w:r>
                </w:p>
              </w:tc>
              <w:tc>
                <w:tcPr>
                  <w:tcW w:w="829" w:type="dxa"/>
                  <w:tcBorders>
                    <w:top w:val="single" w:color="000000" w:sz="4" w:space="0"/>
                    <w:left w:val="single" w:color="000000" w:sz="4" w:space="0"/>
                    <w:bottom w:val="single" w:color="000000" w:sz="4" w:space="0"/>
                    <w:right w:val="single" w:color="000000" w:sz="4" w:space="0"/>
                  </w:tcBorders>
                  <w:vAlign w:val="center"/>
                </w:tcPr>
                <w:p w14:paraId="543F4C0A">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2.9</w:t>
                  </w:r>
                </w:p>
              </w:tc>
              <w:tc>
                <w:tcPr>
                  <w:tcW w:w="819" w:type="dxa"/>
                  <w:tcBorders>
                    <w:top w:val="single" w:color="000000" w:sz="4" w:space="0"/>
                    <w:left w:val="single" w:color="000000" w:sz="4" w:space="0"/>
                    <w:bottom w:val="single" w:color="000000" w:sz="4" w:space="0"/>
                    <w:right w:val="single" w:color="000000" w:sz="4" w:space="0"/>
                  </w:tcBorders>
                  <w:vAlign w:val="center"/>
                </w:tcPr>
                <w:p w14:paraId="50D535D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3.0</w:t>
                  </w:r>
                </w:p>
              </w:tc>
            </w:tr>
          </w:tbl>
          <w:p w14:paraId="6F6597A9">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rPr>
              <w:t>（2）评标基准价D＝</w:t>
            </w:r>
            <w:r>
              <w:rPr>
                <w:rFonts w:hint="eastAsia" w:ascii="宋体" w:hAnsi="宋体" w:eastAsia="宋体" w:cs="宋体"/>
                <w:snapToGrid w:val="0"/>
                <w:color w:val="auto"/>
                <w:kern w:val="0"/>
                <w:sz w:val="24"/>
                <w:szCs w:val="24"/>
                <w:lang w:eastAsia="zh-CN"/>
              </w:rPr>
              <w:t>最高投标限价</w:t>
            </w:r>
            <w:r>
              <w:rPr>
                <w:rFonts w:hint="eastAsia" w:ascii="宋体" w:hAnsi="宋体" w:eastAsia="宋体" w:cs="宋体"/>
                <w:snapToGrid w:val="0"/>
                <w:color w:val="auto"/>
                <w:kern w:val="0"/>
                <w:sz w:val="24"/>
                <w:szCs w:val="24"/>
              </w:rPr>
              <w:t>×（1－n）</w:t>
            </w:r>
          </w:p>
        </w:tc>
      </w:tr>
      <w:tr w14:paraId="3318ED63">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238D6E6">
            <w:pPr>
              <w:pStyle w:val="66"/>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投标报价</w:t>
            </w:r>
          </w:p>
          <w:p w14:paraId="121EC598">
            <w:pPr>
              <w:pStyle w:val="66"/>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得分N</w:t>
            </w:r>
          </w:p>
        </w:tc>
        <w:tc>
          <w:tcPr>
            <w:tcW w:w="9360" w:type="dxa"/>
            <w:gridSpan w:val="3"/>
            <w:tcBorders>
              <w:top w:val="single" w:color="auto" w:sz="4" w:space="0"/>
              <w:left w:val="single" w:color="auto" w:sz="4" w:space="0"/>
              <w:bottom w:val="single" w:color="auto" w:sz="4" w:space="0"/>
              <w:right w:val="single" w:color="auto" w:sz="4" w:space="0"/>
            </w:tcBorders>
            <w:noWrap w:val="0"/>
            <w:vAlign w:val="center"/>
          </w:tcPr>
          <w:p w14:paraId="7CFF6B52">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rPr>
              <w:t>分，每高于评标基准价一个百分点扣</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 每低于评标基准价一个百分点扣</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分，扣完为止。公式如下：</w:t>
            </w:r>
          </w:p>
          <w:p w14:paraId="41EA87FA">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0－（| Di－D | ÷D）×100×E</w:t>
            </w:r>
          </w:p>
          <w:p w14:paraId="21FF5C85">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p>
        </w:tc>
      </w:tr>
    </w:tbl>
    <w:p w14:paraId="51801D79">
      <w:pPr>
        <w:keepNext w:val="0"/>
        <w:keepLines w:val="0"/>
        <w:pageBreakBefore w:val="0"/>
        <w:widowControl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15.5.2 </w:t>
      </w:r>
      <w:r>
        <w:rPr>
          <w:rFonts w:hint="eastAsia" w:ascii="宋体" w:hAnsi="宋体" w:eastAsia="宋体" w:cs="宋体"/>
          <w:snapToGrid w:val="0"/>
          <w:color w:val="auto"/>
          <w:kern w:val="0"/>
          <w:highlight w:val="none"/>
        </w:rPr>
        <w:t>否决投标说明</w:t>
      </w:r>
    </w:p>
    <w:p w14:paraId="5F21881B">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详细评审阶段否决投标的全部条件，在本章第四节“否决投标条件”第</w:t>
      </w:r>
      <w:r>
        <w:rPr>
          <w:rFonts w:hint="eastAsia" w:ascii="宋体" w:hAnsi="宋体" w:eastAsia="宋体" w:cs="宋体"/>
          <w:b/>
          <w:bCs/>
          <w:snapToGrid w:val="0"/>
          <w:color w:val="auto"/>
          <w:kern w:val="0"/>
          <w:highlight w:val="none"/>
        </w:rPr>
        <w:t>4</w:t>
      </w:r>
      <w:r>
        <w:rPr>
          <w:rFonts w:hint="eastAsia" w:ascii="宋体" w:hAnsi="宋体" w:eastAsia="宋体" w:cs="宋体"/>
          <w:snapToGrid w:val="0"/>
          <w:color w:val="auto"/>
          <w:kern w:val="0"/>
          <w:highlight w:val="none"/>
        </w:rPr>
        <w:t>条中集中列示。投标人有其中所列任何一种情形的，由评标委员会否决其投标。</w:t>
      </w:r>
      <w:r>
        <w:rPr>
          <w:rFonts w:hint="eastAsia" w:ascii="宋体" w:hAnsi="宋体" w:eastAsia="宋体" w:cs="宋体"/>
          <w:snapToGrid w:val="0"/>
          <w:color w:val="auto"/>
          <w:kern w:val="0"/>
          <w:highlight w:val="none"/>
          <w:lang w:val="en-US" w:eastAsia="zh-CN"/>
        </w:rPr>
        <w:t>评标委员会经评审，认为所有投标都不符合招标文件要求的，可否决所有投标，项目的所有投标被否决的，招标人应依法重新组织招标。</w:t>
      </w:r>
    </w:p>
    <w:p w14:paraId="20D7B7CF">
      <w:pPr>
        <w:keepNext w:val="0"/>
        <w:keepLines w:val="0"/>
        <w:pageBreakBefore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bCs/>
          <w:snapToGrid w:val="0"/>
          <w:color w:val="auto"/>
          <w:kern w:val="0"/>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14:paraId="0FA5A99F">
      <w:pPr>
        <w:keepNext w:val="0"/>
        <w:keepLines w:val="0"/>
        <w:pageBreakBefore w:val="0"/>
        <w:widowControl w:val="0"/>
        <w:kinsoku/>
        <w:wordWrap/>
        <w:overflowPunct/>
        <w:topLinePunct w:val="0"/>
        <w:autoSpaceDE/>
        <w:autoSpaceDN/>
        <w:bidi w:val="0"/>
        <w:adjustRightInd/>
        <w:snapToGrid/>
        <w:spacing w:line="336" w:lineRule="auto"/>
        <w:ind w:firstLine="482" w:firstLineChars="200"/>
        <w:textAlignment w:val="auto"/>
        <w:outlineLvl w:val="1"/>
        <w:rPr>
          <w:rStyle w:val="154"/>
          <w:rFonts w:hint="eastAsia" w:ascii="宋体" w:hAnsi="宋体" w:eastAsia="宋体" w:cs="宋体"/>
          <w:color w:val="auto"/>
          <w:lang w:val="en-US" w:eastAsia="zh-CN"/>
        </w:rPr>
      </w:pPr>
      <w:bookmarkStart w:id="137" w:name="_Toc2839"/>
      <w:r>
        <w:rPr>
          <w:rStyle w:val="154"/>
          <w:rFonts w:hint="eastAsia" w:ascii="宋体" w:hAnsi="宋体" w:eastAsia="宋体" w:cs="宋体"/>
          <w:color w:val="auto"/>
          <w:lang w:val="en-US" w:eastAsia="zh-CN"/>
        </w:rPr>
        <w:t>16．中标候选人公示</w:t>
      </w:r>
      <w:bookmarkEnd w:id="137"/>
    </w:p>
    <w:p w14:paraId="6C424E97">
      <w:pPr>
        <w:keepNext w:val="0"/>
        <w:keepLines w:val="0"/>
        <w:pageBreakBefore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highlight w:val="none"/>
        </w:rPr>
        <w:t>16.1</w:t>
      </w:r>
      <w:r>
        <w:rPr>
          <w:rFonts w:hint="eastAsia" w:ascii="宋体" w:hAnsi="宋体" w:eastAsia="宋体" w:cs="宋体"/>
          <w:snapToGrid w:val="0"/>
          <w:color w:val="auto"/>
          <w:kern w:val="0"/>
          <w:highlight w:val="none"/>
        </w:rPr>
        <w:t xml:space="preserve"> 招标人自收到评标委员会提交的书面评标报告和中标候选人名单之日起3日内，将评标结果（即中标候选人名单）、中标候选人投标文件（指商务标书分册）、评标过程（评标专家姓名用代码标记）一并在广东省招标投标监管网（</w:t>
      </w:r>
      <w:r>
        <w:rPr>
          <w:rFonts w:hint="eastAsia" w:ascii="宋体" w:hAnsi="宋体" w:eastAsia="宋体" w:cs="宋体"/>
          <w:snapToGrid w:val="0"/>
          <w:color w:val="auto"/>
          <w:kern w:val="0"/>
          <w:highlight w:val="none"/>
          <w:lang w:eastAsia="zh-CN"/>
        </w:rPr>
        <w:t>https://www.gdzwfw.gov.cn/ztbjg-portal/#/index</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全国公共资源交易平台（广东省·韶关市）（https://ygp.gdzwfw.gov.cn/ggzy-portal/#/440200/index）进行公示，公示期不得少于3天。</w:t>
      </w:r>
    </w:p>
    <w:p w14:paraId="5CC34B69">
      <w:pPr>
        <w:keepNext w:val="0"/>
        <w:keepLines w:val="0"/>
        <w:pageBreakBefore w:val="0"/>
        <w:widowControl/>
        <w:suppressLineNumbers w:val="0"/>
        <w:kinsoku/>
        <w:wordWrap/>
        <w:overflowPunct/>
        <w:topLinePunct w:val="0"/>
        <w:autoSpaceDE/>
        <w:autoSpaceDN/>
        <w:bidi w:val="0"/>
        <w:adjustRightInd/>
        <w:snapToGrid/>
        <w:spacing w:line="336" w:lineRule="auto"/>
        <w:ind w:firstLine="482" w:firstLineChars="200"/>
        <w:jc w:val="left"/>
        <w:textAlignment w:val="auto"/>
        <w:rPr>
          <w:rFonts w:hint="eastAsia" w:ascii="宋体" w:hAnsi="宋体" w:eastAsia="宋体" w:cs="宋体"/>
          <w:color w:val="auto"/>
        </w:rPr>
      </w:pPr>
      <w:r>
        <w:rPr>
          <w:rFonts w:hint="eastAsia" w:ascii="宋体" w:hAnsi="宋体" w:eastAsia="宋体" w:cs="宋体"/>
          <w:b/>
          <w:bCs/>
          <w:snapToGrid w:val="0"/>
          <w:color w:val="auto"/>
          <w:kern w:val="0"/>
          <w:highlight w:val="none"/>
        </w:rPr>
        <w:t>16.3</w:t>
      </w:r>
      <w:r>
        <w:rPr>
          <w:rFonts w:hint="eastAsia" w:ascii="宋体" w:hAnsi="宋体" w:eastAsia="宋体" w:cs="宋体"/>
          <w:snapToGrid w:val="0"/>
          <w:color w:val="auto"/>
          <w:kern w:val="0"/>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w:t>
      </w:r>
      <w:r>
        <w:rPr>
          <w:rFonts w:hint="eastAsia" w:ascii="宋体" w:hAnsi="宋体" w:eastAsia="宋体" w:cs="宋体"/>
          <w:color w:val="auto"/>
          <w:kern w:val="0"/>
          <w:sz w:val="24"/>
          <w:szCs w:val="24"/>
          <w:lang w:val="en-US" w:eastAsia="zh-CN" w:bidi="ar"/>
        </w:rPr>
        <w:t>如通过交易服务平台提出异议，投标人必须上传提交异议书扫描件（作为附件），异议书格式内容按照</w:t>
      </w:r>
      <w:r>
        <w:rPr>
          <w:rFonts w:hint="eastAsia" w:ascii="宋体" w:hAnsi="宋体" w:eastAsia="宋体" w:cs="宋体"/>
          <w:snapToGrid w:val="0"/>
          <w:color w:val="auto"/>
          <w:kern w:val="0"/>
          <w:highlight w:val="none"/>
        </w:rPr>
        <w:t>《韶关市工程建设项目招标投标活动异议和投诉处理办法》（韶发改〔2021〕44号）</w:t>
      </w:r>
      <w:r>
        <w:rPr>
          <w:rFonts w:hint="eastAsia" w:ascii="宋体" w:hAnsi="宋体" w:eastAsia="宋体" w:cs="宋体"/>
          <w:color w:val="auto"/>
          <w:kern w:val="0"/>
          <w:sz w:val="24"/>
          <w:szCs w:val="24"/>
          <w:lang w:val="en-US" w:eastAsia="zh-CN" w:bidi="ar"/>
        </w:rPr>
        <w:t>，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613602E">
      <w:pPr>
        <w:keepNext w:val="0"/>
        <w:keepLines w:val="0"/>
        <w:pageBreakBefore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16.4</w:t>
      </w:r>
      <w:r>
        <w:rPr>
          <w:rFonts w:hint="eastAsia" w:ascii="宋体" w:hAnsi="宋体" w:eastAsia="宋体" w:cs="宋体"/>
          <w:snapToGrid w:val="0"/>
          <w:color w:val="auto"/>
          <w:kern w:val="0"/>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619B9F5F">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0696D3F1">
      <w:pPr>
        <w:wordWrap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第四节 否决投标条件</w:t>
      </w:r>
    </w:p>
    <w:p w14:paraId="3944C43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highlight w:val="none"/>
        </w:rPr>
        <w:t>投标人未有列入本节情形的，评标时一律不得否决其投标。</w:t>
      </w:r>
      <w:r>
        <w:rPr>
          <w:rFonts w:hint="eastAsia" w:ascii="宋体" w:hAnsi="宋体" w:eastAsia="宋体" w:cs="宋体"/>
          <w:snapToGrid w:val="0"/>
          <w:color w:val="auto"/>
          <w:kern w:val="0"/>
          <w:highlight w:val="none"/>
        </w:rPr>
        <w:t>本节所称“规定”均指招标文件的规定。</w:t>
      </w:r>
    </w:p>
    <w:p w14:paraId="75F752C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4"/>
          <w:rFonts w:hint="eastAsia" w:ascii="宋体" w:hAnsi="宋体" w:eastAsia="宋体" w:cs="宋体"/>
          <w:color w:val="auto"/>
          <w:lang w:val="en-US" w:eastAsia="zh-CN"/>
        </w:rPr>
      </w:pPr>
      <w:bookmarkStart w:id="138" w:name="_Toc25780"/>
      <w:bookmarkStart w:id="139" w:name="_Toc18979"/>
      <w:bookmarkStart w:id="140" w:name="_Toc867"/>
      <w:bookmarkStart w:id="141" w:name="_Toc28628"/>
      <w:bookmarkStart w:id="142" w:name="_Toc18351"/>
      <w:r>
        <w:rPr>
          <w:rStyle w:val="154"/>
          <w:rFonts w:hint="eastAsia" w:ascii="宋体" w:hAnsi="宋体" w:eastAsia="宋体" w:cs="宋体"/>
          <w:color w:val="auto"/>
          <w:lang w:val="en-US" w:eastAsia="zh-CN"/>
        </w:rPr>
        <w:t>1．资格评审环节</w:t>
      </w:r>
      <w:bookmarkEnd w:id="138"/>
      <w:bookmarkEnd w:id="139"/>
      <w:bookmarkEnd w:id="140"/>
      <w:bookmarkEnd w:id="141"/>
      <w:bookmarkEnd w:id="142"/>
    </w:p>
    <w:p w14:paraId="6AA929FD">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投标人有下列情形之一的，评标委员会应否决其投标。被否决的投标人，不进入形式评审环节。</w:t>
      </w:r>
    </w:p>
    <w:p w14:paraId="1D96B39B">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b/>
          <w:bCs/>
          <w:snapToGrid w:val="0"/>
          <w:color w:val="auto"/>
          <w:kern w:val="0"/>
          <w:highlight w:val="none"/>
        </w:rPr>
      </w:pPr>
      <w:r>
        <w:rPr>
          <w:rFonts w:hint="eastAsia" w:ascii="宋体" w:hAnsi="宋体" w:eastAsia="宋体" w:cs="宋体"/>
          <w:snapToGrid w:val="0"/>
          <w:color w:val="auto"/>
          <w:kern w:val="0"/>
          <w:highlight w:val="none"/>
        </w:rPr>
        <w:t>（1）有本章第三节第</w:t>
      </w:r>
      <w:r>
        <w:rPr>
          <w:rFonts w:hint="eastAsia" w:ascii="宋体" w:hAnsi="宋体" w:eastAsia="宋体" w:cs="宋体"/>
          <w:b/>
          <w:bCs/>
          <w:snapToGrid w:val="0"/>
          <w:color w:val="auto"/>
          <w:kern w:val="0"/>
          <w:highlight w:val="none"/>
        </w:rPr>
        <w:t>2.4</w:t>
      </w:r>
      <w:r>
        <w:rPr>
          <w:rFonts w:hint="eastAsia" w:ascii="宋体" w:hAnsi="宋体" w:eastAsia="宋体" w:cs="宋体"/>
          <w:snapToGrid w:val="0"/>
          <w:color w:val="auto"/>
          <w:kern w:val="0"/>
          <w:highlight w:val="none"/>
        </w:rPr>
        <w:t>条“禁止投标条款”规定的任何一种情形；</w:t>
      </w:r>
    </w:p>
    <w:p w14:paraId="5C423DBA">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（2）投标人资质不符合</w:t>
      </w:r>
      <w:r>
        <w:rPr>
          <w:rFonts w:hint="eastAsia" w:ascii="宋体" w:hAnsi="宋体" w:eastAsia="宋体" w:cs="宋体"/>
          <w:snapToGrid w:val="0"/>
          <w:color w:val="auto"/>
          <w:kern w:val="0"/>
          <w:szCs w:val="18"/>
          <w:highlight w:val="none"/>
        </w:rPr>
        <w:t>规定的；</w:t>
      </w:r>
    </w:p>
    <w:p w14:paraId="4475671D">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0C80F85A">
      <w:pPr>
        <w:keepNext w:val="0"/>
        <w:keepLines w:val="0"/>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22C605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lang w:val="en-US" w:eastAsia="zh-CN"/>
        </w:rPr>
      </w:pPr>
      <w:r>
        <w:rPr>
          <w:rFonts w:hint="eastAsia" w:ascii="宋体" w:hAnsi="宋体" w:eastAsia="宋体" w:cs="宋体"/>
          <w:snapToGrid w:val="0"/>
          <w:color w:val="auto"/>
          <w:kern w:val="0"/>
          <w:highlight w:val="none"/>
        </w:rPr>
        <w:t xml:space="preserve">根据有关文件精神，投标人的企业相关证书到期的，均按该证书的发证机构相关行业主管部门最新文件执行（如自动顺延或推迟办理延期业务的通知），投标人必须将相关文件附在该证书后面中，证明在开标日继续有效。    </w:t>
      </w:r>
      <w:r>
        <w:rPr>
          <w:rFonts w:hint="eastAsia" w:ascii="宋体" w:hAnsi="宋体" w:eastAsia="宋体" w:cs="宋体"/>
          <w:snapToGrid w:val="0"/>
          <w:color w:val="auto"/>
          <w:kern w:val="0"/>
          <w:highlight w:val="none"/>
          <w:lang w:val="en-US" w:eastAsia="zh-CN"/>
        </w:rPr>
        <w:t xml:space="preserve">  </w:t>
      </w:r>
    </w:p>
    <w:p w14:paraId="689D626E">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（4）拟派项目经理、项目技术负责人、专职安全员的条件不符合规定的；拟派专职安全员数量不符合规定的；</w:t>
      </w:r>
    </w:p>
    <w:p w14:paraId="275EBA9B">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（5）《项目经理简历表》中拟派项目经理与《开标一览表》不一致的；</w:t>
      </w:r>
      <w:r>
        <w:rPr>
          <w:rFonts w:hint="eastAsia" w:ascii="宋体" w:hAnsi="宋体" w:eastAsia="宋体" w:cs="宋体"/>
          <w:snapToGrid w:val="0"/>
          <w:color w:val="auto"/>
          <w:kern w:val="0"/>
          <w:highlight w:val="none"/>
          <w:lang w:val="en-US" w:eastAsia="zh-CN"/>
        </w:rPr>
        <w:t>建造师的注册证书不是住建部门颁发的</w:t>
      </w:r>
      <w:r>
        <w:rPr>
          <w:rFonts w:hint="eastAsia" w:ascii="宋体" w:hAnsi="宋体" w:eastAsia="宋体" w:cs="宋体"/>
          <w:snapToGrid w:val="0"/>
          <w:color w:val="auto"/>
          <w:kern w:val="0"/>
          <w:highlight w:val="none"/>
        </w:rPr>
        <w:t>；建造师的注册单位与投标人不一致的；项目管理班子组成人员的各类证书、证件、证明不在有效期内的（建造师注册证书不在使用有效期内的）；擅自修改、遗漏《项目经理任职声明》实质性内容的；</w:t>
      </w:r>
    </w:p>
    <w:p w14:paraId="6EC677A1">
      <w:pPr>
        <w:keepNext w:val="0"/>
        <w:keepLines w:val="0"/>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注：投标人已经工商变更，但其员工执业资格注册证书的注册单位名称未完成变更的，不得否决其投标。</w:t>
      </w:r>
    </w:p>
    <w:p w14:paraId="00769B10">
      <w:pPr>
        <w:keepNext w:val="0"/>
        <w:keepLines w:val="0"/>
        <w:pageBreakBefore w:val="0"/>
        <w:widowControl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color w:val="auto"/>
          <w:highlight w:val="none"/>
        </w:rPr>
      </w:pPr>
      <w:r>
        <w:rPr>
          <w:rFonts w:hint="eastAsia" w:ascii="宋体" w:hAnsi="宋体" w:eastAsia="宋体" w:cs="宋体"/>
          <w:b/>
          <w:bCs/>
          <w:snapToGrid w:val="0"/>
          <w:color w:val="auto"/>
          <w:kern w:val="0"/>
          <w:sz w:val="24"/>
          <w:szCs w:val="24"/>
          <w:highlight w:val="none"/>
        </w:rPr>
        <w:t>鉴于目前继续教育开展的实际情况，建筑和市政工程施工现场专业人员（</w:t>
      </w:r>
      <w:r>
        <w:rPr>
          <w:rFonts w:hint="eastAsia" w:ascii="宋体" w:hAnsi="宋体" w:eastAsia="宋体" w:cs="宋体"/>
          <w:b/>
          <w:bCs/>
          <w:snapToGrid w:val="0"/>
          <w:color w:val="auto"/>
          <w:kern w:val="0"/>
          <w:sz w:val="24"/>
          <w:szCs w:val="24"/>
          <w:highlight w:val="none"/>
          <w:lang w:val="en-US" w:eastAsia="zh-CN"/>
        </w:rPr>
        <w:t>例如</w:t>
      </w:r>
      <w:r>
        <w:rPr>
          <w:rFonts w:hint="eastAsia" w:ascii="宋体" w:hAnsi="宋体" w:eastAsia="宋体" w:cs="宋体"/>
          <w:b/>
          <w:bCs/>
          <w:snapToGrid w:val="0"/>
          <w:color w:val="auto"/>
          <w:kern w:val="0"/>
          <w:sz w:val="24"/>
          <w:szCs w:val="24"/>
          <w:highlight w:val="none"/>
        </w:rPr>
        <w:t>：施工员、质量员、材料员、资料员）的岗位证书或培训证书不审查其证书的有效期。</w:t>
      </w:r>
    </w:p>
    <w:p w14:paraId="500CA949">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Cs w:val="18"/>
          <w:highlight w:val="none"/>
        </w:rPr>
      </w:pPr>
      <w:r>
        <w:rPr>
          <w:rFonts w:hint="eastAsia" w:ascii="宋体" w:hAnsi="宋体" w:eastAsia="宋体" w:cs="宋体"/>
          <w:snapToGrid w:val="0"/>
          <w:color w:val="auto"/>
          <w:kern w:val="0"/>
          <w:highlight w:val="none"/>
        </w:rPr>
        <w:t>（6）招标文件规定不接受联合体投标，但以联合体投标的；</w:t>
      </w:r>
    </w:p>
    <w:p w14:paraId="1F0DC44E">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7</w:t>
      </w:r>
      <w:r>
        <w:rPr>
          <w:rFonts w:hint="eastAsia" w:ascii="宋体" w:hAnsi="宋体" w:eastAsia="宋体" w:cs="宋体"/>
          <w:snapToGrid w:val="0"/>
          <w:color w:val="auto"/>
          <w:kern w:val="0"/>
          <w:highlight w:val="none"/>
        </w:rPr>
        <w:t>）投标人为外省建筑企业，但未提供“进粤企业和人员诚信信息登记平台”企业和拟派人员信息情况打印页或网页截图的。</w:t>
      </w:r>
    </w:p>
    <w:p w14:paraId="4221425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4"/>
          <w:rFonts w:hint="eastAsia" w:ascii="宋体" w:hAnsi="宋体" w:eastAsia="宋体" w:cs="宋体"/>
          <w:color w:val="auto"/>
          <w:lang w:val="en-US" w:eastAsia="zh-CN"/>
        </w:rPr>
      </w:pPr>
      <w:bookmarkStart w:id="143" w:name="_Toc30923"/>
      <w:bookmarkStart w:id="144" w:name="_Toc19719"/>
      <w:bookmarkStart w:id="145" w:name="_Toc12980"/>
      <w:bookmarkStart w:id="146" w:name="_Toc3746"/>
      <w:bookmarkStart w:id="147" w:name="_Toc21442"/>
      <w:r>
        <w:rPr>
          <w:rStyle w:val="154"/>
          <w:rFonts w:hint="eastAsia" w:ascii="宋体" w:hAnsi="宋体" w:eastAsia="宋体" w:cs="宋体"/>
          <w:color w:val="auto"/>
          <w:lang w:val="en-US" w:eastAsia="zh-CN"/>
        </w:rPr>
        <w:t>2．形式评审环节</w:t>
      </w:r>
      <w:bookmarkEnd w:id="143"/>
      <w:bookmarkEnd w:id="144"/>
      <w:bookmarkEnd w:id="145"/>
      <w:bookmarkEnd w:id="146"/>
      <w:bookmarkEnd w:id="147"/>
    </w:p>
    <w:p w14:paraId="7BA92EF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投标人有下列情形之一的，评标委员会应否决其投标。被否决的投标人，不进入响应性评审环节。</w:t>
      </w:r>
    </w:p>
    <w:p w14:paraId="1CA79946">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w:t>
      </w:r>
      <w:r>
        <w:rPr>
          <w:rStyle w:val="149"/>
          <w:rFonts w:hint="eastAsia" w:ascii="宋体" w:hAnsi="宋体" w:eastAsia="宋体" w:cs="宋体"/>
          <w:color w:val="auto"/>
          <w:kern w:val="0"/>
          <w:highlight w:val="none"/>
        </w:rPr>
        <w:t>投标文件的分册组成是否符合招标文件规定。</w:t>
      </w:r>
    </w:p>
    <w:p w14:paraId="01812C57">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）本章第三节第</w:t>
      </w:r>
      <w:r>
        <w:rPr>
          <w:rFonts w:hint="eastAsia" w:ascii="宋体" w:hAnsi="宋体" w:eastAsia="宋体" w:cs="宋体"/>
          <w:b/>
          <w:bCs/>
          <w:snapToGrid w:val="0"/>
          <w:color w:val="auto"/>
          <w:kern w:val="0"/>
          <w:szCs w:val="18"/>
          <w:highlight w:val="none"/>
        </w:rPr>
        <w:t>10.2.2</w:t>
      </w:r>
      <w:r>
        <w:rPr>
          <w:rFonts w:hint="eastAsia" w:ascii="宋体" w:hAnsi="宋体" w:eastAsia="宋体" w:cs="宋体"/>
          <w:snapToGrid w:val="0"/>
          <w:color w:val="auto"/>
          <w:kern w:val="0"/>
          <w:szCs w:val="18"/>
          <w:highlight w:val="none"/>
        </w:rPr>
        <w:t>目、</w:t>
      </w:r>
      <w:r>
        <w:rPr>
          <w:rFonts w:hint="eastAsia" w:ascii="宋体" w:hAnsi="宋体" w:eastAsia="宋体" w:cs="宋体"/>
          <w:snapToGrid w:val="0"/>
          <w:color w:val="auto"/>
          <w:kern w:val="0"/>
          <w:highlight w:val="none"/>
        </w:rPr>
        <w:t>第</w:t>
      </w:r>
      <w:r>
        <w:rPr>
          <w:rFonts w:hint="eastAsia" w:ascii="宋体" w:hAnsi="宋体" w:eastAsia="宋体" w:cs="宋体"/>
          <w:b/>
          <w:bCs/>
          <w:snapToGrid w:val="0"/>
          <w:color w:val="auto"/>
          <w:kern w:val="0"/>
          <w:szCs w:val="18"/>
          <w:highlight w:val="none"/>
        </w:rPr>
        <w:t>10.3.2</w:t>
      </w:r>
      <w:r>
        <w:rPr>
          <w:rFonts w:hint="eastAsia" w:ascii="宋体" w:hAnsi="宋体" w:eastAsia="宋体" w:cs="宋体"/>
          <w:snapToGrid w:val="0"/>
          <w:color w:val="auto"/>
          <w:kern w:val="0"/>
          <w:szCs w:val="18"/>
          <w:highlight w:val="none"/>
        </w:rPr>
        <w:t>目、第</w:t>
      </w:r>
      <w:r>
        <w:rPr>
          <w:rFonts w:hint="eastAsia" w:ascii="宋体" w:hAnsi="宋体" w:eastAsia="宋体" w:cs="宋体"/>
          <w:b/>
          <w:bCs/>
          <w:snapToGrid w:val="0"/>
          <w:color w:val="auto"/>
          <w:kern w:val="0"/>
          <w:highlight w:val="none"/>
        </w:rPr>
        <w:t>10.4.3</w:t>
      </w:r>
      <w:r>
        <w:rPr>
          <w:rFonts w:hint="eastAsia" w:ascii="宋体" w:hAnsi="宋体" w:eastAsia="宋体" w:cs="宋体"/>
          <w:snapToGrid w:val="0"/>
          <w:color w:val="auto"/>
          <w:kern w:val="0"/>
          <w:highlight w:val="none"/>
        </w:rPr>
        <w:t>目中规定的“</w:t>
      </w:r>
      <w:r>
        <w:rPr>
          <w:rFonts w:hint="eastAsia" w:ascii="宋体" w:hAnsi="宋体" w:eastAsia="宋体" w:cs="宋体"/>
          <w:snapToGrid w:val="0"/>
          <w:color w:val="auto"/>
          <w:kern w:val="0"/>
          <w:szCs w:val="18"/>
          <w:highlight w:val="none"/>
        </w:rPr>
        <w:t>所有投标人均应提供</w:t>
      </w:r>
      <w:r>
        <w:rPr>
          <w:rFonts w:hint="eastAsia" w:ascii="宋体" w:hAnsi="宋体" w:eastAsia="宋体" w:cs="宋体"/>
          <w:snapToGrid w:val="0"/>
          <w:color w:val="auto"/>
          <w:kern w:val="0"/>
          <w:highlight w:val="none"/>
        </w:rPr>
        <w:t>”的组成内容（包括该组成内容的所附资料）中，任何一项有缺漏的；</w:t>
      </w:r>
    </w:p>
    <w:p w14:paraId="433748C5">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3</w:t>
      </w:r>
      <w:r>
        <w:rPr>
          <w:rFonts w:hint="eastAsia" w:ascii="宋体" w:hAnsi="宋体" w:eastAsia="宋体" w:cs="宋体"/>
          <w:snapToGrid w:val="0"/>
          <w:color w:val="auto"/>
          <w:kern w:val="0"/>
          <w:highlight w:val="none"/>
        </w:rPr>
        <w:t>）关键字迹模糊、无法辨认，</w:t>
      </w:r>
      <w:r>
        <w:rPr>
          <w:rFonts w:hint="eastAsia" w:ascii="宋体" w:hAnsi="宋体" w:eastAsia="宋体" w:cs="宋体"/>
          <w:b/>
          <w:bCs/>
          <w:snapToGrid w:val="0"/>
          <w:color w:val="auto"/>
          <w:kern w:val="0"/>
          <w:highlight w:val="none"/>
        </w:rPr>
        <w:t>且该种过错将导致评标委员会无法判断投标文件是否响应招标文件实质性要求的</w:t>
      </w:r>
      <w:r>
        <w:rPr>
          <w:rFonts w:hint="eastAsia" w:ascii="宋体" w:hAnsi="宋体" w:eastAsia="宋体" w:cs="宋体"/>
          <w:snapToGrid w:val="0"/>
          <w:color w:val="auto"/>
          <w:kern w:val="0"/>
          <w:highlight w:val="none"/>
        </w:rPr>
        <w:t>；有涂改、行间插字或删除，但未加盖单位章或由投标人的法定代表人或其委托代理人签字确认的；</w:t>
      </w:r>
    </w:p>
    <w:p w14:paraId="0B80B721">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）投标文件未按规定签字、盖章的；</w:t>
      </w:r>
    </w:p>
    <w:p w14:paraId="3C3BB8B1">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p>
    <w:p w14:paraId="48139FF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4"/>
          <w:rFonts w:hint="eastAsia" w:ascii="宋体" w:hAnsi="宋体" w:eastAsia="宋体" w:cs="宋体"/>
          <w:color w:val="auto"/>
          <w:lang w:val="en-US" w:eastAsia="zh-CN"/>
        </w:rPr>
      </w:pPr>
      <w:bookmarkStart w:id="148" w:name="_Toc23068"/>
      <w:bookmarkStart w:id="149" w:name="_Toc31483"/>
      <w:bookmarkStart w:id="150" w:name="_Toc27344"/>
      <w:bookmarkStart w:id="151" w:name="_Toc13299"/>
      <w:bookmarkStart w:id="152" w:name="_Toc8201"/>
      <w:r>
        <w:rPr>
          <w:rStyle w:val="154"/>
          <w:rFonts w:hint="eastAsia" w:ascii="宋体" w:hAnsi="宋体" w:eastAsia="宋体" w:cs="宋体"/>
          <w:color w:val="auto"/>
          <w:lang w:val="en-US" w:eastAsia="zh-CN"/>
        </w:rPr>
        <w:t>3．响应性评审环节</w:t>
      </w:r>
      <w:bookmarkEnd w:id="148"/>
      <w:bookmarkEnd w:id="149"/>
      <w:bookmarkEnd w:id="150"/>
      <w:bookmarkEnd w:id="151"/>
      <w:bookmarkEnd w:id="152"/>
    </w:p>
    <w:p w14:paraId="1EEBA7D7">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投标人有下列情形之一的，评标委员会应否决其投标。被否决的投标人，不进入详细评审阶段。</w:t>
      </w:r>
    </w:p>
    <w:p w14:paraId="5E3F8E3D">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）承诺的投标有效期短于规定的；质量标准低于规定的；工期超出规定的；擅自修改、遗漏《投标函》《各项承诺一览表》实质性内容的；</w:t>
      </w:r>
    </w:p>
    <w:p w14:paraId="38FC6911">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）编制《投标总价》的</w:t>
      </w:r>
      <w:r>
        <w:rPr>
          <w:rFonts w:hint="eastAsia" w:ascii="宋体" w:hAnsi="宋体" w:eastAsia="宋体" w:cs="宋体"/>
          <w:snapToGrid w:val="0"/>
          <w:color w:val="auto"/>
          <w:kern w:val="0"/>
          <w:szCs w:val="18"/>
          <w:highlight w:val="none"/>
        </w:rPr>
        <w:t>造价工程师，其注册证书不是住建部门颁发的；其注册单位与投标人（或造价咨询人）不一致的；其注册证书</w:t>
      </w:r>
      <w:r>
        <w:rPr>
          <w:rFonts w:hint="eastAsia" w:ascii="宋体" w:hAnsi="宋体" w:eastAsia="宋体" w:cs="宋体"/>
          <w:snapToGrid w:val="0"/>
          <w:color w:val="auto"/>
          <w:kern w:val="0"/>
          <w:highlight w:val="none"/>
        </w:rPr>
        <w:t>不在有效期内的。</w:t>
      </w:r>
    </w:p>
    <w:p w14:paraId="789271B2">
      <w:pPr>
        <w:keepNext w:val="0"/>
        <w:keepLines w:val="0"/>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注：投标人（或造价咨询人）已经工商变更，但其员工的执业资格注册证书的注册单位名称未完成变更的，不得否决其投标。</w:t>
      </w:r>
    </w:p>
    <w:p w14:paraId="4DDF576F">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3</w:t>
      </w:r>
      <w:r>
        <w:rPr>
          <w:rFonts w:hint="eastAsia" w:ascii="宋体" w:hAnsi="宋体" w:eastAsia="宋体" w:cs="宋体"/>
          <w:snapToGrid w:val="0"/>
          <w:color w:val="auto"/>
          <w:kern w:val="0"/>
          <w:highlight w:val="none"/>
        </w:rPr>
        <w:t>）投标人委托造价咨询单位编制《投标总价》，但未在《投标总价》封面加盖造价咨询人公章的；未提供造价咨询人的营业执照</w:t>
      </w:r>
      <w:r>
        <w:rPr>
          <w:rFonts w:hint="eastAsia" w:ascii="宋体" w:hAnsi="宋体" w:eastAsia="宋体" w:cs="宋体"/>
          <w:snapToGrid w:val="0"/>
          <w:color w:val="auto"/>
          <w:kern w:val="0"/>
          <w:highlight w:val="none"/>
          <w:lang w:eastAsia="zh-CN"/>
        </w:rPr>
        <w:t>扫描件</w:t>
      </w:r>
      <w:r>
        <w:rPr>
          <w:rFonts w:hint="eastAsia" w:ascii="宋体" w:hAnsi="宋体" w:eastAsia="宋体" w:cs="宋体"/>
          <w:snapToGrid w:val="0"/>
          <w:color w:val="auto"/>
          <w:kern w:val="0"/>
          <w:highlight w:val="none"/>
        </w:rPr>
        <w:t>的；</w:t>
      </w:r>
    </w:p>
    <w:p w14:paraId="10FDD5D9">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）出现两个或两个以上投标总价的（同一个投标总价大、小写不一致的除外）；投标总价超出</w:t>
      </w:r>
      <w:r>
        <w:rPr>
          <w:rFonts w:hint="eastAsia" w:ascii="宋体" w:hAnsi="宋体" w:eastAsia="宋体" w:cs="宋体"/>
          <w:snapToGrid w:val="0"/>
          <w:color w:val="auto"/>
          <w:kern w:val="0"/>
          <w:highlight w:val="none"/>
          <w:lang w:eastAsia="zh-CN"/>
        </w:rPr>
        <w:t>最高投标限价</w:t>
      </w:r>
      <w:r>
        <w:rPr>
          <w:rFonts w:hint="eastAsia" w:ascii="宋体" w:hAnsi="宋体" w:eastAsia="宋体" w:cs="宋体"/>
          <w:snapToGrid w:val="0"/>
          <w:color w:val="auto"/>
          <w:kern w:val="0"/>
          <w:highlight w:val="none"/>
        </w:rPr>
        <w:t>的；</w:t>
      </w:r>
      <w:r>
        <w:rPr>
          <w:rFonts w:hint="eastAsia" w:ascii="宋体" w:hAnsi="宋体" w:eastAsia="宋体" w:cs="宋体"/>
          <w:snapToGrid w:val="0"/>
          <w:color w:val="auto"/>
          <w:kern w:val="0"/>
          <w:highlight w:val="none"/>
          <w:lang w:eastAsia="zh-CN"/>
        </w:rPr>
        <w:t>安全生产措施费</w:t>
      </w:r>
      <w:r>
        <w:rPr>
          <w:rFonts w:hint="eastAsia" w:ascii="宋体" w:hAnsi="宋体" w:eastAsia="宋体" w:cs="宋体"/>
          <w:snapToGrid w:val="0"/>
          <w:color w:val="auto"/>
          <w:kern w:val="0"/>
          <w:highlight w:val="none"/>
        </w:rPr>
        <w:t>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08E170B2">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）在施工组织设计评审中，评标委员会认定质量、进度保障措施与国家和省市现行有关规范、规定、标准有重大偏差，</w:t>
      </w:r>
      <w:r>
        <w:rPr>
          <w:rFonts w:hint="eastAsia" w:ascii="宋体" w:hAnsi="宋体" w:eastAsia="宋体" w:cs="宋体"/>
          <w:b/>
          <w:bCs/>
          <w:snapToGrid w:val="0"/>
          <w:color w:val="auto"/>
          <w:kern w:val="0"/>
          <w:highlight w:val="none"/>
        </w:rPr>
        <w:t>且该种过错将导致工程质量、进度管理目标无法实现的</w:t>
      </w:r>
      <w:r>
        <w:rPr>
          <w:rFonts w:hint="eastAsia" w:ascii="宋体" w:hAnsi="宋体" w:eastAsia="宋体" w:cs="宋体"/>
          <w:snapToGrid w:val="0"/>
          <w:color w:val="auto"/>
          <w:kern w:val="0"/>
          <w:highlight w:val="none"/>
        </w:rPr>
        <w:t>。</w:t>
      </w:r>
    </w:p>
    <w:p w14:paraId="5AC70D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p>
    <w:p w14:paraId="478E18C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4"/>
          <w:rFonts w:hint="eastAsia" w:ascii="宋体" w:hAnsi="宋体" w:eastAsia="宋体" w:cs="宋体"/>
          <w:color w:val="auto"/>
          <w:lang w:val="en-US" w:eastAsia="zh-CN"/>
        </w:rPr>
      </w:pPr>
      <w:bookmarkStart w:id="153" w:name="_Toc24919"/>
      <w:r>
        <w:rPr>
          <w:rStyle w:val="154"/>
          <w:rFonts w:hint="eastAsia" w:ascii="宋体" w:hAnsi="宋体" w:eastAsia="宋体" w:cs="宋体"/>
          <w:color w:val="auto"/>
          <w:lang w:val="en-US" w:eastAsia="zh-CN"/>
        </w:rPr>
        <w:t>4．其他</w:t>
      </w:r>
      <w:bookmarkEnd w:id="153"/>
    </w:p>
    <w:p w14:paraId="5C2FF6B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2"/>
          <w:highlight w:val="none"/>
        </w:rPr>
      </w:pPr>
      <w:r>
        <w:rPr>
          <w:rFonts w:hint="eastAsia" w:ascii="宋体" w:hAnsi="宋体" w:eastAsia="宋体" w:cs="宋体"/>
          <w:snapToGrid w:val="0"/>
          <w:color w:val="auto"/>
          <w:kern w:val="0"/>
          <w:highlight w:val="none"/>
        </w:rPr>
        <w:t>在任何评标环节（或阶段），投标人有下列情形之一的，评标委员会应否决其投标。</w:t>
      </w:r>
      <w:r>
        <w:rPr>
          <w:rFonts w:hint="eastAsia" w:ascii="宋体" w:hAnsi="宋体" w:eastAsia="宋体" w:cs="宋体"/>
          <w:snapToGrid w:val="0"/>
          <w:color w:val="auto"/>
          <w:kern w:val="0"/>
          <w:szCs w:val="22"/>
          <w:highlight w:val="none"/>
        </w:rPr>
        <w:t>被否决的投标人，不进入下一环节（或阶段）。</w:t>
      </w:r>
    </w:p>
    <w:p w14:paraId="71BB4B1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（1）不按评标委员会要求澄清、说明或补正的；</w:t>
      </w:r>
    </w:p>
    <w:p w14:paraId="1DCBB72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（2）有下列情形之一，被评标委员会认定属于串通投标的：</w:t>
      </w:r>
    </w:p>
    <w:p w14:paraId="4BA0D4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①不同投标人的投标文件两处以上（含两处）错、漏一致；</w:t>
      </w:r>
    </w:p>
    <w:p w14:paraId="643B229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②不同投标人的投标总价相近且各分项报价、综合单价分析表内容混乱不能相互对应、乱调乱压或乱抬的，而在询标时没有合理的解释或者不能提供计算依据和报价依据；</w:t>
      </w:r>
    </w:p>
    <w:p w14:paraId="27FF91F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③不同投标人的投标各项报价存在异常一致或者呈规律性变化；</w:t>
      </w:r>
    </w:p>
    <w:p w14:paraId="18C13B0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④不同投标人的投标文件由同一单位或者同一个人编制；</w:t>
      </w:r>
    </w:p>
    <w:p w14:paraId="7E64FC6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⑤不同投标人的投标文件中投标资料（包括电子资料）相互混装或项目班子成员出现同一人；</w:t>
      </w:r>
    </w:p>
    <w:p w14:paraId="06781C1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⑥不同投标人的投标文件由同一电脑编制或同一台附属设备打印，或投标报价用同一个预算编制软件密码锁制作或出自同一电子文档；</w:t>
      </w:r>
    </w:p>
    <w:p w14:paraId="661EC41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⑦不同投标人的投标保证由同一企业或同一账户资金缴纳；</w:t>
      </w:r>
    </w:p>
    <w:p w14:paraId="1D31BC8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sectPr>
          <w:endnotePr>
            <w:numFmt w:val="decimal"/>
          </w:endnotePr>
          <w:pgSz w:w="11906" w:h="16838"/>
          <w:pgMar w:top="1134" w:right="1134" w:bottom="1134" w:left="1134" w:header="850"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highlight w:val="none"/>
        </w:rPr>
        <w:t>⑧不同投标人委托同一个人或注册在同一家企业的注册人员或同一家企业为其投标提供投标咨询、商务报价、技术咨询（招标项目本身要求采用专有技术的除外）等服务。</w:t>
      </w:r>
      <w:bookmarkEnd w:id="89"/>
    </w:p>
    <w:p w14:paraId="074F1233">
      <w:pPr>
        <w:pStyle w:val="2"/>
        <w:wordWrap w:val="0"/>
        <w:autoSpaceDE/>
        <w:autoSpaceDN/>
        <w:snapToGrid w:val="0"/>
        <w:spacing w:line="440" w:lineRule="exact"/>
        <w:jc w:val="center"/>
        <w:rPr>
          <w:rFonts w:hint="eastAsia" w:ascii="宋体" w:hAnsi="宋体" w:eastAsia="宋体" w:cs="宋体"/>
          <w:b/>
          <w:snapToGrid w:val="0"/>
          <w:color w:val="auto"/>
          <w:kern w:val="0"/>
          <w:highlight w:val="none"/>
        </w:rPr>
      </w:pPr>
      <w:bookmarkStart w:id="154" w:name="_Hlt69669771"/>
      <w:bookmarkEnd w:id="154"/>
      <w:bookmarkStart w:id="155" w:name="_Hlt70150994"/>
      <w:bookmarkEnd w:id="155"/>
      <w:bookmarkStart w:id="156" w:name="_Hlt87952408"/>
      <w:bookmarkEnd w:id="156"/>
      <w:bookmarkStart w:id="157" w:name="_Hlt112206772"/>
      <w:bookmarkEnd w:id="157"/>
      <w:bookmarkStart w:id="158" w:name="_Toc24543"/>
      <w:bookmarkStart w:id="159" w:name="_Hlt69698741"/>
      <w:bookmarkStart w:id="160" w:name="_Hlt69698722"/>
      <w:bookmarkStart w:id="161" w:name="_Hlt69698769"/>
      <w:bookmarkStart w:id="162" w:name="_Toc20451"/>
      <w:r>
        <w:rPr>
          <w:rFonts w:hint="eastAsia" w:ascii="宋体" w:hAnsi="宋体" w:eastAsia="宋体" w:cs="宋体"/>
          <w:b/>
          <w:snapToGrid w:val="0"/>
          <w:color w:val="auto"/>
          <w:sz w:val="24"/>
          <w:highlight w:val="none"/>
          <w:lang w:val="en-US" w:eastAsia="zh-CN"/>
        </w:rPr>
        <w:t>第</w:t>
      </w:r>
      <w:bookmarkStart w:id="163" w:name="_Hlt69669171"/>
      <w:bookmarkEnd w:id="163"/>
      <w:r>
        <w:rPr>
          <w:rFonts w:hint="eastAsia" w:ascii="宋体" w:hAnsi="宋体" w:eastAsia="宋体" w:cs="宋体"/>
          <w:b/>
          <w:snapToGrid w:val="0"/>
          <w:color w:val="auto"/>
          <w:sz w:val="24"/>
          <w:highlight w:val="none"/>
          <w:lang w:val="en-US" w:eastAsia="zh-CN"/>
        </w:rPr>
        <w:t>二章</w:t>
      </w:r>
      <w:bookmarkStart w:id="164" w:name="_Hlt87793839"/>
      <w:bookmarkEnd w:id="164"/>
      <w:r>
        <w:rPr>
          <w:rFonts w:hint="eastAsia" w:ascii="宋体" w:hAnsi="宋体" w:eastAsia="宋体" w:cs="宋体"/>
          <w:b/>
          <w:snapToGrid w:val="0"/>
          <w:color w:val="auto"/>
          <w:sz w:val="24"/>
          <w:highlight w:val="none"/>
          <w:lang w:val="en-US" w:eastAsia="zh-CN"/>
        </w:rPr>
        <w:t xml:space="preserve"> 中标人须知</w:t>
      </w:r>
      <w:bookmarkEnd w:id="158"/>
      <w:bookmarkEnd w:id="159"/>
      <w:bookmarkEnd w:id="160"/>
      <w:bookmarkEnd w:id="161"/>
      <w:bookmarkEnd w:id="162"/>
    </w:p>
    <w:p w14:paraId="72010CA4">
      <w:pPr>
        <w:pStyle w:val="4"/>
        <w:bidi w:val="0"/>
        <w:spacing w:line="360" w:lineRule="auto"/>
        <w:rPr>
          <w:rFonts w:hint="eastAsia" w:ascii="宋体" w:hAnsi="宋体" w:eastAsia="宋体" w:cs="宋体"/>
          <w:color w:val="auto"/>
        </w:rPr>
      </w:pPr>
      <w:bookmarkStart w:id="165" w:name="_Toc2206"/>
      <w:bookmarkStart w:id="166" w:name="_Toc28684"/>
      <w:bookmarkStart w:id="167" w:name="_Toc19632"/>
      <w:bookmarkStart w:id="168" w:name="_Hlt69698765"/>
      <w:bookmarkStart w:id="169" w:name="_Hlt69698713"/>
      <w:bookmarkStart w:id="170" w:name="_Hlt69698776"/>
      <w:bookmarkStart w:id="171" w:name="_Toc28918"/>
      <w:r>
        <w:rPr>
          <w:rFonts w:hint="eastAsia" w:ascii="宋体" w:hAnsi="宋体" w:eastAsia="宋体" w:cs="宋体"/>
          <w:color w:val="auto"/>
        </w:rPr>
        <w:t>1．中标通知书</w:t>
      </w:r>
      <w:bookmarkEnd w:id="165"/>
    </w:p>
    <w:p w14:paraId="16784DF1">
      <w:pPr>
        <w:wordWrap w:val="0"/>
        <w:adjustRightInd w:val="0"/>
        <w:snapToGrid w:val="0"/>
        <w:spacing w:line="360" w:lineRule="auto"/>
        <w:ind w:firstLine="562"/>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D245D85">
      <w:pPr>
        <w:wordWrap w:val="0"/>
        <w:adjustRightInd w:val="0"/>
        <w:snapToGrid w:val="0"/>
        <w:spacing w:line="360" w:lineRule="auto"/>
        <w:ind w:firstLine="562"/>
        <w:rPr>
          <w:rFonts w:hint="eastAsia" w:ascii="宋体" w:hAnsi="宋体" w:eastAsia="宋体" w:cs="宋体"/>
          <w:snapToGrid w:val="0"/>
          <w:color w:val="auto"/>
          <w:kern w:val="0"/>
          <w:highlight w:val="none"/>
        </w:rPr>
      </w:pPr>
    </w:p>
    <w:p w14:paraId="79A077BF">
      <w:pPr>
        <w:pStyle w:val="4"/>
        <w:bidi w:val="0"/>
        <w:spacing w:line="360" w:lineRule="auto"/>
        <w:rPr>
          <w:rFonts w:hint="eastAsia" w:ascii="宋体" w:hAnsi="宋体" w:eastAsia="宋体" w:cs="宋体"/>
          <w:color w:val="auto"/>
        </w:rPr>
      </w:pPr>
      <w:bookmarkStart w:id="172" w:name="_Toc14349"/>
      <w:r>
        <w:rPr>
          <w:rFonts w:hint="eastAsia" w:ascii="宋体" w:hAnsi="宋体" w:eastAsia="宋体" w:cs="宋体"/>
          <w:color w:val="auto"/>
        </w:rPr>
        <w:t>2．中标结果公示</w:t>
      </w:r>
      <w:bookmarkEnd w:id="172"/>
    </w:p>
    <w:p w14:paraId="041EC288">
      <w:pPr>
        <w:wordWrap w:val="0"/>
        <w:adjustRightInd w:val="0"/>
        <w:snapToGrid w:val="0"/>
        <w:spacing w:line="360" w:lineRule="auto"/>
        <w:ind w:firstLine="562"/>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中标通知书发出后15日内，招标人应将中标结果在广东省招标投标监管网（</w:t>
      </w:r>
      <w:r>
        <w:rPr>
          <w:rFonts w:hint="eastAsia" w:ascii="宋体" w:hAnsi="宋体" w:eastAsia="宋体" w:cs="宋体"/>
          <w:snapToGrid w:val="0"/>
          <w:color w:val="auto"/>
          <w:kern w:val="0"/>
          <w:highlight w:val="none"/>
          <w:lang w:eastAsia="zh-CN"/>
        </w:rPr>
        <w:t>https://www.gdzwfw.gov.cn/ztbjg-portal/#/index</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eastAsia="zh-CN"/>
        </w:rPr>
        <w:t>全国公共资源交易平台（广东省·韶关市）（https://ygp.gdzwfw.gov.cn/ggzy-portal/#/440200/index）</w:t>
      </w:r>
      <w:r>
        <w:rPr>
          <w:rFonts w:hint="eastAsia" w:ascii="宋体" w:hAnsi="宋体" w:eastAsia="宋体" w:cs="宋体"/>
          <w:snapToGrid w:val="0"/>
          <w:color w:val="auto"/>
          <w:kern w:val="0"/>
          <w:highlight w:val="none"/>
        </w:rPr>
        <w:t>进行公示。</w:t>
      </w:r>
    </w:p>
    <w:p w14:paraId="1127DF11">
      <w:pPr>
        <w:wordWrap w:val="0"/>
        <w:adjustRightInd w:val="0"/>
        <w:snapToGrid w:val="0"/>
        <w:spacing w:line="360" w:lineRule="auto"/>
        <w:ind w:firstLine="562"/>
        <w:rPr>
          <w:rFonts w:hint="eastAsia" w:ascii="宋体" w:hAnsi="宋体" w:eastAsia="宋体" w:cs="宋体"/>
          <w:snapToGrid w:val="0"/>
          <w:color w:val="auto"/>
          <w:kern w:val="0"/>
          <w:highlight w:val="none"/>
        </w:rPr>
      </w:pPr>
    </w:p>
    <w:p w14:paraId="57599105">
      <w:pPr>
        <w:pStyle w:val="4"/>
        <w:pageBreakBefore w:val="0"/>
        <w:kinsoku/>
        <w:overflowPunct/>
        <w:topLinePunct w:val="0"/>
        <w:autoSpaceDE/>
        <w:autoSpaceDN/>
        <w:bidi w:val="0"/>
        <w:spacing w:beforeLines="0" w:afterLines="0" w:line="360" w:lineRule="auto"/>
        <w:ind w:firstLine="482" w:firstLineChars="200"/>
        <w:textAlignment w:val="auto"/>
        <w:rPr>
          <w:rFonts w:hint="eastAsia" w:ascii="宋体" w:hAnsi="宋体" w:eastAsia="宋体" w:cs="宋体"/>
          <w:color w:val="auto"/>
        </w:rPr>
      </w:pPr>
      <w:bookmarkStart w:id="173" w:name="_Toc10406"/>
      <w:r>
        <w:rPr>
          <w:rFonts w:hint="eastAsia" w:ascii="宋体" w:hAnsi="宋体" w:eastAsia="宋体" w:cs="宋体"/>
          <w:color w:val="auto"/>
        </w:rPr>
        <w:t>3．履约保证</w:t>
      </w:r>
      <w:bookmarkEnd w:id="173"/>
    </w:p>
    <w:p w14:paraId="146217A2">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3.1</w:t>
      </w:r>
      <w:r>
        <w:rPr>
          <w:rFonts w:hint="eastAsia" w:ascii="宋体" w:hAnsi="宋体" w:eastAsia="宋体" w:cs="宋体"/>
          <w:snapToGrid w:val="0"/>
          <w:color w:val="auto"/>
          <w:kern w:val="0"/>
          <w:highlight w:val="none"/>
        </w:rPr>
        <w:t xml:space="preserve"> 中标人须在领取中标通知书之日起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 xml:space="preserve">10 </w:t>
      </w:r>
      <w:r>
        <w:rPr>
          <w:rFonts w:hint="eastAsia" w:ascii="宋体" w:hAnsi="宋体" w:eastAsia="宋体" w:cs="宋体"/>
          <w:snapToGrid w:val="0"/>
          <w:color w:val="auto"/>
          <w:kern w:val="0"/>
          <w:highlight w:val="none"/>
        </w:rPr>
        <w:t>个工作日内、签订合同前向招标人提交金额为中标价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5</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 xml:space="preserve">%的履约保证。 </w:t>
      </w:r>
    </w:p>
    <w:p w14:paraId="5346E33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在建设工程交易系统中自主选择一种进行缴交。</w:t>
      </w:r>
    </w:p>
    <w:p w14:paraId="5E10CB1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2</w:t>
      </w:r>
      <w:r>
        <w:rPr>
          <w:rFonts w:hint="eastAsia" w:ascii="宋体" w:hAnsi="宋体" w:eastAsia="宋体" w:cs="宋体"/>
          <w:color w:val="auto"/>
          <w:sz w:val="24"/>
          <w:szCs w:val="22"/>
          <w:highlight w:val="none"/>
        </w:rPr>
        <w:t>中标通知书发出时，招标人应登录韶关市公共资源一体化平台发起收缴履约担保并填写担保金金额、缴交时限和项目工期。收缴信息推送至中标人账号中，向中标人收缴履约担保。</w:t>
      </w:r>
    </w:p>
    <w:p w14:paraId="52D9B16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3</w:t>
      </w:r>
      <w:r>
        <w:rPr>
          <w:rFonts w:hint="eastAsia" w:ascii="宋体" w:hAnsi="宋体" w:eastAsia="宋体" w:cs="宋体"/>
          <w:color w:val="auto"/>
          <w:sz w:val="24"/>
          <w:szCs w:val="22"/>
          <w:highlight w:val="none"/>
        </w:rPr>
        <w:t>项目通过竣工验收后招标人应登录韶关市公共资源一体化平台进行履约担保退回操作。</w:t>
      </w:r>
    </w:p>
    <w:p w14:paraId="472B688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4</w:t>
      </w:r>
      <w:r>
        <w:rPr>
          <w:rFonts w:hint="eastAsia" w:ascii="宋体" w:hAnsi="宋体" w:eastAsia="宋体" w:cs="宋体"/>
          <w:color w:val="auto"/>
          <w:sz w:val="24"/>
          <w:szCs w:val="24"/>
        </w:rPr>
        <w:t>项目通过竣工验收之日后</w:t>
      </w:r>
      <w:r>
        <w:rPr>
          <w:rFonts w:hint="eastAsia" w:ascii="宋体" w:hAnsi="宋体" w:eastAsia="宋体" w:cs="宋体"/>
          <w:color w:val="auto"/>
          <w:sz w:val="24"/>
          <w:szCs w:val="22"/>
          <w:highlight w:val="none"/>
        </w:rPr>
        <w:t>28天内，招标人将履约担保退还给承包人。</w:t>
      </w:r>
    </w:p>
    <w:p w14:paraId="058081E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5</w:t>
      </w:r>
      <w:r>
        <w:rPr>
          <w:rFonts w:hint="eastAsia" w:ascii="宋体" w:hAnsi="宋体" w:eastAsia="宋体" w:cs="宋体"/>
          <w:color w:val="auto"/>
          <w:sz w:val="24"/>
          <w:szCs w:val="22"/>
          <w:highlight w:val="none"/>
        </w:rPr>
        <w:t>项目延期竣工的，中标人应登录韶关市公共资源一体化平台办理延长履约担保期限。</w:t>
      </w:r>
    </w:p>
    <w:p w14:paraId="1EF4D2B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6</w:t>
      </w:r>
      <w:r>
        <w:rPr>
          <w:rFonts w:hint="eastAsia" w:ascii="宋体" w:hAnsi="宋体" w:eastAsia="宋体" w:cs="宋体"/>
          <w:color w:val="auto"/>
          <w:sz w:val="24"/>
          <w:szCs w:val="22"/>
          <w:highlight w:val="none"/>
        </w:rPr>
        <w:t>中标人在领取中标通知书之后按有关规定及时提交履约保证。</w:t>
      </w:r>
    </w:p>
    <w:p w14:paraId="5907BD0A">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7</w:t>
      </w:r>
      <w:r>
        <w:rPr>
          <w:rFonts w:hint="eastAsia" w:ascii="宋体" w:hAnsi="宋体" w:eastAsia="宋体" w:cs="宋体"/>
          <w:color w:val="auto"/>
          <w:sz w:val="24"/>
          <w:szCs w:val="22"/>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6AE92E6D">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p>
    <w:p w14:paraId="4E778795">
      <w:pPr>
        <w:pStyle w:val="4"/>
        <w:bidi w:val="0"/>
        <w:spacing w:line="360" w:lineRule="auto"/>
        <w:rPr>
          <w:rFonts w:hint="eastAsia" w:ascii="宋体" w:hAnsi="宋体" w:eastAsia="宋体" w:cs="宋体"/>
          <w:color w:val="auto"/>
        </w:rPr>
      </w:pPr>
      <w:bookmarkStart w:id="174" w:name="_Toc9821"/>
      <w:r>
        <w:rPr>
          <w:rFonts w:hint="eastAsia" w:ascii="宋体" w:hAnsi="宋体" w:eastAsia="宋体" w:cs="宋体"/>
          <w:color w:val="auto"/>
        </w:rPr>
        <w:t>4．合同订立</w:t>
      </w:r>
      <w:bookmarkEnd w:id="174"/>
    </w:p>
    <w:p w14:paraId="7585DDEA">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4.1</w:t>
      </w:r>
      <w:r>
        <w:rPr>
          <w:rFonts w:hint="eastAsia" w:ascii="宋体" w:hAnsi="宋体" w:eastAsia="宋体" w:cs="宋体"/>
          <w:snapToGrid w:val="0"/>
          <w:color w:val="auto"/>
          <w:kern w:val="0"/>
          <w:highlight w:val="none"/>
        </w:rPr>
        <w:t xml:space="preserve"> 招标人应当自中标通知书发出之日起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30</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日内，按照招标文件、中标人的投标文件与中标人订立书面合同。</w:t>
      </w:r>
    </w:p>
    <w:p w14:paraId="500B5C5E">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w:t>
      </w:r>
      <w:r>
        <w:rPr>
          <w:rFonts w:hint="eastAsia" w:ascii="宋体" w:hAnsi="宋体" w:eastAsia="宋体" w:cs="宋体"/>
          <w:snapToGrid w:val="0"/>
          <w:color w:val="auto"/>
          <w:kern w:val="0"/>
          <w:highlight w:val="none"/>
        </w:rPr>
        <w:t xml:space="preserve"> 不正常报价的梳理和确认</w:t>
      </w:r>
    </w:p>
    <w:p w14:paraId="3C6E33DB">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4.2.1</w:t>
      </w:r>
      <w:r>
        <w:rPr>
          <w:rFonts w:hint="eastAsia" w:ascii="宋体" w:hAnsi="宋体" w:eastAsia="宋体" w:cs="宋体"/>
          <w:snapToGrid w:val="0"/>
          <w:color w:val="auto"/>
          <w:kern w:val="0"/>
          <w:highlight w:val="none"/>
        </w:rPr>
        <w:t xml:space="preserve"> </w:t>
      </w:r>
      <w:r>
        <w:rPr>
          <w:rFonts w:hint="eastAsia" w:ascii="宋体" w:hAnsi="宋体" w:eastAsia="宋体" w:cs="宋体"/>
          <w:b/>
          <w:bCs/>
          <w:snapToGrid w:val="0"/>
          <w:color w:val="auto"/>
          <w:kern w:val="0"/>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snapToGrid w:val="0"/>
          <w:color w:val="auto"/>
          <w:kern w:val="0"/>
          <w:highlight w:val="none"/>
        </w:rPr>
        <w:t>招标人不具备以上能力的，可授权编制本项目</w:t>
      </w:r>
      <w:r>
        <w:rPr>
          <w:rFonts w:hint="eastAsia" w:ascii="宋体" w:hAnsi="宋体" w:eastAsia="宋体" w:cs="宋体"/>
          <w:snapToGrid w:val="0"/>
          <w:color w:val="auto"/>
          <w:kern w:val="0"/>
          <w:highlight w:val="none"/>
          <w:lang w:eastAsia="zh-CN"/>
        </w:rPr>
        <w:t>最高投标限价</w:t>
      </w:r>
      <w:r>
        <w:rPr>
          <w:rFonts w:hint="eastAsia" w:ascii="宋体" w:hAnsi="宋体" w:eastAsia="宋体" w:cs="宋体"/>
          <w:snapToGrid w:val="0"/>
          <w:color w:val="auto"/>
          <w:kern w:val="0"/>
          <w:highlight w:val="none"/>
        </w:rPr>
        <w:t>的造价咨询单位实施。</w:t>
      </w:r>
    </w:p>
    <w:p w14:paraId="6558B3A6">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4.2.2</w:t>
      </w:r>
      <w:r>
        <w:rPr>
          <w:rFonts w:hint="eastAsia" w:ascii="宋体" w:hAnsi="宋体" w:eastAsia="宋体" w:cs="宋体"/>
          <w:snapToGrid w:val="0"/>
          <w:color w:val="auto"/>
          <w:kern w:val="0"/>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702E453C">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4.2.3</w:t>
      </w:r>
      <w:r>
        <w:rPr>
          <w:rFonts w:hint="eastAsia" w:ascii="宋体" w:hAnsi="宋体" w:eastAsia="宋体" w:cs="宋体"/>
          <w:snapToGrid w:val="0"/>
          <w:color w:val="auto"/>
          <w:kern w:val="0"/>
          <w:highlight w:val="none"/>
        </w:rPr>
        <w:t xml:space="preserve"> 错漏项的认定。中标人已标价工程量清单中，任一清单项目未填报价格或价格为零的，视为错漏项。</w:t>
      </w:r>
    </w:p>
    <w:p w14:paraId="7D05A169">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4.2.4</w:t>
      </w:r>
      <w:r>
        <w:rPr>
          <w:rFonts w:hint="eastAsia" w:ascii="宋体" w:hAnsi="宋体" w:eastAsia="宋体" w:cs="宋体"/>
          <w:snapToGrid w:val="0"/>
          <w:color w:val="auto"/>
          <w:kern w:val="0"/>
          <w:highlight w:val="none"/>
        </w:rPr>
        <w:t xml:space="preserve"> 不平衡报价的认定。经修正算术性错误后的中标人已标价工程量清单中，</w:t>
      </w:r>
      <w:r>
        <w:rPr>
          <w:rFonts w:hint="eastAsia" w:ascii="宋体" w:hAnsi="宋体" w:eastAsia="宋体" w:cs="宋体"/>
          <w:b/>
          <w:bCs/>
          <w:snapToGrid w:val="0"/>
          <w:color w:val="auto"/>
          <w:kern w:val="0"/>
          <w:highlight w:val="none"/>
          <w:u w:val="single"/>
        </w:rPr>
        <w:t>分部分项工程量清单项目的投标综合单价与</w:t>
      </w:r>
      <w:r>
        <w:rPr>
          <w:rFonts w:hint="eastAsia" w:ascii="宋体" w:hAnsi="宋体" w:eastAsia="宋体" w:cs="宋体"/>
          <w:b/>
          <w:bCs/>
          <w:snapToGrid w:val="0"/>
          <w:color w:val="auto"/>
          <w:kern w:val="0"/>
          <w:highlight w:val="none"/>
          <w:u w:val="single"/>
          <w:lang w:eastAsia="zh-CN"/>
        </w:rPr>
        <w:t>最高投标限价</w:t>
      </w:r>
      <w:r>
        <w:rPr>
          <w:rFonts w:hint="eastAsia" w:ascii="宋体" w:hAnsi="宋体" w:eastAsia="宋体" w:cs="宋体"/>
          <w:b/>
          <w:bCs/>
          <w:snapToGrid w:val="0"/>
          <w:color w:val="auto"/>
          <w:kern w:val="0"/>
          <w:highlight w:val="none"/>
          <w:u w:val="single"/>
        </w:rPr>
        <w:t>分部分项工程量清单项目的综合单价偏差≥20%</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的清单项目，视为不平衡报价项目。</w:t>
      </w:r>
    </w:p>
    <w:p w14:paraId="7E277DD2">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4.2.5</w:t>
      </w:r>
      <w:r>
        <w:rPr>
          <w:rFonts w:hint="eastAsia" w:ascii="宋体" w:hAnsi="宋体" w:eastAsia="宋体" w:cs="宋体"/>
          <w:snapToGrid w:val="0"/>
          <w:color w:val="auto"/>
          <w:kern w:val="0"/>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78F778E1">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4.2.6</w:t>
      </w:r>
      <w:r>
        <w:rPr>
          <w:rFonts w:hint="eastAsia" w:ascii="宋体" w:hAnsi="宋体" w:eastAsia="宋体" w:cs="宋体"/>
          <w:snapToGrid w:val="0"/>
          <w:color w:val="auto"/>
          <w:kern w:val="0"/>
          <w:highlight w:val="none"/>
        </w:rPr>
        <w:t xml:space="preserve"> </w:t>
      </w:r>
      <w:r>
        <w:rPr>
          <w:rFonts w:hint="eastAsia" w:ascii="宋体" w:hAnsi="宋体" w:eastAsia="宋体" w:cs="宋体"/>
          <w:b/>
          <w:bCs/>
          <w:snapToGrid w:val="0"/>
          <w:color w:val="auto"/>
          <w:kern w:val="0"/>
          <w:highlight w:val="none"/>
        </w:rPr>
        <w:t>合同履行过程中，被认定为错漏项的清单项目，结算时按照第三章“拟签订合同的主要条款”第2.6条规定处理。</w:t>
      </w:r>
    </w:p>
    <w:p w14:paraId="558AD17B">
      <w:pPr>
        <w:wordWrap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14:paraId="0C9C79C6">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4.3 </w:t>
      </w:r>
      <w:r>
        <w:rPr>
          <w:rFonts w:hint="eastAsia" w:ascii="宋体" w:hAnsi="宋体" w:eastAsia="宋体" w:cs="宋体"/>
          <w:snapToGrid w:val="0"/>
          <w:color w:val="auto"/>
          <w:kern w:val="0"/>
          <w:highlight w:val="none"/>
        </w:rPr>
        <w:t>本招标项目合同计价方式为：</w:t>
      </w:r>
      <w:r>
        <w:rPr>
          <w:rFonts w:hint="eastAsia" w:ascii="宋体" w:hAnsi="宋体" w:eastAsia="宋体" w:cs="宋体"/>
          <w:snapToGrid w:val="0"/>
          <w:color w:val="auto"/>
          <w:kern w:val="0"/>
          <w:highlight w:val="none"/>
          <w:u w:val="single"/>
        </w:rPr>
        <w:t xml:space="preserve"> 单价 </w:t>
      </w:r>
      <w:r>
        <w:rPr>
          <w:rFonts w:hint="eastAsia" w:ascii="宋体" w:hAnsi="宋体" w:eastAsia="宋体" w:cs="宋体"/>
          <w:snapToGrid w:val="0"/>
          <w:color w:val="auto"/>
          <w:kern w:val="0"/>
          <w:highlight w:val="none"/>
        </w:rPr>
        <w:t>合同。</w:t>
      </w:r>
    </w:p>
    <w:p w14:paraId="519978E4">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4.4</w:t>
      </w:r>
      <w:r>
        <w:rPr>
          <w:rFonts w:hint="eastAsia" w:ascii="宋体" w:hAnsi="宋体" w:eastAsia="宋体" w:cs="宋体"/>
          <w:snapToGrid w:val="0"/>
          <w:color w:val="auto"/>
          <w:kern w:val="0"/>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2A640E25">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4.5</w:t>
      </w:r>
      <w:r>
        <w:rPr>
          <w:rFonts w:hint="eastAsia" w:ascii="宋体" w:hAnsi="宋体" w:eastAsia="宋体" w:cs="宋体"/>
          <w:snapToGrid w:val="0"/>
          <w:color w:val="auto"/>
          <w:kern w:val="0"/>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6A55A2C">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4.6</w:t>
      </w:r>
      <w:r>
        <w:rPr>
          <w:rFonts w:hint="eastAsia" w:ascii="宋体" w:hAnsi="宋体" w:eastAsia="宋体" w:cs="宋体"/>
          <w:snapToGrid w:val="0"/>
          <w:color w:val="auto"/>
          <w:kern w:val="0"/>
          <w:highlight w:val="none"/>
        </w:rPr>
        <w:t xml:space="preserve"> 在书面合同订立之日起2个工作日内，由中标人或招标</w:t>
      </w:r>
      <w:r>
        <w:rPr>
          <w:rFonts w:hint="eastAsia" w:ascii="宋体" w:hAnsi="宋体" w:eastAsia="宋体" w:cs="宋体"/>
          <w:snapToGrid w:val="0"/>
          <w:color w:val="auto"/>
          <w:kern w:val="0"/>
          <w:highlight w:val="none"/>
          <w:lang w:val="en-US" w:eastAsia="zh-CN"/>
        </w:rPr>
        <w:t>人</w:t>
      </w:r>
      <w:r>
        <w:rPr>
          <w:rFonts w:hint="eastAsia" w:ascii="宋体" w:hAnsi="宋体" w:eastAsia="宋体" w:cs="宋体"/>
          <w:snapToGrid w:val="0"/>
          <w:color w:val="auto"/>
          <w:kern w:val="0"/>
          <w:highlight w:val="none"/>
        </w:rPr>
        <w:t>将合同上传至建设工程交易系统，并发起退还投标保证的申请。韶关市公共资源交易中心在收到申请之日起3个工作日内，将投标保证金退还给中标人和其他中标候选人。</w:t>
      </w:r>
    </w:p>
    <w:p w14:paraId="43C8D710">
      <w:pPr>
        <w:wordWrap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p>
    <w:p w14:paraId="4375DFA1">
      <w:pPr>
        <w:pStyle w:val="4"/>
        <w:bidi w:val="0"/>
        <w:spacing w:line="360" w:lineRule="auto"/>
        <w:ind w:firstLine="964"/>
        <w:rPr>
          <w:rFonts w:hint="eastAsia" w:ascii="宋体" w:hAnsi="宋体" w:eastAsia="宋体" w:cs="宋体"/>
          <w:color w:val="auto"/>
        </w:rPr>
      </w:pPr>
      <w:bookmarkStart w:id="175" w:name="_Toc6695"/>
      <w:r>
        <w:rPr>
          <w:rFonts w:hint="eastAsia" w:ascii="宋体" w:hAnsi="宋体" w:eastAsia="宋体" w:cs="宋体"/>
          <w:color w:val="auto"/>
        </w:rPr>
        <w:t>5．放弃中标的处理</w:t>
      </w:r>
      <w:bookmarkEnd w:id="175"/>
    </w:p>
    <w:p w14:paraId="729A45A3">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5.1</w:t>
      </w:r>
      <w:r>
        <w:rPr>
          <w:rFonts w:hint="eastAsia" w:ascii="宋体" w:hAnsi="宋体" w:eastAsia="宋体" w:cs="宋体"/>
          <w:snapToGrid w:val="0"/>
          <w:color w:val="auto"/>
          <w:kern w:val="0"/>
          <w:highlight w:val="none"/>
        </w:rPr>
        <w:t xml:space="preserve"> 中标人</w:t>
      </w:r>
      <w:r>
        <w:rPr>
          <w:rFonts w:hint="eastAsia" w:ascii="宋体" w:hAnsi="宋体" w:eastAsia="宋体" w:cs="宋体"/>
          <w:snapToGrid w:val="0"/>
          <w:color w:val="auto"/>
          <w:highlight w:val="none"/>
        </w:rPr>
        <w:t>无正当理由放弃中标的，</w:t>
      </w:r>
      <w:r>
        <w:rPr>
          <w:rFonts w:hint="eastAsia" w:ascii="宋体" w:hAnsi="宋体" w:eastAsia="宋体" w:cs="宋体"/>
          <w:snapToGrid w:val="0"/>
          <w:color w:val="auto"/>
          <w:kern w:val="0"/>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highlight w:val="none"/>
        </w:rPr>
        <w:t>因此种情况造成招标人重新招标的</w:t>
      </w:r>
      <w:r>
        <w:rPr>
          <w:rFonts w:hint="eastAsia" w:ascii="宋体" w:hAnsi="宋体" w:eastAsia="宋体" w:cs="宋体"/>
          <w:snapToGrid w:val="0"/>
          <w:color w:val="auto"/>
          <w:kern w:val="0"/>
          <w:highlight w:val="none"/>
        </w:rPr>
        <w:t>，招标人可不接受该弃标人再次投标。同时，招标人应将该弃标人的失信行为向行政监督部门报告。</w:t>
      </w:r>
    </w:p>
    <w:p w14:paraId="17489473">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5.2</w:t>
      </w:r>
      <w:r>
        <w:rPr>
          <w:rFonts w:hint="eastAsia" w:ascii="宋体" w:hAnsi="宋体" w:eastAsia="宋体" w:cs="宋体"/>
          <w:snapToGrid w:val="0"/>
          <w:color w:val="auto"/>
          <w:kern w:val="0"/>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20E97176">
      <w:pPr>
        <w:pStyle w:val="146"/>
        <w:keepNext w:val="0"/>
        <w:keepLines w:val="0"/>
        <w:pageBreakBefore w:val="0"/>
        <w:widowControl/>
        <w:kinsoku/>
        <w:wordWrap/>
        <w:overflowPunct/>
        <w:topLinePunct w:val="0"/>
        <w:autoSpaceDE/>
        <w:autoSpaceDN/>
        <w:bidi w:val="0"/>
        <w:adjustRightInd/>
        <w:spacing w:line="360" w:lineRule="auto"/>
        <w:ind w:firstLine="470" w:firstLineChars="0"/>
        <w:textAlignment w:val="auto"/>
        <w:rPr>
          <w:rFonts w:hint="eastAsia" w:ascii="宋体" w:hAnsi="宋体" w:eastAsia="宋体" w:cs="宋体"/>
          <w:b/>
          <w:bCs/>
          <w:color w:val="auto"/>
          <w:kern w:val="2"/>
          <w:sz w:val="24"/>
          <w:szCs w:val="24"/>
          <w:highlight w:val="none"/>
          <w:shd w:val="clear" w:color="auto" w:fill="FFFFFF"/>
          <w:lang w:val="en-US" w:eastAsia="zh-CN" w:bidi="ar-SA"/>
        </w:rPr>
      </w:pPr>
    </w:p>
    <w:p w14:paraId="3D634CEF">
      <w:pPr>
        <w:pStyle w:val="146"/>
        <w:keepNext w:val="0"/>
        <w:keepLines w:val="0"/>
        <w:pageBreakBefore w:val="0"/>
        <w:widowControl/>
        <w:kinsoku/>
        <w:wordWrap/>
        <w:overflowPunct/>
        <w:topLinePunct w:val="0"/>
        <w:autoSpaceDE/>
        <w:autoSpaceDN/>
        <w:bidi w:val="0"/>
        <w:adjustRightInd/>
        <w:spacing w:line="360" w:lineRule="auto"/>
        <w:ind w:firstLine="470" w:firstLineChars="0"/>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6.</w:t>
      </w:r>
      <w:r>
        <w:rPr>
          <w:rFonts w:hint="eastAsia" w:ascii="宋体" w:hAnsi="宋体" w:eastAsia="宋体" w:cs="宋体"/>
          <w:b w:val="0"/>
          <w:bCs w:val="0"/>
          <w:color w:val="auto"/>
          <w:kern w:val="2"/>
          <w:sz w:val="24"/>
          <w:szCs w:val="24"/>
          <w:highlight w:val="none"/>
          <w:shd w:val="clear" w:color="auto" w:fill="FFFFFF"/>
          <w:lang w:val="en-US" w:eastAsia="zh-CN" w:bidi="ar-SA"/>
        </w:rPr>
        <w:t>招标代理服务费的支付：本项目的招标代理服务费全部由中标人支付，该费用不再另行报价，由投标人在投标报价时综合考虑在内。招标代理服务费参照按《招标代理服务收费管理暂行办法》（计价格[2002]1980号文）和国家发展改革委关于降低部分建设项目收费标准规范收费行为等有关问题的通知（发改价格[2011]534号）计取。</w:t>
      </w:r>
    </w:p>
    <w:p w14:paraId="5A30A767">
      <w:pPr>
        <w:pStyle w:val="146"/>
        <w:keepNext w:val="0"/>
        <w:keepLines w:val="0"/>
        <w:pageBreakBefore w:val="0"/>
        <w:widowControl/>
        <w:kinsoku/>
        <w:wordWrap/>
        <w:overflowPunct/>
        <w:topLinePunct w:val="0"/>
        <w:autoSpaceDE/>
        <w:autoSpaceDN/>
        <w:bidi w:val="0"/>
        <w:adjustRightInd/>
        <w:spacing w:line="360" w:lineRule="auto"/>
        <w:ind w:firstLine="470" w:firstLineChars="0"/>
        <w:textAlignment w:val="auto"/>
        <w:rPr>
          <w:rFonts w:hint="eastAsia" w:ascii="宋体" w:hAnsi="宋体" w:eastAsia="宋体" w:cs="宋体"/>
          <w:color w:val="auto"/>
          <w:kern w:val="2"/>
          <w:sz w:val="24"/>
          <w:szCs w:val="24"/>
          <w:highlight w:val="none"/>
          <w:shd w:val="clear" w:color="auto" w:fill="FFFFFF"/>
          <w:lang w:val="en-US" w:eastAsia="zh-CN" w:bidi="ar-SA"/>
        </w:rPr>
      </w:pPr>
    </w:p>
    <w:p w14:paraId="0E39B07B">
      <w:pPr>
        <w:rPr>
          <w:rFonts w:hint="eastAsia" w:ascii="宋体" w:hAnsi="宋体" w:eastAsia="宋体" w:cs="宋体"/>
          <w:b/>
          <w:snapToGrid w:val="0"/>
          <w:color w:val="auto"/>
          <w:sz w:val="24"/>
          <w:highlight w:val="none"/>
          <w:lang w:val="en-US" w:eastAsia="zh-CN"/>
        </w:rPr>
      </w:pPr>
      <w:bookmarkStart w:id="176" w:name="_Toc24436"/>
      <w:r>
        <w:rPr>
          <w:rFonts w:hint="eastAsia" w:ascii="宋体" w:hAnsi="宋体" w:eastAsia="宋体" w:cs="宋体"/>
          <w:b/>
          <w:snapToGrid w:val="0"/>
          <w:color w:val="auto"/>
          <w:sz w:val="24"/>
          <w:highlight w:val="none"/>
          <w:lang w:val="en-US" w:eastAsia="zh-CN"/>
        </w:rPr>
        <w:br w:type="page"/>
      </w:r>
    </w:p>
    <w:p w14:paraId="040426AF">
      <w:pPr>
        <w:pStyle w:val="2"/>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r>
        <w:rPr>
          <w:rFonts w:hint="eastAsia" w:ascii="宋体" w:hAnsi="宋体" w:eastAsia="宋体" w:cs="宋体"/>
          <w:b/>
          <w:snapToGrid w:val="0"/>
          <w:color w:val="auto"/>
          <w:sz w:val="24"/>
          <w:highlight w:val="none"/>
          <w:lang w:val="en-US" w:eastAsia="zh-CN"/>
        </w:rPr>
        <w:t>第三章</w:t>
      </w:r>
      <w:bookmarkStart w:id="177" w:name="_Hlt87793831"/>
      <w:bookmarkEnd w:id="177"/>
      <w:r>
        <w:rPr>
          <w:rFonts w:hint="eastAsia" w:ascii="宋体" w:hAnsi="宋体" w:eastAsia="宋体" w:cs="宋体"/>
          <w:b/>
          <w:snapToGrid w:val="0"/>
          <w:color w:val="auto"/>
          <w:sz w:val="24"/>
          <w:highlight w:val="none"/>
          <w:lang w:val="en-US" w:eastAsia="zh-CN"/>
        </w:rPr>
        <w:t xml:space="preserve"> 拟签订合同的主要条款</w:t>
      </w:r>
      <w:bookmarkEnd w:id="166"/>
      <w:bookmarkEnd w:id="167"/>
      <w:bookmarkEnd w:id="176"/>
    </w:p>
    <w:bookmarkEnd w:id="168"/>
    <w:bookmarkEnd w:id="169"/>
    <w:p w14:paraId="311BC8F6">
      <w:pPr>
        <w:pStyle w:val="3"/>
        <w:wordWrap w:val="0"/>
        <w:autoSpaceDE/>
        <w:autoSpaceDN/>
        <w:snapToGrid w:val="0"/>
        <w:spacing w:line="440" w:lineRule="exact"/>
        <w:ind w:firstLine="480"/>
        <w:jc w:val="both"/>
        <w:rPr>
          <w:rFonts w:hint="eastAsia" w:ascii="宋体" w:hAnsi="宋体" w:eastAsia="宋体" w:cs="宋体"/>
          <w:b/>
          <w:snapToGrid w:val="0"/>
          <w:color w:val="auto"/>
          <w:highlight w:val="none"/>
        </w:rPr>
      </w:pPr>
      <w:bookmarkStart w:id="178" w:name="_Toc326916629"/>
      <w:bookmarkStart w:id="179" w:name="_Toc2688"/>
      <w:bookmarkStart w:id="180" w:name="_Toc322793288"/>
    </w:p>
    <w:p w14:paraId="7B3F3A34">
      <w:pPr>
        <w:pStyle w:val="4"/>
        <w:bidi w:val="0"/>
        <w:ind w:firstLine="964"/>
        <w:rPr>
          <w:rFonts w:hint="eastAsia" w:ascii="宋体" w:hAnsi="宋体" w:eastAsia="宋体" w:cs="宋体"/>
          <w:color w:val="auto"/>
        </w:rPr>
      </w:pPr>
      <w:bookmarkStart w:id="181" w:name="_Toc17021"/>
      <w:bookmarkStart w:id="182" w:name="_Toc12150"/>
      <w:bookmarkStart w:id="183" w:name="_Toc28441"/>
      <w:r>
        <w:rPr>
          <w:rFonts w:hint="eastAsia" w:ascii="宋体" w:hAnsi="宋体" w:eastAsia="宋体" w:cs="宋体"/>
          <w:color w:val="auto"/>
        </w:rPr>
        <w:t>1．工程承包方式</w:t>
      </w:r>
      <w:bookmarkEnd w:id="178"/>
      <w:bookmarkEnd w:id="179"/>
      <w:bookmarkEnd w:id="180"/>
      <w:bookmarkEnd w:id="181"/>
      <w:bookmarkEnd w:id="182"/>
      <w:bookmarkEnd w:id="183"/>
    </w:p>
    <w:p w14:paraId="207CD343">
      <w:pPr>
        <w:wordWrap w:val="0"/>
        <w:adjustRightInd w:val="0"/>
        <w:snapToGrid w:val="0"/>
        <w:spacing w:line="44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1.1</w:t>
      </w:r>
      <w:r>
        <w:rPr>
          <w:rFonts w:hint="eastAsia" w:ascii="宋体" w:hAnsi="宋体" w:eastAsia="宋体" w:cs="宋体"/>
          <w:snapToGrid w:val="0"/>
          <w:color w:val="auto"/>
          <w:kern w:val="0"/>
          <w:highlight w:val="none"/>
        </w:rPr>
        <w:t xml:space="preserve"> 承包人以中标价按包工</w:t>
      </w:r>
      <w:bookmarkStart w:id="184" w:name="_Hlt87948212"/>
      <w:bookmarkEnd w:id="184"/>
      <w:r>
        <w:rPr>
          <w:rFonts w:hint="eastAsia" w:ascii="宋体" w:hAnsi="宋体" w:eastAsia="宋体" w:cs="宋体"/>
          <w:snapToGrid w:val="0"/>
          <w:color w:val="auto"/>
          <w:kern w:val="0"/>
          <w:highlight w:val="none"/>
        </w:rPr>
        <w:t>包料、包质量、包安全包文明施工、包工期方式总承包施工，不允许转包和违法分包，如果确需分包须与发包人协商，在得到发包人和监理单位同意后报建设行政主管部门备案。</w:t>
      </w:r>
    </w:p>
    <w:p w14:paraId="07862F77">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1.1.1</w:t>
      </w:r>
      <w:r>
        <w:rPr>
          <w:rFonts w:hint="eastAsia" w:ascii="宋体" w:hAnsi="宋体" w:eastAsia="宋体" w:cs="宋体"/>
          <w:snapToGrid w:val="0"/>
          <w:color w:val="auto"/>
          <w:kern w:val="0"/>
          <w:highlight w:val="none"/>
        </w:rPr>
        <w:t xml:space="preserve"> 包工包料：材料符合招标文件要求并报验使用；办理用工保险。</w:t>
      </w:r>
    </w:p>
    <w:p w14:paraId="3BACB0B2">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1.1.2</w:t>
      </w:r>
      <w:r>
        <w:rPr>
          <w:rFonts w:hint="eastAsia" w:ascii="宋体" w:hAnsi="宋体" w:eastAsia="宋体" w:cs="宋体"/>
          <w:snapToGrid w:val="0"/>
          <w:color w:val="auto"/>
          <w:kern w:val="0"/>
          <w:highlight w:val="none"/>
        </w:rPr>
        <w:t xml:space="preserve"> 包质量：符合招标文件要求。</w:t>
      </w:r>
    </w:p>
    <w:p w14:paraId="6D745C9D">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1.1.3</w:t>
      </w:r>
      <w:r>
        <w:rPr>
          <w:rFonts w:hint="eastAsia" w:ascii="宋体" w:hAnsi="宋体" w:eastAsia="宋体" w:cs="宋体"/>
          <w:snapToGrid w:val="0"/>
          <w:color w:val="auto"/>
          <w:kern w:val="0"/>
          <w:highlight w:val="none"/>
        </w:rPr>
        <w:t xml:space="preserve"> 包安全包文明施工：符合招标文件要求。</w:t>
      </w:r>
    </w:p>
    <w:p w14:paraId="5D39D0D9">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1.1.4 </w:t>
      </w:r>
      <w:r>
        <w:rPr>
          <w:rFonts w:hint="eastAsia" w:ascii="宋体" w:hAnsi="宋体" w:eastAsia="宋体" w:cs="宋体"/>
          <w:snapToGrid w:val="0"/>
          <w:color w:val="auto"/>
          <w:kern w:val="0"/>
          <w:highlight w:val="none"/>
        </w:rPr>
        <w:t>包工期：本招标项目施工必须在招标工期内完成。</w:t>
      </w:r>
    </w:p>
    <w:p w14:paraId="21564866">
      <w:pPr>
        <w:wordWrap w:val="0"/>
        <w:adjustRightInd w:val="0"/>
        <w:snapToGrid w:val="0"/>
        <w:spacing w:line="440" w:lineRule="exact"/>
        <w:ind w:firstLine="560"/>
        <w:rPr>
          <w:rFonts w:hint="eastAsia" w:ascii="宋体" w:hAnsi="宋体" w:eastAsia="宋体" w:cs="宋体"/>
          <w:snapToGrid w:val="0"/>
          <w:color w:val="auto"/>
          <w:kern w:val="0"/>
          <w:highlight w:val="none"/>
        </w:rPr>
      </w:pPr>
    </w:p>
    <w:p w14:paraId="6DB5E88B">
      <w:pPr>
        <w:pStyle w:val="4"/>
        <w:bidi w:val="0"/>
        <w:ind w:firstLine="964"/>
        <w:rPr>
          <w:rFonts w:hint="eastAsia" w:ascii="宋体" w:hAnsi="宋体" w:eastAsia="宋体" w:cs="宋体"/>
          <w:color w:val="auto"/>
        </w:rPr>
      </w:pPr>
      <w:bookmarkStart w:id="185" w:name="_2、工程结算原则"/>
      <w:bookmarkEnd w:id="185"/>
      <w:bookmarkStart w:id="186" w:name="_Toc322793289"/>
      <w:bookmarkStart w:id="187" w:name="_Toc21894"/>
      <w:bookmarkStart w:id="188" w:name="_Toc9168"/>
      <w:bookmarkStart w:id="189" w:name="_Toc27001"/>
      <w:bookmarkStart w:id="190" w:name="_Toc326916630"/>
      <w:bookmarkStart w:id="191" w:name="_Toc3107"/>
      <w:bookmarkStart w:id="192" w:name="_Hlt87948447"/>
      <w:bookmarkStart w:id="193" w:name="_Hlt87948449"/>
      <w:r>
        <w:rPr>
          <w:rFonts w:hint="eastAsia" w:ascii="宋体" w:hAnsi="宋体" w:eastAsia="宋体" w:cs="宋体"/>
          <w:color w:val="auto"/>
        </w:rPr>
        <w:t>2．工程结算原则</w:t>
      </w:r>
      <w:bookmarkEnd w:id="186"/>
      <w:bookmarkEnd w:id="187"/>
      <w:bookmarkEnd w:id="188"/>
      <w:bookmarkEnd w:id="189"/>
      <w:bookmarkEnd w:id="190"/>
      <w:bookmarkEnd w:id="191"/>
    </w:p>
    <w:p w14:paraId="3B1C80AA">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bookmarkStart w:id="194" w:name="_Hlt88974053"/>
      <w:bookmarkEnd w:id="194"/>
      <w:r>
        <w:rPr>
          <w:rFonts w:hint="eastAsia" w:ascii="宋体" w:hAnsi="宋体" w:eastAsia="宋体" w:cs="宋体"/>
          <w:b/>
          <w:bCs/>
          <w:snapToGrid w:val="0"/>
          <w:color w:val="auto"/>
          <w:kern w:val="0"/>
          <w:szCs w:val="24"/>
          <w:highlight w:val="none"/>
        </w:rPr>
        <w:t>2.1</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highlight w:val="none"/>
        </w:rPr>
        <w:t>承包</w:t>
      </w:r>
      <w:r>
        <w:rPr>
          <w:rFonts w:hint="eastAsia" w:ascii="宋体" w:hAnsi="宋体" w:eastAsia="宋体" w:cs="宋体"/>
          <w:snapToGrid w:val="0"/>
          <w:color w:val="auto"/>
          <w:kern w:val="0"/>
          <w:szCs w:val="24"/>
          <w:highlight w:val="none"/>
        </w:rPr>
        <w:t>人的投标总价为中标价，即为签约合同价。</w:t>
      </w:r>
    </w:p>
    <w:p w14:paraId="0B6A5EF6">
      <w:pPr>
        <w:wordWrap w:val="0"/>
        <w:adjustRightInd w:val="0"/>
        <w:snapToGrid w:val="0"/>
        <w:spacing w:line="440" w:lineRule="exact"/>
        <w:ind w:firstLine="480"/>
        <w:rPr>
          <w:rFonts w:hint="eastAsia" w:ascii="宋体" w:hAnsi="宋体" w:eastAsia="宋体" w:cs="宋体"/>
          <w:color w:val="auto"/>
          <w:highlight w:val="none"/>
        </w:rPr>
      </w:pPr>
      <w:r>
        <w:rPr>
          <w:rFonts w:hint="eastAsia" w:ascii="宋体" w:hAnsi="宋体" w:eastAsia="宋体" w:cs="宋体"/>
          <w:b/>
          <w:bCs/>
          <w:snapToGrid w:val="0"/>
          <w:color w:val="auto"/>
          <w:kern w:val="0"/>
          <w:szCs w:val="24"/>
          <w:highlight w:val="none"/>
        </w:rPr>
        <w:t>2.2</w:t>
      </w:r>
      <w:r>
        <w:rPr>
          <w:rFonts w:hint="eastAsia" w:ascii="宋体" w:hAnsi="宋体" w:eastAsia="宋体" w:cs="宋体"/>
          <w:snapToGrid w:val="0"/>
          <w:color w:val="auto"/>
          <w:kern w:val="0"/>
          <w:szCs w:val="24"/>
          <w:highlight w:val="none"/>
        </w:rPr>
        <w:t xml:space="preserve"> 招标工程量清单标明的工程量是投标人投标报价的共同基础，竣工结算的工程量按</w:t>
      </w:r>
      <w:r>
        <w:rPr>
          <w:rFonts w:hint="eastAsia" w:ascii="宋体" w:hAnsi="宋体" w:eastAsia="宋体" w:cs="宋体"/>
          <w:snapToGrid w:val="0"/>
          <w:color w:val="auto"/>
          <w:kern w:val="0"/>
          <w:sz w:val="24"/>
          <w:szCs w:val="24"/>
          <w:highlight w:val="none"/>
          <w:lang w:val="en-US" w:eastAsia="zh-CN"/>
        </w:rPr>
        <w:t>《建设工程工程量清单计价标准》(GB/T50500-2024)</w:t>
      </w:r>
      <w:r>
        <w:rPr>
          <w:rFonts w:hint="eastAsia" w:ascii="宋体" w:hAnsi="宋体" w:eastAsia="宋体" w:cs="宋体"/>
          <w:snapToGrid w:val="0"/>
          <w:color w:val="auto"/>
          <w:kern w:val="0"/>
          <w:szCs w:val="24"/>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113F0888">
      <w:pPr>
        <w:spacing w:line="240" w:lineRule="auto"/>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w:t>
      </w:r>
      <w:r>
        <w:rPr>
          <w:rFonts w:hint="eastAsia" w:ascii="宋体" w:hAnsi="宋体" w:eastAsia="宋体" w:cs="宋体"/>
          <w:snapToGrid w:val="0"/>
          <w:color w:val="auto"/>
          <w:kern w:val="0"/>
          <w:szCs w:val="24"/>
          <w:highlight w:val="none"/>
        </w:rPr>
        <w:t xml:space="preserve"> 施工合同履行期间，若出现下列情形的，发、承包双方应当按照以下规定调整合同价款：</w:t>
      </w:r>
    </w:p>
    <w:p w14:paraId="3C4CC2D4">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2.3.1</w:t>
      </w:r>
      <w:r>
        <w:rPr>
          <w:rFonts w:hint="eastAsia" w:ascii="宋体" w:hAnsi="宋体" w:eastAsia="宋体" w:cs="宋体"/>
          <w:snapToGrid w:val="0"/>
          <w:color w:val="auto"/>
          <w:kern w:val="0"/>
          <w:szCs w:val="24"/>
          <w:highlight w:val="none"/>
        </w:rPr>
        <w:t xml:space="preserve"> 法律法规变化</w:t>
      </w:r>
    </w:p>
    <w:p w14:paraId="431CEA75">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2.3.1.1</w:t>
      </w:r>
      <w:r>
        <w:rPr>
          <w:rFonts w:hint="eastAsia" w:ascii="宋体" w:hAnsi="宋体" w:eastAsia="宋体" w:cs="宋体"/>
          <w:snapToGrid w:val="0"/>
          <w:color w:val="auto"/>
          <w:kern w:val="0"/>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38C06DB2">
      <w:pPr>
        <w:wordWrap w:val="0"/>
        <w:adjustRightInd w:val="0"/>
        <w:snapToGrid w:val="0"/>
        <w:spacing w:line="440" w:lineRule="exact"/>
        <w:ind w:firstLine="480"/>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rPr>
        <w:t>注：本招标文件所称“基准日”，均指投标文件递交截止时间（见第一章第二节“重要事项时间地点一览表”）前28天。</w:t>
      </w:r>
    </w:p>
    <w:p w14:paraId="16991919">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2.3.1.2</w:t>
      </w:r>
      <w:r>
        <w:rPr>
          <w:rFonts w:hint="eastAsia" w:ascii="宋体" w:hAnsi="宋体" w:eastAsia="宋体" w:cs="宋体"/>
          <w:snapToGrid w:val="0"/>
          <w:color w:val="auto"/>
          <w:kern w:val="0"/>
          <w:szCs w:val="24"/>
          <w:highlight w:val="none"/>
        </w:rPr>
        <w:t xml:space="preserve"> 因承包人原因导致工程延误，本章第</w:t>
      </w:r>
      <w:r>
        <w:rPr>
          <w:rFonts w:hint="eastAsia" w:ascii="宋体" w:hAnsi="宋体" w:eastAsia="宋体" w:cs="宋体"/>
          <w:b/>
          <w:bCs/>
          <w:snapToGrid w:val="0"/>
          <w:color w:val="auto"/>
          <w:kern w:val="0"/>
          <w:szCs w:val="24"/>
          <w:highlight w:val="none"/>
        </w:rPr>
        <w:t>2.3.1.1</w:t>
      </w:r>
      <w:r>
        <w:rPr>
          <w:rFonts w:hint="eastAsia" w:ascii="宋体" w:hAnsi="宋体" w:eastAsia="宋体" w:cs="宋体"/>
          <w:snapToGrid w:val="0"/>
          <w:color w:val="auto"/>
          <w:kern w:val="0"/>
          <w:szCs w:val="24"/>
          <w:highlight w:val="none"/>
        </w:rPr>
        <w:t>子目中的法定机构根据国家法律法规变化发布新规的时间在合同工程原定竣工时间之后的，合同价款调增的不予调整，合同价款调减的予以调整。</w:t>
      </w:r>
    </w:p>
    <w:p w14:paraId="22AD9081">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2.3.2</w:t>
      </w:r>
      <w:r>
        <w:rPr>
          <w:rFonts w:hint="eastAsia" w:ascii="宋体" w:hAnsi="宋体" w:eastAsia="宋体" w:cs="宋体"/>
          <w:snapToGrid w:val="0"/>
          <w:color w:val="auto"/>
          <w:kern w:val="0"/>
          <w:szCs w:val="24"/>
          <w:highlight w:val="none"/>
        </w:rPr>
        <w:t xml:space="preserve"> 工程量偏差或变化</w:t>
      </w:r>
    </w:p>
    <w:p w14:paraId="12EDF1AC">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2.3.2.1</w:t>
      </w:r>
      <w:r>
        <w:rPr>
          <w:rFonts w:hint="eastAsia" w:ascii="宋体" w:hAnsi="宋体" w:eastAsia="宋体" w:cs="宋体"/>
          <w:snapToGrid w:val="0"/>
          <w:color w:val="auto"/>
          <w:kern w:val="0"/>
          <w:szCs w:val="24"/>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bookmarkEnd w:id="192"/>
    <w:bookmarkEnd w:id="193"/>
    <w:p w14:paraId="39ED405F">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bookmarkStart w:id="195" w:name="_Toc14272"/>
      <w:bookmarkStart w:id="196" w:name="_Toc326916631"/>
      <w:bookmarkStart w:id="197" w:name="_Hlt87951777"/>
      <w:bookmarkStart w:id="198" w:name="_Toc322793290"/>
      <w:r>
        <w:rPr>
          <w:rFonts w:hint="eastAsia" w:ascii="宋体" w:hAnsi="宋体" w:eastAsia="宋体" w:cs="宋体"/>
          <w:snapToGrid w:val="0"/>
          <w:color w:val="auto"/>
          <w:kern w:val="0"/>
          <w:szCs w:val="24"/>
          <w:highlight w:val="none"/>
        </w:rPr>
        <w:t>对于合理报价的清单项目，当工程量增加超过15%时，增加部分的工程量的综合单价以</w:t>
      </w:r>
      <w:r>
        <w:rPr>
          <w:rFonts w:hint="eastAsia" w:ascii="宋体" w:hAnsi="宋体" w:eastAsia="宋体" w:cs="宋体"/>
          <w:b/>
          <w:bCs/>
          <w:snapToGrid w:val="0"/>
          <w:color w:val="auto"/>
          <w:kern w:val="0"/>
          <w:sz w:val="24"/>
          <w:szCs w:val="24"/>
          <w:highlight w:val="none"/>
          <w:u w:val="single"/>
        </w:rPr>
        <w:t>该分部分项工程量清单项目原综合单价</w:t>
      </w:r>
      <w:r>
        <w:rPr>
          <w:rFonts w:hint="eastAsia" w:ascii="宋体" w:hAnsi="宋体" w:eastAsia="宋体" w:cs="宋体"/>
          <w:snapToGrid w:val="0"/>
          <w:color w:val="auto"/>
          <w:kern w:val="0"/>
          <w:szCs w:val="24"/>
          <w:highlight w:val="none"/>
        </w:rPr>
        <w:t>为基价调低</w:t>
      </w:r>
      <w:r>
        <w:rPr>
          <w:rFonts w:hint="eastAsia" w:ascii="宋体" w:hAnsi="宋体" w:eastAsia="宋体" w:cs="宋体"/>
          <w:b/>
          <w:bCs/>
          <w:snapToGrid w:val="0"/>
          <w:color w:val="auto"/>
          <w:kern w:val="0"/>
          <w:sz w:val="24"/>
          <w:szCs w:val="24"/>
          <w:highlight w:val="none"/>
          <w:u w:val="single"/>
        </w:rPr>
        <w:t>该分部分项工程量清单项目原综合单价的3</w:t>
      </w:r>
      <w:r>
        <w:rPr>
          <w:rFonts w:hint="eastAsia" w:ascii="宋体" w:hAnsi="宋体" w:eastAsia="宋体" w:cs="宋体"/>
          <w:snapToGrid w:val="0"/>
          <w:color w:val="auto"/>
          <w:kern w:val="0"/>
          <w:szCs w:val="24"/>
          <w:highlight w:val="none"/>
        </w:rPr>
        <w:t>%；当工程量</w:t>
      </w:r>
      <w:r>
        <w:rPr>
          <w:rFonts w:hint="eastAsia" w:ascii="宋体" w:hAnsi="宋体" w:eastAsia="宋体" w:cs="宋体"/>
          <w:snapToGrid w:val="0"/>
          <w:color w:val="auto"/>
          <w:kern w:val="0"/>
          <w:szCs w:val="24"/>
          <w:highlight w:val="none"/>
          <w:lang w:val="en-US" w:eastAsia="zh-CN"/>
        </w:rPr>
        <w:t>减少</w:t>
      </w:r>
      <w:r>
        <w:rPr>
          <w:rFonts w:hint="eastAsia" w:ascii="宋体" w:hAnsi="宋体" w:eastAsia="宋体" w:cs="宋体"/>
          <w:snapToGrid w:val="0"/>
          <w:color w:val="auto"/>
          <w:kern w:val="0"/>
          <w:szCs w:val="24"/>
          <w:highlight w:val="none"/>
        </w:rPr>
        <w:t>超过15%时，</w:t>
      </w:r>
      <w:r>
        <w:rPr>
          <w:rFonts w:hint="eastAsia" w:ascii="宋体" w:hAnsi="宋体" w:eastAsia="宋体" w:cs="宋体"/>
          <w:snapToGrid w:val="0"/>
          <w:color w:val="auto"/>
          <w:kern w:val="0"/>
          <w:szCs w:val="24"/>
          <w:highlight w:val="none"/>
          <w:lang w:val="en-US" w:eastAsia="zh-CN"/>
        </w:rPr>
        <w:t>减少后剩余</w:t>
      </w:r>
      <w:r>
        <w:rPr>
          <w:rFonts w:hint="eastAsia" w:ascii="宋体" w:hAnsi="宋体" w:eastAsia="宋体" w:cs="宋体"/>
          <w:snapToGrid w:val="0"/>
          <w:color w:val="auto"/>
          <w:kern w:val="0"/>
          <w:szCs w:val="24"/>
          <w:highlight w:val="none"/>
        </w:rPr>
        <w:t>部分的工程量的综合单价以</w:t>
      </w:r>
      <w:r>
        <w:rPr>
          <w:rFonts w:hint="eastAsia" w:ascii="宋体" w:hAnsi="宋体" w:eastAsia="宋体" w:cs="宋体"/>
          <w:b/>
          <w:bCs/>
          <w:snapToGrid w:val="0"/>
          <w:color w:val="auto"/>
          <w:kern w:val="0"/>
          <w:sz w:val="24"/>
          <w:szCs w:val="24"/>
          <w:highlight w:val="none"/>
          <w:u w:val="single"/>
        </w:rPr>
        <w:t>该分部分项工程量清单项目原综合单价</w:t>
      </w:r>
      <w:r>
        <w:rPr>
          <w:rFonts w:hint="eastAsia" w:ascii="宋体" w:hAnsi="宋体" w:eastAsia="宋体" w:cs="宋体"/>
          <w:snapToGrid w:val="0"/>
          <w:color w:val="auto"/>
          <w:kern w:val="0"/>
          <w:sz w:val="24"/>
          <w:szCs w:val="24"/>
          <w:highlight w:val="none"/>
        </w:rPr>
        <w:t>为基价调高</w:t>
      </w:r>
      <w:r>
        <w:rPr>
          <w:rFonts w:hint="eastAsia" w:ascii="宋体" w:hAnsi="宋体" w:eastAsia="宋体" w:cs="宋体"/>
          <w:b/>
          <w:bCs/>
          <w:snapToGrid w:val="0"/>
          <w:color w:val="auto"/>
          <w:kern w:val="0"/>
          <w:sz w:val="24"/>
          <w:szCs w:val="24"/>
          <w:highlight w:val="none"/>
          <w:u w:val="single"/>
        </w:rPr>
        <w:t>该分部分项工程量清单项目原综合单价的3</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Cs w:val="24"/>
          <w:highlight w:val="none"/>
        </w:rPr>
        <w:t>。</w:t>
      </w:r>
    </w:p>
    <w:p w14:paraId="6DE2D3FC">
      <w:pPr>
        <w:wordWrap w:val="0"/>
        <w:adjustRightInd w:val="0"/>
        <w:snapToGrid w:val="0"/>
        <w:spacing w:line="440" w:lineRule="exact"/>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Cs w:val="24"/>
          <w:highlight w:val="none"/>
        </w:rPr>
        <w:t>对于按照第二章“中标人须知”第4.2条被认定为不平衡报价的清单项目，其综合单价按照以下方法调整：</w:t>
      </w:r>
      <w:r>
        <w:rPr>
          <w:rFonts w:hint="eastAsia" w:ascii="宋体" w:hAnsi="宋体" w:eastAsia="宋体" w:cs="宋体"/>
          <w:snapToGrid w:val="0"/>
          <w:color w:val="auto"/>
          <w:kern w:val="0"/>
          <w:sz w:val="24"/>
          <w:szCs w:val="24"/>
          <w:highlight w:val="none"/>
          <w:u w:val="single"/>
        </w:rPr>
        <w:t>以</w:t>
      </w:r>
      <w:r>
        <w:rPr>
          <w:rFonts w:hint="eastAsia" w:ascii="宋体" w:hAnsi="宋体" w:eastAsia="宋体" w:cs="宋体"/>
          <w:snapToGrid w:val="0"/>
          <w:color w:val="auto"/>
          <w:kern w:val="0"/>
          <w:sz w:val="24"/>
          <w:szCs w:val="24"/>
          <w:highlight w:val="none"/>
          <w:u w:val="single"/>
          <w:lang w:eastAsia="zh-CN"/>
        </w:rPr>
        <w:t>最高投标限价</w:t>
      </w:r>
      <w:r>
        <w:rPr>
          <w:rFonts w:hint="eastAsia" w:ascii="宋体" w:hAnsi="宋体" w:eastAsia="宋体" w:cs="宋体"/>
          <w:snapToGrid w:val="0"/>
          <w:color w:val="auto"/>
          <w:kern w:val="0"/>
          <w:sz w:val="24"/>
          <w:szCs w:val="24"/>
          <w:highlight w:val="none"/>
          <w:u w:val="single"/>
        </w:rPr>
        <w:t>中的《分部分项工程和单价措施项目清单与计价表》子目相对应综合单价×（1-中标下浮率）</w:t>
      </w:r>
      <w:r>
        <w:rPr>
          <w:rFonts w:hint="eastAsia" w:ascii="宋体" w:hAnsi="宋体" w:eastAsia="宋体" w:cs="宋体"/>
          <w:snapToGrid w:val="0"/>
          <w:color w:val="auto"/>
          <w:kern w:val="0"/>
          <w:sz w:val="24"/>
          <w:szCs w:val="24"/>
          <w:highlight w:val="none"/>
        </w:rPr>
        <w:t>。</w:t>
      </w:r>
    </w:p>
    <w:p w14:paraId="6324771E">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2.3.2.2</w:t>
      </w:r>
      <w:r>
        <w:rPr>
          <w:rFonts w:hint="eastAsia" w:ascii="宋体" w:hAnsi="宋体" w:eastAsia="宋体" w:cs="宋体"/>
          <w:snapToGrid w:val="0"/>
          <w:color w:val="auto"/>
          <w:kern w:val="0"/>
          <w:szCs w:val="24"/>
          <w:highlight w:val="none"/>
        </w:rPr>
        <w:t xml:space="preserve"> 如果工程量出现本章第</w:t>
      </w:r>
      <w:r>
        <w:rPr>
          <w:rFonts w:hint="eastAsia" w:ascii="宋体" w:hAnsi="宋体" w:eastAsia="宋体" w:cs="宋体"/>
          <w:b/>
          <w:bCs/>
          <w:snapToGrid w:val="0"/>
          <w:color w:val="auto"/>
          <w:kern w:val="0"/>
          <w:szCs w:val="24"/>
          <w:highlight w:val="none"/>
        </w:rPr>
        <w:t>2.3.2.1</w:t>
      </w:r>
      <w:r>
        <w:rPr>
          <w:rFonts w:hint="eastAsia" w:ascii="宋体" w:hAnsi="宋体" w:eastAsia="宋体" w:cs="宋体"/>
          <w:snapToGrid w:val="0"/>
          <w:color w:val="auto"/>
          <w:kern w:val="0"/>
          <w:szCs w:val="24"/>
          <w:highlight w:val="none"/>
        </w:rPr>
        <w:t>子目的变化，且该变化引起相关措施项目相应发生变化时，按系数或单一总价方式计价的，工程量增加的措施项目费调增，工程量减少的措施项目费调减。</w:t>
      </w:r>
    </w:p>
    <w:p w14:paraId="6E9A72CD">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2.3.3</w:t>
      </w:r>
      <w:r>
        <w:rPr>
          <w:rFonts w:hint="eastAsia" w:ascii="宋体" w:hAnsi="宋体" w:eastAsia="宋体" w:cs="宋体"/>
          <w:snapToGrid w:val="0"/>
          <w:color w:val="auto"/>
          <w:kern w:val="0"/>
          <w:szCs w:val="24"/>
          <w:highlight w:val="none"/>
        </w:rPr>
        <w:t xml:space="preserve"> 工程变更</w:t>
      </w:r>
    </w:p>
    <w:p w14:paraId="3A2BE1E5">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2.3.3.1</w:t>
      </w:r>
      <w:r>
        <w:rPr>
          <w:rFonts w:hint="eastAsia" w:ascii="宋体" w:hAnsi="宋体" w:eastAsia="宋体" w:cs="宋体"/>
          <w:snapToGrid w:val="0"/>
          <w:color w:val="auto"/>
          <w:kern w:val="0"/>
          <w:szCs w:val="24"/>
          <w:highlight w:val="none"/>
        </w:rPr>
        <w:t xml:space="preserve"> 合同履行期间，因工程变更引起已标价工程量清单项目发生变化时，按照以下规定调整：</w:t>
      </w:r>
    </w:p>
    <w:p w14:paraId="5A919CA4">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（1）已标价工程量清单中有适用于变更工程项目的，采用该项目的单价。</w:t>
      </w:r>
      <w:r>
        <w:rPr>
          <w:rFonts w:hint="eastAsia" w:ascii="宋体" w:hAnsi="宋体" w:eastAsia="宋体" w:cs="宋体"/>
          <w:b/>
          <w:bCs/>
          <w:snapToGrid w:val="0"/>
          <w:color w:val="auto"/>
          <w:kern w:val="0"/>
          <w:szCs w:val="24"/>
          <w:highlight w:val="none"/>
        </w:rPr>
        <w:t>但如果被采用的项目属于按照第二章“中标人须知”第4.2条被认定为不平衡报价的清单项目，变更工程项目的单价按照以下方法调整：</w:t>
      </w:r>
      <w:r>
        <w:rPr>
          <w:rFonts w:hint="eastAsia" w:ascii="宋体" w:hAnsi="宋体" w:eastAsia="宋体" w:cs="宋体"/>
          <w:snapToGrid w:val="0"/>
          <w:color w:val="auto"/>
          <w:kern w:val="0"/>
          <w:sz w:val="24"/>
          <w:szCs w:val="24"/>
          <w:highlight w:val="none"/>
          <w:u w:val="single"/>
        </w:rPr>
        <w:t>以</w:t>
      </w:r>
      <w:r>
        <w:rPr>
          <w:rFonts w:hint="eastAsia" w:ascii="宋体" w:hAnsi="宋体" w:eastAsia="宋体" w:cs="宋体"/>
          <w:snapToGrid w:val="0"/>
          <w:color w:val="auto"/>
          <w:kern w:val="0"/>
          <w:sz w:val="24"/>
          <w:szCs w:val="20"/>
          <w:highlight w:val="none"/>
          <w:u w:val="single"/>
          <w:lang w:eastAsia="zh-CN"/>
        </w:rPr>
        <w:t>最高投标限价</w:t>
      </w:r>
      <w:r>
        <w:rPr>
          <w:rFonts w:hint="eastAsia" w:ascii="宋体" w:hAnsi="宋体" w:eastAsia="宋体" w:cs="宋体"/>
          <w:snapToGrid w:val="0"/>
          <w:color w:val="auto"/>
          <w:kern w:val="0"/>
          <w:sz w:val="24"/>
          <w:szCs w:val="20"/>
          <w:highlight w:val="none"/>
          <w:u w:val="single"/>
        </w:rPr>
        <w:t>中的《分部分项工程和单价措施项目清单与计价表》子目相对应综合单价</w:t>
      </w:r>
      <w:r>
        <w:rPr>
          <w:rFonts w:hint="eastAsia" w:ascii="宋体" w:hAnsi="宋体" w:eastAsia="宋体" w:cs="宋体"/>
          <w:snapToGrid w:val="0"/>
          <w:color w:val="auto"/>
          <w:kern w:val="0"/>
          <w:sz w:val="24"/>
          <w:szCs w:val="24"/>
          <w:highlight w:val="none"/>
          <w:u w:val="single"/>
        </w:rPr>
        <w:t>×（1-中标下浮率）</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w:t>
      </w:r>
    </w:p>
    <w:p w14:paraId="173EFF19">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（2）已标价工程量清单中没有适用但有类似于变更工程项目的，可在合理范围内参照类似项目的单价。</w:t>
      </w:r>
      <w:r>
        <w:rPr>
          <w:rFonts w:hint="eastAsia" w:ascii="宋体" w:hAnsi="宋体" w:eastAsia="宋体" w:cs="宋体"/>
          <w:b/>
          <w:bCs/>
          <w:snapToGrid w:val="0"/>
          <w:color w:val="auto"/>
          <w:kern w:val="0"/>
          <w:szCs w:val="24"/>
          <w:highlight w:val="none"/>
        </w:rPr>
        <w:t>但如果被参考的类似项目属于按照第二章“中标人须知”第4.2条被认定为不平衡报价的清单项目，变更工程项目的单价按照以下方法调整：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 w:val="24"/>
          <w:szCs w:val="24"/>
          <w:highlight w:val="none"/>
          <w:u w:val="single"/>
        </w:rPr>
        <w:t>以</w:t>
      </w:r>
      <w:r>
        <w:rPr>
          <w:rFonts w:hint="eastAsia" w:ascii="宋体" w:hAnsi="宋体" w:eastAsia="宋体" w:cs="宋体"/>
          <w:snapToGrid w:val="0"/>
          <w:color w:val="auto"/>
          <w:kern w:val="0"/>
          <w:sz w:val="24"/>
          <w:szCs w:val="20"/>
          <w:highlight w:val="none"/>
          <w:u w:val="single"/>
          <w:lang w:eastAsia="zh-CN"/>
        </w:rPr>
        <w:t>最高投标限价</w:t>
      </w:r>
      <w:r>
        <w:rPr>
          <w:rFonts w:hint="eastAsia" w:ascii="宋体" w:hAnsi="宋体" w:eastAsia="宋体" w:cs="宋体"/>
          <w:snapToGrid w:val="0"/>
          <w:color w:val="auto"/>
          <w:kern w:val="0"/>
          <w:sz w:val="24"/>
          <w:szCs w:val="20"/>
          <w:highlight w:val="none"/>
          <w:u w:val="single"/>
        </w:rPr>
        <w:t>中的《分部分项工程和单价措施项目清单与计价表》子目相对应综合单价</w:t>
      </w:r>
      <w:r>
        <w:rPr>
          <w:rFonts w:hint="eastAsia" w:ascii="宋体" w:hAnsi="宋体" w:eastAsia="宋体" w:cs="宋体"/>
          <w:snapToGrid w:val="0"/>
          <w:color w:val="auto"/>
          <w:kern w:val="0"/>
          <w:sz w:val="24"/>
          <w:szCs w:val="24"/>
          <w:highlight w:val="none"/>
          <w:u w:val="single"/>
        </w:rPr>
        <w:t>×（1-中标下浮率）</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w:t>
      </w:r>
    </w:p>
    <w:p w14:paraId="2FFED022">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4AB93DD4">
      <w:pPr>
        <w:wordWrap w:val="0"/>
        <w:adjustRightInd w:val="0"/>
        <w:snapToGrid w:val="0"/>
        <w:spacing w:line="440" w:lineRule="exact"/>
        <w:jc w:val="center"/>
        <w:rPr>
          <w:rFonts w:hint="eastAsia" w:ascii="宋体" w:hAnsi="宋体" w:eastAsia="宋体" w:cs="宋体"/>
          <w:snapToGrid w:val="0"/>
          <w:color w:val="auto"/>
          <w:kern w:val="0"/>
          <w:szCs w:val="24"/>
          <w:highlight w:val="none"/>
          <w:u w:val="wave"/>
        </w:rPr>
      </w:pPr>
      <w:r>
        <w:rPr>
          <w:rFonts w:hint="eastAsia" w:ascii="宋体" w:hAnsi="宋体" w:eastAsia="宋体" w:cs="宋体"/>
          <w:snapToGrid w:val="0"/>
          <w:color w:val="auto"/>
          <w:kern w:val="0"/>
          <w:szCs w:val="24"/>
          <w:highlight w:val="none"/>
        </w:rPr>
        <w:t>中标下浮率＝（1－中标价÷</w:t>
      </w:r>
      <w:r>
        <w:rPr>
          <w:rFonts w:hint="eastAsia" w:ascii="宋体" w:hAnsi="宋体" w:eastAsia="宋体" w:cs="宋体"/>
          <w:snapToGrid w:val="0"/>
          <w:color w:val="auto"/>
          <w:kern w:val="0"/>
          <w:szCs w:val="24"/>
          <w:highlight w:val="none"/>
          <w:lang w:eastAsia="zh-CN"/>
        </w:rPr>
        <w:t>最高投标限价</w:t>
      </w:r>
      <w:r>
        <w:rPr>
          <w:rFonts w:hint="eastAsia" w:ascii="宋体" w:hAnsi="宋体" w:eastAsia="宋体" w:cs="宋体"/>
          <w:snapToGrid w:val="0"/>
          <w:color w:val="auto"/>
          <w:kern w:val="0"/>
          <w:szCs w:val="24"/>
          <w:highlight w:val="none"/>
        </w:rPr>
        <w:t>）×100%</w:t>
      </w:r>
    </w:p>
    <w:p w14:paraId="52F2A33B">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485B758">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2.3.3.2</w:t>
      </w:r>
      <w:r>
        <w:rPr>
          <w:rFonts w:hint="eastAsia" w:ascii="宋体" w:hAnsi="宋体" w:eastAsia="宋体" w:cs="宋体"/>
          <w:snapToGrid w:val="0"/>
          <w:color w:val="auto"/>
          <w:kern w:val="0"/>
          <w:szCs w:val="24"/>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7ACDFC8B">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w:t>
      </w:r>
      <w:r>
        <w:rPr>
          <w:rFonts w:hint="eastAsia" w:ascii="宋体" w:hAnsi="宋体" w:eastAsia="宋体" w:cs="宋体"/>
          <w:snapToGrid w:val="0"/>
          <w:color w:val="auto"/>
          <w:kern w:val="0"/>
          <w:szCs w:val="24"/>
          <w:highlight w:val="none"/>
          <w:lang w:eastAsia="zh-CN"/>
        </w:rPr>
        <w:t>安全生产措施费</w:t>
      </w:r>
      <w:r>
        <w:rPr>
          <w:rFonts w:hint="eastAsia" w:ascii="宋体" w:hAnsi="宋体" w:eastAsia="宋体" w:cs="宋体"/>
          <w:snapToGrid w:val="0"/>
          <w:color w:val="auto"/>
          <w:kern w:val="0"/>
          <w:szCs w:val="24"/>
          <w:highlight w:val="none"/>
        </w:rPr>
        <w:t>应按照实际发生变化的措施项目计算。</w:t>
      </w:r>
    </w:p>
    <w:p w14:paraId="45005664">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（2）采用单价计算的措施项目费，应按照实际发生变化的措施项目，按本章第</w:t>
      </w:r>
      <w:r>
        <w:rPr>
          <w:rFonts w:hint="eastAsia" w:ascii="宋体" w:hAnsi="宋体" w:eastAsia="宋体" w:cs="宋体"/>
          <w:b/>
          <w:bCs/>
          <w:snapToGrid w:val="0"/>
          <w:color w:val="auto"/>
          <w:kern w:val="0"/>
          <w:szCs w:val="24"/>
          <w:highlight w:val="none"/>
        </w:rPr>
        <w:t>2.3.3.1</w:t>
      </w:r>
      <w:r>
        <w:rPr>
          <w:rFonts w:hint="eastAsia" w:ascii="宋体" w:hAnsi="宋体" w:eastAsia="宋体" w:cs="宋体"/>
          <w:snapToGrid w:val="0"/>
          <w:color w:val="auto"/>
          <w:kern w:val="0"/>
          <w:szCs w:val="24"/>
          <w:highlight w:val="none"/>
        </w:rPr>
        <w:t>子目的规定确定单价。</w:t>
      </w:r>
    </w:p>
    <w:p w14:paraId="71DB5569">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（3）按总价或系数计算的措施项目费，应按照实际发生变化的措施项目费调整并考虑中标下浮率因素，即调整金额</w:t>
      </w:r>
      <w:r>
        <w:rPr>
          <w:rFonts w:hint="eastAsia" w:ascii="宋体" w:hAnsi="宋体" w:eastAsia="宋体" w:cs="宋体"/>
          <w:bCs/>
          <w:snapToGrid w:val="0"/>
          <w:color w:val="auto"/>
          <w:kern w:val="0"/>
          <w:szCs w:val="28"/>
          <w:highlight w:val="none"/>
        </w:rPr>
        <w:t>＝按照实际变化调整</w:t>
      </w:r>
      <w:r>
        <w:rPr>
          <w:rFonts w:hint="eastAsia" w:ascii="宋体" w:hAnsi="宋体" w:eastAsia="宋体" w:cs="宋体"/>
          <w:snapToGrid w:val="0"/>
          <w:color w:val="auto"/>
          <w:kern w:val="0"/>
          <w:szCs w:val="24"/>
          <w:highlight w:val="none"/>
        </w:rPr>
        <w:t>后的金额</w:t>
      </w:r>
      <w:r>
        <w:rPr>
          <w:rFonts w:hint="eastAsia" w:ascii="宋体" w:hAnsi="宋体" w:eastAsia="宋体" w:cs="宋体"/>
          <w:bCs/>
          <w:snapToGrid w:val="0"/>
          <w:color w:val="auto"/>
          <w:kern w:val="0"/>
          <w:szCs w:val="28"/>
          <w:highlight w:val="none"/>
        </w:rPr>
        <w:t>×（1-</w:t>
      </w:r>
      <w:r>
        <w:rPr>
          <w:rFonts w:hint="eastAsia" w:ascii="宋体" w:hAnsi="宋体" w:eastAsia="宋体" w:cs="宋体"/>
          <w:snapToGrid w:val="0"/>
          <w:color w:val="auto"/>
          <w:kern w:val="0"/>
          <w:szCs w:val="24"/>
          <w:highlight w:val="none"/>
        </w:rPr>
        <w:t>中标下浮率）。</w:t>
      </w:r>
    </w:p>
    <w:p w14:paraId="1603DD59">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如果承包人未事先将拟实施的方案提交发包人确认，视为工程变更不引起措施项目费的调整或承包人放弃调整措施项目费的权利。</w:t>
      </w:r>
    </w:p>
    <w:p w14:paraId="7DBC08AD">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2.3.3.3</w:t>
      </w:r>
      <w:r>
        <w:rPr>
          <w:rFonts w:hint="eastAsia" w:ascii="宋体" w:hAnsi="宋体" w:eastAsia="宋体" w:cs="宋体"/>
          <w:snapToGrid w:val="0"/>
          <w:color w:val="auto"/>
          <w:kern w:val="0"/>
          <w:szCs w:val="24"/>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26E95ED0">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2.3.4</w:t>
      </w:r>
      <w:r>
        <w:rPr>
          <w:rFonts w:hint="eastAsia" w:ascii="宋体" w:hAnsi="宋体" w:eastAsia="宋体" w:cs="宋体"/>
          <w:snapToGrid w:val="0"/>
          <w:color w:val="auto"/>
          <w:kern w:val="0"/>
          <w:szCs w:val="24"/>
          <w:highlight w:val="none"/>
        </w:rPr>
        <w:t xml:space="preserve"> 项目特征不符</w:t>
      </w:r>
    </w:p>
    <w:p w14:paraId="1F5FF32B">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auto"/>
          <w:kern w:val="0"/>
          <w:szCs w:val="24"/>
          <w:highlight w:val="none"/>
        </w:rPr>
        <w:t>2.3.3</w:t>
      </w:r>
      <w:r>
        <w:rPr>
          <w:rFonts w:hint="eastAsia" w:ascii="宋体" w:hAnsi="宋体" w:eastAsia="宋体" w:cs="宋体"/>
          <w:snapToGrid w:val="0"/>
          <w:color w:val="auto"/>
          <w:kern w:val="0"/>
          <w:szCs w:val="24"/>
          <w:highlight w:val="none"/>
        </w:rPr>
        <w:t>目相关条款的规定重新确定相应工程量清单项目的综合单价，并调整合同价款。</w:t>
      </w:r>
    </w:p>
    <w:p w14:paraId="3A4BA281">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2.3.5</w:t>
      </w:r>
      <w:r>
        <w:rPr>
          <w:rFonts w:hint="eastAsia" w:ascii="宋体" w:hAnsi="宋体" w:eastAsia="宋体" w:cs="宋体"/>
          <w:snapToGrid w:val="0"/>
          <w:color w:val="auto"/>
          <w:kern w:val="0"/>
          <w:szCs w:val="24"/>
          <w:highlight w:val="none"/>
        </w:rPr>
        <w:t xml:space="preserve"> 招标工程量清单缺项</w:t>
      </w:r>
    </w:p>
    <w:p w14:paraId="37735E4B">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2.3.5.1</w:t>
      </w:r>
      <w:r>
        <w:rPr>
          <w:rFonts w:hint="eastAsia" w:ascii="宋体" w:hAnsi="宋体" w:eastAsia="宋体" w:cs="宋体"/>
          <w:snapToGrid w:val="0"/>
          <w:color w:val="auto"/>
          <w:kern w:val="0"/>
          <w:szCs w:val="24"/>
          <w:highlight w:val="none"/>
        </w:rPr>
        <w:t xml:space="preserve"> 合同履行期间，由于招标工程量清单中缺项，新增分部分项工程清单项目，应按照本章第</w:t>
      </w:r>
      <w:r>
        <w:rPr>
          <w:rFonts w:hint="eastAsia" w:ascii="宋体" w:hAnsi="宋体" w:eastAsia="宋体" w:cs="宋体"/>
          <w:b/>
          <w:bCs/>
          <w:snapToGrid w:val="0"/>
          <w:color w:val="auto"/>
          <w:kern w:val="0"/>
          <w:szCs w:val="24"/>
          <w:highlight w:val="none"/>
        </w:rPr>
        <w:t>2.3.3.1</w:t>
      </w:r>
      <w:r>
        <w:rPr>
          <w:rFonts w:hint="eastAsia" w:ascii="宋体" w:hAnsi="宋体" w:eastAsia="宋体" w:cs="宋体"/>
          <w:snapToGrid w:val="0"/>
          <w:color w:val="auto"/>
          <w:kern w:val="0"/>
          <w:szCs w:val="24"/>
          <w:highlight w:val="none"/>
        </w:rPr>
        <w:t>子目的规定确定单价，并调整合同价款。</w:t>
      </w:r>
    </w:p>
    <w:p w14:paraId="6FE66576">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2.3.5.2</w:t>
      </w:r>
      <w:r>
        <w:rPr>
          <w:rFonts w:hint="eastAsia" w:ascii="宋体" w:hAnsi="宋体" w:eastAsia="宋体" w:cs="宋体"/>
          <w:snapToGrid w:val="0"/>
          <w:color w:val="auto"/>
          <w:kern w:val="0"/>
          <w:szCs w:val="24"/>
          <w:highlight w:val="none"/>
        </w:rPr>
        <w:t xml:space="preserve"> 新增分部分项工程清单项目后，引起措施项目发生变化的，应按照本章第</w:t>
      </w:r>
      <w:r>
        <w:rPr>
          <w:rFonts w:hint="eastAsia" w:ascii="宋体" w:hAnsi="宋体" w:eastAsia="宋体" w:cs="宋体"/>
          <w:b/>
          <w:bCs/>
          <w:snapToGrid w:val="0"/>
          <w:color w:val="auto"/>
          <w:kern w:val="0"/>
          <w:szCs w:val="24"/>
          <w:highlight w:val="none"/>
        </w:rPr>
        <w:t>2.3.3.2</w:t>
      </w:r>
      <w:r>
        <w:rPr>
          <w:rFonts w:hint="eastAsia" w:ascii="宋体" w:hAnsi="宋体" w:eastAsia="宋体" w:cs="宋体"/>
          <w:snapToGrid w:val="0"/>
          <w:color w:val="auto"/>
          <w:kern w:val="0"/>
          <w:szCs w:val="24"/>
          <w:highlight w:val="none"/>
        </w:rPr>
        <w:t>子目的规定，在承包人提交的实施方案被发包人批准后调整合同价款。</w:t>
      </w:r>
    </w:p>
    <w:p w14:paraId="1839F275">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2.3.5.3</w:t>
      </w:r>
      <w:r>
        <w:rPr>
          <w:rFonts w:hint="eastAsia" w:ascii="宋体" w:hAnsi="宋体" w:eastAsia="宋体" w:cs="宋体"/>
          <w:snapToGrid w:val="0"/>
          <w:color w:val="auto"/>
          <w:kern w:val="0"/>
          <w:szCs w:val="24"/>
          <w:highlight w:val="none"/>
        </w:rPr>
        <w:t xml:space="preserve"> 由于招标工程量清单中措施项目缺项，承包人应将新增措施项目实施方案提交发包人批准后，按照本章第</w:t>
      </w:r>
      <w:r>
        <w:rPr>
          <w:rFonts w:hint="eastAsia" w:ascii="宋体" w:hAnsi="宋体" w:eastAsia="宋体" w:cs="宋体"/>
          <w:b/>
          <w:bCs/>
          <w:snapToGrid w:val="0"/>
          <w:color w:val="auto"/>
          <w:kern w:val="0"/>
          <w:szCs w:val="24"/>
          <w:highlight w:val="none"/>
        </w:rPr>
        <w:t>2.3.3.1</w:t>
      </w:r>
      <w:r>
        <w:rPr>
          <w:rFonts w:hint="eastAsia" w:ascii="宋体" w:hAnsi="宋体" w:eastAsia="宋体" w:cs="宋体"/>
          <w:snapToGrid w:val="0"/>
          <w:color w:val="auto"/>
          <w:kern w:val="0"/>
          <w:szCs w:val="24"/>
          <w:highlight w:val="none"/>
        </w:rPr>
        <w:t>子目、第</w:t>
      </w:r>
      <w:r>
        <w:rPr>
          <w:rFonts w:hint="eastAsia" w:ascii="宋体" w:hAnsi="宋体" w:eastAsia="宋体" w:cs="宋体"/>
          <w:b/>
          <w:bCs/>
          <w:snapToGrid w:val="0"/>
          <w:color w:val="auto"/>
          <w:kern w:val="0"/>
          <w:szCs w:val="24"/>
          <w:highlight w:val="none"/>
        </w:rPr>
        <w:t>2.3.3.2</w:t>
      </w:r>
      <w:r>
        <w:rPr>
          <w:rFonts w:hint="eastAsia" w:ascii="宋体" w:hAnsi="宋体" w:eastAsia="宋体" w:cs="宋体"/>
          <w:snapToGrid w:val="0"/>
          <w:color w:val="auto"/>
          <w:kern w:val="0"/>
          <w:szCs w:val="24"/>
          <w:highlight w:val="none"/>
        </w:rPr>
        <w:t>子目的规定调整合同价款。</w:t>
      </w:r>
    </w:p>
    <w:p w14:paraId="628ACDEB">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2.3.6</w:t>
      </w:r>
      <w:r>
        <w:rPr>
          <w:rFonts w:hint="eastAsia" w:ascii="宋体" w:hAnsi="宋体" w:eastAsia="宋体" w:cs="宋体"/>
          <w:bCs/>
          <w:snapToGrid w:val="0"/>
          <w:color w:val="auto"/>
          <w:kern w:val="0"/>
          <w:szCs w:val="28"/>
          <w:highlight w:val="none"/>
        </w:rPr>
        <w:t xml:space="preserve"> 物价变化</w:t>
      </w:r>
    </w:p>
    <w:p w14:paraId="08F2B5DA">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2.3.6.1</w:t>
      </w:r>
      <w:r>
        <w:rPr>
          <w:rFonts w:hint="eastAsia" w:ascii="宋体" w:hAnsi="宋体" w:eastAsia="宋体" w:cs="宋体"/>
          <w:bCs/>
          <w:snapToGrid w:val="0"/>
          <w:color w:val="auto"/>
          <w:kern w:val="0"/>
          <w:szCs w:val="28"/>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Cs w:val="24"/>
          <w:highlight w:val="none"/>
        </w:rPr>
        <w:t>以下简称“中标人工费”</w:t>
      </w:r>
      <w:r>
        <w:rPr>
          <w:rFonts w:hint="eastAsia" w:ascii="宋体" w:hAnsi="宋体" w:eastAsia="宋体" w:cs="宋体"/>
          <w:bCs/>
          <w:snapToGrid w:val="0"/>
          <w:color w:val="auto"/>
          <w:kern w:val="0"/>
          <w:szCs w:val="28"/>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5E36086D">
      <w:pPr>
        <w:wordWrap w:val="0"/>
        <w:adjustRightInd w:val="0"/>
        <w:snapToGrid w:val="0"/>
        <w:spacing w:line="440" w:lineRule="exact"/>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bCs/>
          <w:snapToGrid w:val="0"/>
          <w:color w:val="auto"/>
          <w:kern w:val="0"/>
          <w:szCs w:val="28"/>
          <w:highlight w:val="none"/>
        </w:rPr>
        <w:t>结算人工费＝中标人工费×F</w:t>
      </w:r>
      <w:r>
        <w:rPr>
          <w:rFonts w:hint="eastAsia" w:ascii="宋体" w:hAnsi="宋体" w:eastAsia="宋体" w:cs="宋体"/>
          <w:bCs/>
          <w:snapToGrid w:val="0"/>
          <w:color w:val="auto"/>
          <w:kern w:val="0"/>
          <w:szCs w:val="28"/>
          <w:highlight w:val="none"/>
          <w:vertAlign w:val="subscript"/>
        </w:rPr>
        <w:t>1</w:t>
      </w:r>
    </w:p>
    <w:p w14:paraId="597C08FA">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bCs/>
          <w:snapToGrid w:val="0"/>
          <w:color w:val="auto"/>
          <w:kern w:val="0"/>
          <w:szCs w:val="28"/>
          <w:highlight w:val="none"/>
        </w:rPr>
        <w:t>式中，F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为施工当月项目所在地工程造价管理机构发布的动态人工调整系数。</w:t>
      </w:r>
    </w:p>
    <w:p w14:paraId="50097BA6">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2.3.6.2</w:t>
      </w:r>
      <w:r>
        <w:rPr>
          <w:rFonts w:hint="eastAsia" w:ascii="宋体" w:hAnsi="宋体" w:eastAsia="宋体" w:cs="宋体"/>
          <w:snapToGrid w:val="0"/>
          <w:color w:val="auto"/>
          <w:kern w:val="0"/>
          <w:szCs w:val="24"/>
          <w:highlight w:val="none"/>
        </w:rPr>
        <w:t xml:space="preserve"> 本招标项目约定，材料、工程设备单价涨跌风险幅度值A为</w:t>
      </w:r>
      <w:r>
        <w:rPr>
          <w:rFonts w:hint="eastAsia" w:ascii="宋体" w:hAnsi="宋体" w:eastAsia="宋体" w:cs="宋体"/>
          <w:snapToGrid w:val="0"/>
          <w:color w:val="auto"/>
          <w:kern w:val="0"/>
          <w:szCs w:val="24"/>
          <w:highlight w:val="none"/>
          <w:u w:val="single"/>
        </w:rPr>
        <w:t xml:space="preserve"> 5% </w:t>
      </w:r>
      <w:r>
        <w:rPr>
          <w:rFonts w:hint="eastAsia" w:ascii="宋体" w:hAnsi="宋体" w:eastAsia="宋体" w:cs="宋体"/>
          <w:snapToGrid w:val="0"/>
          <w:color w:val="auto"/>
          <w:kern w:val="0"/>
          <w:szCs w:val="24"/>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3598D257">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a</w:t>
      </w:r>
      <w:r>
        <w:rPr>
          <w:rFonts w:hint="eastAsia" w:ascii="宋体" w:hAnsi="宋体" w:eastAsia="宋体" w:cs="宋体"/>
          <w:snapToGrid w:val="0"/>
          <w:color w:val="auto"/>
          <w:kern w:val="0"/>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4BCFCB77">
      <w:pPr>
        <w:spacing w:line="418" w:lineRule="exact"/>
        <w:ind w:left="120"/>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62336" behindDoc="1" locked="0" layoutInCell="1" allowOverlap="1">
                <wp:simplePos x="0" y="0"/>
                <wp:positionH relativeFrom="page">
                  <wp:posOffset>3107055</wp:posOffset>
                </wp:positionH>
                <wp:positionV relativeFrom="paragraph">
                  <wp:posOffset>259715</wp:posOffset>
                </wp:positionV>
                <wp:extent cx="403860" cy="1270"/>
                <wp:effectExtent l="0" t="0" r="0" b="0"/>
                <wp:wrapNone/>
                <wp:docPr id="38" name="组合 38"/>
                <wp:cNvGraphicFramePr/>
                <a:graphic xmlns:a="http://schemas.openxmlformats.org/drawingml/2006/main">
                  <a:graphicData uri="http://schemas.microsoft.com/office/word/2010/wordprocessingGroup">
                    <wpg:wgp>
                      <wpg:cNvGrpSpPr/>
                      <wpg:grpSpPr>
                        <a:xfrm>
                          <a:off x="0" y="0"/>
                          <a:ext cx="403860" cy="1270"/>
                          <a:chOff x="4894" y="410"/>
                          <a:chExt cx="636" cy="2"/>
                        </a:xfrm>
                        <a:effectLst/>
                      </wpg:grpSpPr>
                      <wps:wsp>
                        <wps:cNvPr id="1" name="任意多边形 24"/>
                        <wps:cNvSpPr/>
                        <wps:spPr>
                          <a:xfrm>
                            <a:off x="4894" y="410"/>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4.65pt;margin-top:20.45pt;height:0.1pt;width:31.8pt;mso-position-horizontal-relative:page;z-index:-251654144;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RPWWQ2QAAAAkBAAAPAAAAAAAAAAEAIAAAACIAAABkcnMvZG93bnJldi54bWxQSwECFAAUAAAA&#10;CACHTuJAwslyTpgCAADWBQAADgAAAAAAAAABACAAAAAoAQAAZHJzL2Uyb0RvYy54bWxQSwUGAAAA&#10;AAYABgBZAQAAMgYAAAAA&#10;">
                <o:lock v:ext="edit" aspectratio="f"/>
                <v:shape id="任意多边形 24" o:spid="_x0000_s1026" o:spt="100" style="position:absolute;left:4894;top:410;height:2;width:636;" filled="f" stroked="t" coordsize="636,1" o:gfxdata="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YQVg+5AAAA2g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a</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28"/>
          <w:szCs w:val="28"/>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28"/>
          <w:szCs w:val="28"/>
          <w:highlight w:val="none"/>
        </w:rPr>
        <w:t>F</w:t>
      </w:r>
      <w:r>
        <w:rPr>
          <w:rFonts w:hint="eastAsia" w:ascii="宋体" w:hAnsi="宋体" w:eastAsia="宋体" w:cs="宋体"/>
          <w:color w:val="auto"/>
          <w:spacing w:val="15"/>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76B2F387">
      <w:pPr>
        <w:pStyle w:val="11"/>
        <w:tabs>
          <w:tab w:val="left" w:pos="2817"/>
        </w:tabs>
        <w:spacing w:after="0" w:line="200" w:lineRule="exact"/>
        <w:ind w:left="2426"/>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mc:AlternateContent>
          <mc:Choice Requires="wps">
            <w:drawing>
              <wp:anchor distT="0" distB="0" distL="114300" distR="114300" simplePos="0" relativeHeight="251663360" behindDoc="1" locked="0" layoutInCell="1" allowOverlap="1">
                <wp:simplePos x="0" y="0"/>
                <wp:positionH relativeFrom="page">
                  <wp:posOffset>3246755</wp:posOffset>
                </wp:positionH>
                <wp:positionV relativeFrom="paragraph">
                  <wp:posOffset>29845</wp:posOffset>
                </wp:positionV>
                <wp:extent cx="220980" cy="2463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a:effectLst/>
                      </wps:spPr>
                      <wps:txbx>
                        <w:txbxContent>
                          <w:p w14:paraId="77B7CB4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5.65pt;margin-top:2.35pt;height:19.4pt;width:17.4pt;mso-position-horizontal-relative:page;z-index:-251653120;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Wx4gnXAAAACAEAAA8AAAAAAAAAAQAgAAAAIgAAAGRycy9kb3du&#10;cmV2LnhtbFBLAQIUABQAAAAIAIdO4kA6NrkbxwEAAI0DAAAOAAAAAAAAAAEAIAAAACYBAABkcnMv&#10;ZTJvRG9jLnhtbFBLBQYAAAAABgAGAFkBAABfBQAAAAA=&#10;">
                <v:fill on="f" focussize="0,0"/>
                <v:stroke on="f"/>
                <v:imagedata o:title=""/>
                <o:lock v:ext="edit" aspectratio="f"/>
                <v:textbox inset="0mm,0mm,0mm,0mm">
                  <w:txbxContent>
                    <w:p w14:paraId="77B7CB4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rPr>
        <w:tab/>
      </w:r>
      <w:r>
        <w:rPr>
          <w:rFonts w:hint="eastAsia" w:ascii="宋体" w:hAnsi="宋体" w:eastAsia="宋体" w:cs="宋体"/>
          <w:color w:val="auto"/>
          <w:sz w:val="15"/>
          <w:szCs w:val="15"/>
          <w:highlight w:val="none"/>
        </w:rPr>
        <w:t>0</w:t>
      </w:r>
    </w:p>
    <w:p w14:paraId="54466567">
      <w:pPr>
        <w:pStyle w:val="11"/>
        <w:spacing w:after="0" w:line="240" w:lineRule="exact"/>
        <w:ind w:left="3454" w:right="4848"/>
        <w:jc w:val="center"/>
        <w:rPr>
          <w:rFonts w:hint="eastAsia" w:ascii="宋体" w:hAnsi="宋体" w:eastAsia="宋体" w:cs="宋体"/>
          <w:color w:val="auto"/>
          <w:sz w:val="15"/>
          <w:szCs w:val="15"/>
          <w:highlight w:val="none"/>
        </w:rPr>
      </w:pPr>
    </w:p>
    <w:p w14:paraId="4B345399">
      <w:pPr>
        <w:spacing w:before="4" w:line="170" w:lineRule="exact"/>
        <w:rPr>
          <w:rFonts w:hint="eastAsia" w:ascii="宋体" w:hAnsi="宋体" w:eastAsia="宋体" w:cs="宋体"/>
          <w:color w:val="auto"/>
          <w:sz w:val="17"/>
          <w:szCs w:val="17"/>
          <w:highlight w:val="none"/>
        </w:rPr>
      </w:pPr>
    </w:p>
    <w:p w14:paraId="52F454C7">
      <w:pPr>
        <w:spacing w:line="404"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64384" behindDoc="1" locked="0" layoutInCell="1" allowOverlap="1">
                <wp:simplePos x="0" y="0"/>
                <wp:positionH relativeFrom="page">
                  <wp:posOffset>3134360</wp:posOffset>
                </wp:positionH>
                <wp:positionV relativeFrom="paragraph">
                  <wp:posOffset>250825</wp:posOffset>
                </wp:positionV>
                <wp:extent cx="388620" cy="1270"/>
                <wp:effectExtent l="0" t="0" r="0" b="0"/>
                <wp:wrapNone/>
                <wp:docPr id="39" name="组合 39"/>
                <wp:cNvGraphicFramePr/>
                <a:graphic xmlns:a="http://schemas.openxmlformats.org/drawingml/2006/main">
                  <a:graphicData uri="http://schemas.microsoft.com/office/word/2010/wordprocessingGroup">
                    <wpg:wgp>
                      <wpg:cNvGrpSpPr/>
                      <wpg:grpSpPr>
                        <a:xfrm>
                          <a:off x="0" y="0"/>
                          <a:ext cx="388620" cy="1270"/>
                          <a:chOff x="4937" y="395"/>
                          <a:chExt cx="612" cy="2"/>
                        </a:xfrm>
                        <a:effectLst/>
                      </wpg:grpSpPr>
                      <wps:wsp>
                        <wps:cNvPr id="4" name="任意多边形 27"/>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6.8pt;margin-top:19.75pt;height:0.1pt;width:30.6pt;mso-position-horizontal-relative:page;z-index:-251652096;mso-width-relative:page;mso-height-relative:page;" coordorigin="4937,395" coordsize="612,2" o:gfxdata="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VJix7dkAAAAJAQAADwAAAAAAAAABACAAAAAiAAAAZHJzL2Rvd25yZXYueG1sUEsBAhQA&#10;FAAAAAgAh07iQFzZX+OcAgAA1gUAAA4AAAAAAAAAAQAgAAAAKAEAAGRycy9lMm9Eb2MueG1sUEsF&#10;BgAAAAAGAAYAWQEAADYGAAAAAA==&#10;">
                <o:lock v:ext="edit" aspectratio="f"/>
                <v:shape id="任意多边形 27" o:spid="_x0000_s1026" o:spt="100" style="position:absolute;left:4937;top:395;height:2;width:612;" filled="f" stroked="t" coordsize="612,1" o:gfxdata="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O5kL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3"/>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30"/>
          <w:szCs w:val="30"/>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32"/>
          <w:szCs w:val="32"/>
          <w:highlight w:val="none"/>
        </w:rPr>
        <w:t>F</w:t>
      </w:r>
      <w:r>
        <w:rPr>
          <w:rFonts w:hint="eastAsia" w:ascii="宋体" w:hAnsi="宋体" w:eastAsia="宋体" w:cs="宋体"/>
          <w:color w:val="auto"/>
          <w:spacing w:val="-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1"/>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39"/>
          <w:position w:val="15"/>
          <w:szCs w:val="24"/>
          <w:highlight w:val="none"/>
        </w:rPr>
        <w:t>F</w:t>
      </w:r>
      <w:r>
        <w:rPr>
          <w:rFonts w:hint="eastAsia" w:ascii="宋体" w:hAnsi="宋体" w:eastAsia="宋体" w:cs="宋体"/>
          <w:color w:val="auto"/>
          <w:position w:val="9"/>
          <w:sz w:val="14"/>
          <w:szCs w:val="14"/>
          <w:highlight w:val="none"/>
        </w:rPr>
        <w:t>1</w:t>
      </w:r>
      <w:r>
        <w:rPr>
          <w:rFonts w:hint="eastAsia" w:ascii="宋体" w:hAnsi="宋体" w:eastAsia="宋体" w:cs="宋体"/>
          <w:color w:val="auto"/>
          <w:spacing w:val="1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14CA9F9E">
      <w:pPr>
        <w:pStyle w:val="11"/>
        <w:tabs>
          <w:tab w:val="left" w:pos="2870"/>
        </w:tabs>
        <w:spacing w:line="142" w:lineRule="exact"/>
        <w:ind w:left="2490"/>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65408" behindDoc="1" locked="0" layoutInCell="1" allowOverlap="1">
                <wp:simplePos x="0" y="0"/>
                <wp:positionH relativeFrom="page">
                  <wp:posOffset>3274060</wp:posOffset>
                </wp:positionH>
                <wp:positionV relativeFrom="paragraph">
                  <wp:posOffset>29845</wp:posOffset>
                </wp:positionV>
                <wp:extent cx="231140" cy="198755"/>
                <wp:effectExtent l="0" t="0" r="0" b="0"/>
                <wp:wrapNone/>
                <wp:docPr id="6" name="文本框 6"/>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a:effectLst/>
                      </wps:spPr>
                      <wps:txbx>
                        <w:txbxContent>
                          <w:p w14:paraId="285C5D92">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_x0000_s1026" o:spid="_x0000_s1026" o:spt="202" type="#_x0000_t202" style="position:absolute;left:0pt;margin-left:257.8pt;margin-top:2.35pt;height:15.65pt;width:18.2pt;mso-position-horizontal-relative:page;z-index:-251651072;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nltRW1wAAAAgBAAAPAAAAAAAAAAEAIAAAACIAAABkcnMvZG93&#10;bnJldi54bWxQSwECFAAUAAAACACHTuJAbIqNz8gBAACNAwAADgAAAAAAAAABACAAAAAmAQAAZHJz&#10;L2Uyb0RvYy54bWxQSwUGAAAAAAYABgBZAQAAYAUAAAAA&#10;">
                <v:fill on="f" focussize="0,0"/>
                <v:stroke on="f"/>
                <v:imagedata o:title=""/>
                <o:lock v:ext="edit" aspectratio="f"/>
                <v:textbox inset="0mm,0mm,0mm,0mm">
                  <w:txbxContent>
                    <w:p w14:paraId="285C5D92">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 xml:space="preserve"> 1</w:t>
      </w:r>
    </w:p>
    <w:p w14:paraId="379C0B38">
      <w:pPr>
        <w:pStyle w:val="11"/>
        <w:spacing w:before="26"/>
        <w:ind w:left="3496" w:right="4830"/>
        <w:jc w:val="center"/>
        <w:rPr>
          <w:rFonts w:hint="eastAsia" w:ascii="宋体" w:hAnsi="宋体" w:eastAsia="宋体" w:cs="宋体"/>
          <w:color w:val="auto"/>
          <w:highlight w:val="none"/>
        </w:rPr>
      </w:pPr>
    </w:p>
    <w:p w14:paraId="6FCAB2E1">
      <w:pPr>
        <w:spacing w:before="6" w:line="170" w:lineRule="exact"/>
        <w:rPr>
          <w:rFonts w:hint="eastAsia" w:ascii="宋体" w:hAnsi="宋体" w:eastAsia="宋体" w:cs="宋体"/>
          <w:color w:val="auto"/>
          <w:sz w:val="17"/>
          <w:szCs w:val="17"/>
          <w:highlight w:val="none"/>
        </w:rPr>
      </w:pPr>
    </w:p>
    <w:p w14:paraId="27A4034D">
      <w:pPr>
        <w:spacing w:line="404" w:lineRule="exact"/>
        <w:ind w:left="120"/>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66432" behindDoc="1" locked="0" layoutInCell="1" allowOverlap="1">
                <wp:simplePos x="0" y="0"/>
                <wp:positionH relativeFrom="page">
                  <wp:posOffset>3099435</wp:posOffset>
                </wp:positionH>
                <wp:positionV relativeFrom="paragraph">
                  <wp:posOffset>250825</wp:posOffset>
                </wp:positionV>
                <wp:extent cx="388620" cy="1270"/>
                <wp:effectExtent l="0" t="0" r="0" b="0"/>
                <wp:wrapNone/>
                <wp:docPr id="36" name="组合 36"/>
                <wp:cNvGraphicFramePr/>
                <a:graphic xmlns:a="http://schemas.openxmlformats.org/drawingml/2006/main">
                  <a:graphicData uri="http://schemas.microsoft.com/office/word/2010/wordprocessingGroup">
                    <wpg:wgp>
                      <wpg:cNvGrpSpPr/>
                      <wpg:grpSpPr>
                        <a:xfrm>
                          <a:off x="0" y="0"/>
                          <a:ext cx="388620" cy="1270"/>
                          <a:chOff x="4882" y="395"/>
                          <a:chExt cx="612" cy="2"/>
                        </a:xfrm>
                        <a:effectLst/>
                      </wpg:grpSpPr>
                      <wps:wsp>
                        <wps:cNvPr id="7" name="任意多边形 30"/>
                        <wps:cNvSpPr/>
                        <wps:spPr>
                          <a:xfrm>
                            <a:off x="4882"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4.05pt;margin-top:19.75pt;height:0.1pt;width:30.6pt;mso-position-horizontal-relative:page;z-index:-251650048;mso-width-relative:page;mso-height-relative:page;" coordorigin="4882,395" coordsize="612,2" o:gfxdata="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DdGUX/aAAAACQEAAA8AAAAAAAAAAQAgAAAAIgAAAGRycy9kb3ducmV2LnhtbFBL&#10;AQIUABQAAAAIAIdO4kD5RoxBnwIAANYFAAAOAAAAAAAAAAEAIAAAACkBAABkcnMvZTJvRG9jLnht&#10;bFBLBQYAAAAABgAGAFkBAAA6BgAAAAA=&#10;">
                <o:lock v:ext="edit" aspectratio="f"/>
                <v:shape id="任意多边形 30" o:spid="_x0000_s1026" o:spt="100" style="position:absolute;left:4882;top:395;height:2;width:612;" filled="f" stroked="t" coordsize="612,1" o:gfxdata="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En57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b</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32"/>
          <w:szCs w:val="32"/>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32"/>
          <w:szCs w:val="32"/>
          <w:highlight w:val="none"/>
        </w:rPr>
        <w:t>F</w:t>
      </w:r>
      <w:r>
        <w:rPr>
          <w:rFonts w:hint="eastAsia" w:ascii="宋体" w:hAnsi="宋体" w:eastAsia="宋体" w:cs="宋体"/>
          <w:color w:val="auto"/>
          <w:spacing w:val="-7"/>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39"/>
          <w:position w:val="15"/>
          <w:szCs w:val="24"/>
          <w:highlight w:val="none"/>
        </w:rPr>
        <w:t>F</w:t>
      </w:r>
      <w:r>
        <w:rPr>
          <w:rFonts w:hint="eastAsia" w:ascii="宋体" w:hAnsi="宋体" w:eastAsia="宋体" w:cs="宋体"/>
          <w:color w:val="auto"/>
          <w:position w:val="9"/>
          <w:sz w:val="14"/>
          <w:szCs w:val="14"/>
          <w:highlight w:val="none"/>
        </w:rPr>
        <w:t>1</w:t>
      </w:r>
      <w:r>
        <w:rPr>
          <w:rFonts w:hint="eastAsia" w:ascii="宋体" w:hAnsi="宋体" w:eastAsia="宋体" w:cs="宋体"/>
          <w:color w:val="auto"/>
          <w:spacing w:val="1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3EC0EC69">
      <w:pPr>
        <w:pStyle w:val="11"/>
        <w:tabs>
          <w:tab w:val="left" w:pos="2815"/>
        </w:tabs>
        <w:spacing w:line="142" w:lineRule="exact"/>
        <w:ind w:firstLine="2520" w:firstLineChars="1800"/>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67456" behindDoc="1" locked="0" layoutInCell="1" allowOverlap="1">
                <wp:simplePos x="0" y="0"/>
                <wp:positionH relativeFrom="page">
                  <wp:posOffset>3239135</wp:posOffset>
                </wp:positionH>
                <wp:positionV relativeFrom="paragraph">
                  <wp:posOffset>29845</wp:posOffset>
                </wp:positionV>
                <wp:extent cx="288290" cy="25527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a:effectLst/>
                      </wps:spPr>
                      <wps:txbx>
                        <w:txbxContent>
                          <w:p w14:paraId="24F8BD4A">
                            <w:r>
                              <w:rPr>
                                <w:rFonts w:ascii="Times New Roman" w:eastAsia="Times New Roman"/>
                                <w:spacing w:val="-39"/>
                                <w:position w:val="15"/>
                                <w:szCs w:val="24"/>
                              </w:rPr>
                              <w:t>F</w:t>
                            </w:r>
                            <w:r>
                              <w:rPr>
                                <w:rFonts w:ascii="Times New Roman" w:eastAsia="Times New Roman"/>
                                <w:position w:val="9"/>
                                <w:sz w:val="14"/>
                                <w:szCs w:val="14"/>
                              </w:rPr>
                              <w:t>1</w:t>
                            </w:r>
                          </w:p>
                          <w:p w14:paraId="0CFF0AC4"/>
                        </w:txbxContent>
                      </wps:txbx>
                      <wps:bodyPr wrap="square" lIns="0" tIns="0" rIns="0" bIns="0" upright="1"/>
                    </wps:wsp>
                  </a:graphicData>
                </a:graphic>
              </wp:anchor>
            </w:drawing>
          </mc:Choice>
          <mc:Fallback>
            <w:pict>
              <v:shape id="_x0000_s1026" o:spid="_x0000_s1026" o:spt="202" type="#_x0000_t202" style="position:absolute;left:0pt;margin-left:255.05pt;margin-top:2.35pt;height:20.1pt;width:22.7pt;mso-position-horizontal-relative:page;z-index:-251649024;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Nn+KzWAAAACAEAAA8AAAAAAAAAAQAgAAAAIgAAAGRycy9kb3du&#10;cmV2LnhtbFBLAQIUABQAAAAIAIdO4kDM4BxdyAEAAI0DAAAOAAAAAAAAAAEAIAAAACUBAABkcnMv&#10;ZTJvRG9jLnhtbFBLBQYAAAAABgAGAFkBAABfBQAAAAA=&#10;">
                <v:fill on="f" focussize="0,0"/>
                <v:stroke on="f"/>
                <v:imagedata o:title=""/>
                <o:lock v:ext="edit" aspectratio="f"/>
                <v:textbox inset="0mm,0mm,0mm,0mm">
                  <w:txbxContent>
                    <w:p w14:paraId="24F8BD4A">
                      <w:r>
                        <w:rPr>
                          <w:rFonts w:ascii="Times New Roman" w:eastAsia="Times New Roman"/>
                          <w:spacing w:val="-39"/>
                          <w:position w:val="15"/>
                          <w:szCs w:val="24"/>
                        </w:rPr>
                        <w:t>F</w:t>
                      </w:r>
                      <w:r>
                        <w:rPr>
                          <w:rFonts w:ascii="Times New Roman" w:eastAsia="Times New Roman"/>
                          <w:position w:val="9"/>
                          <w:sz w:val="14"/>
                          <w:szCs w:val="14"/>
                        </w:rPr>
                        <w:t>1</w:t>
                      </w:r>
                    </w:p>
                    <w:p w14:paraId="0CFF0AC4"/>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 xml:space="preserve">  1</w:t>
      </w:r>
    </w:p>
    <w:p w14:paraId="262F68FE">
      <w:pPr>
        <w:pStyle w:val="11"/>
        <w:spacing w:before="26"/>
        <w:ind w:left="3441" w:right="4885"/>
        <w:jc w:val="center"/>
        <w:rPr>
          <w:rFonts w:hint="eastAsia" w:ascii="宋体" w:hAnsi="宋体" w:eastAsia="宋体" w:cs="宋体"/>
          <w:color w:val="auto"/>
          <w:highlight w:val="none"/>
        </w:rPr>
      </w:pPr>
    </w:p>
    <w:p w14:paraId="34E0FB22">
      <w:pPr>
        <w:spacing w:before="3" w:line="170" w:lineRule="exact"/>
        <w:rPr>
          <w:rFonts w:hint="eastAsia" w:ascii="宋体" w:hAnsi="宋体" w:eastAsia="宋体" w:cs="宋体"/>
          <w:color w:val="auto"/>
          <w:sz w:val="17"/>
          <w:szCs w:val="17"/>
          <w:highlight w:val="none"/>
        </w:rPr>
      </w:pPr>
    </w:p>
    <w:p w14:paraId="3EC31376">
      <w:pPr>
        <w:spacing w:line="404"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68480"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43" name="组合 43"/>
                <wp:cNvGraphicFramePr/>
                <a:graphic xmlns:a="http://schemas.openxmlformats.org/drawingml/2006/main">
                  <a:graphicData uri="http://schemas.microsoft.com/office/word/2010/wordprocessingGroup">
                    <wpg:wgp>
                      <wpg:cNvGrpSpPr/>
                      <wpg:grpSpPr>
                        <a:xfrm>
                          <a:off x="0" y="0"/>
                          <a:ext cx="403860" cy="1270"/>
                          <a:chOff x="4961" y="396"/>
                          <a:chExt cx="636" cy="2"/>
                        </a:xfrm>
                        <a:effectLst/>
                      </wpg:grpSpPr>
                      <wps:wsp>
                        <wps:cNvPr id="10" name="任意多边形 33"/>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8.05pt;margin-top:19.75pt;height:0.1pt;width:31.8pt;mso-position-horizontal-relative:page;z-index:-251648000;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EjDrmHaAAAACQEAAA8AAAAAAAAAAQAgAAAAIgAAAGRycy9kb3ducmV2LnhtbFBLAQIU&#10;ABQAAAAIAIdO4kCT8dwNnAIAANcFAAAOAAAAAAAAAAEAIAAAACkBAABkcnMvZTJvRG9jLnhtbFBL&#10;BQYAAAAABgAGAFkBAAA3BgAAAAA=&#10;">
                <o:lock v:ext="edit" aspectratio="f"/>
                <v:shape id="任意多边形 33" o:spid="_x0000_s1026" o:spt="100" style="position:absolute;left:4961;top:396;height:2;width:636;" filled="f" stroked="t" coordsize="636,1" o:gfxdata="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iBvb4A&#10;AADbAAAADwAAAAAAAAABACAAAAAiAAAAZHJzL2Rvd25yZXYueG1sUEsBAhQAFAAAAAgAh07iQDMv&#10;BZ47AAAAOQAAABAAAAAAAAAAAQAgAAAADQEAAGRycy9zaGFwZXhtbC54bWxQSwUGAAAAAAYABgBb&#10;AQAAtwM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2BF32FD6">
      <w:pPr>
        <w:pStyle w:val="11"/>
        <w:tabs>
          <w:tab w:val="left" w:pos="2884"/>
        </w:tabs>
        <w:spacing w:line="142" w:lineRule="exact"/>
        <w:ind w:firstLine="2520" w:firstLineChars="1800"/>
        <w:jc w:val="left"/>
        <w:rPr>
          <w:rFonts w:hint="eastAsia" w:ascii="宋体" w:hAnsi="宋体" w:eastAsia="宋体" w:cs="宋体"/>
          <w:color w:val="auto"/>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69504" behindDoc="1" locked="0" layoutInCell="1" allowOverlap="1">
                <wp:simplePos x="0" y="0"/>
                <wp:positionH relativeFrom="page">
                  <wp:posOffset>3289300</wp:posOffset>
                </wp:positionH>
                <wp:positionV relativeFrom="paragraph">
                  <wp:posOffset>29845</wp:posOffset>
                </wp:positionV>
                <wp:extent cx="220980" cy="29337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a:effectLst/>
                      </wps:spPr>
                      <wps:txbx>
                        <w:txbxContent>
                          <w:p w14:paraId="362051E1">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9pt;margin-top:2.35pt;height:23.1pt;width:17.4pt;mso-position-horizontal-relative:page;z-index:-251646976;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NpqnnYAAAACAEAAA8AAAAAAAAAAQAgAAAAIgAAAGRycy9k&#10;b3ducmV2LnhtbFBLAQIUABQAAAAIAIdO4kB+QGSAyQEAAI8DAAAOAAAAAAAAAAEAIAAAACcBAABk&#10;cnMvZTJvRG9jLnhtbFBLBQYAAAAABgAGAFkBAABiBQAAAAA=&#10;">
                <v:fill on="f" focussize="0,0"/>
                <v:stroke on="f"/>
                <v:imagedata o:title=""/>
                <o:lock v:ext="edit" aspectratio="f"/>
                <v:textbox inset="0mm,0mm,0mm,0mm">
                  <w:txbxContent>
                    <w:p w14:paraId="362051E1">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4"/>
          <w:szCs w:val="14"/>
          <w:highlight w:val="none"/>
        </w:rPr>
        <w:t>1    0</w:t>
      </w:r>
    </w:p>
    <w:p w14:paraId="3D3FFEFC">
      <w:pPr>
        <w:spacing w:before="4" w:line="110" w:lineRule="exact"/>
        <w:rPr>
          <w:rFonts w:hint="eastAsia" w:ascii="宋体" w:hAnsi="宋体" w:eastAsia="宋体" w:cs="宋体"/>
          <w:color w:val="auto"/>
          <w:sz w:val="11"/>
          <w:szCs w:val="11"/>
          <w:highlight w:val="none"/>
        </w:rPr>
      </w:pPr>
    </w:p>
    <w:p w14:paraId="43E961A6">
      <w:pPr>
        <w:spacing w:line="200" w:lineRule="exact"/>
        <w:rPr>
          <w:rFonts w:hint="eastAsia" w:ascii="宋体" w:hAnsi="宋体" w:eastAsia="宋体" w:cs="宋体"/>
          <w:color w:val="auto"/>
          <w:sz w:val="20"/>
          <w:highlight w:val="none"/>
        </w:rPr>
      </w:pPr>
    </w:p>
    <w:p w14:paraId="37D54CFC">
      <w:pPr>
        <w:spacing w:line="200" w:lineRule="exact"/>
        <w:rPr>
          <w:rFonts w:hint="eastAsia" w:ascii="宋体" w:hAnsi="宋体" w:eastAsia="宋体" w:cs="宋体"/>
          <w:color w:val="auto"/>
          <w:sz w:val="20"/>
          <w:highlight w:val="none"/>
        </w:rPr>
      </w:pPr>
    </w:p>
    <w:p w14:paraId="1402F437">
      <w:pPr>
        <w:spacing w:line="404" w:lineRule="exact"/>
        <w:ind w:left="120"/>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70528" behindDoc="1" locked="0" layoutInCell="1" allowOverlap="1">
                <wp:simplePos x="0" y="0"/>
                <wp:positionH relativeFrom="page">
                  <wp:posOffset>3107055</wp:posOffset>
                </wp:positionH>
                <wp:positionV relativeFrom="paragraph">
                  <wp:posOffset>250825</wp:posOffset>
                </wp:positionV>
                <wp:extent cx="403860" cy="1270"/>
                <wp:effectExtent l="0" t="0" r="0" b="0"/>
                <wp:wrapNone/>
                <wp:docPr id="44" name="组合 44"/>
                <wp:cNvGraphicFramePr/>
                <a:graphic xmlns:a="http://schemas.openxmlformats.org/drawingml/2006/main">
                  <a:graphicData uri="http://schemas.microsoft.com/office/word/2010/wordprocessingGroup">
                    <wpg:wgp>
                      <wpg:cNvGrpSpPr/>
                      <wpg:grpSpPr>
                        <a:xfrm>
                          <a:off x="0" y="0"/>
                          <a:ext cx="403860" cy="1270"/>
                          <a:chOff x="4894" y="396"/>
                          <a:chExt cx="636" cy="2"/>
                        </a:xfrm>
                        <a:effectLst/>
                      </wpg:grpSpPr>
                      <wps:wsp>
                        <wps:cNvPr id="13" name="任意多边形 36"/>
                        <wps:cNvSpPr/>
                        <wps:spPr>
                          <a:xfrm>
                            <a:off x="4894"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4.65pt;margin-top:19.75pt;height:0.1pt;width:31.8pt;mso-position-horizontal-relative:page;z-index:-251645952;mso-width-relative:page;mso-height-relative:page;" coordorigin="4894,396" coordsize="636,2" o:gfxdata="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FzIe/vaAAAACQEAAA8AAAAAAAAAAQAgAAAAIgAAAGRycy9kb3ducmV2LnhtbFBLAQIU&#10;ABQAAAAIAIdO4kBH4jrmnAIAANcFAAAOAAAAAAAAAAEAIAAAACkBAABkcnMvZTJvRG9jLnhtbFBL&#10;BQYAAAAABgAGAFkBAAA3BgAAAAA=&#10;">
                <o:lock v:ext="edit" aspectratio="f"/>
                <v:shape id="任意多边形 36" o:spid="_x0000_s1026" o:spt="100" style="position:absolute;left:4894;top:396;height:2;width:636;" filled="f" stroked="t" coordsize="636,1" o:gfxdata="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Gh/KugAAANsA&#10;AAAPAAAAAAAAAAEAIAAAACIAAABkcnMvZG93bnJldi54bWxQSwECFAAUAAAACACHTuJAMy8FnjsA&#10;AAA5AAAAEAAAAAAAAAABACAAAAAJAQAAZHJzL3NoYXBleG1sLnhtbFBLBQYAAAAABgAGAFsBAACz&#10;Aw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c</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5"/>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70BA9A76">
      <w:pPr>
        <w:pStyle w:val="11"/>
        <w:tabs>
          <w:tab w:val="left" w:pos="2817"/>
        </w:tabs>
        <w:spacing w:line="142" w:lineRule="exact"/>
        <w:ind w:left="2424"/>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71552" behindDoc="1" locked="0" layoutInCell="1" allowOverlap="1">
                <wp:simplePos x="0" y="0"/>
                <wp:positionH relativeFrom="page">
                  <wp:posOffset>3246755</wp:posOffset>
                </wp:positionH>
                <wp:positionV relativeFrom="paragraph">
                  <wp:posOffset>29845</wp:posOffset>
                </wp:positionV>
                <wp:extent cx="163195" cy="20828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a:effectLst/>
                      </wps:spPr>
                      <wps:txbx>
                        <w:txbxContent>
                          <w:p w14:paraId="63B3E82E">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5.65pt;margin-top:2.35pt;height:16.4pt;width:12.85pt;mso-position-horizontal-relative:page;z-index:-251644928;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Uzt7PYAAAACAEAAA8AAAAAAAAAAQAgAAAAIgAAAGRycy9k&#10;b3ducmV2LnhtbFBLAQIUABQAAAAIAIdO4kAHBXSzyQEAAI8DAAAOAAAAAAAAAAEAIAAAACcBAABk&#10;cnMvZTJvRG9jLnhtbFBLBQYAAAAABgAGAFkBAABiBQAAAAA=&#10;">
                <v:fill on="f" focussize="0,0"/>
                <v:stroke on="f"/>
                <v:imagedata o:title=""/>
                <o:lock v:ext="edit" aspectratio="f"/>
                <v:textbox inset="0mm,0mm,0mm,0mm">
                  <w:txbxContent>
                    <w:p w14:paraId="63B3E82E">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0</w:t>
      </w:r>
    </w:p>
    <w:p w14:paraId="373761D9">
      <w:pPr>
        <w:pStyle w:val="11"/>
        <w:spacing w:before="26"/>
        <w:ind w:left="3454" w:right="4848"/>
        <w:jc w:val="center"/>
        <w:rPr>
          <w:rFonts w:hint="eastAsia" w:ascii="宋体" w:hAnsi="宋体" w:eastAsia="宋体" w:cs="宋体"/>
          <w:color w:val="auto"/>
          <w:sz w:val="14"/>
          <w:szCs w:val="14"/>
          <w:highlight w:val="none"/>
        </w:rPr>
      </w:pPr>
    </w:p>
    <w:p w14:paraId="617CC1C8">
      <w:pPr>
        <w:spacing w:before="4" w:line="170" w:lineRule="exact"/>
        <w:rPr>
          <w:rFonts w:hint="eastAsia" w:ascii="宋体" w:hAnsi="宋体" w:eastAsia="宋体" w:cs="宋体"/>
          <w:color w:val="auto"/>
          <w:sz w:val="17"/>
          <w:szCs w:val="17"/>
          <w:highlight w:val="none"/>
        </w:rPr>
      </w:pPr>
    </w:p>
    <w:p w14:paraId="77536381">
      <w:pPr>
        <w:spacing w:line="405"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72576"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40" name="组合 40"/>
                <wp:cNvGraphicFramePr/>
                <a:graphic xmlns:a="http://schemas.openxmlformats.org/drawingml/2006/main">
                  <a:graphicData uri="http://schemas.microsoft.com/office/word/2010/wordprocessingGroup">
                    <wpg:wgp>
                      <wpg:cNvGrpSpPr/>
                      <wpg:grpSpPr>
                        <a:xfrm>
                          <a:off x="0" y="0"/>
                          <a:ext cx="403860" cy="1270"/>
                          <a:chOff x="4961" y="396"/>
                          <a:chExt cx="636" cy="2"/>
                        </a:xfrm>
                        <a:effectLst/>
                      </wpg:grpSpPr>
                      <wps:wsp>
                        <wps:cNvPr id="16" name="任意多边形 39"/>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8.05pt;margin-top:19.75pt;height:0.1pt;width:31.8pt;mso-position-horizontal-relative:page;z-index:-251643904;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EjDrmHaAAAACQEAAA8AAAAAAAAAAQAgAAAAIgAAAGRycy9kb3ducmV2LnhtbFBLAQIU&#10;ABQAAAAIAIdO4kByO27HnAIAANcFAAAOAAAAAAAAAAEAIAAAACkBAABkcnMvZTJvRG9jLnhtbFBL&#10;BQYAAAAABgAGAFkBAAA3BgAAAAA=&#10;">
                <o:lock v:ext="edit" aspectratio="f"/>
                <v:shape id="任意多边形 39" o:spid="_x0000_s1026" o:spt="100" style="position:absolute;left:4961;top:396;height:2;width:636;" filled="f" stroked="t" coordsize="636,1" o:gfxdata="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5tvFK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2ACABD42">
      <w:pPr>
        <w:pStyle w:val="11"/>
        <w:tabs>
          <w:tab w:val="left" w:pos="2884"/>
        </w:tabs>
        <w:spacing w:line="142" w:lineRule="exact"/>
        <w:ind w:firstLine="2520" w:firstLineChars="1800"/>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73600" behindDoc="1" locked="0" layoutInCell="1" allowOverlap="1">
                <wp:simplePos x="0" y="0"/>
                <wp:positionH relativeFrom="page">
                  <wp:posOffset>3289300</wp:posOffset>
                </wp:positionH>
                <wp:positionV relativeFrom="paragraph">
                  <wp:posOffset>29845</wp:posOffset>
                </wp:positionV>
                <wp:extent cx="296545" cy="24638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a:effectLst/>
                      </wps:spPr>
                      <wps:txbx>
                        <w:txbxContent>
                          <w:p w14:paraId="47875231">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_x0000_s1026" o:spid="_x0000_s1026" o:spt="202" type="#_x0000_t202" style="position:absolute;left:0pt;margin-left:259pt;margin-top:2.35pt;height:19.4pt;width:23.35pt;mso-position-horizontal-relative:page;z-index:-251642880;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5C8xnXAAAACAEAAA8AAAAAAAAAAQAgAAAAIgAAAGRycy9k&#10;b3ducmV2LnhtbFBLAQIUABQAAAAIAIdO4kC7W5FxygEAAI8DAAAOAAAAAAAAAAEAIAAAACYBAABk&#10;cnMvZTJvRG9jLnhtbFBLBQYAAAAABgAGAFkBAABiBQAAAAA=&#10;">
                <v:fill on="f" focussize="0,0"/>
                <v:stroke on="f"/>
                <v:imagedata o:title=""/>
                <o:lock v:ext="edit" aspectratio="f"/>
                <v:textbox inset="0mm,0mm,0mm,0mm">
                  <w:txbxContent>
                    <w:p w14:paraId="47875231">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rFonts w:hint="eastAsia" w:ascii="宋体" w:hAnsi="宋体" w:eastAsia="宋体" w:cs="宋体"/>
          <w:color w:val="auto"/>
          <w:sz w:val="14"/>
          <w:szCs w:val="14"/>
          <w:highlight w:val="none"/>
        </w:rPr>
        <w:t>1    0</w:t>
      </w:r>
    </w:p>
    <w:p w14:paraId="1213BFF2">
      <w:pPr>
        <w:pStyle w:val="11"/>
        <w:spacing w:before="26"/>
        <w:ind w:left="3521" w:right="4781"/>
        <w:jc w:val="center"/>
        <w:rPr>
          <w:rFonts w:hint="eastAsia" w:ascii="宋体" w:hAnsi="宋体" w:eastAsia="宋体" w:cs="宋体"/>
          <w:color w:val="auto"/>
          <w:sz w:val="14"/>
          <w:szCs w:val="14"/>
          <w:highlight w:val="none"/>
        </w:rPr>
      </w:pPr>
    </w:p>
    <w:p w14:paraId="4038BD76">
      <w:pPr>
        <w:spacing w:before="3" w:line="120" w:lineRule="exact"/>
        <w:rPr>
          <w:rFonts w:hint="eastAsia" w:ascii="宋体" w:hAnsi="宋体" w:eastAsia="宋体" w:cs="宋体"/>
          <w:color w:val="auto"/>
          <w:sz w:val="12"/>
          <w:szCs w:val="12"/>
          <w:highlight w:val="none"/>
        </w:rPr>
      </w:pPr>
    </w:p>
    <w:p w14:paraId="37950967">
      <w:pPr>
        <w:wordWrap w:val="0"/>
        <w:adjustRightInd w:val="0"/>
        <w:snapToGrid w:val="0"/>
        <w:spacing w:line="440" w:lineRule="exact"/>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snapToGrid w:val="0"/>
          <w:color w:val="auto"/>
          <w:kern w:val="0"/>
          <w:szCs w:val="24"/>
          <w:highlight w:val="none"/>
        </w:rPr>
        <w:t>以上公式中，</w:t>
      </w:r>
      <w:r>
        <w:rPr>
          <w:rFonts w:hint="eastAsia" w:ascii="宋体" w:hAnsi="宋体" w:eastAsia="宋体" w:cs="宋体"/>
          <w:bCs/>
          <w:snapToGrid w:val="0"/>
          <w:color w:val="auto"/>
          <w:kern w:val="0"/>
          <w:szCs w:val="28"/>
          <w:highlight w:val="none"/>
        </w:rPr>
        <w:t>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为中标单价；F</w:t>
      </w:r>
      <w:r>
        <w:rPr>
          <w:rFonts w:hint="eastAsia" w:ascii="宋体" w:hAnsi="宋体" w:eastAsia="宋体" w:cs="宋体"/>
          <w:bCs/>
          <w:snapToGrid w:val="0"/>
          <w:color w:val="auto"/>
          <w:kern w:val="0"/>
          <w:szCs w:val="28"/>
          <w:highlight w:val="none"/>
          <w:vertAlign w:val="subscript"/>
        </w:rPr>
        <w:t>0</w:t>
      </w:r>
      <w:r>
        <w:rPr>
          <w:rFonts w:hint="eastAsia" w:ascii="宋体" w:hAnsi="宋体" w:eastAsia="宋体" w:cs="宋体"/>
          <w:bCs/>
          <w:snapToGrid w:val="0"/>
          <w:color w:val="auto"/>
          <w:kern w:val="0"/>
          <w:szCs w:val="28"/>
          <w:highlight w:val="none"/>
        </w:rPr>
        <w:t>为基准单价；F</w:t>
      </w:r>
      <w:r>
        <w:rPr>
          <w:rFonts w:hint="eastAsia" w:ascii="宋体" w:hAnsi="宋体" w:eastAsia="宋体" w:cs="宋体"/>
          <w:bCs/>
          <w:snapToGrid w:val="0"/>
          <w:color w:val="auto"/>
          <w:kern w:val="0"/>
          <w:szCs w:val="28"/>
          <w:highlight w:val="none"/>
          <w:vertAlign w:val="subscript"/>
        </w:rPr>
        <w:t>2</w:t>
      </w:r>
      <w:r>
        <w:rPr>
          <w:rFonts w:hint="eastAsia" w:ascii="宋体" w:hAnsi="宋体" w:eastAsia="宋体" w:cs="宋体"/>
          <w:bCs/>
          <w:snapToGrid w:val="0"/>
          <w:color w:val="auto"/>
          <w:kern w:val="0"/>
          <w:szCs w:val="28"/>
          <w:highlight w:val="none"/>
        </w:rPr>
        <w:t>为施工当月项目所在地工程造价管理机构发布的材料、工程设备单价；A为合同约定的材料、工程设备单价涨跌风险幅度值。</w:t>
      </w:r>
    </w:p>
    <w:p w14:paraId="73CB7F79">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bCs/>
          <w:snapToGrid w:val="0"/>
          <w:color w:val="auto"/>
          <w:kern w:val="0"/>
          <w:szCs w:val="24"/>
          <w:highlight w:val="none"/>
        </w:rPr>
        <w:t>2.3.6.3</w:t>
      </w:r>
      <w:r>
        <w:rPr>
          <w:rFonts w:hint="eastAsia" w:ascii="宋体" w:hAnsi="宋体" w:eastAsia="宋体" w:cs="宋体"/>
          <w:snapToGrid w:val="0"/>
          <w:color w:val="auto"/>
          <w:kern w:val="0"/>
          <w:szCs w:val="24"/>
          <w:highlight w:val="none"/>
        </w:rPr>
        <w:t xml:space="preserve"> 合同履行期间，当《发包人提供材料和工程设备一览表》（详见招标工程量清单）中的材料、工程设备单价发生变化时，由发包人按照实际变化调整，并列入合同价款。</w:t>
      </w:r>
    </w:p>
    <w:p w14:paraId="1647916E">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2.3.6.4</w:t>
      </w:r>
      <w:r>
        <w:rPr>
          <w:rFonts w:hint="eastAsia" w:ascii="宋体" w:hAnsi="宋体" w:eastAsia="宋体" w:cs="宋体"/>
          <w:snapToGrid w:val="0"/>
          <w:color w:val="auto"/>
          <w:kern w:val="0"/>
          <w:szCs w:val="24"/>
          <w:highlight w:val="none"/>
        </w:rPr>
        <w:t xml:space="preserve"> 本招标项目约定，施工机具台班单价涨跌风险幅度值B为</w:t>
      </w:r>
      <w:r>
        <w:rPr>
          <w:rFonts w:hint="eastAsia" w:ascii="宋体" w:hAnsi="宋体" w:eastAsia="宋体" w:cs="宋体"/>
          <w:snapToGrid w:val="0"/>
          <w:color w:val="auto"/>
          <w:kern w:val="0"/>
          <w:szCs w:val="24"/>
          <w:highlight w:val="none"/>
          <w:u w:val="single"/>
        </w:rPr>
        <w:t xml:space="preserve"> 10% </w:t>
      </w:r>
      <w:r>
        <w:rPr>
          <w:rFonts w:hint="eastAsia" w:ascii="宋体" w:hAnsi="宋体" w:eastAsia="宋体" w:cs="宋体"/>
          <w:snapToGrid w:val="0"/>
          <w:color w:val="auto"/>
          <w:kern w:val="0"/>
          <w:szCs w:val="24"/>
          <w:highlight w:val="none"/>
        </w:rPr>
        <w:t>。合同履行期间，当施工机具台班单价涨跌幅度等于或低于B值时，该施工机具台班单价不予调整；超过B值时，其超过部分可以调整。相关费用按有关规定进行相应调整。</w:t>
      </w:r>
    </w:p>
    <w:p w14:paraId="1AD9618F">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a</w:t>
      </w:r>
      <w:r>
        <w:rPr>
          <w:rFonts w:hint="eastAsia" w:ascii="宋体" w:hAnsi="宋体" w:eastAsia="宋体" w:cs="宋体"/>
          <w:snapToGrid w:val="0"/>
          <w:color w:val="auto"/>
          <w:kern w:val="0"/>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0B210D0E">
      <w:pPr>
        <w:spacing w:line="418" w:lineRule="exact"/>
        <w:ind w:left="120" w:firstLine="241" w:firstLineChars="100"/>
        <w:jc w:val="left"/>
        <w:rPr>
          <w:rFonts w:hint="eastAsia" w:ascii="宋体" w:hAnsi="宋体" w:eastAsia="宋体" w:cs="宋体"/>
          <w:color w:val="auto"/>
          <w:szCs w:val="24"/>
          <w:highlight w:val="none"/>
        </w:rPr>
      </w:pPr>
      <w:r>
        <w:rPr>
          <w:rFonts w:hint="eastAsia" w:ascii="宋体" w:hAnsi="宋体" w:eastAsia="宋体" w:cs="宋体"/>
          <w:b/>
          <w:bCs/>
          <w:color w:val="auto"/>
          <w:highlight w:val="none"/>
        </w:rPr>
        <mc:AlternateContent>
          <mc:Choice Requires="wpg">
            <w:drawing>
              <wp:anchor distT="0" distB="0" distL="114300" distR="114300" simplePos="0" relativeHeight="251674624" behindDoc="0" locked="0" layoutInCell="1" allowOverlap="1">
                <wp:simplePos x="0" y="0"/>
                <wp:positionH relativeFrom="page">
                  <wp:posOffset>3107055</wp:posOffset>
                </wp:positionH>
                <wp:positionV relativeFrom="paragraph">
                  <wp:posOffset>259715</wp:posOffset>
                </wp:positionV>
                <wp:extent cx="403860" cy="1270"/>
                <wp:effectExtent l="0" t="0" r="0" b="0"/>
                <wp:wrapNone/>
                <wp:docPr id="41" name="组合 41"/>
                <wp:cNvGraphicFramePr/>
                <a:graphic xmlns:a="http://schemas.openxmlformats.org/drawingml/2006/main">
                  <a:graphicData uri="http://schemas.microsoft.com/office/word/2010/wordprocessingGroup">
                    <wpg:wgp>
                      <wpg:cNvGrpSpPr/>
                      <wpg:grpSpPr>
                        <a:xfrm>
                          <a:off x="0" y="0"/>
                          <a:ext cx="403860" cy="1270"/>
                          <a:chOff x="4894" y="410"/>
                          <a:chExt cx="636" cy="2"/>
                        </a:xfrm>
                        <a:effectLst/>
                      </wpg:grpSpPr>
                      <wps:wsp>
                        <wps:cNvPr id="21" name="任意多边形 42"/>
                        <wps:cNvSpPr/>
                        <wps:spPr>
                          <a:xfrm>
                            <a:off x="4894" y="410"/>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4.65pt;margin-top:20.45pt;height:0.1pt;width:31.8pt;mso-position-horizontal-relative:page;z-index:251674624;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UT1lkNkAAAAJAQAADwAAAAAAAAABACAAAAAiAAAAZHJzL2Rvd25yZXYueG1sUEsBAhQA&#10;FAAAAAgAh07iQG7mfNWcAgAA1wUAAA4AAAAAAAAAAQAgAAAAKAEAAGRycy9lMm9Eb2MueG1sUEsF&#10;BgAAAAAGAAYAWQEAADYGAAAAAA==&#10;">
                <o:lock v:ext="edit" aspectratio="f"/>
                <v:shape id="任意多边形 42" o:spid="_x0000_s1026" o:spt="100" style="position:absolute;left:4894;top:410;height:2;width:636;" filled="f" stroked="t" coordsize="636,1" o:gfxdata="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jum7sAAADb&#10;AAAADwAAAAAAAAABACAAAAAiAAAAZHJzL2Rvd25yZXYueG1sUEsBAhQAFAAAAAgAh07iQDMvBZ47&#10;AAAAOQAAABAAAAAAAAAAAQAgAAAACgEAAGRycy9zaGFwZXhtbC54bWxQSwUGAAAAAAYABgBbAQAA&#10;tAM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28"/>
          <w:szCs w:val="28"/>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28"/>
          <w:szCs w:val="28"/>
          <w:highlight w:val="none"/>
        </w:rPr>
        <w:t>F</w:t>
      </w:r>
      <w:r>
        <w:rPr>
          <w:rFonts w:hint="eastAsia" w:ascii="宋体" w:hAnsi="宋体" w:eastAsia="宋体" w:cs="宋体"/>
          <w:color w:val="auto"/>
          <w:spacing w:val="15"/>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456E3453">
      <w:pPr>
        <w:pStyle w:val="11"/>
        <w:tabs>
          <w:tab w:val="left" w:pos="2817"/>
        </w:tabs>
        <w:spacing w:after="0" w:line="200" w:lineRule="exact"/>
        <w:ind w:left="2426"/>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mc:AlternateContent>
          <mc:Choice Requires="wps">
            <w:drawing>
              <wp:anchor distT="0" distB="0" distL="114300" distR="114300" simplePos="0" relativeHeight="251675648" behindDoc="0" locked="0" layoutInCell="1" allowOverlap="1">
                <wp:simplePos x="0" y="0"/>
                <wp:positionH relativeFrom="page">
                  <wp:posOffset>3246755</wp:posOffset>
                </wp:positionH>
                <wp:positionV relativeFrom="paragraph">
                  <wp:posOffset>29845</wp:posOffset>
                </wp:positionV>
                <wp:extent cx="220980" cy="24638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a:effectLst/>
                      </wps:spPr>
                      <wps:txbx>
                        <w:txbxContent>
                          <w:p w14:paraId="206D93FF">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5.65pt;margin-top:2.35pt;height:19.4pt;width:17.4pt;mso-position-horizontal-relative:page;z-index:251675648;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VseIJ1wAAAAgBAAAPAAAAAAAAAAEAIAAAACIAAABkcnMvZG93&#10;bnJldi54bWxQSwECFAAUAAAACACHTuJAG6mmQcgBAACPAwAADgAAAAAAAAABACAAAAAmAQAAZHJz&#10;L2Uyb0RvYy54bWxQSwUGAAAAAAYABgBZAQAAYAUAAAAA&#10;">
                <v:fill on="f" focussize="0,0"/>
                <v:stroke on="f"/>
                <v:imagedata o:title=""/>
                <o:lock v:ext="edit" aspectratio="f"/>
                <v:textbox inset="0mm,0mm,0mm,0mm">
                  <w:txbxContent>
                    <w:p w14:paraId="206D93FF">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rPr>
        <w:tab/>
      </w:r>
      <w:r>
        <w:rPr>
          <w:rFonts w:hint="eastAsia" w:ascii="宋体" w:hAnsi="宋体" w:eastAsia="宋体" w:cs="宋体"/>
          <w:color w:val="auto"/>
          <w:sz w:val="15"/>
          <w:szCs w:val="15"/>
          <w:highlight w:val="none"/>
        </w:rPr>
        <w:t>0</w:t>
      </w:r>
    </w:p>
    <w:p w14:paraId="5F906F7C">
      <w:pPr>
        <w:pStyle w:val="11"/>
        <w:spacing w:after="0" w:line="240" w:lineRule="exact"/>
        <w:ind w:left="3454" w:right="4848"/>
        <w:jc w:val="center"/>
        <w:rPr>
          <w:rFonts w:hint="eastAsia" w:ascii="宋体" w:hAnsi="宋体" w:eastAsia="宋体" w:cs="宋体"/>
          <w:color w:val="auto"/>
          <w:sz w:val="15"/>
          <w:szCs w:val="15"/>
          <w:highlight w:val="none"/>
        </w:rPr>
      </w:pPr>
    </w:p>
    <w:p w14:paraId="538C9BB6">
      <w:pPr>
        <w:spacing w:before="4" w:line="170" w:lineRule="exact"/>
        <w:rPr>
          <w:rFonts w:hint="eastAsia" w:ascii="宋体" w:hAnsi="宋体" w:eastAsia="宋体" w:cs="宋体"/>
          <w:color w:val="auto"/>
          <w:sz w:val="17"/>
          <w:szCs w:val="17"/>
          <w:highlight w:val="none"/>
        </w:rPr>
      </w:pPr>
    </w:p>
    <w:p w14:paraId="2B55985B">
      <w:pPr>
        <w:spacing w:line="404"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76672" behindDoc="0" locked="0" layoutInCell="1" allowOverlap="1">
                <wp:simplePos x="0" y="0"/>
                <wp:positionH relativeFrom="page">
                  <wp:posOffset>3048635</wp:posOffset>
                </wp:positionH>
                <wp:positionV relativeFrom="paragraph">
                  <wp:posOffset>222250</wp:posOffset>
                </wp:positionV>
                <wp:extent cx="388620" cy="1270"/>
                <wp:effectExtent l="0" t="0" r="0" b="0"/>
                <wp:wrapNone/>
                <wp:docPr id="42" name="组合 42"/>
                <wp:cNvGraphicFramePr/>
                <a:graphic xmlns:a="http://schemas.openxmlformats.org/drawingml/2006/main">
                  <a:graphicData uri="http://schemas.microsoft.com/office/word/2010/wordprocessingGroup">
                    <wpg:wgp>
                      <wpg:cNvGrpSpPr/>
                      <wpg:grpSpPr>
                        <a:xfrm>
                          <a:off x="0" y="0"/>
                          <a:ext cx="388620" cy="1270"/>
                          <a:chOff x="4937" y="395"/>
                          <a:chExt cx="612" cy="2"/>
                        </a:xfrm>
                        <a:effectLst/>
                      </wpg:grpSpPr>
                      <wps:wsp>
                        <wps:cNvPr id="24" name="任意多边形 45"/>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0.05pt;margin-top:17.5pt;height:0.1pt;width:30.6pt;mso-position-horizontal-relative:page;z-index:251676672;mso-width-relative:page;mso-height-relative:page;" coordorigin="4937,395" coordsize="612,2" o:gfxdata="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qOHGc2QAAAAkBAAAPAAAAAAAAAAEAIAAAACIAAABkcnMvZG93bnJldi54&#10;bWxQSwECFAAUAAAACACHTuJArX2vQKQCAADXBQAADgAAAAAAAAABACAAAAAoAQAAZHJzL2Uyb0Rv&#10;Yy54bWxQSwUGAAAAAAYABgBZAQAAPgYAAAAA&#10;">
                <o:lock v:ext="edit" aspectratio="f"/>
                <v:shape id="任意多边形 45" o:spid="_x0000_s1026" o:spt="100" style="position:absolute;left:4937;top:395;height:2;width:612;" filled="f" stroked="t" coordsize="612,1" o:gfxdata="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GTG+/&#10;AAAA2wAAAA8AAAAAAAAAAQAgAAAAIgAAAGRycy9kb3ducmV2LnhtbFBLAQIUABQAAAAIAIdO4kAz&#10;LwWeOwAAADkAAAAQAAAAAAAAAAEAIAAAAA4BAABkcnMvc2hhcGV4bWwueG1sUEsFBgAAAAAGAAYA&#10;WwEAALgDAAAAAA==&#10;" path="m0,0l612,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3"/>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30"/>
          <w:szCs w:val="30"/>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32"/>
          <w:szCs w:val="32"/>
          <w:highlight w:val="none"/>
        </w:rPr>
        <w:t>F</w:t>
      </w:r>
      <w:r>
        <w:rPr>
          <w:rFonts w:hint="eastAsia" w:ascii="宋体" w:hAnsi="宋体" w:eastAsia="宋体" w:cs="宋体"/>
          <w:color w:val="auto"/>
          <w:spacing w:val="-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1"/>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39"/>
          <w:position w:val="15"/>
          <w:szCs w:val="24"/>
          <w:highlight w:val="none"/>
        </w:rPr>
        <w:t>F</w:t>
      </w:r>
      <w:r>
        <w:rPr>
          <w:rFonts w:hint="eastAsia" w:ascii="宋体" w:hAnsi="宋体" w:eastAsia="宋体" w:cs="宋体"/>
          <w:color w:val="auto"/>
          <w:position w:val="9"/>
          <w:sz w:val="14"/>
          <w:szCs w:val="14"/>
          <w:highlight w:val="none"/>
        </w:rPr>
        <w:t>1</w:t>
      </w:r>
      <w:r>
        <w:rPr>
          <w:rFonts w:hint="eastAsia" w:ascii="宋体" w:hAnsi="宋体" w:eastAsia="宋体" w:cs="宋体"/>
          <w:color w:val="auto"/>
          <w:spacing w:val="1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59B7EC88">
      <w:pPr>
        <w:pStyle w:val="11"/>
        <w:tabs>
          <w:tab w:val="left" w:pos="2870"/>
        </w:tabs>
        <w:spacing w:line="142" w:lineRule="exact"/>
        <w:ind w:left="2490"/>
        <w:jc w:val="left"/>
        <w:rPr>
          <w:rFonts w:hint="eastAsia" w:ascii="宋体" w:hAnsi="宋体" w:eastAsia="宋体" w:cs="宋体"/>
          <w:color w:val="auto"/>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77696" behindDoc="0" locked="0" layoutInCell="1" allowOverlap="1">
                <wp:simplePos x="0" y="0"/>
                <wp:positionH relativeFrom="page">
                  <wp:posOffset>3274060</wp:posOffset>
                </wp:positionH>
                <wp:positionV relativeFrom="paragraph">
                  <wp:posOffset>29845</wp:posOffset>
                </wp:positionV>
                <wp:extent cx="231140" cy="19875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a:effectLst/>
                      </wps:spPr>
                      <wps:txbx>
                        <w:txbxContent>
                          <w:p w14:paraId="65AC1867">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_x0000_s1026" o:spid="_x0000_s1026" o:spt="202" type="#_x0000_t202" style="position:absolute;left:0pt;margin-left:257.8pt;margin-top:2.35pt;height:15.65pt;width:18.2pt;mso-position-horizontal-relative:page;z-index:251677696;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eW1FbXAAAACAEAAA8AAAAAAAAAAQAgAAAAIgAAAGRycy9k&#10;b3ducmV2LnhtbFBLAQIUABQAAAAIAIdO4kD4rfATygEAAI8DAAAOAAAAAAAAAAEAIAAAACYBAABk&#10;cnMvZTJvRG9jLnhtbFBLBQYAAAAABgAGAFkBAABiBQAAAAA=&#10;">
                <v:fill on="f" focussize="0,0"/>
                <v:stroke on="f"/>
                <v:imagedata o:title=""/>
                <o:lock v:ext="edit" aspectratio="f"/>
                <v:textbox inset="0mm,0mm,0mm,0mm">
                  <w:txbxContent>
                    <w:p w14:paraId="65AC1867">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 xml:space="preserve"> 1</w:t>
      </w:r>
    </w:p>
    <w:p w14:paraId="34675FDF">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b</w:t>
      </w:r>
      <w:r>
        <w:rPr>
          <w:rFonts w:hint="eastAsia" w:ascii="宋体" w:hAnsi="宋体" w:eastAsia="宋体" w:cs="宋体"/>
          <w:snapToGrid w:val="0"/>
          <w:color w:val="auto"/>
          <w:kern w:val="0"/>
          <w:szCs w:val="24"/>
          <w:highlight w:val="none"/>
        </w:rPr>
        <w:t>．如果中标单价高于基准单价，该施工机具台班的结算单价调整公式为：</w:t>
      </w:r>
    </w:p>
    <w:p w14:paraId="587FCCFA">
      <w:pPr>
        <w:spacing w:line="404" w:lineRule="exact"/>
        <w:ind w:left="120" w:firstLine="240" w:firstLineChars="100"/>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84864" behindDoc="0" locked="0" layoutInCell="1" allowOverlap="1">
                <wp:simplePos x="0" y="0"/>
                <wp:positionH relativeFrom="page">
                  <wp:posOffset>2962910</wp:posOffset>
                </wp:positionH>
                <wp:positionV relativeFrom="paragraph">
                  <wp:posOffset>234315</wp:posOffset>
                </wp:positionV>
                <wp:extent cx="388620" cy="1270"/>
                <wp:effectExtent l="0" t="0" r="0" b="0"/>
                <wp:wrapNone/>
                <wp:docPr id="5" name="组合 5"/>
                <wp:cNvGraphicFramePr/>
                <a:graphic xmlns:a="http://schemas.openxmlformats.org/drawingml/2006/main">
                  <a:graphicData uri="http://schemas.microsoft.com/office/word/2010/wordprocessingGroup">
                    <wpg:wgp>
                      <wpg:cNvGrpSpPr/>
                      <wpg:grpSpPr>
                        <a:xfrm>
                          <a:off x="0" y="0"/>
                          <a:ext cx="388620" cy="1270"/>
                          <a:chOff x="4937" y="395"/>
                          <a:chExt cx="612" cy="2"/>
                        </a:xfrm>
                        <a:effectLst/>
                      </wpg:grpSpPr>
                      <wps:wsp>
                        <wps:cNvPr id="8" name="任意多边形 45"/>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33.3pt;margin-top:18.45pt;height:0.1pt;width:30.6pt;mso-position-horizontal-relative:page;z-index:251684864;mso-width-relative:page;mso-height-relative:page;" coordorigin="4937,395" coordsize="612,2" o:gfxdata="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v2y3ldoAAAAJAQAADwAAAAAAAAABACAAAAAiAAAAZHJzL2Rvd25yZXYueG1sUEsBAhQA&#10;FAAAAAgAh07iQOkxYjmbAgAA1AUAAA4AAAAAAAAAAQAgAAAAKQEAAGRycy9lMm9Eb2MueG1sUEsF&#10;BgAAAAAGAAYAWQEAADYGAAAAAA==&#10;">
                <o:lock v:ext="edit" aspectratio="f"/>
                <v:shape id="任意多边形 45" o:spid="_x0000_s1026" o:spt="100" style="position:absolute;left:4937;top:395;height:2;width:612;" filled="f" stroked="t" coordsize="612,1" o:gfxdata="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6zlbsAAADa&#10;AAAADwAAAAAAAAABACAAAAAiAAAAZHJzL2Rvd25yZXYueG1sUEsBAhQAFAAAAAgAh07iQDMvBZ47&#10;AAAAOQAAABAAAAAAAAAAAQAgAAAACgEAAGRycy9zaGFwZXhtbC54bWxQSwUGAAAAAAYABgBbAQAA&#10;tAMAAAAA&#10;" path="m0,0l612,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32"/>
          <w:szCs w:val="32"/>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32"/>
          <w:szCs w:val="32"/>
          <w:highlight w:val="none"/>
        </w:rPr>
        <w:t>F</w:t>
      </w:r>
      <w:r>
        <w:rPr>
          <w:rFonts w:hint="eastAsia" w:ascii="宋体" w:hAnsi="宋体" w:eastAsia="宋体" w:cs="宋体"/>
          <w:color w:val="auto"/>
          <w:spacing w:val="-7"/>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39"/>
          <w:position w:val="15"/>
          <w:szCs w:val="24"/>
          <w:highlight w:val="none"/>
        </w:rPr>
        <w:t>F</w:t>
      </w:r>
      <w:r>
        <w:rPr>
          <w:rFonts w:hint="eastAsia" w:ascii="宋体" w:hAnsi="宋体" w:eastAsia="宋体" w:cs="宋体"/>
          <w:color w:val="auto"/>
          <w:position w:val="9"/>
          <w:sz w:val="14"/>
          <w:szCs w:val="14"/>
          <w:highlight w:val="none"/>
        </w:rPr>
        <w:t>1</w:t>
      </w:r>
      <w:r>
        <w:rPr>
          <w:rFonts w:hint="eastAsia" w:ascii="宋体" w:hAnsi="宋体" w:eastAsia="宋体" w:cs="宋体"/>
          <w:color w:val="auto"/>
          <w:spacing w:val="1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761074CB">
      <w:pPr>
        <w:pStyle w:val="11"/>
        <w:tabs>
          <w:tab w:val="left" w:pos="2815"/>
        </w:tabs>
        <w:spacing w:line="142" w:lineRule="exact"/>
        <w:ind w:firstLine="2520" w:firstLineChars="1800"/>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78720" behindDoc="0" locked="0" layoutInCell="1" allowOverlap="1">
                <wp:simplePos x="0" y="0"/>
                <wp:positionH relativeFrom="page">
                  <wp:posOffset>3239135</wp:posOffset>
                </wp:positionH>
                <wp:positionV relativeFrom="paragraph">
                  <wp:posOffset>29845</wp:posOffset>
                </wp:positionV>
                <wp:extent cx="288290" cy="25527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a:effectLst/>
                      </wps:spPr>
                      <wps:txbx>
                        <w:txbxContent>
                          <w:p w14:paraId="65A89792">
                            <w:r>
                              <w:rPr>
                                <w:rFonts w:ascii="Times New Roman" w:eastAsia="Times New Roman"/>
                                <w:spacing w:val="-39"/>
                                <w:position w:val="15"/>
                                <w:szCs w:val="24"/>
                              </w:rPr>
                              <w:t>F</w:t>
                            </w:r>
                            <w:r>
                              <w:rPr>
                                <w:rFonts w:ascii="Times New Roman" w:eastAsia="Times New Roman"/>
                                <w:position w:val="9"/>
                                <w:sz w:val="14"/>
                                <w:szCs w:val="14"/>
                              </w:rPr>
                              <w:t>1</w:t>
                            </w:r>
                          </w:p>
                          <w:p w14:paraId="1977BB49"/>
                        </w:txbxContent>
                      </wps:txbx>
                      <wps:bodyPr wrap="square" lIns="0" tIns="0" rIns="0" bIns="0" upright="1"/>
                    </wps:wsp>
                  </a:graphicData>
                </a:graphic>
              </wp:anchor>
            </w:drawing>
          </mc:Choice>
          <mc:Fallback>
            <w:pict>
              <v:shape id="_x0000_s1026" o:spid="_x0000_s1026" o:spt="202" type="#_x0000_t202" style="position:absolute;left:0pt;margin-left:255.05pt;margin-top:2.35pt;height:20.1pt;width:22.7pt;mso-position-horizontal-relative:page;z-index:251678720;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zZ/is1gAAAAgBAAAPAAAAAAAAAAEAIAAAACIAAABkcnMvZG93&#10;bnJldi54bWxQSwECFAAUAAAACACHTuJAB5KzS8kBAACPAwAADgAAAAAAAAABACAAAAAlAQAAZHJz&#10;L2Uyb0RvYy54bWxQSwUGAAAAAAYABgBZAQAAYAUAAAAA&#10;">
                <v:fill on="f" focussize="0,0"/>
                <v:stroke on="f"/>
                <v:imagedata o:title=""/>
                <o:lock v:ext="edit" aspectratio="f"/>
                <v:textbox inset="0mm,0mm,0mm,0mm">
                  <w:txbxContent>
                    <w:p w14:paraId="65A89792">
                      <w:r>
                        <w:rPr>
                          <w:rFonts w:ascii="Times New Roman" w:eastAsia="Times New Roman"/>
                          <w:spacing w:val="-39"/>
                          <w:position w:val="15"/>
                          <w:szCs w:val="24"/>
                        </w:rPr>
                        <w:t>F</w:t>
                      </w:r>
                      <w:r>
                        <w:rPr>
                          <w:rFonts w:ascii="Times New Roman" w:eastAsia="Times New Roman"/>
                          <w:position w:val="9"/>
                          <w:sz w:val="14"/>
                          <w:szCs w:val="14"/>
                        </w:rPr>
                        <w:t>1</w:t>
                      </w:r>
                    </w:p>
                    <w:p w14:paraId="1977BB49"/>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 xml:space="preserve">  1</w:t>
      </w:r>
    </w:p>
    <w:p w14:paraId="74E4985A">
      <w:pPr>
        <w:pStyle w:val="11"/>
        <w:spacing w:before="26"/>
        <w:ind w:left="3441" w:right="4885"/>
        <w:jc w:val="center"/>
        <w:rPr>
          <w:rFonts w:hint="eastAsia" w:ascii="宋体" w:hAnsi="宋体" w:eastAsia="宋体" w:cs="宋体"/>
          <w:color w:val="auto"/>
          <w:sz w:val="20"/>
          <w:highlight w:val="none"/>
        </w:rPr>
      </w:pPr>
    </w:p>
    <w:p w14:paraId="69C30807">
      <w:pPr>
        <w:spacing w:before="3" w:line="170" w:lineRule="exact"/>
        <w:rPr>
          <w:rFonts w:hint="eastAsia" w:ascii="宋体" w:hAnsi="宋体" w:eastAsia="宋体" w:cs="宋体"/>
          <w:color w:val="auto"/>
          <w:sz w:val="17"/>
          <w:szCs w:val="17"/>
          <w:highlight w:val="none"/>
        </w:rPr>
      </w:pPr>
    </w:p>
    <w:p w14:paraId="269888D8">
      <w:pPr>
        <w:spacing w:line="404"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79744"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45" name="组合 45"/>
                <wp:cNvGraphicFramePr/>
                <a:graphic xmlns:a="http://schemas.openxmlformats.org/drawingml/2006/main">
                  <a:graphicData uri="http://schemas.microsoft.com/office/word/2010/wordprocessingGroup">
                    <wpg:wgp>
                      <wpg:cNvGrpSpPr/>
                      <wpg:grpSpPr>
                        <a:xfrm>
                          <a:off x="0" y="0"/>
                          <a:ext cx="403860" cy="1270"/>
                          <a:chOff x="4961" y="396"/>
                          <a:chExt cx="636" cy="2"/>
                        </a:xfrm>
                        <a:effectLst/>
                      </wpg:grpSpPr>
                      <wps:wsp>
                        <wps:cNvPr id="28" name="任意多边形 49"/>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8.05pt;margin-top:19.75pt;height:0.1pt;width:31.8pt;mso-position-horizontal-relative:page;z-index:251679744;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SMOuYdoAAAAJAQAADwAAAAAAAAABACAAAAAiAAAAZHJzL2Rvd25yZXYueG1sUEsB&#10;AhQAFAAAAAgAh07iQPuOubeeAgAA1wUAAA4AAAAAAAAAAQAgAAAAKQEAAGRycy9lMm9Eb2MueG1s&#10;UEsFBgAAAAAGAAYAWQEAADkGAAAAAA==&#10;">
                <o:lock v:ext="edit" aspectratio="f"/>
                <v:shape id="任意多边形 49" o:spid="_x0000_s1026" o:spt="100" style="position:absolute;left:4961;top:396;height:2;width:636;" filled="f" stroked="t" coordsize="636,1" o:gfxdata="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7SRwa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23C51162">
      <w:pPr>
        <w:pStyle w:val="11"/>
        <w:tabs>
          <w:tab w:val="left" w:pos="2884"/>
        </w:tabs>
        <w:spacing w:line="142" w:lineRule="exact"/>
        <w:ind w:firstLine="2520" w:firstLineChars="1800"/>
        <w:jc w:val="left"/>
        <w:rPr>
          <w:rFonts w:hint="eastAsia" w:ascii="宋体" w:hAnsi="宋体" w:eastAsia="宋体" w:cs="宋体"/>
          <w:color w:val="auto"/>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80768" behindDoc="0" locked="0" layoutInCell="1" allowOverlap="1">
                <wp:simplePos x="0" y="0"/>
                <wp:positionH relativeFrom="page">
                  <wp:posOffset>3289300</wp:posOffset>
                </wp:positionH>
                <wp:positionV relativeFrom="paragraph">
                  <wp:posOffset>29845</wp:posOffset>
                </wp:positionV>
                <wp:extent cx="220980" cy="29337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a:effectLst/>
                      </wps:spPr>
                      <wps:txbx>
                        <w:txbxContent>
                          <w:p w14:paraId="013FCA09">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9pt;margin-top:2.35pt;height:23.1pt;width:17.4pt;mso-position-horizontal-relative:page;z-index:251680768;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NpqnnYAAAACAEAAA8AAAAAAAAAAQAgAAAAIgAAAGRycy9k&#10;b3ducmV2LnhtbFBLAQIUABQAAAAIAIdO4kAs4XBeyQEAAI8DAAAOAAAAAAAAAAEAIAAAACcBAABk&#10;cnMvZTJvRG9jLnhtbFBLBQYAAAAABgAGAFkBAABiBQAAAAA=&#10;">
                <v:fill on="f" focussize="0,0"/>
                <v:stroke on="f"/>
                <v:imagedata o:title=""/>
                <o:lock v:ext="edit" aspectratio="f"/>
                <v:textbox inset="0mm,0mm,0mm,0mm">
                  <w:txbxContent>
                    <w:p w14:paraId="013FCA09">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4"/>
          <w:szCs w:val="14"/>
          <w:highlight w:val="none"/>
        </w:rPr>
        <w:t>1    0</w:t>
      </w:r>
    </w:p>
    <w:p w14:paraId="0C5B91B8">
      <w:pPr>
        <w:spacing w:line="200" w:lineRule="exact"/>
        <w:rPr>
          <w:rFonts w:hint="eastAsia" w:ascii="宋体" w:hAnsi="宋体" w:eastAsia="宋体" w:cs="宋体"/>
          <w:color w:val="auto"/>
          <w:sz w:val="20"/>
          <w:highlight w:val="none"/>
        </w:rPr>
      </w:pPr>
    </w:p>
    <w:p w14:paraId="5E5E77F3">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c</w:t>
      </w:r>
      <w:r>
        <w:rPr>
          <w:rFonts w:hint="eastAsia" w:ascii="宋体" w:hAnsi="宋体" w:eastAsia="宋体" w:cs="宋体"/>
          <w:snapToGrid w:val="0"/>
          <w:color w:val="auto"/>
          <w:kern w:val="0"/>
          <w:szCs w:val="24"/>
          <w:highlight w:val="none"/>
        </w:rPr>
        <w:t>．如果中标单价等于基准单价，该施工机具台班的结算单价调整公式为：</w:t>
      </w:r>
    </w:p>
    <w:p w14:paraId="4D24D13B">
      <w:pPr>
        <w:spacing w:line="404" w:lineRule="exact"/>
        <w:ind w:left="120" w:firstLine="240" w:firstLineChars="100"/>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85888" behindDoc="0" locked="0" layoutInCell="1" allowOverlap="1">
                <wp:simplePos x="0" y="0"/>
                <wp:positionH relativeFrom="page">
                  <wp:posOffset>2848610</wp:posOffset>
                </wp:positionH>
                <wp:positionV relativeFrom="paragraph">
                  <wp:posOffset>217805</wp:posOffset>
                </wp:positionV>
                <wp:extent cx="388620" cy="1270"/>
                <wp:effectExtent l="0" t="0" r="0" b="0"/>
                <wp:wrapNone/>
                <wp:docPr id="11" name="组合 11"/>
                <wp:cNvGraphicFramePr/>
                <a:graphic xmlns:a="http://schemas.openxmlformats.org/drawingml/2006/main">
                  <a:graphicData uri="http://schemas.microsoft.com/office/word/2010/wordprocessingGroup">
                    <wpg:wgp>
                      <wpg:cNvGrpSpPr/>
                      <wpg:grpSpPr>
                        <a:xfrm>
                          <a:off x="0" y="0"/>
                          <a:ext cx="388620" cy="1270"/>
                          <a:chOff x="4937" y="395"/>
                          <a:chExt cx="612" cy="2"/>
                        </a:xfrm>
                        <a:effectLst/>
                      </wpg:grpSpPr>
                      <wps:wsp>
                        <wps:cNvPr id="14" name="任意多边形 45"/>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24.3pt;margin-top:17.15pt;height:0.1pt;width:30.6pt;mso-position-horizontal-relative:page;z-index:251685888;mso-width-relative:page;mso-height-relative:page;" coordorigin="4937,395" coordsize="612,2" o:gfxdata="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6NUo2tkAAAAJAQAADwAAAAAAAAABACAAAAAiAAAAZHJzL2Rvd25yZXYueG1sUEsB&#10;AhQAFAAAAAgAh07iQGiPK3mfAgAA1wUAAA4AAAAAAAAAAQAgAAAAKAEAAGRycy9lMm9Eb2MueG1s&#10;UEsFBgAAAAAGAAYAWQEAADkGAAAAAA==&#10;">
                <o:lock v:ext="edit" aspectratio="f"/>
                <v:shape id="任意多边形 45" o:spid="_x0000_s1026" o:spt="100" style="position:absolute;left:4937;top:395;height:2;width:612;" filled="f" stroked="t" coordsize="612,1" o:gfxdata="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KobSvQAA&#10;ANsAAAAPAAAAAAAAAAEAIAAAACIAAABkcnMvZG93bnJldi54bWxQSwECFAAUAAAACACHTuJAMy8F&#10;njsAAAA5AAAAEAAAAAAAAAABACAAAAAMAQAAZHJzL3NoYXBleG1sLnhtbFBLBQYAAAAABgAGAFsB&#10;AAC2AwAAAAA=&#10;" path="m0,0l612,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5"/>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19DB5E1F">
      <w:pPr>
        <w:pStyle w:val="11"/>
        <w:tabs>
          <w:tab w:val="left" w:pos="2817"/>
        </w:tabs>
        <w:spacing w:line="142" w:lineRule="exact"/>
        <w:ind w:left="2424"/>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81792" behindDoc="0" locked="0" layoutInCell="1" allowOverlap="1">
                <wp:simplePos x="0" y="0"/>
                <wp:positionH relativeFrom="page">
                  <wp:posOffset>3246755</wp:posOffset>
                </wp:positionH>
                <wp:positionV relativeFrom="paragraph">
                  <wp:posOffset>29845</wp:posOffset>
                </wp:positionV>
                <wp:extent cx="163195" cy="20828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a:effectLst/>
                      </wps:spPr>
                      <wps:txbx>
                        <w:txbxContent>
                          <w:p w14:paraId="47599A6A">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5.65pt;margin-top:2.35pt;height:16.4pt;width:12.85pt;mso-position-horizontal-relative:page;z-index:251681792;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1M7ez2AAAAAgBAAAPAAAAAAAAAAEAIAAAACIAAABkcnMv&#10;ZG93bnJldi54bWxQSwECFAAUAAAACACHTuJAzkQvs8oBAACPAwAADgAAAAAAAAABACAAAAAnAQAA&#10;ZHJzL2Uyb0RvYy54bWxQSwUGAAAAAAYABgBZAQAAYwUAAAAA&#10;">
                <v:fill on="f" focussize="0,0"/>
                <v:stroke on="f"/>
                <v:imagedata o:title=""/>
                <o:lock v:ext="edit" aspectratio="f"/>
                <v:textbox inset="0mm,0mm,0mm,0mm">
                  <w:txbxContent>
                    <w:p w14:paraId="47599A6A">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0</w:t>
      </w:r>
    </w:p>
    <w:p w14:paraId="4A73E462">
      <w:pPr>
        <w:pStyle w:val="11"/>
        <w:spacing w:before="26"/>
        <w:ind w:left="3454" w:right="4848"/>
        <w:jc w:val="center"/>
        <w:rPr>
          <w:rFonts w:hint="eastAsia" w:ascii="宋体" w:hAnsi="宋体" w:eastAsia="宋体" w:cs="宋体"/>
          <w:color w:val="auto"/>
          <w:sz w:val="14"/>
          <w:szCs w:val="14"/>
          <w:highlight w:val="none"/>
          <w:lang w:val="en-US" w:eastAsia="zh-CN"/>
        </w:rPr>
      </w:pPr>
      <w:r>
        <w:rPr>
          <w:rFonts w:hint="eastAsia" w:ascii="宋体" w:hAnsi="宋体" w:eastAsia="宋体" w:cs="宋体"/>
          <w:color w:val="auto"/>
          <w:sz w:val="14"/>
          <w:szCs w:val="14"/>
          <w:highlight w:val="none"/>
          <w:lang w:val="en-US" w:eastAsia="zh-CN"/>
        </w:rPr>
        <w:t>x</w:t>
      </w:r>
    </w:p>
    <w:p w14:paraId="3DE7F123">
      <w:pPr>
        <w:spacing w:before="4" w:line="170" w:lineRule="exact"/>
        <w:rPr>
          <w:rFonts w:hint="eastAsia" w:ascii="宋体" w:hAnsi="宋体" w:eastAsia="宋体" w:cs="宋体"/>
          <w:color w:val="auto"/>
          <w:sz w:val="17"/>
          <w:szCs w:val="17"/>
          <w:highlight w:val="none"/>
        </w:rPr>
      </w:pPr>
    </w:p>
    <w:p w14:paraId="7A2F0507">
      <w:pPr>
        <w:spacing w:line="405"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82816"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46" name="组合 46"/>
                <wp:cNvGraphicFramePr/>
                <a:graphic xmlns:a="http://schemas.openxmlformats.org/drawingml/2006/main">
                  <a:graphicData uri="http://schemas.microsoft.com/office/word/2010/wordprocessingGroup">
                    <wpg:wgp>
                      <wpg:cNvGrpSpPr/>
                      <wpg:grpSpPr>
                        <a:xfrm>
                          <a:off x="0" y="0"/>
                          <a:ext cx="403860" cy="1270"/>
                          <a:chOff x="4961" y="396"/>
                          <a:chExt cx="636" cy="2"/>
                        </a:xfrm>
                        <a:effectLst/>
                      </wpg:grpSpPr>
                      <wps:wsp>
                        <wps:cNvPr id="32" name="任意多边形 53"/>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8.05pt;margin-top:19.75pt;height:0.1pt;width:31.8pt;mso-position-horizontal-relative:page;z-index:251682816;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Iw65h2gAAAAkBAAAPAAAAAAAAAAEAIAAAACIAAABkcnMvZG93bnJldi54bWxQ&#10;SwECFAAUAAAACACHTuJA2taWg6ACAADXBQAADgAAAAAAAAABACAAAAApAQAAZHJzL2Uyb0RvYy54&#10;bWxQSwUGAAAAAAYABgBZAQAAOwYAAAAA&#10;">
                <o:lock v:ext="edit" aspectratio="f"/>
                <v:shape id="任意多边形 53" o:spid="_x0000_s1026" o:spt="100" style="position:absolute;left:4961;top:396;height:2;width:636;" filled="f" stroked="t" coordsize="636,1" o:gfxdata="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j5jG8AAAA&#10;2wAAAA8AAAAAAAAAAQAgAAAAIgAAAGRycy9kb3ducmV2LnhtbFBLAQIUABQAAAAIAIdO4kAzLwWe&#10;OwAAADkAAAAQAAAAAAAAAAEAIAAAAAsBAABkcnMvc2hhcGV4bWwueG1sUEsFBgAAAAAGAAYAWwEA&#10;ALUDA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1FF45CF6">
      <w:pPr>
        <w:pStyle w:val="11"/>
        <w:tabs>
          <w:tab w:val="left" w:pos="2884"/>
        </w:tabs>
        <w:spacing w:line="142" w:lineRule="exact"/>
        <w:ind w:firstLine="2520" w:firstLineChars="1800"/>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83840" behindDoc="0" locked="0" layoutInCell="1" allowOverlap="1">
                <wp:simplePos x="0" y="0"/>
                <wp:positionH relativeFrom="page">
                  <wp:posOffset>3289300</wp:posOffset>
                </wp:positionH>
                <wp:positionV relativeFrom="paragraph">
                  <wp:posOffset>29845</wp:posOffset>
                </wp:positionV>
                <wp:extent cx="296545" cy="24638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a:effectLst/>
                      </wps:spPr>
                      <wps:txbx>
                        <w:txbxContent>
                          <w:p w14:paraId="52AC9BE9">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_x0000_s1026" o:spid="_x0000_s1026" o:spt="202" type="#_x0000_t202" style="position:absolute;left:0pt;margin-left:259pt;margin-top:2.35pt;height:19.4pt;width:23.35pt;mso-position-horizontal-relative:page;z-index:251683840;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eQvMZ1wAAAAgBAAAPAAAAAAAAAAEAIAAAACIAAABkcnMv&#10;ZG93bnJldi54bWxQSwECFAAUAAAACACHTuJAKGCBNMsBAACPAwAADgAAAAAAAAABACAAAAAmAQAA&#10;ZHJzL2Uyb0RvYy54bWxQSwUGAAAAAAYABgBZAQAAYwUAAAAA&#10;">
                <v:fill on="f" focussize="0,0"/>
                <v:stroke on="f"/>
                <v:imagedata o:title=""/>
                <o:lock v:ext="edit" aspectratio="f"/>
                <v:textbox inset="0mm,0mm,0mm,0mm">
                  <w:txbxContent>
                    <w:p w14:paraId="52AC9BE9">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rFonts w:hint="eastAsia" w:ascii="宋体" w:hAnsi="宋体" w:eastAsia="宋体" w:cs="宋体"/>
          <w:color w:val="auto"/>
          <w:sz w:val="14"/>
          <w:szCs w:val="14"/>
          <w:highlight w:val="none"/>
        </w:rPr>
        <w:t>1    0</w:t>
      </w:r>
    </w:p>
    <w:p w14:paraId="7D1EF219">
      <w:pPr>
        <w:pStyle w:val="11"/>
        <w:spacing w:before="26"/>
        <w:ind w:left="3521" w:right="4781"/>
        <w:jc w:val="center"/>
        <w:rPr>
          <w:rFonts w:hint="eastAsia" w:ascii="宋体" w:hAnsi="宋体" w:eastAsia="宋体" w:cs="宋体"/>
          <w:color w:val="auto"/>
          <w:sz w:val="14"/>
          <w:szCs w:val="14"/>
          <w:highlight w:val="none"/>
        </w:rPr>
      </w:pPr>
    </w:p>
    <w:p w14:paraId="38470333">
      <w:pPr>
        <w:wordWrap w:val="0"/>
        <w:adjustRightInd w:val="0"/>
        <w:snapToGrid w:val="0"/>
        <w:spacing w:line="440" w:lineRule="exact"/>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snapToGrid w:val="0"/>
          <w:color w:val="auto"/>
          <w:kern w:val="0"/>
          <w:szCs w:val="24"/>
          <w:highlight w:val="none"/>
        </w:rPr>
        <w:t>以上公式中，</w:t>
      </w:r>
      <w:r>
        <w:rPr>
          <w:rFonts w:hint="eastAsia" w:ascii="宋体" w:hAnsi="宋体" w:eastAsia="宋体" w:cs="宋体"/>
          <w:bCs/>
          <w:snapToGrid w:val="0"/>
          <w:color w:val="auto"/>
          <w:kern w:val="0"/>
          <w:szCs w:val="28"/>
          <w:highlight w:val="none"/>
        </w:rPr>
        <w:t>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为中标单价；F</w:t>
      </w:r>
      <w:r>
        <w:rPr>
          <w:rFonts w:hint="eastAsia" w:ascii="宋体" w:hAnsi="宋体" w:eastAsia="宋体" w:cs="宋体"/>
          <w:bCs/>
          <w:snapToGrid w:val="0"/>
          <w:color w:val="auto"/>
          <w:kern w:val="0"/>
          <w:szCs w:val="28"/>
          <w:highlight w:val="none"/>
          <w:vertAlign w:val="subscript"/>
        </w:rPr>
        <w:t>0</w:t>
      </w:r>
      <w:r>
        <w:rPr>
          <w:rFonts w:hint="eastAsia" w:ascii="宋体" w:hAnsi="宋体" w:eastAsia="宋体" w:cs="宋体"/>
          <w:bCs/>
          <w:snapToGrid w:val="0"/>
          <w:color w:val="auto"/>
          <w:kern w:val="0"/>
          <w:szCs w:val="28"/>
          <w:highlight w:val="none"/>
        </w:rPr>
        <w:t>为基准单价；F</w:t>
      </w:r>
      <w:r>
        <w:rPr>
          <w:rFonts w:hint="eastAsia" w:ascii="宋体" w:hAnsi="宋体" w:eastAsia="宋体" w:cs="宋体"/>
          <w:bCs/>
          <w:snapToGrid w:val="0"/>
          <w:color w:val="auto"/>
          <w:kern w:val="0"/>
          <w:szCs w:val="28"/>
          <w:highlight w:val="none"/>
          <w:vertAlign w:val="subscript"/>
        </w:rPr>
        <w:t>2</w:t>
      </w:r>
      <w:r>
        <w:rPr>
          <w:rFonts w:hint="eastAsia" w:ascii="宋体" w:hAnsi="宋体" w:eastAsia="宋体" w:cs="宋体"/>
          <w:bCs/>
          <w:snapToGrid w:val="0"/>
          <w:color w:val="auto"/>
          <w:kern w:val="0"/>
          <w:szCs w:val="28"/>
          <w:highlight w:val="none"/>
        </w:rPr>
        <w:t>为施工当月项目所在地工程造价管理机构发布的施工机具台班单价；B为合同约定的施工机具台班单价涨跌风险幅度值。</w:t>
      </w:r>
    </w:p>
    <w:p w14:paraId="3D37E4A1">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2.3.7</w:t>
      </w:r>
      <w:r>
        <w:rPr>
          <w:rFonts w:hint="eastAsia" w:ascii="宋体" w:hAnsi="宋体" w:eastAsia="宋体" w:cs="宋体"/>
          <w:bCs/>
          <w:snapToGrid w:val="0"/>
          <w:color w:val="auto"/>
          <w:kern w:val="0"/>
          <w:szCs w:val="28"/>
          <w:highlight w:val="none"/>
        </w:rPr>
        <w:t xml:space="preserve"> 暂估价和暂列金额</w:t>
      </w:r>
    </w:p>
    <w:p w14:paraId="1E367EB2">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2.3.7.1</w:t>
      </w:r>
      <w:r>
        <w:rPr>
          <w:rFonts w:hint="eastAsia" w:ascii="宋体" w:hAnsi="宋体" w:eastAsia="宋体" w:cs="宋体"/>
          <w:bCs/>
          <w:snapToGrid w:val="0"/>
          <w:color w:val="auto"/>
          <w:kern w:val="0"/>
          <w:szCs w:val="28"/>
          <w:highlight w:val="none"/>
        </w:rPr>
        <w:t xml:space="preserve"> 暂估价项目按第一章第三节“投标人须知正文”第</w:t>
      </w:r>
      <w:r>
        <w:rPr>
          <w:rFonts w:hint="eastAsia" w:ascii="宋体" w:hAnsi="宋体" w:eastAsia="宋体" w:cs="宋体"/>
          <w:b/>
          <w:bCs/>
          <w:snapToGrid w:val="0"/>
          <w:color w:val="auto"/>
          <w:kern w:val="0"/>
          <w:highlight w:val="none"/>
        </w:rPr>
        <w:t>8.5</w:t>
      </w:r>
      <w:r>
        <w:rPr>
          <w:rFonts w:hint="eastAsia" w:ascii="宋体" w:hAnsi="宋体" w:eastAsia="宋体" w:cs="宋体"/>
          <w:bCs/>
          <w:snapToGrid w:val="0"/>
          <w:color w:val="auto"/>
          <w:kern w:val="0"/>
          <w:szCs w:val="28"/>
          <w:highlight w:val="none"/>
        </w:rPr>
        <w:t>条的规定确定专业工程承包人（或材料供应商、工程设备供应商）后，将专业工程合同价款（或材料单价、工程设备单价）取代相应暂估价，并调整合同价款。</w:t>
      </w:r>
    </w:p>
    <w:p w14:paraId="48D92A89">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2.3.7.2</w:t>
      </w:r>
      <w:r>
        <w:rPr>
          <w:rFonts w:hint="eastAsia" w:ascii="宋体" w:hAnsi="宋体" w:eastAsia="宋体" w:cs="宋体"/>
          <w:bCs/>
          <w:snapToGrid w:val="0"/>
          <w:color w:val="auto"/>
          <w:kern w:val="0"/>
          <w:szCs w:val="28"/>
          <w:highlight w:val="none"/>
        </w:rPr>
        <w:t xml:space="preserve"> 暂列金额由发包人掌握和使用。暂列金额项目若有发生，按第一章第三节“投标人须知正文”第</w:t>
      </w:r>
      <w:r>
        <w:rPr>
          <w:rFonts w:hint="eastAsia" w:ascii="宋体" w:hAnsi="宋体" w:eastAsia="宋体" w:cs="宋体"/>
          <w:b/>
          <w:snapToGrid w:val="0"/>
          <w:color w:val="auto"/>
          <w:kern w:val="0"/>
          <w:szCs w:val="28"/>
          <w:highlight w:val="none"/>
        </w:rPr>
        <w:t>8.6</w:t>
      </w:r>
      <w:r>
        <w:rPr>
          <w:rFonts w:hint="eastAsia" w:ascii="宋体" w:hAnsi="宋体" w:eastAsia="宋体" w:cs="宋体"/>
          <w:bCs/>
          <w:snapToGrid w:val="0"/>
          <w:color w:val="auto"/>
          <w:kern w:val="0"/>
          <w:szCs w:val="28"/>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16AA41AC">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2.3.8</w:t>
      </w:r>
      <w:r>
        <w:rPr>
          <w:rFonts w:hint="eastAsia" w:ascii="宋体" w:hAnsi="宋体" w:eastAsia="宋体" w:cs="宋体"/>
          <w:bCs/>
          <w:snapToGrid w:val="0"/>
          <w:color w:val="auto"/>
          <w:kern w:val="0"/>
          <w:szCs w:val="28"/>
          <w:highlight w:val="none"/>
        </w:rPr>
        <w:t xml:space="preserve"> 预算包干费按照广东省建设工程计价依据（2018)有关规定执行。本招标项目的预算包干内容包括：</w:t>
      </w:r>
      <w:r>
        <w:rPr>
          <w:rFonts w:hint="eastAsia" w:ascii="宋体" w:hAnsi="宋体" w:eastAsia="宋体" w:cs="宋体"/>
          <w:bCs/>
          <w:snapToGrid w:val="0"/>
          <w:color w:val="auto"/>
          <w:kern w:val="0"/>
          <w:szCs w:val="28"/>
          <w:highlight w:val="none"/>
          <w:u w:val="single"/>
        </w:rPr>
        <w:t xml:space="preserve">施工雨水污水的排除；因地形（场地）影响造成的场内料具二次运输；工程用水加压措施；施工场地材料场地的整理；工程成品的保护；施工中的临时停水停电；基础埋深2米以内挖土方的塌方；日间照明施工增加费；完工后的场地清理等  </w:t>
      </w:r>
      <w:r>
        <w:rPr>
          <w:rFonts w:hint="eastAsia" w:ascii="宋体" w:hAnsi="宋体" w:eastAsia="宋体" w:cs="宋体"/>
          <w:bCs/>
          <w:snapToGrid w:val="0"/>
          <w:color w:val="auto"/>
          <w:kern w:val="0"/>
          <w:szCs w:val="28"/>
          <w:highlight w:val="none"/>
        </w:rPr>
        <w:t>。对于以上预算包干内容，承包人不得提出额外付款或延长工期等要求。</w:t>
      </w:r>
      <w:r>
        <w:rPr>
          <w:rFonts w:hint="eastAsia" w:ascii="宋体" w:hAnsi="宋体" w:eastAsia="宋体" w:cs="宋体"/>
          <w:snapToGrid w:val="0"/>
          <w:color w:val="auto"/>
          <w:kern w:val="0"/>
          <w:szCs w:val="24"/>
          <w:highlight w:val="none"/>
        </w:rPr>
        <w:t>对此类要求，发包人不作任何考虑及答复</w:t>
      </w:r>
      <w:r>
        <w:rPr>
          <w:rFonts w:hint="eastAsia" w:ascii="宋体" w:hAnsi="宋体" w:eastAsia="宋体" w:cs="宋体"/>
          <w:bCs/>
          <w:snapToGrid w:val="0"/>
          <w:color w:val="auto"/>
          <w:kern w:val="0"/>
          <w:szCs w:val="28"/>
          <w:highlight w:val="none"/>
        </w:rPr>
        <w:t>。</w:t>
      </w:r>
    </w:p>
    <w:p w14:paraId="1E79C503">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snapToGrid w:val="0"/>
          <w:color w:val="auto"/>
          <w:kern w:val="0"/>
          <w:szCs w:val="28"/>
          <w:highlight w:val="none"/>
        </w:rPr>
        <w:t>2.3.9</w:t>
      </w:r>
      <w:r>
        <w:rPr>
          <w:rFonts w:hint="eastAsia" w:ascii="宋体" w:hAnsi="宋体" w:eastAsia="宋体" w:cs="宋体"/>
          <w:bCs/>
          <w:snapToGrid w:val="0"/>
          <w:color w:val="auto"/>
          <w:kern w:val="0"/>
          <w:szCs w:val="28"/>
          <w:highlight w:val="none"/>
        </w:rPr>
        <w:t xml:space="preserve"> 其余事项（如不可抗力、索赔、现场签证等）的调整原则按照</w:t>
      </w:r>
      <w:r>
        <w:rPr>
          <w:rFonts w:hint="eastAsia" w:ascii="宋体" w:hAnsi="宋体" w:eastAsia="宋体" w:cs="宋体"/>
          <w:snapToGrid w:val="0"/>
          <w:color w:val="auto"/>
          <w:kern w:val="0"/>
          <w:sz w:val="24"/>
          <w:szCs w:val="24"/>
          <w:highlight w:val="none"/>
          <w:lang w:val="en-US" w:eastAsia="zh-CN"/>
        </w:rPr>
        <w:t>《建设工程工程量清单计价标准》(GB/T50500-2024)</w:t>
      </w:r>
      <w:r>
        <w:rPr>
          <w:rFonts w:hint="eastAsia" w:ascii="宋体" w:hAnsi="宋体" w:eastAsia="宋体" w:cs="宋体"/>
          <w:bCs/>
          <w:snapToGrid w:val="0"/>
          <w:color w:val="auto"/>
          <w:kern w:val="0"/>
          <w:szCs w:val="28"/>
          <w:highlight w:val="none"/>
        </w:rPr>
        <w:t xml:space="preserve">有关规定执行。 </w:t>
      </w:r>
    </w:p>
    <w:p w14:paraId="7E0477F6">
      <w:pPr>
        <w:wordWrap w:val="0"/>
        <w:adjustRightInd w:val="0"/>
        <w:snapToGrid w:val="0"/>
        <w:spacing w:line="440" w:lineRule="exact"/>
        <w:ind w:firstLine="560"/>
        <w:rPr>
          <w:rFonts w:hint="eastAsia" w:ascii="宋体" w:hAnsi="宋体" w:eastAsia="宋体" w:cs="宋体"/>
          <w:b/>
          <w:snapToGrid w:val="0"/>
          <w:color w:val="auto"/>
          <w:kern w:val="0"/>
          <w:szCs w:val="28"/>
          <w:highlight w:val="none"/>
        </w:rPr>
      </w:pPr>
      <w:r>
        <w:rPr>
          <w:rFonts w:hint="eastAsia" w:ascii="宋体" w:hAnsi="宋体" w:eastAsia="宋体" w:cs="宋体"/>
          <w:b/>
          <w:bCs/>
          <w:snapToGrid w:val="0"/>
          <w:color w:val="auto"/>
          <w:kern w:val="0"/>
          <w:szCs w:val="24"/>
          <w:highlight w:val="none"/>
        </w:rPr>
        <w:t>2.4</w:t>
      </w:r>
      <w:r>
        <w:rPr>
          <w:rFonts w:hint="eastAsia" w:ascii="宋体" w:hAnsi="宋体" w:eastAsia="宋体" w:cs="宋体"/>
          <w:snapToGrid w:val="0"/>
          <w:color w:val="auto"/>
          <w:kern w:val="0"/>
          <w:szCs w:val="24"/>
          <w:highlight w:val="none"/>
        </w:rPr>
        <w:t xml:space="preserve"> 凡将引起合同价款调增的事项，承包人必须于拟实施14天前，将详细的报价书（含拟实施项目名称、变更部位、理由、预计造价等）报监理单位审核和发包人批准后方可实施。</w:t>
      </w:r>
      <w:bookmarkStart w:id="199" w:name="_Hlt112206782"/>
      <w:bookmarkEnd w:id="199"/>
    </w:p>
    <w:p w14:paraId="75A31870">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2.5</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highlight w:val="none"/>
        </w:rPr>
        <w:t>承包</w:t>
      </w:r>
      <w:r>
        <w:rPr>
          <w:rFonts w:hint="eastAsia" w:ascii="宋体" w:hAnsi="宋体" w:eastAsia="宋体" w:cs="宋体"/>
          <w:snapToGrid w:val="0"/>
          <w:color w:val="auto"/>
          <w:kern w:val="0"/>
          <w:szCs w:val="24"/>
          <w:highlight w:val="none"/>
        </w:rPr>
        <w:t>人不得以不完全了解现场情况为理由，提出额外付款或延长工期等要求。对此类要求，发包人不作任何考虑及答复。</w:t>
      </w:r>
    </w:p>
    <w:p w14:paraId="58708FC4">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2.6</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highlight w:val="none"/>
        </w:rPr>
        <w:t>承包</w:t>
      </w:r>
      <w:r>
        <w:rPr>
          <w:rFonts w:hint="eastAsia" w:ascii="宋体" w:hAnsi="宋体" w:eastAsia="宋体" w:cs="宋体"/>
          <w:snapToGrid w:val="0"/>
          <w:color w:val="auto"/>
          <w:kern w:val="0"/>
          <w:szCs w:val="24"/>
          <w:highlight w:val="none"/>
        </w:rPr>
        <w:t>人已标价工程量清单中漏报、错报或少报的清单项目，其价格均视为已经包含在其它清单项目中，竣工结算时不得重新组价和调整。</w:t>
      </w:r>
    </w:p>
    <w:p w14:paraId="01F2C212">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2.7</w:t>
      </w:r>
      <w:r>
        <w:rPr>
          <w:rFonts w:hint="eastAsia" w:ascii="宋体" w:hAnsi="宋体" w:eastAsia="宋体" w:cs="宋体"/>
          <w:snapToGrid w:val="0"/>
          <w:color w:val="auto"/>
          <w:kern w:val="0"/>
          <w:szCs w:val="24"/>
          <w:highlight w:val="none"/>
        </w:rPr>
        <w:t xml:space="preserve"> 项目完工后，发、承包双方和受其委托具备相应资质的工程造价咨询单位必须按照</w:t>
      </w:r>
      <w:r>
        <w:rPr>
          <w:rFonts w:hint="eastAsia" w:ascii="宋体" w:hAnsi="宋体" w:eastAsia="宋体" w:cs="宋体"/>
          <w:snapToGrid w:val="0"/>
          <w:color w:val="auto"/>
          <w:kern w:val="0"/>
          <w:sz w:val="24"/>
          <w:szCs w:val="24"/>
          <w:highlight w:val="none"/>
          <w:lang w:val="en-US" w:eastAsia="zh-CN"/>
        </w:rPr>
        <w:t>《建设工程工程量清单计价标准》(GB/T50500-2024)</w:t>
      </w:r>
      <w:r>
        <w:rPr>
          <w:rFonts w:hint="eastAsia" w:ascii="宋体" w:hAnsi="宋体" w:eastAsia="宋体" w:cs="宋体"/>
          <w:snapToGrid w:val="0"/>
          <w:color w:val="auto"/>
          <w:kern w:val="0"/>
          <w:szCs w:val="24"/>
          <w:highlight w:val="none"/>
        </w:rPr>
        <w:t>和国家、省、市的有关规定办理竣工结算。</w:t>
      </w:r>
    </w:p>
    <w:p w14:paraId="03089C1B">
      <w:pPr>
        <w:wordWrap w:val="0"/>
        <w:adjustRightInd w:val="0"/>
        <w:snapToGrid w:val="0"/>
        <w:spacing w:line="360" w:lineRule="auto"/>
        <w:ind w:firstLine="56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2.8</w:t>
      </w:r>
      <w:r>
        <w:rPr>
          <w:rFonts w:hint="eastAsia" w:ascii="宋体" w:hAnsi="宋体" w:eastAsia="宋体" w:cs="宋体"/>
          <w:snapToGrid w:val="0"/>
          <w:color w:val="auto"/>
          <w:kern w:val="0"/>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7D68B7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rPr>
      </w:pPr>
      <w:r>
        <w:rPr>
          <w:rFonts w:hint="eastAsia" w:ascii="宋体" w:hAnsi="宋体" w:eastAsia="宋体" w:cs="宋体"/>
          <w:b/>
          <w:bCs/>
          <w:color w:val="auto"/>
          <w:lang w:val="en-US" w:eastAsia="zh-CN"/>
        </w:rPr>
        <w:t>2.9</w:t>
      </w:r>
      <w:r>
        <w:rPr>
          <w:rFonts w:hint="eastAsia" w:ascii="宋体" w:hAnsi="宋体" w:eastAsia="宋体" w:cs="宋体"/>
          <w:color w:val="auto"/>
          <w:lang w:val="en-US" w:eastAsia="zh-CN"/>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5ED901E0">
      <w:pPr>
        <w:wordWrap w:val="0"/>
        <w:adjustRightInd w:val="0"/>
        <w:snapToGrid w:val="0"/>
        <w:spacing w:line="440" w:lineRule="exact"/>
        <w:ind w:firstLine="560"/>
        <w:rPr>
          <w:rFonts w:hint="eastAsia" w:ascii="宋体" w:hAnsi="宋体" w:eastAsia="宋体" w:cs="宋体"/>
          <w:snapToGrid w:val="0"/>
          <w:color w:val="auto"/>
          <w:kern w:val="0"/>
          <w:szCs w:val="24"/>
          <w:highlight w:val="none"/>
        </w:rPr>
      </w:pPr>
    </w:p>
    <w:bookmarkEnd w:id="195"/>
    <w:bookmarkEnd w:id="196"/>
    <w:bookmarkEnd w:id="197"/>
    <w:bookmarkEnd w:id="198"/>
    <w:p w14:paraId="66B4B0E0">
      <w:pPr>
        <w:pStyle w:val="4"/>
        <w:bidi w:val="0"/>
        <w:spacing w:line="360" w:lineRule="auto"/>
        <w:ind w:firstLine="964"/>
        <w:rPr>
          <w:rFonts w:hint="eastAsia" w:ascii="宋体" w:hAnsi="宋体" w:eastAsia="宋体" w:cs="宋体"/>
          <w:color w:val="auto"/>
        </w:rPr>
      </w:pPr>
      <w:bookmarkStart w:id="200" w:name="_Toc26653"/>
      <w:bookmarkStart w:id="201" w:name="_Toc108200417"/>
      <w:bookmarkStart w:id="202" w:name="_Toc14683"/>
      <w:r>
        <w:rPr>
          <w:rFonts w:hint="eastAsia" w:ascii="宋体" w:hAnsi="宋体" w:eastAsia="宋体" w:cs="宋体"/>
          <w:color w:val="auto"/>
        </w:rPr>
        <w:t>3. 工程付款办法</w:t>
      </w:r>
      <w:bookmarkEnd w:id="200"/>
      <w:bookmarkEnd w:id="201"/>
      <w:bookmarkEnd w:id="202"/>
    </w:p>
    <w:p w14:paraId="581C50CE">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3.1</w:t>
      </w:r>
      <w:r>
        <w:rPr>
          <w:rFonts w:hint="eastAsia" w:ascii="宋体" w:hAnsi="宋体" w:eastAsia="宋体" w:cs="宋体"/>
          <w:snapToGrid w:val="0"/>
          <w:color w:val="auto"/>
          <w:kern w:val="0"/>
          <w:highlight w:val="none"/>
        </w:rPr>
        <w:t xml:space="preserve"> 本招标项目</w:t>
      </w:r>
      <w:r>
        <w:rPr>
          <w:rFonts w:hint="eastAsia" w:ascii="宋体" w:hAnsi="宋体" w:eastAsia="宋体" w:cs="宋体"/>
          <w:snapToGrid w:val="0"/>
          <w:color w:val="auto"/>
          <w:kern w:val="0"/>
          <w:highlight w:val="none"/>
          <w:u w:val="single"/>
        </w:rPr>
        <w:t xml:space="preserve"> 支付 </w:t>
      </w:r>
      <w:r>
        <w:rPr>
          <w:rFonts w:hint="eastAsia" w:ascii="宋体" w:hAnsi="宋体" w:eastAsia="宋体" w:cs="宋体"/>
          <w:snapToGrid w:val="0"/>
          <w:color w:val="auto"/>
          <w:kern w:val="0"/>
          <w:highlight w:val="none"/>
        </w:rPr>
        <w:t>施工预付款。</w:t>
      </w:r>
    </w:p>
    <w:p w14:paraId="292EAE33">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3.2</w:t>
      </w:r>
      <w:r>
        <w:rPr>
          <w:rFonts w:hint="eastAsia" w:ascii="宋体" w:hAnsi="宋体" w:eastAsia="宋体" w:cs="宋体"/>
          <w:snapToGrid w:val="0"/>
          <w:color w:val="auto"/>
          <w:kern w:val="0"/>
          <w:highlight w:val="none"/>
        </w:rPr>
        <w:t xml:space="preserve"> 施工预付款必须专用于合同工程，并按以下原则支付和抵扣：</w:t>
      </w:r>
    </w:p>
    <w:p w14:paraId="2082EDA8">
      <w:pPr>
        <w:wordWrap w:val="0"/>
        <w:adjustRightInd w:val="0"/>
        <w:snapToGrid w:val="0"/>
        <w:spacing w:line="360" w:lineRule="auto"/>
        <w:ind w:firstLine="482" w:firstLineChars="200"/>
        <w:rPr>
          <w:rFonts w:hint="eastAsia" w:ascii="宋体" w:hAnsi="宋体" w:eastAsia="宋体" w:cs="宋体"/>
          <w:i/>
          <w:iCs/>
          <w:snapToGrid w:val="0"/>
          <w:color w:val="auto"/>
          <w:kern w:val="0"/>
          <w:highlight w:val="none"/>
        </w:rPr>
      </w:pPr>
      <w:r>
        <w:rPr>
          <w:rFonts w:hint="eastAsia" w:ascii="宋体" w:hAnsi="宋体" w:eastAsia="宋体" w:cs="宋体"/>
          <w:b/>
          <w:bCs/>
          <w:snapToGrid w:val="0"/>
          <w:color w:val="auto"/>
          <w:kern w:val="0"/>
          <w:szCs w:val="24"/>
          <w:highlight w:val="none"/>
        </w:rPr>
        <w:t>3.2.1</w:t>
      </w:r>
      <w:r>
        <w:rPr>
          <w:rFonts w:hint="eastAsia" w:ascii="宋体" w:hAnsi="宋体" w:eastAsia="宋体" w:cs="宋体"/>
          <w:snapToGrid w:val="0"/>
          <w:color w:val="auto"/>
          <w:kern w:val="0"/>
          <w:highlight w:val="none"/>
        </w:rPr>
        <w:t xml:space="preserve"> 施工预付款支付比例为：按施工合同价（暂列金额除外）的</w:t>
      </w:r>
      <w:r>
        <w:rPr>
          <w:rFonts w:hint="eastAsia" w:ascii="宋体" w:hAnsi="宋体" w:eastAsia="宋体" w:cs="宋体"/>
          <w:snapToGrid w:val="0"/>
          <w:color w:val="auto"/>
          <w:kern w:val="0"/>
          <w:highlight w:val="none"/>
          <w:u w:val="single"/>
        </w:rPr>
        <w:t xml:space="preserve"> 30% </w:t>
      </w:r>
      <w:r>
        <w:rPr>
          <w:rFonts w:hint="eastAsia" w:ascii="宋体" w:hAnsi="宋体" w:eastAsia="宋体" w:cs="宋体"/>
          <w:snapToGrid w:val="0"/>
          <w:color w:val="auto"/>
          <w:kern w:val="0"/>
          <w:highlight w:val="none"/>
        </w:rPr>
        <w:t>支付。</w:t>
      </w:r>
    </w:p>
    <w:p w14:paraId="72BFA9C4">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3.2.2</w:t>
      </w:r>
      <w:r>
        <w:rPr>
          <w:rFonts w:hint="eastAsia" w:ascii="宋体" w:hAnsi="宋体" w:eastAsia="宋体" w:cs="宋体"/>
          <w:snapToGrid w:val="0"/>
          <w:color w:val="auto"/>
          <w:kern w:val="0"/>
          <w:highlight w:val="none"/>
        </w:rPr>
        <w:t xml:space="preserve"> 本招标项目</w:t>
      </w:r>
      <w:r>
        <w:rPr>
          <w:rFonts w:hint="eastAsia" w:ascii="宋体" w:hAnsi="宋体" w:eastAsia="宋体" w:cs="宋体"/>
          <w:snapToGrid w:val="0"/>
          <w:color w:val="auto"/>
          <w:kern w:val="0"/>
          <w:highlight w:val="none"/>
          <w:u w:val="single"/>
        </w:rPr>
        <w:t xml:space="preserve"> 要求 </w:t>
      </w:r>
      <w:r>
        <w:rPr>
          <w:rFonts w:hint="eastAsia" w:ascii="宋体" w:hAnsi="宋体" w:eastAsia="宋体" w:cs="宋体"/>
          <w:snapToGrid w:val="0"/>
          <w:color w:val="auto"/>
          <w:kern w:val="0"/>
          <w:highlight w:val="none"/>
        </w:rPr>
        <w:t>承包人提供与预付款等额的预付款保函。</w:t>
      </w:r>
    </w:p>
    <w:p w14:paraId="7072134D">
      <w:pPr>
        <w:wordWrap w:val="0"/>
        <w:adjustRightInd w:val="0"/>
        <w:snapToGrid w:val="0"/>
        <w:spacing w:line="360" w:lineRule="auto"/>
        <w:ind w:firstLine="482" w:firstLineChars="200"/>
        <w:rPr>
          <w:rFonts w:hint="eastAsia" w:ascii="宋体" w:hAnsi="宋体" w:eastAsia="宋体" w:cs="宋体"/>
          <w:snapToGrid w:val="0"/>
          <w:color w:val="auto"/>
          <w:kern w:val="0"/>
          <w:highlight w:val="none"/>
          <w:lang w:eastAsia="zh-CN"/>
        </w:rPr>
      </w:pPr>
      <w:r>
        <w:rPr>
          <w:rFonts w:hint="eastAsia" w:ascii="宋体" w:hAnsi="宋体" w:eastAsia="宋体" w:cs="宋体"/>
          <w:b/>
          <w:bCs/>
          <w:snapToGrid w:val="0"/>
          <w:color w:val="auto"/>
          <w:kern w:val="0"/>
          <w:szCs w:val="24"/>
          <w:highlight w:val="none"/>
        </w:rPr>
        <w:t>3.2.3</w:t>
      </w:r>
      <w:r>
        <w:rPr>
          <w:rFonts w:hint="eastAsia" w:ascii="宋体" w:hAnsi="宋体" w:eastAsia="宋体" w:cs="宋体"/>
          <w:snapToGrid w:val="0"/>
          <w:color w:val="auto"/>
          <w:kern w:val="0"/>
          <w:highlight w:val="none"/>
        </w:rPr>
        <w:t xml:space="preserve"> 承包人应在签订合同后，在提供符合要求的预付款保函或预付款保险及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r>
        <w:rPr>
          <w:rFonts w:hint="eastAsia" w:ascii="宋体" w:hAnsi="宋体" w:eastAsia="宋体" w:cs="宋体"/>
          <w:snapToGrid w:val="0"/>
          <w:color w:val="auto"/>
          <w:kern w:val="0"/>
          <w:highlight w:val="none"/>
          <w:lang w:val="en-US" w:eastAsia="zh-CN"/>
        </w:rPr>
        <w:t>具体</w:t>
      </w:r>
      <w:r>
        <w:rPr>
          <w:rFonts w:hint="eastAsia" w:ascii="宋体" w:hAnsi="宋体" w:eastAsia="宋体" w:cs="宋体"/>
          <w:snapToGrid w:val="0"/>
          <w:color w:val="auto"/>
          <w:kern w:val="0"/>
          <w:highlight w:val="none"/>
        </w:rPr>
        <w:t>到账</w:t>
      </w:r>
      <w:r>
        <w:rPr>
          <w:rFonts w:hint="eastAsia" w:ascii="宋体" w:hAnsi="宋体" w:eastAsia="宋体" w:cs="宋体"/>
          <w:snapToGrid w:val="0"/>
          <w:color w:val="auto"/>
          <w:kern w:val="0"/>
          <w:highlight w:val="none"/>
          <w:lang w:val="en-US" w:eastAsia="zh-CN"/>
        </w:rPr>
        <w:t>时间</w:t>
      </w:r>
      <w:r>
        <w:rPr>
          <w:rFonts w:hint="eastAsia" w:ascii="宋体" w:hAnsi="宋体" w:eastAsia="宋体" w:cs="宋体"/>
          <w:snapToGrid w:val="0"/>
          <w:color w:val="auto"/>
          <w:kern w:val="0"/>
          <w:highlight w:val="none"/>
        </w:rPr>
        <w:t>以财政局拨付为准</w:t>
      </w:r>
      <w:r>
        <w:rPr>
          <w:rFonts w:hint="eastAsia" w:ascii="宋体" w:hAnsi="宋体" w:eastAsia="宋体" w:cs="宋体"/>
          <w:snapToGrid w:val="0"/>
          <w:color w:val="auto"/>
          <w:kern w:val="0"/>
          <w:highlight w:val="none"/>
          <w:lang w:eastAsia="zh-CN"/>
        </w:rPr>
        <w:t>。</w:t>
      </w:r>
    </w:p>
    <w:p w14:paraId="7BB13C86">
      <w:pPr>
        <w:wordWrap w:val="0"/>
        <w:adjustRightInd w:val="0"/>
        <w:snapToGrid w:val="0"/>
        <w:spacing w:line="360" w:lineRule="auto"/>
        <w:ind w:firstLine="482" w:firstLineChars="200"/>
        <w:rPr>
          <w:rFonts w:hint="eastAsia" w:ascii="宋体" w:hAnsi="宋体" w:eastAsia="宋体" w:cs="宋体"/>
          <w:snapToGrid w:val="0"/>
          <w:color w:val="auto"/>
          <w:kern w:val="0"/>
          <w:highlight w:val="none"/>
          <w:lang w:val="en-US" w:eastAsia="zh-CN"/>
        </w:rPr>
      </w:pPr>
      <w:r>
        <w:rPr>
          <w:rFonts w:hint="eastAsia" w:ascii="宋体" w:hAnsi="宋体" w:eastAsia="宋体" w:cs="宋体"/>
          <w:b/>
          <w:bCs/>
          <w:snapToGrid w:val="0"/>
          <w:color w:val="auto"/>
          <w:kern w:val="0"/>
          <w:szCs w:val="24"/>
          <w:highlight w:val="none"/>
        </w:rPr>
        <w:t>3.2.4</w:t>
      </w:r>
      <w:r>
        <w:rPr>
          <w:rFonts w:hint="eastAsia" w:ascii="宋体" w:hAnsi="宋体" w:eastAsia="宋体" w:cs="宋体"/>
          <w:snapToGrid w:val="0"/>
          <w:color w:val="auto"/>
          <w:kern w:val="0"/>
          <w:highlight w:val="none"/>
        </w:rPr>
        <w:t xml:space="preserve"> 预付款应从每支付期应支付给承包人的工程进度款中扣回，扣回比例为每月的工程进度款的30%，直到扣回的金额达到合同约定的预付款金额为止。如因建设工期短导致工程已完工而预付款尚未扣清的，尚未扣清的预付款余额在竣工初步验收合格后当期应支付的工程款项中一次性扣清。</w:t>
      </w:r>
    </w:p>
    <w:p w14:paraId="283B608C">
      <w:pPr>
        <w:wordWrap w:val="0"/>
        <w:adjustRightInd w:val="0"/>
        <w:snapToGrid w:val="0"/>
        <w:spacing w:line="360" w:lineRule="auto"/>
        <w:ind w:firstLine="482" w:firstLineChars="200"/>
        <w:rPr>
          <w:rFonts w:hint="eastAsia" w:ascii="宋体" w:hAnsi="宋体" w:eastAsia="宋体" w:cs="宋体"/>
          <w:snapToGrid w:val="0"/>
          <w:color w:val="auto"/>
          <w:kern w:val="0"/>
          <w:highlight w:val="none"/>
          <w:lang w:eastAsia="zh-CN"/>
        </w:rPr>
      </w:pPr>
      <w:r>
        <w:rPr>
          <w:rFonts w:hint="eastAsia" w:ascii="宋体" w:hAnsi="宋体" w:eastAsia="宋体" w:cs="宋体"/>
          <w:b/>
          <w:bCs/>
          <w:snapToGrid w:val="0"/>
          <w:color w:val="auto"/>
          <w:kern w:val="0"/>
          <w:szCs w:val="24"/>
          <w:highlight w:val="none"/>
        </w:rPr>
        <w:t>3.3</w:t>
      </w:r>
      <w:r>
        <w:rPr>
          <w:rFonts w:hint="eastAsia" w:ascii="宋体" w:hAnsi="宋体" w:eastAsia="宋体" w:cs="宋体"/>
          <w:snapToGrid w:val="0"/>
          <w:color w:val="auto"/>
          <w:kern w:val="0"/>
          <w:highlight w:val="none"/>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具体</w:t>
      </w:r>
      <w:r>
        <w:rPr>
          <w:rFonts w:hint="eastAsia" w:ascii="宋体" w:hAnsi="宋体" w:eastAsia="宋体" w:cs="宋体"/>
          <w:snapToGrid w:val="0"/>
          <w:color w:val="auto"/>
          <w:kern w:val="0"/>
          <w:highlight w:val="none"/>
        </w:rPr>
        <w:t>到账</w:t>
      </w:r>
      <w:r>
        <w:rPr>
          <w:rFonts w:hint="eastAsia" w:ascii="宋体" w:hAnsi="宋体" w:eastAsia="宋体" w:cs="宋体"/>
          <w:snapToGrid w:val="0"/>
          <w:color w:val="auto"/>
          <w:kern w:val="0"/>
          <w:highlight w:val="none"/>
          <w:lang w:val="en-US" w:eastAsia="zh-CN"/>
        </w:rPr>
        <w:t>时间</w:t>
      </w:r>
      <w:r>
        <w:rPr>
          <w:rFonts w:hint="eastAsia" w:ascii="宋体" w:hAnsi="宋体" w:eastAsia="宋体" w:cs="宋体"/>
          <w:snapToGrid w:val="0"/>
          <w:color w:val="auto"/>
          <w:kern w:val="0"/>
          <w:highlight w:val="none"/>
        </w:rPr>
        <w:t>以财政局拨付为准</w:t>
      </w:r>
      <w:r>
        <w:rPr>
          <w:rFonts w:hint="eastAsia" w:ascii="宋体" w:hAnsi="宋体" w:eastAsia="宋体" w:cs="宋体"/>
          <w:snapToGrid w:val="0"/>
          <w:color w:val="auto"/>
          <w:kern w:val="0"/>
          <w:highlight w:val="none"/>
          <w:lang w:eastAsia="zh-CN"/>
        </w:rPr>
        <w:t>。</w:t>
      </w:r>
    </w:p>
    <w:p w14:paraId="5A15ADBF">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3.4</w:t>
      </w:r>
      <w:r>
        <w:rPr>
          <w:rFonts w:hint="eastAsia" w:ascii="宋体" w:hAnsi="宋体" w:eastAsia="宋体" w:cs="宋体"/>
          <w:snapToGrid w:val="0"/>
          <w:color w:val="auto"/>
          <w:kern w:val="0"/>
          <w:highlight w:val="none"/>
        </w:rPr>
        <w:t xml:space="preserve"> 每月的工程进度款按工程实际完成工程量的80%支付，工程进度款中的作业工人工资款项由发包人单独足额拨付到承包人的工资专户。</w:t>
      </w:r>
    </w:p>
    <w:p w14:paraId="1F6CD569">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3.5</w:t>
      </w:r>
      <w:r>
        <w:rPr>
          <w:rFonts w:hint="eastAsia" w:ascii="宋体" w:hAnsi="宋体" w:eastAsia="宋体" w:cs="宋体"/>
          <w:snapToGrid w:val="0"/>
          <w:color w:val="auto"/>
          <w:kern w:val="0"/>
          <w:highlight w:val="none"/>
        </w:rPr>
        <w:t xml:space="preserve"> 措施项目费中的“</w:t>
      </w:r>
      <w:r>
        <w:rPr>
          <w:rFonts w:hint="eastAsia" w:ascii="宋体" w:hAnsi="宋体" w:eastAsia="宋体" w:cs="宋体"/>
          <w:snapToGrid w:val="0"/>
          <w:color w:val="auto"/>
          <w:kern w:val="0"/>
          <w:highlight w:val="none"/>
          <w:lang w:eastAsia="zh-CN"/>
        </w:rPr>
        <w:t>安全生产措施费</w:t>
      </w:r>
      <w:r>
        <w:rPr>
          <w:rFonts w:hint="eastAsia" w:ascii="宋体" w:hAnsi="宋体" w:eastAsia="宋体" w:cs="宋体"/>
          <w:snapToGrid w:val="0"/>
          <w:color w:val="auto"/>
          <w:kern w:val="0"/>
          <w:highlight w:val="none"/>
        </w:rPr>
        <w:t>”拨付按照《广东省建设工程计价依据（2018）》执行，按照项目所在地的建设行政主管部门有关规定支付。发生一般事故及以上等级重大安全事故的，发包人可扣除承包人金额相当于所有“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highlight w:val="none"/>
          <w:lang w:eastAsia="zh-CN"/>
        </w:rPr>
        <w:t>安全生产措施费</w:t>
      </w:r>
      <w:r>
        <w:rPr>
          <w:rFonts w:hint="eastAsia" w:ascii="宋体" w:hAnsi="宋体" w:eastAsia="宋体" w:cs="宋体"/>
          <w:snapToGrid w:val="0"/>
          <w:color w:val="auto"/>
          <w:kern w:val="0"/>
          <w:highlight w:val="none"/>
        </w:rPr>
        <w:t>”的工程管理费。</w:t>
      </w:r>
    </w:p>
    <w:p w14:paraId="4E5BC830">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3.6</w:t>
      </w:r>
      <w:r>
        <w:rPr>
          <w:rFonts w:hint="eastAsia" w:ascii="宋体" w:hAnsi="宋体" w:eastAsia="宋体" w:cs="宋体"/>
          <w:snapToGrid w:val="0"/>
          <w:color w:val="auto"/>
          <w:kern w:val="0"/>
          <w:highlight w:val="none"/>
        </w:rPr>
        <w:t xml:space="preserve"> 变更工程造价必须经监理单位核实，并经发包人核定后方可支付。</w:t>
      </w:r>
    </w:p>
    <w:p w14:paraId="603B5F51">
      <w:pPr>
        <w:wordWrap w:val="0"/>
        <w:adjustRightInd w:val="0"/>
        <w:snapToGrid w:val="0"/>
        <w:spacing w:line="360" w:lineRule="auto"/>
        <w:ind w:firstLine="482" w:firstLineChars="200"/>
        <w:rPr>
          <w:rFonts w:hint="eastAsia" w:ascii="宋体" w:hAnsi="宋体" w:eastAsia="宋体" w:cs="宋体"/>
          <w:bCs/>
          <w:snapToGrid w:val="0"/>
          <w:color w:val="auto"/>
          <w:kern w:val="0"/>
          <w:highlight w:val="none"/>
        </w:rPr>
      </w:pPr>
      <w:r>
        <w:rPr>
          <w:rFonts w:hint="eastAsia" w:ascii="宋体" w:hAnsi="宋体" w:eastAsia="宋体" w:cs="宋体"/>
          <w:b/>
          <w:bCs/>
          <w:snapToGrid w:val="0"/>
          <w:color w:val="auto"/>
          <w:kern w:val="0"/>
          <w:szCs w:val="24"/>
          <w:highlight w:val="none"/>
        </w:rPr>
        <w:t>3.7</w:t>
      </w:r>
      <w:r>
        <w:rPr>
          <w:rFonts w:hint="eastAsia" w:ascii="宋体" w:hAnsi="宋体" w:eastAsia="宋体" w:cs="宋体"/>
          <w:snapToGrid w:val="0"/>
          <w:color w:val="auto"/>
          <w:kern w:val="0"/>
          <w:highlight w:val="none"/>
        </w:rPr>
        <w:t xml:space="preserve"> 结算审核完成后，于次月支付至</w:t>
      </w:r>
      <w:r>
        <w:rPr>
          <w:rFonts w:hint="eastAsia" w:ascii="宋体" w:hAnsi="宋体" w:eastAsia="宋体" w:cs="宋体"/>
          <w:snapToGrid w:val="0"/>
          <w:color w:val="auto"/>
          <w:kern w:val="0"/>
          <w:highlight w:val="none"/>
          <w:lang w:val="en-US" w:eastAsia="zh-CN"/>
        </w:rPr>
        <w:t>结算</w:t>
      </w:r>
      <w:r>
        <w:rPr>
          <w:rFonts w:hint="eastAsia" w:ascii="宋体" w:hAnsi="宋体" w:eastAsia="宋体" w:cs="宋体"/>
          <w:snapToGrid w:val="0"/>
          <w:color w:val="auto"/>
          <w:kern w:val="0"/>
          <w:highlight w:val="none"/>
        </w:rPr>
        <w:t>价的97%，剩余3%转为质量保证金；承包人提交了等额</w:t>
      </w:r>
      <w:r>
        <w:rPr>
          <w:rFonts w:hint="eastAsia" w:ascii="宋体" w:hAnsi="宋体" w:eastAsia="宋体" w:cs="宋体"/>
          <w:bCs/>
          <w:snapToGrid w:val="0"/>
          <w:color w:val="auto"/>
          <w:kern w:val="0"/>
          <w:highlight w:val="none"/>
        </w:rPr>
        <w:t>质量保证担保或质量保证保险的，于次月一次性结清</w:t>
      </w:r>
      <w:r>
        <w:rPr>
          <w:rFonts w:hint="eastAsia" w:ascii="宋体" w:hAnsi="宋体" w:eastAsia="宋体" w:cs="宋体"/>
          <w:bCs/>
          <w:snapToGrid w:val="0"/>
          <w:color w:val="auto"/>
          <w:kern w:val="0"/>
          <w:highlight w:val="none"/>
          <w:lang w:val="en-US" w:eastAsia="zh-CN"/>
        </w:rPr>
        <w:t>结算</w:t>
      </w:r>
      <w:r>
        <w:rPr>
          <w:rFonts w:hint="eastAsia" w:ascii="宋体" w:hAnsi="宋体" w:eastAsia="宋体" w:cs="宋体"/>
          <w:bCs/>
          <w:snapToGrid w:val="0"/>
          <w:color w:val="auto"/>
          <w:kern w:val="0"/>
          <w:highlight w:val="none"/>
        </w:rPr>
        <w:t>价</w:t>
      </w:r>
      <w:r>
        <w:rPr>
          <w:rFonts w:hint="eastAsia" w:ascii="宋体" w:hAnsi="宋体" w:eastAsia="宋体" w:cs="宋体"/>
          <w:bCs/>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具体</w:t>
      </w:r>
      <w:r>
        <w:rPr>
          <w:rFonts w:hint="eastAsia" w:ascii="宋体" w:hAnsi="宋体" w:eastAsia="宋体" w:cs="宋体"/>
          <w:snapToGrid w:val="0"/>
          <w:color w:val="auto"/>
          <w:kern w:val="0"/>
          <w:highlight w:val="none"/>
        </w:rPr>
        <w:t>到账</w:t>
      </w:r>
      <w:r>
        <w:rPr>
          <w:rFonts w:hint="eastAsia" w:ascii="宋体" w:hAnsi="宋体" w:eastAsia="宋体" w:cs="宋体"/>
          <w:snapToGrid w:val="0"/>
          <w:color w:val="auto"/>
          <w:kern w:val="0"/>
          <w:highlight w:val="none"/>
          <w:lang w:val="en-US" w:eastAsia="zh-CN"/>
        </w:rPr>
        <w:t>时间</w:t>
      </w:r>
      <w:r>
        <w:rPr>
          <w:rFonts w:hint="eastAsia" w:ascii="宋体" w:hAnsi="宋体" w:eastAsia="宋体" w:cs="宋体"/>
          <w:snapToGrid w:val="0"/>
          <w:color w:val="auto"/>
          <w:kern w:val="0"/>
          <w:highlight w:val="none"/>
        </w:rPr>
        <w:t>以财政局拨付为准</w:t>
      </w:r>
      <w:r>
        <w:rPr>
          <w:rFonts w:hint="eastAsia" w:ascii="宋体" w:hAnsi="宋体" w:eastAsia="宋体" w:cs="宋体"/>
          <w:snapToGrid w:val="0"/>
          <w:color w:val="auto"/>
          <w:kern w:val="0"/>
          <w:highlight w:val="none"/>
          <w:lang w:eastAsia="zh-CN"/>
        </w:rPr>
        <w:t>。</w:t>
      </w:r>
    </w:p>
    <w:p w14:paraId="6DFD30D0">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snapToGrid w:val="0"/>
          <w:color w:val="auto"/>
          <w:kern w:val="0"/>
          <w:highlight w:val="none"/>
        </w:rPr>
        <w:t>3.8</w:t>
      </w:r>
      <w:r>
        <w:rPr>
          <w:rFonts w:hint="eastAsia" w:ascii="宋体" w:hAnsi="宋体" w:eastAsia="宋体" w:cs="宋体"/>
          <w:bCs/>
          <w:snapToGrid w:val="0"/>
          <w:color w:val="auto"/>
          <w:kern w:val="0"/>
          <w:highlight w:val="none"/>
        </w:rPr>
        <w:t xml:space="preserve"> 本招标项目缺陷责任期为</w:t>
      </w:r>
      <w:r>
        <w:rPr>
          <w:rFonts w:hint="eastAsia" w:ascii="宋体" w:hAnsi="宋体" w:eastAsia="宋体" w:cs="宋体"/>
          <w:bCs/>
          <w:snapToGrid w:val="0"/>
          <w:color w:val="auto"/>
          <w:kern w:val="0"/>
          <w:highlight w:val="none"/>
          <w:u w:val="single"/>
        </w:rPr>
        <w:t xml:space="preserve"> </w:t>
      </w:r>
      <w:r>
        <w:rPr>
          <w:rFonts w:hint="eastAsia" w:ascii="宋体" w:hAnsi="宋体" w:eastAsia="宋体" w:cs="宋体"/>
          <w:bCs/>
          <w:snapToGrid w:val="0"/>
          <w:color w:val="auto"/>
          <w:kern w:val="0"/>
          <w:highlight w:val="none"/>
          <w:u w:val="single"/>
          <w:lang w:val="en-US" w:eastAsia="zh-CN"/>
        </w:rPr>
        <w:t>2</w:t>
      </w:r>
      <w:r>
        <w:rPr>
          <w:rFonts w:hint="eastAsia" w:ascii="宋体" w:hAnsi="宋体" w:eastAsia="宋体" w:cs="宋体"/>
          <w:bCs/>
          <w:snapToGrid w:val="0"/>
          <w:color w:val="auto"/>
          <w:kern w:val="0"/>
          <w:highlight w:val="none"/>
          <w:u w:val="single"/>
        </w:rPr>
        <w:t xml:space="preserve"> </w:t>
      </w:r>
      <w:r>
        <w:rPr>
          <w:rFonts w:hint="eastAsia" w:ascii="宋体" w:hAnsi="宋体" w:eastAsia="宋体" w:cs="宋体"/>
          <w:bCs/>
          <w:snapToGrid w:val="0"/>
          <w:color w:val="auto"/>
          <w:kern w:val="0"/>
          <w:highlight w:val="none"/>
        </w:rPr>
        <w:t>年（自通过竣工验收之日起计）。</w:t>
      </w:r>
      <w:r>
        <w:rPr>
          <w:rFonts w:hint="eastAsia" w:ascii="宋体" w:hAnsi="宋体" w:eastAsia="宋体" w:cs="宋体"/>
          <w:snapToGrid w:val="0"/>
          <w:color w:val="auto"/>
          <w:kern w:val="0"/>
          <w:highlight w:val="none"/>
        </w:rPr>
        <w:t>缺陷责任期到期后，承包人向发包人申请退还质量保证。发包人收到退还申请后，于14天内会同承包人进行核实。经双方核实且均无异议后，发包人在核实之日起</w:t>
      </w:r>
      <w:r>
        <w:rPr>
          <w:rFonts w:hint="eastAsia" w:ascii="宋体" w:hAnsi="宋体" w:eastAsia="宋体" w:cs="宋体"/>
          <w:snapToGrid w:val="0"/>
          <w:color w:val="auto"/>
          <w:kern w:val="0"/>
          <w:highlight w:val="none"/>
          <w:u w:val="single"/>
        </w:rPr>
        <w:t xml:space="preserve"> 14 </w:t>
      </w:r>
      <w:r>
        <w:rPr>
          <w:rFonts w:hint="eastAsia" w:ascii="宋体" w:hAnsi="宋体" w:eastAsia="宋体" w:cs="宋体"/>
          <w:snapToGrid w:val="0"/>
          <w:color w:val="auto"/>
          <w:kern w:val="0"/>
          <w:highlight w:val="none"/>
        </w:rPr>
        <w:t>天内将应返保证金（或银行保函）退还承包人。</w:t>
      </w:r>
    </w:p>
    <w:p w14:paraId="02B4D29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3.9</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lang w:val="en-US" w:eastAsia="zh-CN"/>
        </w:rPr>
        <w:t>发包人每次支付工程款前，承包人均应提供有效的增值税专用发票。如果承包人无法提供符合要求的发票，由此造成的相应损失由承包人承担。</w:t>
      </w:r>
      <w:r>
        <w:rPr>
          <w:rFonts w:hint="eastAsia" w:ascii="宋体" w:hAnsi="宋体" w:eastAsia="宋体" w:cs="宋体"/>
          <w:snapToGrid w:val="0"/>
          <w:color w:val="auto"/>
          <w:kern w:val="0"/>
          <w:highlight w:val="none"/>
        </w:rPr>
        <w:t>所有工程款均以市财政局审核价款支付为准。</w:t>
      </w:r>
    </w:p>
    <w:p w14:paraId="2D082E56">
      <w:pPr>
        <w:wordWrap w:val="0"/>
        <w:adjustRightInd w:val="0"/>
        <w:snapToGrid w:val="0"/>
        <w:spacing w:line="360" w:lineRule="auto"/>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3.10</w:t>
      </w:r>
      <w:r>
        <w:rPr>
          <w:rFonts w:hint="eastAsia" w:ascii="宋体" w:hAnsi="宋体" w:eastAsia="宋体" w:cs="宋体"/>
          <w:snapToGrid w:val="0"/>
          <w:color w:val="auto"/>
          <w:kern w:val="0"/>
          <w:szCs w:val="24"/>
          <w:highlight w:val="none"/>
        </w:rPr>
        <w:t xml:space="preserve"> 暂列金额支付方式：</w:t>
      </w:r>
      <w:r>
        <w:rPr>
          <w:rFonts w:hint="eastAsia" w:ascii="宋体" w:hAnsi="宋体" w:eastAsia="宋体" w:cs="宋体"/>
          <w:color w:val="auto"/>
          <w:sz w:val="24"/>
          <w:szCs w:val="24"/>
          <w:highlight w:val="none"/>
          <w:u w:val="single"/>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90％，其余部分待结算完成审核后支付至97%，剩余3%为工程质量保修金</w:t>
      </w:r>
      <w:r>
        <w:rPr>
          <w:rFonts w:hint="eastAsia" w:ascii="宋体" w:hAnsi="宋体" w:eastAsia="宋体" w:cs="宋体"/>
          <w:snapToGrid w:val="0"/>
          <w:color w:val="auto"/>
          <w:kern w:val="0"/>
          <w:szCs w:val="24"/>
          <w:highlight w:val="none"/>
          <w:u w:val="single"/>
        </w:rPr>
        <w:t>。</w:t>
      </w:r>
    </w:p>
    <w:p w14:paraId="2FBA866B">
      <w:pPr>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snapToGrid w:val="0"/>
          <w:color w:val="auto"/>
          <w:kern w:val="0"/>
          <w:szCs w:val="24"/>
          <w:highlight w:val="none"/>
        </w:rPr>
        <w:t>3.11</w:t>
      </w:r>
      <w:r>
        <w:rPr>
          <w:rFonts w:hint="eastAsia" w:ascii="宋体" w:hAnsi="宋体" w:eastAsia="宋体" w:cs="宋体"/>
          <w:color w:val="auto"/>
          <w:sz w:val="24"/>
          <w:szCs w:val="24"/>
          <w:highlight w:val="none"/>
        </w:rPr>
        <w:t>材料暂估价、专业工程暂估价支付方式：</w:t>
      </w:r>
      <w:r>
        <w:rPr>
          <w:rFonts w:hint="eastAsia" w:ascii="宋体" w:hAnsi="宋体" w:eastAsia="宋体" w:cs="宋体"/>
          <w:color w:val="auto"/>
          <w:sz w:val="24"/>
          <w:szCs w:val="24"/>
          <w:highlight w:val="none"/>
          <w:u w:val="single"/>
        </w:rPr>
        <w:t xml:space="preserve"> 材料暂估价、专业工程暂估价与每个月的工程进度款一并报送，但需要列明详细项目内容，该部分材料暂估价、专业工程暂估价按该部分实际完成工程量的50%支付，剩余部分结算完成后支付至97%，剩余3%为工程质量保修金</w:t>
      </w:r>
      <w:r>
        <w:rPr>
          <w:rFonts w:hint="eastAsia" w:ascii="宋体" w:hAnsi="宋体" w:eastAsia="宋体" w:cs="宋体"/>
          <w:color w:val="auto"/>
          <w:sz w:val="24"/>
          <w:szCs w:val="24"/>
          <w:highlight w:val="none"/>
        </w:rPr>
        <w:t>。</w:t>
      </w:r>
    </w:p>
    <w:p w14:paraId="4A99466E">
      <w:pPr>
        <w:wordWrap w:val="0"/>
        <w:adjustRightInd w:val="0"/>
        <w:snapToGrid w:val="0"/>
        <w:spacing w:line="360" w:lineRule="auto"/>
        <w:ind w:firstLine="482" w:firstLineChars="200"/>
        <w:rPr>
          <w:rFonts w:hint="eastAsia" w:ascii="宋体" w:hAnsi="宋体" w:eastAsia="宋体" w:cs="宋体"/>
          <w:b/>
          <w:bCs/>
          <w:snapToGrid w:val="0"/>
          <w:color w:val="auto"/>
          <w:kern w:val="0"/>
          <w:szCs w:val="24"/>
          <w:highlight w:val="none"/>
        </w:rPr>
      </w:pPr>
    </w:p>
    <w:p w14:paraId="7ECAAEC7">
      <w:pPr>
        <w:wordWrap w:val="0"/>
        <w:adjustRightInd w:val="0"/>
        <w:snapToGrid w:val="0"/>
        <w:spacing w:line="360" w:lineRule="auto"/>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color w:val="auto"/>
          <w:kern w:val="0"/>
          <w:sz w:val="24"/>
          <w:lang w:val="en-US" w:eastAsia="zh-CN" w:bidi="ar-SA"/>
        </w:rPr>
        <w:t>4．其他专用合同条款</w:t>
      </w:r>
      <w:r>
        <w:rPr>
          <w:rFonts w:hint="eastAsia" w:ascii="宋体" w:hAnsi="宋体" w:eastAsia="宋体" w:cs="宋体"/>
          <w:snapToGrid w:val="0"/>
          <w:color w:val="auto"/>
          <w:kern w:val="0"/>
          <w:szCs w:val="24"/>
          <w:highlight w:val="none"/>
        </w:rPr>
        <w:t>（由招标人根据本工程实际情况和地方政策与中标人自行协商签定相关专用合同条款。）</w:t>
      </w:r>
    </w:p>
    <w:bookmarkEnd w:id="170"/>
    <w:bookmarkEnd w:id="171"/>
    <w:p w14:paraId="73A29480">
      <w:pPr>
        <w:pStyle w:val="4"/>
        <w:bidi w:val="0"/>
        <w:spacing w:line="360" w:lineRule="auto"/>
        <w:ind w:firstLine="964"/>
        <w:rPr>
          <w:rFonts w:hint="eastAsia" w:ascii="宋体" w:hAnsi="宋体" w:eastAsia="宋体" w:cs="宋体"/>
          <w:color w:val="auto"/>
          <w:highlight w:val="none"/>
        </w:rPr>
      </w:pPr>
      <w:bookmarkStart w:id="203" w:name="_Toc9642"/>
      <w:bookmarkStart w:id="204" w:name="_Toc21669"/>
      <w:bookmarkStart w:id="205" w:name="_Hlt69698796"/>
      <w:r>
        <w:rPr>
          <w:rFonts w:hint="eastAsia" w:ascii="宋体" w:hAnsi="宋体" w:eastAsia="宋体" w:cs="宋体"/>
          <w:color w:val="auto"/>
          <w:highlight w:val="none"/>
          <w:lang w:val="en-US" w:eastAsia="zh-CN"/>
        </w:rPr>
        <w:t>4.1.</w:t>
      </w:r>
      <w:r>
        <w:rPr>
          <w:rFonts w:hint="eastAsia" w:ascii="宋体" w:hAnsi="宋体" w:eastAsia="宋体" w:cs="宋体"/>
          <w:color w:val="auto"/>
          <w:highlight w:val="none"/>
        </w:rPr>
        <w:t>专业工程分包</w:t>
      </w:r>
      <w:bookmarkEnd w:id="203"/>
    </w:p>
    <w:p w14:paraId="3CE814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snapToGrid w:val="0"/>
          <w:color w:val="auto"/>
          <w:kern w:val="0"/>
          <w:highlight w:val="none"/>
        </w:rPr>
        <w:t>合同范围内的工程未经发包人同意一律不得分包，一经发现，取消承包人的承包资格，由此引起的一切经济损失和法律责任由承包人自行承担。若有专业工程必须分包的，</w:t>
      </w:r>
      <w:r>
        <w:rPr>
          <w:rFonts w:hint="eastAsia" w:ascii="宋体" w:hAnsi="宋体" w:eastAsia="宋体" w:cs="宋体"/>
          <w:snapToGrid w:val="0"/>
          <w:color w:val="auto"/>
          <w:kern w:val="0"/>
          <w:highlight w:val="none"/>
          <w:lang w:val="en-US" w:eastAsia="zh-CN"/>
        </w:rPr>
        <w:t>中标人必须发包给具备相应资质的专业分包人，</w:t>
      </w:r>
      <w:r>
        <w:rPr>
          <w:rFonts w:hint="eastAsia" w:ascii="宋体" w:hAnsi="宋体" w:eastAsia="宋体" w:cs="宋体"/>
          <w:snapToGrid w:val="0"/>
          <w:color w:val="auto"/>
          <w:kern w:val="0"/>
          <w:highlight w:val="none"/>
        </w:rPr>
        <w:t>发包人不另行支付总包服务费；其分包合同由总包人与分包人双方签订，发包人不参与总包人与分包人之间的结算，该部分工程的造价仍按总包人与发包人签订的合同的有关条款进行结算。</w:t>
      </w:r>
    </w:p>
    <w:p w14:paraId="4D15650B">
      <w:pPr>
        <w:pStyle w:val="60"/>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06" w:name="_Toc4288"/>
      <w:bookmarkStart w:id="207" w:name="_Toc23958"/>
      <w:r>
        <w:rPr>
          <w:rFonts w:hint="eastAsia" w:ascii="宋体" w:hAnsi="宋体" w:eastAsia="宋体" w:cs="宋体"/>
          <w:b/>
          <w:bCs w:val="0"/>
          <w:snapToGrid w:val="0"/>
          <w:color w:val="auto"/>
          <w:kern w:val="0"/>
          <w:sz w:val="24"/>
          <w:szCs w:val="24"/>
          <w:highlight w:val="none"/>
        </w:rPr>
        <w:t>4.2．工人工资支付专用账户</w:t>
      </w:r>
      <w:bookmarkEnd w:id="206"/>
      <w:bookmarkEnd w:id="207"/>
    </w:p>
    <w:p w14:paraId="3EA720D2">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4.2.1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49301C50">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4.2.2依据人力资源社会保障部等十部门印发的《工程建设领域农民工工资专用账户管理暂行办法》（人社部发〔2021〕53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25EBE086">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号）规定执行。承包人在签订工程施工承包合同后一个月内必须办妥该事项，并将办妥回执交发包人。</w:t>
      </w:r>
    </w:p>
    <w:p w14:paraId="52A65D04">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w:t>
      </w:r>
    </w:p>
    <w:p w14:paraId="37CA8F42">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 xml:space="preserve">4.2.3承包人应在工资专户开立后 2 个工作日内，将开户银行及其账号、开户协议等资料提交给发包人。 </w:t>
      </w:r>
    </w:p>
    <w:p w14:paraId="643C7426">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 xml:space="preserve">（1）用人单位应当在建设项目动工前，在建设项目所在地银行设立工人工资支付专用账户。 </w:t>
      </w:r>
    </w:p>
    <w:p w14:paraId="4695E85C">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 xml:space="preserve">（2）用人单位应当在用工之日起 15 日内为每一位工人办理个人银行账户。 </w:t>
      </w:r>
    </w:p>
    <w:p w14:paraId="04FEC7F4">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 xml:space="preserve">（3）用人单位应当指定专人负责建设项目施工现场台账管理，真实、准确记录工人名册、劳务合同、劳动合同、工程进度、工时台账、劳务承包款和工人工资支付等信息，并保存两年以上备查。 </w:t>
      </w:r>
    </w:p>
    <w:p w14:paraId="67C27170">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7488AAAA">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rPr>
        <w:t>4.2.</w:t>
      </w:r>
      <w:r>
        <w:rPr>
          <w:rFonts w:hint="eastAsia" w:ascii="宋体" w:hAnsi="宋体" w:eastAsia="宋体" w:cs="宋体"/>
          <w:b w:val="0"/>
          <w:bCs/>
          <w:snapToGrid w:val="0"/>
          <w:color w:val="auto"/>
          <w:kern w:val="0"/>
          <w:sz w:val="24"/>
          <w:szCs w:val="24"/>
          <w:highlight w:val="none"/>
          <w:lang w:val="en-US" w:eastAsia="zh-CN"/>
        </w:rPr>
        <w:t>4</w:t>
      </w:r>
      <w:r>
        <w:rPr>
          <w:rFonts w:hint="eastAsia" w:ascii="宋体" w:hAnsi="宋体" w:eastAsia="宋体" w:cs="宋体"/>
          <w:b w:val="0"/>
          <w:bCs/>
          <w:snapToGrid w:val="0"/>
          <w:color w:val="auto"/>
          <w:kern w:val="0"/>
          <w:sz w:val="24"/>
          <w:szCs w:val="24"/>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0D9E5498">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4.2.5承包人必须依照各相关规定做好工人工资支付保证金、工人工资支付专用账户、用工实名制管理工作。</w:t>
      </w:r>
    </w:p>
    <w:p w14:paraId="30C1DAED">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（1）施工预付款中已包括施工合同价的5%专用于承包人办理工人工资支付保证金，承包人必须于合同签订后5个工作日内办理完成保证金缴交或免缴手续。</w:t>
      </w:r>
    </w:p>
    <w:p w14:paraId="16C79322">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承包人已依照相关规定开立工人工资支付专用账户，发包人支付工程进度款时，其中75%支付进入本合同协议书载明的承包人账户、其中25%支付进入本款载明的工人工资支付专用账户。承包人必须与所有聘用人员签订劳动合同，并按劳动合同约定每月足额通过专用账户发放工资，并按月将工资发放资料提交一份给发包人。</w:t>
      </w:r>
    </w:p>
    <w:p w14:paraId="67282E75">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（3）承包人应在开工前编制用工实名管理专项方案以及费用使用计划，经监理单位审批后，作为施工合同的组成部分，并依照相关规定做好用工实名信息化管理。</w:t>
      </w:r>
    </w:p>
    <w:p w14:paraId="7FB799B2">
      <w:pPr>
        <w:pStyle w:val="60"/>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08" w:name="_Toc15476"/>
      <w:bookmarkStart w:id="209" w:name="_Toc21233"/>
      <w:r>
        <w:rPr>
          <w:rFonts w:hint="eastAsia" w:ascii="宋体" w:hAnsi="宋体" w:eastAsia="宋体" w:cs="宋体"/>
          <w:b/>
          <w:bCs w:val="0"/>
          <w:snapToGrid w:val="0"/>
          <w:color w:val="auto"/>
          <w:kern w:val="0"/>
          <w:sz w:val="24"/>
          <w:szCs w:val="24"/>
          <w:highlight w:val="none"/>
        </w:rPr>
        <w:t>4.3．诚信登记</w:t>
      </w:r>
      <w:bookmarkEnd w:id="208"/>
      <w:bookmarkEnd w:id="209"/>
    </w:p>
    <w:p w14:paraId="58A308A9">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根据资质管理规定，许可机关应当建立、健全建筑业企业信用档案管理制度，包括企业基本信息、资质、业绩、工程质量和安全、合同履约、社会投诉和违法行为等情况。</w:t>
      </w:r>
    </w:p>
    <w:p w14:paraId="2FFED412">
      <w:pPr>
        <w:pStyle w:val="60"/>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10" w:name="_Toc24195"/>
      <w:bookmarkStart w:id="211" w:name="_Toc30115"/>
      <w:r>
        <w:rPr>
          <w:rFonts w:hint="eastAsia" w:ascii="宋体" w:hAnsi="宋体" w:eastAsia="宋体" w:cs="宋体"/>
          <w:b/>
          <w:bCs w:val="0"/>
          <w:snapToGrid w:val="0"/>
          <w:color w:val="auto"/>
          <w:kern w:val="0"/>
          <w:sz w:val="24"/>
          <w:szCs w:val="24"/>
          <w:highlight w:val="none"/>
        </w:rPr>
        <w:t>4.4．工期进度</w:t>
      </w:r>
      <w:bookmarkEnd w:id="210"/>
      <w:bookmarkEnd w:id="211"/>
    </w:p>
    <w:p w14:paraId="1F897EDB">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4.4.1本招标项目施工工期为</w:t>
      </w:r>
      <w:r>
        <w:rPr>
          <w:rFonts w:hint="eastAsia" w:ascii="宋体" w:hAnsi="宋体" w:eastAsia="宋体" w:cs="宋体"/>
          <w:b w:val="0"/>
          <w:bCs/>
          <w:snapToGrid w:val="0"/>
          <w:color w:val="auto"/>
          <w:kern w:val="0"/>
          <w:sz w:val="24"/>
          <w:szCs w:val="24"/>
          <w:highlight w:val="none"/>
          <w:u w:val="single"/>
          <w:lang w:val="en-US" w:eastAsia="zh-CN"/>
        </w:rPr>
        <w:t>120</w:t>
      </w:r>
      <w:r>
        <w:rPr>
          <w:rFonts w:hint="eastAsia" w:ascii="宋体" w:hAnsi="宋体" w:eastAsia="宋体" w:cs="宋体"/>
          <w:b w:val="0"/>
          <w:bCs/>
          <w:snapToGrid w:val="0"/>
          <w:color w:val="auto"/>
          <w:kern w:val="0"/>
          <w:sz w:val="24"/>
          <w:szCs w:val="24"/>
          <w:highlight w:val="none"/>
        </w:rPr>
        <w:t>个日历天，承包人必须在招标工期内完成招标范围内的全部内容。</w:t>
      </w:r>
    </w:p>
    <w:p w14:paraId="5F82ECAA">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4.4.2 施工工期从承包人收到监理单位签发的开工令之日起计，至竣工验收合格之日止。</w:t>
      </w:r>
    </w:p>
    <w:p w14:paraId="34C25D64">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4.2.3工期奖罚</w:t>
      </w:r>
    </w:p>
    <w:p w14:paraId="4017E8FB">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 xml:space="preserve">□竣工验收合格交付使用每提前/天竣工；奖/元，奖励金额不超过合同价款的%（一般为 2%～5%）且不超过/万元。 </w:t>
      </w:r>
    </w:p>
    <w:p w14:paraId="25FEAB2F">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☑按施工合同期约定，因承包人原因每延误1天竣工，罚</w:t>
      </w:r>
      <w:r>
        <w:rPr>
          <w:rFonts w:hint="eastAsia" w:ascii="宋体" w:hAnsi="宋体" w:eastAsia="宋体" w:cs="宋体"/>
          <w:b w:val="0"/>
          <w:bCs/>
          <w:snapToGrid w:val="0"/>
          <w:color w:val="auto"/>
          <w:kern w:val="0"/>
          <w:sz w:val="24"/>
          <w:szCs w:val="24"/>
          <w:highlight w:val="none"/>
          <w:lang w:val="en-US" w:eastAsia="zh-CN"/>
        </w:rPr>
        <w:t>5000.00</w:t>
      </w:r>
      <w:r>
        <w:rPr>
          <w:rFonts w:hint="eastAsia" w:ascii="宋体" w:hAnsi="宋体" w:eastAsia="宋体" w:cs="宋体"/>
          <w:b w:val="0"/>
          <w:bCs/>
          <w:snapToGrid w:val="0"/>
          <w:color w:val="auto"/>
          <w:kern w:val="0"/>
          <w:sz w:val="24"/>
          <w:szCs w:val="24"/>
          <w:highlight w:val="none"/>
        </w:rPr>
        <w:t xml:space="preserve">元。 </w:t>
      </w:r>
    </w:p>
    <w:p w14:paraId="0FB92D9A">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□按施工合同期约定，因承包人原因延误工期</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天内不处罚，自第</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天起每延误</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天竣工, 罚</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元。处罚金额不超过合同价款的 %（一般为 2%～5%）且不超过</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万元，累计延误工期达到</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 xml:space="preserve">天，报请建设行政主管部门作不良行为记录，非承包方原因或不可抗力造成延误的除外。 </w:t>
      </w:r>
    </w:p>
    <w:p w14:paraId="5A1DE31E">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□其它说明：/</w:t>
      </w:r>
    </w:p>
    <w:p w14:paraId="5A5D4889">
      <w:pPr>
        <w:pStyle w:val="60"/>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12" w:name="_Toc21648"/>
      <w:bookmarkStart w:id="213" w:name="_Toc16363"/>
      <w:r>
        <w:rPr>
          <w:rFonts w:hint="eastAsia" w:ascii="宋体" w:hAnsi="宋体" w:eastAsia="宋体" w:cs="宋体"/>
          <w:b/>
          <w:bCs w:val="0"/>
          <w:snapToGrid w:val="0"/>
          <w:color w:val="auto"/>
          <w:kern w:val="0"/>
          <w:sz w:val="24"/>
          <w:szCs w:val="24"/>
          <w:highlight w:val="none"/>
        </w:rPr>
        <w:t>4.5．项目管理机构</w:t>
      </w:r>
      <w:bookmarkEnd w:id="212"/>
      <w:bookmarkEnd w:id="213"/>
    </w:p>
    <w:p w14:paraId="5C012F1C">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4.5.1 承包人派驻的项目管理班子成员必须为其投标文件确定的人员，否则发包人有权终止合同。</w:t>
      </w:r>
    </w:p>
    <w:p w14:paraId="001A7AC6">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4.5.2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466AE9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b w:val="0"/>
          <w:bCs/>
          <w:snapToGrid w:val="0"/>
          <w:color w:val="auto"/>
          <w:kern w:val="0"/>
          <w:sz w:val="24"/>
          <w:szCs w:val="24"/>
          <w:highlight w:val="none"/>
          <w:lang w:val="en-US" w:eastAsia="zh-CN"/>
        </w:rPr>
        <w:t>4.5.3根据项目实施进度情况，发包人有权要求承包人增派项目管理人员，以满足项目的现场管理工作要求。</w:t>
      </w:r>
    </w:p>
    <w:p w14:paraId="35E7ED36">
      <w:pPr>
        <w:pStyle w:val="60"/>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14" w:name="_Toc16233"/>
      <w:bookmarkStart w:id="215" w:name="_Toc21811"/>
      <w:r>
        <w:rPr>
          <w:rFonts w:hint="eastAsia" w:ascii="宋体" w:hAnsi="宋体" w:eastAsia="宋体" w:cs="宋体"/>
          <w:b/>
          <w:bCs w:val="0"/>
          <w:snapToGrid w:val="0"/>
          <w:color w:val="auto"/>
          <w:kern w:val="0"/>
          <w:sz w:val="24"/>
          <w:szCs w:val="24"/>
          <w:highlight w:val="none"/>
        </w:rPr>
        <w:t>4.6．现场管理</w:t>
      </w:r>
      <w:bookmarkEnd w:id="214"/>
      <w:bookmarkEnd w:id="215"/>
    </w:p>
    <w:p w14:paraId="171D14F0">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4.61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75D9EB01">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4.6.2 承包人应按安全施工有关规定，采取严格、科学的安全防护措施，确保施工和人员（包括第三者）的安全，承担由于自身安全防护措施不力所造成的安全事故责任和发生的费用。</w:t>
      </w:r>
    </w:p>
    <w:p w14:paraId="53D2B619">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4.6.3 为保证施工现场的环境卫生，承包人在本招标项目施工过程中，所有的车辆必须按发包人规定的行车路线行驶。</w:t>
      </w:r>
    </w:p>
    <w:p w14:paraId="5373956E">
      <w:pPr>
        <w:pStyle w:val="60"/>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16" w:name="_Toc1442"/>
      <w:bookmarkStart w:id="217" w:name="_Toc1176"/>
      <w:r>
        <w:rPr>
          <w:rFonts w:hint="eastAsia" w:ascii="宋体" w:hAnsi="宋体" w:eastAsia="宋体" w:cs="宋体"/>
          <w:b/>
          <w:bCs w:val="0"/>
          <w:snapToGrid w:val="0"/>
          <w:color w:val="auto"/>
          <w:kern w:val="0"/>
          <w:sz w:val="24"/>
          <w:szCs w:val="24"/>
          <w:highlight w:val="none"/>
        </w:rPr>
        <w:t>4.7．监督实施</w:t>
      </w:r>
      <w:bookmarkEnd w:id="216"/>
      <w:bookmarkEnd w:id="217"/>
    </w:p>
    <w:p w14:paraId="61B36255">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5CA00D6A">
      <w:pPr>
        <w:pStyle w:val="60"/>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18" w:name="_Toc5482"/>
      <w:bookmarkStart w:id="219" w:name="_Toc1485"/>
      <w:r>
        <w:rPr>
          <w:rFonts w:hint="eastAsia" w:ascii="宋体" w:hAnsi="宋体" w:eastAsia="宋体" w:cs="宋体"/>
          <w:b/>
          <w:bCs w:val="0"/>
          <w:snapToGrid w:val="0"/>
          <w:color w:val="auto"/>
          <w:kern w:val="0"/>
          <w:sz w:val="24"/>
          <w:szCs w:val="24"/>
          <w:highlight w:val="none"/>
        </w:rPr>
        <w:t>4.8．主材的采购和使用</w:t>
      </w:r>
      <w:bookmarkEnd w:id="218"/>
      <w:bookmarkEnd w:id="219"/>
    </w:p>
    <w:p w14:paraId="5CFBA4FD">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0D4C92C1">
      <w:pPr>
        <w:pStyle w:val="60"/>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20" w:name="_Toc27130"/>
      <w:bookmarkStart w:id="221" w:name="_Toc11557"/>
      <w:r>
        <w:rPr>
          <w:rFonts w:hint="eastAsia" w:ascii="宋体" w:hAnsi="宋体" w:eastAsia="宋体" w:cs="宋体"/>
          <w:b/>
          <w:bCs w:val="0"/>
          <w:snapToGrid w:val="0"/>
          <w:color w:val="auto"/>
          <w:kern w:val="0"/>
          <w:sz w:val="24"/>
          <w:szCs w:val="24"/>
          <w:highlight w:val="none"/>
        </w:rPr>
        <w:t>4.9</w:t>
      </w:r>
      <w:r>
        <w:rPr>
          <w:rFonts w:hint="eastAsia"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rPr>
        <w:t>竣工资料移交</w:t>
      </w:r>
      <w:bookmarkEnd w:id="220"/>
      <w:bookmarkEnd w:id="221"/>
    </w:p>
    <w:p w14:paraId="2D74B9D8">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项目竣工验收时，承包人应向监理单位和发包人提供符合国家档案部门备案要求的，编制成册的竣工图及有关的技术档案资料（含声像档案）一式</w:t>
      </w:r>
      <w:r>
        <w:rPr>
          <w:rFonts w:hint="eastAsia" w:ascii="宋体" w:hAnsi="宋体" w:eastAsia="宋体" w:cs="宋体"/>
          <w:b w:val="0"/>
          <w:bCs/>
          <w:snapToGrid w:val="0"/>
          <w:color w:val="auto"/>
          <w:kern w:val="0"/>
          <w:sz w:val="24"/>
          <w:szCs w:val="24"/>
          <w:highlight w:val="none"/>
          <w:u w:val="single"/>
        </w:rPr>
        <w:t>八</w:t>
      </w:r>
      <w:r>
        <w:rPr>
          <w:rFonts w:hint="eastAsia" w:ascii="宋体" w:hAnsi="宋体" w:eastAsia="宋体" w:cs="宋体"/>
          <w:b w:val="0"/>
          <w:bCs/>
          <w:snapToGrid w:val="0"/>
          <w:color w:val="auto"/>
          <w:kern w:val="0"/>
          <w:sz w:val="24"/>
          <w:szCs w:val="24"/>
          <w:highlight w:val="none"/>
        </w:rPr>
        <w:t>份。</w:t>
      </w:r>
    </w:p>
    <w:p w14:paraId="153E1139">
      <w:pPr>
        <w:pStyle w:val="60"/>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22" w:name="_Toc14292"/>
      <w:bookmarkStart w:id="223" w:name="_Toc20949"/>
      <w:r>
        <w:rPr>
          <w:rFonts w:hint="eastAsia" w:ascii="宋体" w:hAnsi="宋体" w:eastAsia="宋体" w:cs="宋体"/>
          <w:b/>
          <w:bCs w:val="0"/>
          <w:snapToGrid w:val="0"/>
          <w:color w:val="auto"/>
          <w:kern w:val="0"/>
          <w:sz w:val="24"/>
          <w:szCs w:val="24"/>
          <w:highlight w:val="none"/>
        </w:rPr>
        <w:t>4.10</w:t>
      </w:r>
      <w:r>
        <w:rPr>
          <w:rFonts w:hint="eastAsia"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rPr>
        <w:t>质量保证</w:t>
      </w:r>
      <w:bookmarkEnd w:id="222"/>
      <w:bookmarkEnd w:id="223"/>
    </w:p>
    <w:p w14:paraId="7F4CAF78">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4.10.1 本招标项目缺陷责任期为</w:t>
      </w:r>
      <w:r>
        <w:rPr>
          <w:rFonts w:hint="eastAsia" w:ascii="宋体" w:hAnsi="宋体" w:eastAsia="宋体" w:cs="宋体"/>
          <w:b/>
          <w:bCs w:val="0"/>
          <w:snapToGrid w:val="0"/>
          <w:color w:val="auto"/>
          <w:kern w:val="0"/>
          <w:sz w:val="24"/>
          <w:szCs w:val="24"/>
          <w:highlight w:val="none"/>
          <w:u w:val="single"/>
        </w:rPr>
        <w:t>2</w:t>
      </w:r>
      <w:r>
        <w:rPr>
          <w:rFonts w:hint="eastAsia" w:ascii="宋体" w:hAnsi="宋体" w:eastAsia="宋体" w:cs="宋体"/>
          <w:b/>
          <w:bCs w:val="0"/>
          <w:snapToGrid w:val="0"/>
          <w:color w:val="auto"/>
          <w:kern w:val="0"/>
          <w:sz w:val="24"/>
          <w:szCs w:val="24"/>
          <w:highlight w:val="none"/>
        </w:rPr>
        <w:t>年</w:t>
      </w:r>
      <w:r>
        <w:rPr>
          <w:rFonts w:hint="eastAsia" w:ascii="宋体" w:hAnsi="宋体" w:eastAsia="宋体" w:cs="宋体"/>
          <w:b w:val="0"/>
          <w:bCs/>
          <w:snapToGrid w:val="0"/>
          <w:color w:val="auto"/>
          <w:kern w:val="0"/>
          <w:sz w:val="24"/>
          <w:szCs w:val="24"/>
          <w:highlight w:val="none"/>
        </w:rPr>
        <w:t>（自通过竣工验收之日起计），在此期间预留金额为结算价</w:t>
      </w:r>
      <w:r>
        <w:rPr>
          <w:rFonts w:hint="eastAsia" w:ascii="宋体" w:hAnsi="宋体" w:eastAsia="宋体" w:cs="宋体"/>
          <w:b/>
          <w:bCs w:val="0"/>
          <w:snapToGrid w:val="0"/>
          <w:color w:val="auto"/>
          <w:kern w:val="0"/>
          <w:sz w:val="24"/>
          <w:szCs w:val="24"/>
          <w:highlight w:val="none"/>
          <w:u w:val="single"/>
        </w:rPr>
        <w:t>3%</w:t>
      </w:r>
      <w:r>
        <w:rPr>
          <w:rFonts w:hint="eastAsia" w:ascii="宋体" w:hAnsi="宋体" w:eastAsia="宋体" w:cs="宋体"/>
          <w:b w:val="0"/>
          <w:bCs/>
          <w:snapToGrid w:val="0"/>
          <w:color w:val="auto"/>
          <w:kern w:val="0"/>
          <w:sz w:val="24"/>
          <w:szCs w:val="24"/>
          <w:highlight w:val="none"/>
        </w:rPr>
        <w:t>的质量保证。</w:t>
      </w:r>
    </w:p>
    <w:p w14:paraId="2FC3D744">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4.10.2 质量保证的形式：质量保证的形式包括质量保证金、质量保证担保、质量保证保险三种，由承包人自主选择。</w:t>
      </w:r>
    </w:p>
    <w:p w14:paraId="678237C6">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（1）采用质量保证金形式的，在结清审定总造价时一次性扣留相应金额作为质量保证金。</w:t>
      </w:r>
    </w:p>
    <w:p w14:paraId="43198DD8">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lang w:val="en-US" w:eastAsia="zh-CN"/>
        </w:rPr>
        <w:t>（2）采用质量保证担保或质量保证保险的，承包人应在竣工验收时向发包人提交有效的商业保函、银行保函或保险合同（或保险单）原件，商业保函、银行保函或保险合同（或保险单）的有效期不得短于缺陷责任期</w:t>
      </w:r>
      <w:r>
        <w:rPr>
          <w:rFonts w:hint="eastAsia" w:ascii="宋体" w:hAnsi="宋体" w:eastAsia="宋体" w:cs="宋体"/>
          <w:b w:val="0"/>
          <w:bCs/>
          <w:snapToGrid w:val="0"/>
          <w:color w:val="auto"/>
          <w:kern w:val="0"/>
          <w:sz w:val="24"/>
          <w:szCs w:val="24"/>
          <w:highlight w:val="none"/>
        </w:rPr>
        <w:t>。</w:t>
      </w:r>
    </w:p>
    <w:p w14:paraId="7D260679">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4.10.3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2FA502D8">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由他人原因造成的缺陷，发包人负责组织维修，承包人不承担费用，且发包人不得从质量保证中扣除费用。</w:t>
      </w:r>
    </w:p>
    <w:p w14:paraId="763C841D">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4.10.4 缺陷责任期内，承包人应认真履行合同约定的责任。缺陷责任期到期后，承包人向发包人申请退还质量保证，发包人应按照《建设工程质量保证金管理办法》有关规定将质量保证退还给承包人。</w:t>
      </w:r>
    </w:p>
    <w:p w14:paraId="7A891F03">
      <w:pPr>
        <w:pStyle w:val="60"/>
        <w:spacing w:line="360" w:lineRule="auto"/>
        <w:ind w:firstLine="482" w:firstLineChars="200"/>
        <w:jc w:val="left"/>
        <w:rPr>
          <w:rFonts w:hint="eastAsia" w:ascii="宋体" w:hAnsi="宋体" w:eastAsia="宋体" w:cs="宋体"/>
          <w:b w:val="0"/>
          <w:bCs/>
          <w:snapToGrid w:val="0"/>
          <w:color w:val="auto"/>
          <w:kern w:val="0"/>
          <w:sz w:val="24"/>
          <w:szCs w:val="24"/>
          <w:highlight w:val="none"/>
        </w:rPr>
      </w:pPr>
      <w:bookmarkStart w:id="224" w:name="_Toc9682"/>
      <w:bookmarkStart w:id="225" w:name="_Toc211"/>
      <w:r>
        <w:rPr>
          <w:rFonts w:hint="eastAsia" w:ascii="宋体" w:hAnsi="宋体" w:eastAsia="宋体" w:cs="宋体"/>
          <w:b/>
          <w:bCs w:val="0"/>
          <w:snapToGrid w:val="0"/>
          <w:color w:val="auto"/>
          <w:kern w:val="0"/>
          <w:sz w:val="24"/>
          <w:szCs w:val="24"/>
          <w:highlight w:val="none"/>
        </w:rPr>
        <w:t>4.11</w:t>
      </w:r>
      <w:r>
        <w:rPr>
          <w:rFonts w:hint="eastAsia"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rPr>
        <w:t>不良行为处理</w:t>
      </w:r>
      <w:bookmarkEnd w:id="224"/>
      <w:bookmarkEnd w:id="225"/>
    </w:p>
    <w:p w14:paraId="00651002">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5DE33D43">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（1）转包、违法分包或违反投标承诺分包工程的；</w:t>
      </w:r>
    </w:p>
    <w:p w14:paraId="253CB99F">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（2）非原参加投标中标的项目经理负责组织施工或在实施过程中擅自更换项目经理的、项目的其他主要管理人员与中标文件确定的人员不相符的；</w:t>
      </w:r>
    </w:p>
    <w:p w14:paraId="08756DD9">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（3）投标文件确定的大型机械设备没有进入施工现场的；</w:t>
      </w:r>
    </w:p>
    <w:p w14:paraId="3BA2B30A">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（4）与建设单位、监理单位串通，签认虚假工程量或工程造价的；</w:t>
      </w:r>
    </w:p>
    <w:p w14:paraId="110B95AF">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（5）项目经理施工现场管理不到位的；</w:t>
      </w:r>
    </w:p>
    <w:p w14:paraId="7DF6C304">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（6）项目经理在非本人资格证书注册单位从事工程项目施工管理的；</w:t>
      </w:r>
    </w:p>
    <w:p w14:paraId="039FAE7D">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（7）项目经理同时承担超过一项工程项目的；</w:t>
      </w:r>
    </w:p>
    <w:p w14:paraId="5A1E2D1E">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（8）违反有关法律、法规、规章规定的其它行为。</w:t>
      </w:r>
    </w:p>
    <w:p w14:paraId="75557C70">
      <w:pPr>
        <w:pStyle w:val="60"/>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26" w:name="_Toc16682"/>
      <w:bookmarkStart w:id="227" w:name="_Toc15004"/>
      <w:r>
        <w:rPr>
          <w:rFonts w:hint="eastAsia" w:ascii="宋体" w:hAnsi="宋体" w:eastAsia="宋体" w:cs="宋体"/>
          <w:b/>
          <w:bCs w:val="0"/>
          <w:snapToGrid w:val="0"/>
          <w:color w:val="auto"/>
          <w:kern w:val="0"/>
          <w:sz w:val="24"/>
          <w:szCs w:val="24"/>
          <w:highlight w:val="none"/>
        </w:rPr>
        <w:t>4.12</w:t>
      </w:r>
      <w:r>
        <w:rPr>
          <w:rFonts w:hint="eastAsia"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rPr>
        <w:t>信用评价条款内容</w:t>
      </w:r>
      <w:bookmarkEnd w:id="226"/>
      <w:bookmarkEnd w:id="227"/>
    </w:p>
    <w:p w14:paraId="260E09D2">
      <w:pPr>
        <w:pStyle w:val="60"/>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 </w:t>
      </w:r>
    </w:p>
    <w:p w14:paraId="2A724234">
      <w:pPr>
        <w:pStyle w:val="60"/>
        <w:spacing w:line="360" w:lineRule="auto"/>
        <w:ind w:firstLine="482"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 w:val="0"/>
          <w:bCs/>
          <w:snapToGrid w:val="0"/>
          <w:color w:val="auto"/>
          <w:kern w:val="0"/>
          <w:sz w:val="24"/>
          <w:szCs w:val="24"/>
          <w:highlight w:val="none"/>
        </w:rPr>
        <w:t>危险性较大的分部分项工程安全管理约定。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p>
    <w:p w14:paraId="034CC18B">
      <w:pPr>
        <w:pStyle w:val="60"/>
        <w:spacing w:line="360" w:lineRule="auto"/>
        <w:ind w:firstLine="480" w:firstLineChars="200"/>
        <w:jc w:val="left"/>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承包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5714F8E5">
      <w:pPr>
        <w:pStyle w:val="60"/>
        <w:spacing w:line="360" w:lineRule="auto"/>
        <w:ind w:firstLine="482"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r>
        <w:rPr>
          <w:rFonts w:hint="eastAsia" w:ascii="宋体" w:hAnsi="宋体" w:eastAsia="宋体" w:cs="宋体"/>
          <w:b/>
          <w:bCs w:val="0"/>
          <w:snapToGrid w:val="0"/>
          <w:color w:val="auto"/>
          <w:kern w:val="0"/>
          <w:sz w:val="24"/>
          <w:szCs w:val="24"/>
          <w:highlight w:val="none"/>
          <w:lang w:val="en-US" w:eastAsia="zh-CN"/>
        </w:rPr>
        <w:t>14.</w:t>
      </w:r>
      <w:r>
        <w:rPr>
          <w:rFonts w:hint="eastAsia" w:ascii="宋体" w:hAnsi="宋体" w:eastAsia="宋体" w:cs="宋体"/>
          <w:b w:val="0"/>
          <w:bCs/>
          <w:snapToGrid w:val="0"/>
          <w:color w:val="auto"/>
          <w:kern w:val="0"/>
          <w:sz w:val="24"/>
          <w:szCs w:val="24"/>
          <w:highlight w:val="none"/>
        </w:rPr>
        <w:t>承包人在工程实施过程中，按照国家、省、市的相关规定制定相关的专项安全施工方案（如高支模、基坑支护、沉井等），编制专项施工方案报监理人、招标人审批后方可开展专项工程的施工。</w:t>
      </w:r>
    </w:p>
    <w:p w14:paraId="6D850A8F">
      <w:pPr>
        <w:pStyle w:val="60"/>
        <w:spacing w:line="360" w:lineRule="auto"/>
        <w:ind w:firstLine="482"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4.1</w:t>
      </w:r>
      <w:r>
        <w:rPr>
          <w:rFonts w:hint="eastAsia" w:ascii="宋体" w:hAnsi="宋体" w:eastAsia="宋体" w:cs="宋体"/>
          <w:b/>
          <w:bCs w:val="0"/>
          <w:snapToGrid w:val="0"/>
          <w:color w:val="auto"/>
          <w:kern w:val="0"/>
          <w:sz w:val="24"/>
          <w:szCs w:val="24"/>
          <w:highlight w:val="none"/>
          <w:lang w:val="en-US" w:eastAsia="zh-CN"/>
        </w:rPr>
        <w:t>5.</w:t>
      </w:r>
      <w:r>
        <w:rPr>
          <w:rFonts w:hint="eastAsia" w:ascii="宋体" w:hAnsi="宋体" w:eastAsia="宋体" w:cs="宋体"/>
          <w:b w:val="0"/>
          <w:bCs/>
          <w:snapToGrid w:val="0"/>
          <w:color w:val="auto"/>
          <w:kern w:val="0"/>
          <w:sz w:val="24"/>
          <w:szCs w:val="24"/>
          <w:highlight w:val="none"/>
        </w:rPr>
        <w:t>中标人须按照《韶关市建筑垃圾管理条例》（2021年5月1日起施行），将弃土运至招标人指定的场所，否则招标人有权要求中标人无条件将弃土从违约弃土点运至招标人指定的场所并扣除违约金</w:t>
      </w:r>
      <w:r>
        <w:rPr>
          <w:rFonts w:hint="eastAsia" w:ascii="宋体" w:hAnsi="宋体" w:eastAsia="宋体" w:cs="宋体"/>
          <w:b w:val="0"/>
          <w:bCs/>
          <w:snapToGrid w:val="0"/>
          <w:color w:val="auto"/>
          <w:kern w:val="0"/>
          <w:sz w:val="24"/>
          <w:szCs w:val="24"/>
          <w:highlight w:val="none"/>
          <w:lang w:val="en-US" w:eastAsia="zh-CN"/>
        </w:rPr>
        <w:t>1</w:t>
      </w:r>
      <w:r>
        <w:rPr>
          <w:rFonts w:hint="eastAsia" w:ascii="宋体" w:hAnsi="宋体" w:eastAsia="宋体" w:cs="宋体"/>
          <w:b w:val="0"/>
          <w:bCs/>
          <w:snapToGrid w:val="0"/>
          <w:color w:val="auto"/>
          <w:kern w:val="0"/>
          <w:sz w:val="24"/>
          <w:szCs w:val="24"/>
          <w:highlight w:val="none"/>
        </w:rPr>
        <w:t>万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0F741952">
      <w:pPr>
        <w:pStyle w:val="60"/>
        <w:spacing w:line="360" w:lineRule="auto"/>
        <w:ind w:firstLine="482"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4.1</w:t>
      </w:r>
      <w:r>
        <w:rPr>
          <w:rFonts w:hint="eastAsia" w:ascii="宋体" w:hAnsi="宋体" w:eastAsia="宋体" w:cs="宋体"/>
          <w:b/>
          <w:bCs w:val="0"/>
          <w:snapToGrid w:val="0"/>
          <w:color w:val="auto"/>
          <w:kern w:val="0"/>
          <w:sz w:val="24"/>
          <w:szCs w:val="24"/>
          <w:highlight w:val="none"/>
          <w:lang w:val="en-US" w:eastAsia="zh-CN"/>
        </w:rPr>
        <w:t>6.</w:t>
      </w:r>
      <w:r>
        <w:rPr>
          <w:rFonts w:hint="eastAsia" w:ascii="宋体" w:hAnsi="宋体" w:eastAsia="宋体" w:cs="宋体"/>
          <w:b w:val="0"/>
          <w:bCs/>
          <w:snapToGrid w:val="0"/>
          <w:color w:val="auto"/>
          <w:kern w:val="0"/>
          <w:sz w:val="24"/>
          <w:szCs w:val="24"/>
          <w:highlight w:val="none"/>
        </w:rPr>
        <w:t>工程竣工验收后15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119A4AF6">
      <w:pPr>
        <w:pStyle w:val="60"/>
        <w:spacing w:line="360" w:lineRule="auto"/>
        <w:ind w:firstLine="482"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r>
        <w:rPr>
          <w:rFonts w:hint="eastAsia" w:ascii="宋体" w:hAnsi="宋体" w:eastAsia="宋体" w:cs="宋体"/>
          <w:b/>
          <w:bCs w:val="0"/>
          <w:snapToGrid w:val="0"/>
          <w:color w:val="auto"/>
          <w:kern w:val="0"/>
          <w:sz w:val="24"/>
          <w:szCs w:val="24"/>
          <w:highlight w:val="none"/>
          <w:lang w:val="en-US" w:eastAsia="zh-CN"/>
        </w:rPr>
        <w:t>17.</w:t>
      </w:r>
      <w:r>
        <w:rPr>
          <w:rFonts w:hint="eastAsia" w:ascii="宋体" w:hAnsi="宋体" w:eastAsia="宋体" w:cs="宋体"/>
          <w:b w:val="0"/>
          <w:bCs/>
          <w:snapToGrid w:val="0"/>
          <w:color w:val="auto"/>
          <w:kern w:val="0"/>
          <w:sz w:val="24"/>
          <w:szCs w:val="24"/>
          <w:highlight w:val="none"/>
        </w:rPr>
        <w:t xml:space="preserve">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582C81D6">
      <w:pPr>
        <w:pStyle w:val="60"/>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4.1</w:t>
      </w:r>
      <w:r>
        <w:rPr>
          <w:rFonts w:hint="eastAsia" w:ascii="宋体" w:hAnsi="宋体" w:eastAsia="宋体" w:cs="宋体"/>
          <w:b/>
          <w:bCs w:val="0"/>
          <w:snapToGrid w:val="0"/>
          <w:color w:val="auto"/>
          <w:kern w:val="0"/>
          <w:sz w:val="24"/>
          <w:szCs w:val="24"/>
          <w:highlight w:val="none"/>
          <w:lang w:val="en-US" w:eastAsia="zh-CN"/>
        </w:rPr>
        <w:t>8.</w:t>
      </w:r>
      <w:r>
        <w:rPr>
          <w:rFonts w:hint="eastAsia" w:ascii="宋体" w:hAnsi="宋体" w:eastAsia="宋体" w:cs="宋体"/>
          <w:b/>
          <w:bCs w:val="0"/>
          <w:snapToGrid w:val="0"/>
          <w:color w:val="auto"/>
          <w:kern w:val="0"/>
          <w:sz w:val="24"/>
          <w:szCs w:val="24"/>
          <w:highlight w:val="none"/>
        </w:rPr>
        <w:t xml:space="preserve"> </w:t>
      </w:r>
      <w:r>
        <w:rPr>
          <w:rFonts w:hint="eastAsia" w:ascii="宋体" w:hAnsi="宋体" w:eastAsia="宋体" w:cs="宋体"/>
          <w:b w:val="0"/>
          <w:bCs/>
          <w:snapToGrid w:val="0"/>
          <w:color w:val="auto"/>
          <w:kern w:val="0"/>
          <w:sz w:val="24"/>
          <w:szCs w:val="24"/>
          <w:highlight w:val="none"/>
        </w:rPr>
        <w:t xml:space="preserve">承包人中标后必须按规定及时缴交工人工资保证金、环保噪声排污费等。 </w:t>
      </w:r>
    </w:p>
    <w:p w14:paraId="129AC4D2">
      <w:pPr>
        <w:pStyle w:val="60"/>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4.1</w:t>
      </w:r>
      <w:r>
        <w:rPr>
          <w:rFonts w:hint="eastAsia" w:ascii="宋体" w:hAnsi="宋体" w:eastAsia="宋体" w:cs="宋体"/>
          <w:b/>
          <w:bCs w:val="0"/>
          <w:snapToGrid w:val="0"/>
          <w:color w:val="auto"/>
          <w:kern w:val="0"/>
          <w:sz w:val="24"/>
          <w:szCs w:val="24"/>
          <w:highlight w:val="none"/>
          <w:lang w:val="en-US" w:eastAsia="zh-CN"/>
        </w:rPr>
        <w:t>9.</w:t>
      </w:r>
      <w:r>
        <w:rPr>
          <w:rFonts w:hint="eastAsia" w:ascii="宋体" w:hAnsi="宋体" w:eastAsia="宋体" w:cs="宋体"/>
          <w:b w:val="0"/>
          <w:bCs/>
          <w:snapToGrid w:val="0"/>
          <w:color w:val="auto"/>
          <w:kern w:val="0"/>
          <w:sz w:val="24"/>
          <w:szCs w:val="24"/>
          <w:highlight w:val="none"/>
        </w:rPr>
        <w:t xml:space="preserve"> 工程质量保修期按《中华人民共和国建筑法》、《建设工程质量管理条例》等相关规定实施。 </w:t>
      </w:r>
    </w:p>
    <w:p w14:paraId="327AFBE1">
      <w:pPr>
        <w:pStyle w:val="60"/>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r>
        <w:rPr>
          <w:rFonts w:hint="eastAsia" w:ascii="宋体" w:hAnsi="宋体" w:eastAsia="宋体" w:cs="宋体"/>
          <w:b/>
          <w:bCs w:val="0"/>
          <w:snapToGrid w:val="0"/>
          <w:color w:val="auto"/>
          <w:kern w:val="0"/>
          <w:sz w:val="24"/>
          <w:szCs w:val="24"/>
          <w:highlight w:val="none"/>
          <w:lang w:val="en-US" w:eastAsia="zh-CN"/>
        </w:rPr>
        <w:t>20.</w:t>
      </w:r>
      <w:r>
        <w:rPr>
          <w:rFonts w:hint="eastAsia" w:ascii="宋体" w:hAnsi="宋体" w:eastAsia="宋体" w:cs="宋体"/>
          <w:b w:val="0"/>
          <w:bCs/>
          <w:snapToGrid w:val="0"/>
          <w:color w:val="auto"/>
          <w:kern w:val="0"/>
          <w:sz w:val="24"/>
          <w:szCs w:val="24"/>
          <w:highlight w:val="none"/>
        </w:rPr>
        <w:t xml:space="preserve"> 如项目实施过程中发生了工程变更及工程签证，承包人需根据发包人发布的 《工程变更管理办法》和《工程签证管理办法》完善工程变更签证相关程序。 </w:t>
      </w:r>
    </w:p>
    <w:p w14:paraId="0367AB3D">
      <w:pPr>
        <w:pStyle w:val="60"/>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r>
        <w:rPr>
          <w:rFonts w:hint="eastAsia" w:ascii="宋体" w:hAnsi="宋体" w:eastAsia="宋体" w:cs="宋体"/>
          <w:b/>
          <w:bCs w:val="0"/>
          <w:snapToGrid w:val="0"/>
          <w:color w:val="auto"/>
          <w:kern w:val="0"/>
          <w:sz w:val="24"/>
          <w:szCs w:val="24"/>
          <w:highlight w:val="none"/>
          <w:lang w:val="en-US" w:eastAsia="zh-CN"/>
        </w:rPr>
        <w:t>21.</w:t>
      </w:r>
      <w:r>
        <w:rPr>
          <w:rFonts w:hint="eastAsia" w:ascii="宋体" w:hAnsi="宋体" w:eastAsia="宋体" w:cs="宋体"/>
          <w:b w:val="0"/>
          <w:bCs/>
          <w:snapToGrid w:val="0"/>
          <w:color w:val="auto"/>
          <w:kern w:val="0"/>
          <w:sz w:val="24"/>
          <w:szCs w:val="24"/>
          <w:highlight w:val="none"/>
        </w:rPr>
        <w:t xml:space="preserve"> 承包人需按相关规定要求，设置本工程符合相关要求的永久性标牌及规划公示牌，投标人在投标报价时综合考虑在报价内，发包人不另行支付该部分费用。 </w:t>
      </w:r>
    </w:p>
    <w:p w14:paraId="287663DB">
      <w:pPr>
        <w:pStyle w:val="60"/>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4.2</w:t>
      </w:r>
      <w:r>
        <w:rPr>
          <w:rFonts w:hint="eastAsia" w:ascii="宋体" w:hAnsi="宋体" w:eastAsia="宋体" w:cs="宋体"/>
          <w:b/>
          <w:bCs w:val="0"/>
          <w:snapToGrid w:val="0"/>
          <w:color w:val="auto"/>
          <w:kern w:val="0"/>
          <w:sz w:val="24"/>
          <w:szCs w:val="24"/>
          <w:highlight w:val="none"/>
          <w:lang w:val="en-US" w:eastAsia="zh-CN"/>
        </w:rPr>
        <w:t>2.</w:t>
      </w:r>
      <w:r>
        <w:rPr>
          <w:rFonts w:hint="eastAsia" w:ascii="宋体" w:hAnsi="宋体" w:eastAsia="宋体" w:cs="宋体"/>
          <w:b/>
          <w:bCs w:val="0"/>
          <w:snapToGrid w:val="0"/>
          <w:color w:val="auto"/>
          <w:kern w:val="0"/>
          <w:sz w:val="24"/>
          <w:szCs w:val="24"/>
          <w:highlight w:val="none"/>
        </w:rPr>
        <w:t xml:space="preserve"> </w:t>
      </w:r>
      <w:r>
        <w:rPr>
          <w:rFonts w:hint="eastAsia" w:ascii="宋体" w:hAnsi="宋体" w:eastAsia="宋体" w:cs="宋体"/>
          <w:b w:val="0"/>
          <w:bCs/>
          <w:snapToGrid w:val="0"/>
          <w:color w:val="auto"/>
          <w:kern w:val="0"/>
          <w:sz w:val="24"/>
          <w:szCs w:val="24"/>
          <w:highlight w:val="none"/>
        </w:rPr>
        <w:t xml:space="preserve">承包人应在项目所在地住建管理部门办理诚信登记，发包人将严格按住建管理部门诚信登记管理办法对承包人履约情况进行考核。 </w:t>
      </w:r>
    </w:p>
    <w:p w14:paraId="2C740F39">
      <w:pPr>
        <w:pStyle w:val="60"/>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4.2</w:t>
      </w:r>
      <w:r>
        <w:rPr>
          <w:rFonts w:hint="eastAsia" w:ascii="宋体" w:hAnsi="宋体" w:eastAsia="宋体" w:cs="宋体"/>
          <w:b/>
          <w:bCs w:val="0"/>
          <w:snapToGrid w:val="0"/>
          <w:color w:val="auto"/>
          <w:kern w:val="0"/>
          <w:sz w:val="24"/>
          <w:szCs w:val="24"/>
          <w:highlight w:val="none"/>
          <w:lang w:val="en-US" w:eastAsia="zh-CN"/>
        </w:rPr>
        <w:t>3.</w:t>
      </w:r>
      <w:r>
        <w:rPr>
          <w:rFonts w:hint="eastAsia" w:ascii="宋体" w:hAnsi="宋体" w:eastAsia="宋体" w:cs="宋体"/>
          <w:b w:val="0"/>
          <w:bCs/>
          <w:snapToGrid w:val="0"/>
          <w:color w:val="auto"/>
          <w:kern w:val="0"/>
          <w:sz w:val="24"/>
          <w:szCs w:val="24"/>
          <w:highlight w:val="none"/>
        </w:rPr>
        <w:t xml:space="preserve"> 承包人应按韶关市住房和城乡建设管理局、韶关市人力资源和社会保障局等职能部门对用工实名制的相关规定,落实工人及相关软硬件设施要求。</w:t>
      </w:r>
    </w:p>
    <w:p w14:paraId="5BDBF553">
      <w:pPr>
        <w:pStyle w:val="60"/>
        <w:spacing w:line="360" w:lineRule="auto"/>
        <w:ind w:firstLine="482"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4.24. </w:t>
      </w:r>
      <w:r>
        <w:rPr>
          <w:rFonts w:hint="eastAsia" w:ascii="宋体" w:hAnsi="宋体" w:eastAsia="宋体" w:cs="宋体"/>
          <w:b w:val="0"/>
          <w:bCs w:val="0"/>
          <w:color w:val="auto"/>
          <w:sz w:val="24"/>
          <w:szCs w:val="24"/>
          <w:highlight w:val="none"/>
        </w:rPr>
        <w:t>根据乐昌市应急管理局《关于做好安全生产责任保险推广工作的通知》（乐安委办〔2020〕21号），安责险实施全覆盖的文件精神，投标单位须按照文件要求将项目安责险费用计入投标报价中。</w:t>
      </w:r>
    </w:p>
    <w:p w14:paraId="52280D74">
      <w:pPr>
        <w:widowControl w:val="0"/>
        <w:numPr>
          <w:ilvl w:val="0"/>
          <w:numId w:val="0"/>
        </w:numPr>
        <w:spacing w:line="360" w:lineRule="auto"/>
        <w:jc w:val="both"/>
        <w:rPr>
          <w:rFonts w:hint="eastAsia" w:ascii="宋体" w:hAnsi="宋体" w:eastAsia="宋体" w:cs="宋体"/>
          <w:color w:val="auto"/>
          <w:highlight w:val="none"/>
          <w:lang w:eastAsia="zh-CN"/>
        </w:rPr>
      </w:pPr>
    </w:p>
    <w:p w14:paraId="21D42C2F">
      <w:pPr>
        <w:pStyle w:val="10"/>
        <w:rPr>
          <w:rFonts w:hint="eastAsia" w:ascii="宋体" w:hAnsi="宋体" w:eastAsia="宋体" w:cs="宋体"/>
          <w:color w:val="auto"/>
          <w:highlight w:val="none"/>
          <w:lang w:eastAsia="zh-CN"/>
        </w:rPr>
      </w:pPr>
    </w:p>
    <w:p w14:paraId="7F9DE86D">
      <w:pPr>
        <w:rPr>
          <w:rFonts w:hint="eastAsia" w:ascii="宋体" w:hAnsi="宋体" w:eastAsia="宋体" w:cs="宋体"/>
          <w:color w:val="auto"/>
          <w:highlight w:val="none"/>
          <w:lang w:eastAsia="zh-CN"/>
        </w:rPr>
      </w:pPr>
    </w:p>
    <w:p w14:paraId="486FEDC9">
      <w:pPr>
        <w:pStyle w:val="10"/>
        <w:rPr>
          <w:rFonts w:hint="eastAsia" w:ascii="宋体" w:hAnsi="宋体" w:eastAsia="宋体" w:cs="宋体"/>
          <w:color w:val="auto"/>
          <w:highlight w:val="none"/>
          <w:lang w:eastAsia="zh-CN"/>
        </w:rPr>
      </w:pPr>
    </w:p>
    <w:p w14:paraId="6C62F16D">
      <w:pPr>
        <w:pStyle w:val="2"/>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bookmarkStart w:id="228" w:name="_Toc3051"/>
      <w:bookmarkStart w:id="229" w:name="_Toc9687"/>
    </w:p>
    <w:p w14:paraId="480A1774">
      <w:pPr>
        <w:pStyle w:val="2"/>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r>
        <w:rPr>
          <w:rFonts w:hint="eastAsia" w:ascii="宋体" w:hAnsi="宋体" w:eastAsia="宋体" w:cs="宋体"/>
          <w:b/>
          <w:snapToGrid w:val="0"/>
          <w:color w:val="auto"/>
          <w:sz w:val="24"/>
          <w:highlight w:val="none"/>
          <w:lang w:val="en-US" w:eastAsia="zh-CN"/>
        </w:rPr>
        <w:t>第四章</w:t>
      </w:r>
      <w:bookmarkStart w:id="230" w:name="_Hlt87793853"/>
      <w:bookmarkEnd w:id="230"/>
      <w:r>
        <w:rPr>
          <w:rFonts w:hint="eastAsia" w:ascii="宋体" w:hAnsi="宋体" w:eastAsia="宋体" w:cs="宋体"/>
          <w:b/>
          <w:snapToGrid w:val="0"/>
          <w:color w:val="auto"/>
          <w:sz w:val="24"/>
          <w:highlight w:val="none"/>
          <w:lang w:val="en-US" w:eastAsia="zh-CN"/>
        </w:rPr>
        <w:t xml:space="preserve"> 技术要求</w:t>
      </w:r>
      <w:bookmarkEnd w:id="204"/>
      <w:bookmarkEnd w:id="228"/>
      <w:bookmarkEnd w:id="229"/>
    </w:p>
    <w:bookmarkEnd w:id="205"/>
    <w:p w14:paraId="57C20EFC">
      <w:pPr>
        <w:pStyle w:val="4"/>
        <w:keepNext w:val="0"/>
        <w:keepLines w:val="0"/>
        <w:wordWrap w:val="0"/>
        <w:adjustRightInd w:val="0"/>
        <w:snapToGrid w:val="0"/>
        <w:spacing w:before="0" w:after="0" w:line="440" w:lineRule="exact"/>
        <w:ind w:left="643"/>
        <w:jc w:val="both"/>
        <w:rPr>
          <w:rFonts w:hint="eastAsia" w:ascii="宋体" w:hAnsi="宋体" w:eastAsia="宋体" w:cs="宋体"/>
          <w:b/>
          <w:snapToGrid w:val="0"/>
          <w:color w:val="auto"/>
          <w:kern w:val="0"/>
          <w:highlight w:val="none"/>
        </w:rPr>
      </w:pPr>
      <w:bookmarkStart w:id="231" w:name="_Hlt87793346"/>
      <w:bookmarkEnd w:id="231"/>
      <w:bookmarkStart w:id="232" w:name="_Hlt69358207"/>
      <w:bookmarkEnd w:id="232"/>
      <w:bookmarkStart w:id="233" w:name="_Hlt80411122"/>
      <w:bookmarkEnd w:id="233"/>
      <w:bookmarkStart w:id="234" w:name="_Hlt68774758"/>
      <w:bookmarkEnd w:id="234"/>
      <w:bookmarkStart w:id="235" w:name="_Hlt69265216"/>
      <w:bookmarkEnd w:id="235"/>
      <w:bookmarkStart w:id="236" w:name="_Hlt66104926"/>
      <w:bookmarkEnd w:id="236"/>
      <w:bookmarkStart w:id="237" w:name="_Hlt87793370"/>
      <w:bookmarkEnd w:id="237"/>
      <w:bookmarkStart w:id="238" w:name="_Hlt69116854"/>
      <w:bookmarkEnd w:id="238"/>
      <w:bookmarkStart w:id="239" w:name="_Hlt69357851"/>
      <w:bookmarkEnd w:id="239"/>
      <w:bookmarkStart w:id="240" w:name="_Hlt75685840"/>
      <w:bookmarkEnd w:id="240"/>
      <w:bookmarkStart w:id="241" w:name="_Hlt69359335"/>
      <w:bookmarkEnd w:id="241"/>
    </w:p>
    <w:p w14:paraId="4D342B74">
      <w:pPr>
        <w:wordWrap w:val="0"/>
        <w:adjustRightInd w:val="0"/>
        <w:snapToGrid w:val="0"/>
        <w:spacing w:line="440" w:lineRule="exact"/>
        <w:ind w:firstLine="482" w:firstLineChars="200"/>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highlight w:val="none"/>
        </w:rPr>
        <w:t>1．房屋建筑工程建设项目</w:t>
      </w:r>
    </w:p>
    <w:p w14:paraId="63DB2A08">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bookmarkStart w:id="242" w:name="_Hlt69635252"/>
      <w:bookmarkEnd w:id="242"/>
      <w:bookmarkStart w:id="243" w:name="_Hlt69358458"/>
      <w:bookmarkEnd w:id="243"/>
      <w:bookmarkStart w:id="244" w:name="_Hlt69359086"/>
      <w:bookmarkEnd w:id="244"/>
      <w:bookmarkStart w:id="245" w:name="_Hlt69359245"/>
      <w:bookmarkEnd w:id="245"/>
      <w:bookmarkStart w:id="246" w:name="_Hlt78709799"/>
      <w:bookmarkEnd w:id="246"/>
      <w:bookmarkStart w:id="247" w:name="_Hlt69116858"/>
      <w:bookmarkEnd w:id="247"/>
      <w:bookmarkStart w:id="248" w:name="_Hlt69359243"/>
      <w:bookmarkEnd w:id="248"/>
      <w:r>
        <w:rPr>
          <w:rFonts w:hint="eastAsia" w:ascii="宋体" w:hAnsi="宋体" w:eastAsia="宋体" w:cs="宋体"/>
          <w:bCs/>
          <w:snapToGrid w:val="0"/>
          <w:color w:val="auto"/>
          <w:kern w:val="0"/>
          <w:highlight w:val="none"/>
        </w:rPr>
        <w:t>房屋建筑工程建设项目必须执行的现行技术规范，包括且不限于：</w:t>
      </w:r>
    </w:p>
    <w:p w14:paraId="020AD338">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（1）《建筑工程施工质量验收统一标准》；</w:t>
      </w:r>
    </w:p>
    <w:p w14:paraId="0C8317DD">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（2）《建筑地基基础工程施工质量验收规范》；</w:t>
      </w:r>
    </w:p>
    <w:p w14:paraId="0B56E2CC">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（3）《砌体工程施工质量验收规范》；</w:t>
      </w:r>
    </w:p>
    <w:p w14:paraId="7FFAD12A">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（4）《混凝土结构工程施工质量验收规范》；</w:t>
      </w:r>
    </w:p>
    <w:p w14:paraId="73C0A9D8">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（5）《屋面工程质量验收规范》；</w:t>
      </w:r>
    </w:p>
    <w:p w14:paraId="5334B004">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（6）《地下防水工程质量验收规范》；</w:t>
      </w:r>
    </w:p>
    <w:p w14:paraId="15BDD369">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（7）</w:t>
      </w:r>
      <w:bookmarkStart w:id="249" w:name="_Hlt78795211"/>
      <w:bookmarkEnd w:id="249"/>
      <w:r>
        <w:rPr>
          <w:rFonts w:hint="eastAsia" w:ascii="宋体" w:hAnsi="宋体" w:eastAsia="宋体" w:cs="宋体"/>
          <w:bCs/>
          <w:snapToGrid w:val="0"/>
          <w:color w:val="auto"/>
          <w:kern w:val="0"/>
          <w:highlight w:val="none"/>
        </w:rPr>
        <w:t>《建筑地面工程施工质量验收规范》；</w:t>
      </w:r>
    </w:p>
    <w:p w14:paraId="7ED67241">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（8）《建筑装饰装修工程施工质量验收规范》；</w:t>
      </w:r>
    </w:p>
    <w:p w14:paraId="16A285E9">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（9）《建筑给排水及采暖工程施工质量验收规范》；</w:t>
      </w:r>
    </w:p>
    <w:p w14:paraId="46CF6021">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（10）《建筑电气工程施工质量验收规范》；</w:t>
      </w:r>
    </w:p>
    <w:p w14:paraId="6D75F9B2">
      <w:pPr>
        <w:wordWrap w:val="0"/>
        <w:adjustRightInd w:val="0"/>
        <w:snapToGrid w:val="0"/>
        <w:spacing w:line="440" w:lineRule="exact"/>
        <w:ind w:firstLine="480" w:firstLineChars="200"/>
        <w:rPr>
          <w:rFonts w:hint="eastAsia" w:ascii="宋体" w:hAnsi="宋体" w:eastAsia="宋体" w:cs="宋体"/>
          <w:b w:val="0"/>
          <w:bCs/>
          <w:snapToGrid w:val="0"/>
          <w:color w:val="auto"/>
          <w:kern w:val="0"/>
          <w:highlight w:val="none"/>
        </w:rPr>
      </w:pPr>
      <w:r>
        <w:rPr>
          <w:rFonts w:hint="eastAsia" w:ascii="宋体" w:hAnsi="宋体" w:eastAsia="宋体" w:cs="宋体"/>
          <w:b w:val="0"/>
          <w:bCs/>
          <w:snapToGrid w:val="0"/>
          <w:color w:val="auto"/>
          <w:kern w:val="0"/>
          <w:highlight w:val="none"/>
        </w:rPr>
        <w:t>（11）《住建部绿色建筑评价标准》；</w:t>
      </w:r>
    </w:p>
    <w:p w14:paraId="7744793E">
      <w:pPr>
        <w:wordWrap w:val="0"/>
        <w:adjustRightInd w:val="0"/>
        <w:snapToGrid w:val="0"/>
        <w:spacing w:line="440" w:lineRule="exact"/>
        <w:ind w:firstLine="480" w:firstLineChars="200"/>
        <w:rPr>
          <w:rFonts w:hint="eastAsia" w:ascii="宋体" w:hAnsi="宋体" w:eastAsia="宋体" w:cs="宋体"/>
          <w:b w:val="0"/>
          <w:bCs/>
          <w:snapToGrid w:val="0"/>
          <w:color w:val="auto"/>
          <w:kern w:val="0"/>
          <w:highlight w:val="none"/>
        </w:rPr>
      </w:pPr>
      <w:r>
        <w:rPr>
          <w:rFonts w:hint="eastAsia" w:ascii="宋体" w:hAnsi="宋体" w:eastAsia="宋体" w:cs="宋体"/>
          <w:b w:val="0"/>
          <w:bCs/>
          <w:snapToGrid w:val="0"/>
          <w:color w:val="auto"/>
          <w:kern w:val="0"/>
          <w:highlight w:val="none"/>
        </w:rPr>
        <w:t>（12）《建筑节能与可再生能源利用通用规范》（GB55015-2021）；</w:t>
      </w:r>
    </w:p>
    <w:p w14:paraId="28722396">
      <w:pPr>
        <w:wordWrap w:val="0"/>
        <w:adjustRightInd w:val="0"/>
        <w:snapToGrid w:val="0"/>
        <w:spacing w:line="440" w:lineRule="exact"/>
        <w:ind w:firstLine="480" w:firstLineChars="200"/>
        <w:rPr>
          <w:rFonts w:hint="eastAsia" w:ascii="宋体" w:hAnsi="宋体" w:eastAsia="宋体" w:cs="宋体"/>
          <w:b w:val="0"/>
          <w:bCs/>
          <w:snapToGrid w:val="0"/>
          <w:color w:val="auto"/>
          <w:kern w:val="0"/>
          <w:highlight w:val="none"/>
        </w:rPr>
      </w:pPr>
      <w:r>
        <w:rPr>
          <w:rFonts w:hint="eastAsia" w:ascii="宋体" w:hAnsi="宋体" w:eastAsia="宋体" w:cs="宋体"/>
          <w:b w:val="0"/>
          <w:bCs/>
          <w:snapToGrid w:val="0"/>
          <w:color w:val="auto"/>
          <w:kern w:val="0"/>
          <w:highlight w:val="none"/>
        </w:rPr>
        <w:t>（13）《建筑环境通用规范》；</w:t>
      </w:r>
    </w:p>
    <w:p w14:paraId="3A68178D">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（14）《广东省住房和城乡建设厅绿色施工导则》；</w:t>
      </w:r>
    </w:p>
    <w:p w14:paraId="68E4066C">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（15）《广东省建筑工程绿色施工评价标准》；</w:t>
      </w:r>
    </w:p>
    <w:p w14:paraId="713DD82A">
      <w:pPr>
        <w:wordWrap w:val="0"/>
        <w:adjustRightInd w:val="0"/>
        <w:snapToGrid w:val="0"/>
        <w:spacing w:line="440" w:lineRule="exact"/>
        <w:ind w:firstLine="480" w:firstLineChars="200"/>
        <w:rPr>
          <w:rFonts w:hint="eastAsia" w:ascii="宋体" w:hAnsi="宋体" w:eastAsia="宋体" w:cs="宋体"/>
          <w:b w:val="0"/>
          <w:bCs/>
          <w:snapToGrid w:val="0"/>
          <w:color w:val="auto"/>
          <w:kern w:val="0"/>
          <w:highlight w:val="none"/>
          <w:lang w:eastAsia="zh-CN"/>
        </w:rPr>
      </w:pPr>
      <w:r>
        <w:rPr>
          <w:rFonts w:hint="eastAsia" w:ascii="宋体" w:hAnsi="宋体" w:eastAsia="宋体" w:cs="宋体"/>
          <w:b w:val="0"/>
          <w:bCs/>
          <w:snapToGrid w:val="0"/>
          <w:color w:val="auto"/>
          <w:kern w:val="0"/>
          <w:highlight w:val="none"/>
        </w:rPr>
        <w:t>（16）《广东省建筑节能与绿色建筑工程施工质量验收规范》</w:t>
      </w:r>
      <w:r>
        <w:rPr>
          <w:rFonts w:hint="eastAsia" w:ascii="宋体" w:hAnsi="宋体" w:eastAsia="宋体" w:cs="宋体"/>
          <w:b w:val="0"/>
          <w:bCs/>
          <w:snapToGrid w:val="0"/>
          <w:color w:val="auto"/>
          <w:kern w:val="0"/>
          <w:highlight w:val="none"/>
          <w:lang w:eastAsia="zh-CN"/>
        </w:rPr>
        <w:t>；</w:t>
      </w:r>
    </w:p>
    <w:p w14:paraId="51D8D867">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（17）其他现行国家、广东省关于房建工程的施工及验收规范、定额、规程、标准。</w:t>
      </w:r>
    </w:p>
    <w:p w14:paraId="2A634BC9">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p>
    <w:p w14:paraId="3D24D8BC">
      <w:pPr>
        <w:wordWrap w:val="0"/>
        <w:adjustRightInd w:val="0"/>
        <w:snapToGrid w:val="0"/>
        <w:spacing w:line="440" w:lineRule="exact"/>
        <w:ind w:firstLine="482" w:firstLineChars="200"/>
        <w:rPr>
          <w:rFonts w:hint="eastAsia" w:ascii="宋体" w:hAnsi="宋体" w:eastAsia="宋体" w:cs="宋体"/>
          <w:bCs/>
          <w:snapToGrid w:val="0"/>
          <w:color w:val="auto"/>
          <w:kern w:val="0"/>
          <w:highlight w:val="none"/>
        </w:rPr>
      </w:pPr>
      <w:r>
        <w:rPr>
          <w:rFonts w:hint="eastAsia" w:ascii="宋体" w:hAnsi="宋体" w:eastAsia="宋体" w:cs="宋体"/>
          <w:b/>
          <w:snapToGrid w:val="0"/>
          <w:color w:val="auto"/>
          <w:kern w:val="0"/>
          <w:highlight w:val="none"/>
        </w:rPr>
        <w:t>2．市政基础设施工程建设项目</w:t>
      </w:r>
    </w:p>
    <w:p w14:paraId="31016C18">
      <w:pPr>
        <w:wordWrap w:val="0"/>
        <w:adjustRightInd w:val="0"/>
        <w:snapToGrid w:val="0"/>
        <w:spacing w:line="440" w:lineRule="exact"/>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bCs/>
          <w:snapToGrid w:val="0"/>
          <w:color w:val="auto"/>
          <w:kern w:val="0"/>
          <w:highlight w:val="none"/>
        </w:rPr>
        <w:t>市政基础设施工程建设项目必须执行的现行技术规范，包括且不限于：</w:t>
      </w:r>
    </w:p>
    <w:p w14:paraId="78D67258">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szCs w:val="28"/>
          <w:highlight w:val="none"/>
        </w:rPr>
        <w:t>（1）《公路路基施工技术规范》</w:t>
      </w:r>
      <w:r>
        <w:rPr>
          <w:rFonts w:hint="eastAsia" w:ascii="宋体" w:hAnsi="宋体" w:eastAsia="宋体" w:cs="宋体"/>
          <w:bCs/>
          <w:snapToGrid w:val="0"/>
          <w:color w:val="auto"/>
          <w:kern w:val="0"/>
          <w:highlight w:val="none"/>
        </w:rPr>
        <w:t>；</w:t>
      </w:r>
    </w:p>
    <w:p w14:paraId="2EFA3FFB">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（2）《市政道路工程质量检验评定标准》；</w:t>
      </w:r>
    </w:p>
    <w:p w14:paraId="2DAB4AE8">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（3）《市政排水管渠工程质量检验评定标准》；</w:t>
      </w:r>
    </w:p>
    <w:p w14:paraId="0BCE0539">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（4）《给水排水管道工程施工及验收规范》；</w:t>
      </w:r>
    </w:p>
    <w:p w14:paraId="71295581">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（5）《城市道路路基工程施工及验收规范》；</w:t>
      </w:r>
    </w:p>
    <w:p w14:paraId="14C52D95">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（6）《水泥砼路面施工及验收规范》；</w:t>
      </w:r>
    </w:p>
    <w:p w14:paraId="5D7B2BAC">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（7）《公路水泥砼路面施工技术规范》；</w:t>
      </w:r>
    </w:p>
    <w:p w14:paraId="260F4382">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（8）《埋地硬聚氯乙烯排水管道工程技术规程》；</w:t>
      </w:r>
    </w:p>
    <w:p w14:paraId="0B203EC6">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（9）《沥青路面施工及验收规范》；</w:t>
      </w:r>
    </w:p>
    <w:p w14:paraId="777A6260">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（10）《广东省市政工程施工质量技术资料统一用表》。</w:t>
      </w:r>
    </w:p>
    <w:p w14:paraId="6D0BDF2A">
      <w:pPr>
        <w:widowControl/>
        <w:tabs>
          <w:tab w:val="left" w:pos="567"/>
        </w:tabs>
        <w:autoSpaceDE w:val="0"/>
        <w:autoSpaceDN w:val="0"/>
        <w:spacing w:line="500" w:lineRule="exact"/>
        <w:ind w:firstLine="480" w:firstLineChars="200"/>
        <w:jc w:val="left"/>
        <w:textAlignment w:val="bottom"/>
        <w:outlineLvl w:val="0"/>
        <w:rPr>
          <w:rFonts w:hint="eastAsia" w:ascii="宋体" w:hAnsi="宋体" w:eastAsia="宋体" w:cs="宋体"/>
          <w:b w:val="0"/>
          <w:bCs/>
          <w:color w:val="auto"/>
          <w:kern w:val="0"/>
          <w:szCs w:val="21"/>
          <w:highlight w:val="none"/>
        </w:rPr>
      </w:pPr>
      <w:bookmarkStart w:id="250" w:name="_Toc30443"/>
      <w:bookmarkStart w:id="251" w:name="_Toc17128"/>
      <w:r>
        <w:rPr>
          <w:rFonts w:hint="eastAsia" w:ascii="宋体" w:hAnsi="宋体" w:eastAsia="宋体" w:cs="宋体"/>
          <w:b w:val="0"/>
          <w:bCs/>
          <w:snapToGrid w:val="0"/>
          <w:color w:val="auto"/>
          <w:kern w:val="0"/>
          <w:highlight w:val="none"/>
        </w:rPr>
        <w:t>（11）</w:t>
      </w:r>
      <w:r>
        <w:rPr>
          <w:rFonts w:hint="eastAsia" w:ascii="宋体" w:hAnsi="宋体" w:eastAsia="宋体" w:cs="宋体"/>
          <w:b w:val="0"/>
          <w:bCs/>
          <w:color w:val="auto"/>
          <w:kern w:val="0"/>
          <w:szCs w:val="21"/>
          <w:highlight w:val="none"/>
        </w:rPr>
        <w:t>《城市道路照明设计标准》（CJJ45-2015）；</w:t>
      </w:r>
      <w:bookmarkEnd w:id="250"/>
      <w:bookmarkEnd w:id="251"/>
    </w:p>
    <w:p w14:paraId="7D5CD9D6">
      <w:pPr>
        <w:widowControl/>
        <w:tabs>
          <w:tab w:val="left" w:pos="567"/>
        </w:tabs>
        <w:autoSpaceDE w:val="0"/>
        <w:autoSpaceDN w:val="0"/>
        <w:spacing w:line="500" w:lineRule="exact"/>
        <w:ind w:firstLine="480" w:firstLineChars="200"/>
        <w:jc w:val="left"/>
        <w:textAlignment w:val="bottom"/>
        <w:outlineLvl w:val="0"/>
        <w:rPr>
          <w:rFonts w:hint="eastAsia" w:ascii="宋体" w:hAnsi="宋体" w:eastAsia="宋体" w:cs="宋体"/>
          <w:b w:val="0"/>
          <w:bCs/>
          <w:color w:val="auto"/>
          <w:szCs w:val="21"/>
          <w:highlight w:val="none"/>
        </w:rPr>
      </w:pPr>
      <w:bookmarkStart w:id="252" w:name="_Toc32596"/>
      <w:bookmarkStart w:id="253" w:name="_Toc31453"/>
      <w:r>
        <w:rPr>
          <w:rFonts w:hint="eastAsia" w:ascii="宋体" w:hAnsi="宋体" w:eastAsia="宋体" w:cs="宋体"/>
          <w:b w:val="0"/>
          <w:bCs/>
          <w:color w:val="auto"/>
          <w:kern w:val="0"/>
          <w:szCs w:val="21"/>
          <w:highlight w:val="none"/>
        </w:rPr>
        <w:t>（12）《低压配电设计规范》（GB50054-2011）；</w:t>
      </w:r>
      <w:bookmarkEnd w:id="252"/>
      <w:bookmarkEnd w:id="253"/>
    </w:p>
    <w:p w14:paraId="11D46717">
      <w:pPr>
        <w:widowControl/>
        <w:tabs>
          <w:tab w:val="left" w:pos="567"/>
        </w:tabs>
        <w:autoSpaceDE w:val="0"/>
        <w:autoSpaceDN w:val="0"/>
        <w:spacing w:line="500" w:lineRule="exact"/>
        <w:ind w:firstLine="480" w:firstLineChars="200"/>
        <w:jc w:val="left"/>
        <w:textAlignment w:val="bottom"/>
        <w:outlineLvl w:val="0"/>
        <w:rPr>
          <w:rFonts w:hint="eastAsia" w:ascii="宋体" w:hAnsi="宋体" w:eastAsia="宋体" w:cs="宋体"/>
          <w:b w:val="0"/>
          <w:bCs/>
          <w:color w:val="auto"/>
          <w:szCs w:val="21"/>
          <w:highlight w:val="none"/>
        </w:rPr>
      </w:pPr>
      <w:bookmarkStart w:id="254" w:name="_Toc31862"/>
      <w:bookmarkStart w:id="255" w:name="_Toc25564"/>
      <w:r>
        <w:rPr>
          <w:rFonts w:hint="eastAsia" w:ascii="宋体" w:hAnsi="宋体" w:eastAsia="宋体" w:cs="宋体"/>
          <w:b w:val="0"/>
          <w:bCs/>
          <w:color w:val="auto"/>
          <w:kern w:val="0"/>
          <w:szCs w:val="21"/>
          <w:highlight w:val="none"/>
        </w:rPr>
        <w:t>（13）《城市道路照明工程施工及验收规程》（CJJ89-2012）；</w:t>
      </w:r>
      <w:bookmarkEnd w:id="254"/>
      <w:bookmarkEnd w:id="255"/>
    </w:p>
    <w:p w14:paraId="05CFA2FC">
      <w:pPr>
        <w:pStyle w:val="89"/>
        <w:spacing w:line="500" w:lineRule="exact"/>
        <w:ind w:left="0" w:leftChars="0" w:firstLine="48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（14）《LED道路照明工程技术规范》（DB44/T 1898-2016）；</w:t>
      </w:r>
    </w:p>
    <w:p w14:paraId="11F9B3D2">
      <w:pPr>
        <w:pStyle w:val="89"/>
        <w:spacing w:line="500" w:lineRule="exact"/>
        <w:ind w:left="0" w:leftChars="0" w:firstLine="48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（15）《灯具第1部分：一般要求与试验》（GB7000.1-2015）；</w:t>
      </w:r>
    </w:p>
    <w:p w14:paraId="30140BEB">
      <w:pPr>
        <w:wordWrap w:val="0"/>
        <w:adjustRightInd w:val="0"/>
        <w:snapToGrid w:val="0"/>
        <w:spacing w:line="500" w:lineRule="exact"/>
        <w:ind w:firstLine="480" w:firstLineChars="200"/>
        <w:rPr>
          <w:rFonts w:hint="eastAsia"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（16）《电缆工程电缆设计标准》（GB50217-2018）；</w:t>
      </w:r>
    </w:p>
    <w:p w14:paraId="0F058208">
      <w:pPr>
        <w:wordWrap w:val="0"/>
        <w:adjustRightInd w:val="0"/>
        <w:snapToGrid w:val="0"/>
        <w:spacing w:line="440" w:lineRule="exact"/>
        <w:ind w:firstLine="480" w:firstLineChars="20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（17）其他现行国家、广东省关于市政工程的技术及验收规范、定额、规程、标准。</w:t>
      </w:r>
    </w:p>
    <w:p w14:paraId="2F624FCE">
      <w:pPr>
        <w:wordWrap w:val="0"/>
        <w:adjustRightInd w:val="0"/>
        <w:snapToGrid w:val="0"/>
        <w:spacing w:line="440" w:lineRule="exact"/>
        <w:ind w:firstLine="560"/>
        <w:rPr>
          <w:rFonts w:hint="eastAsia" w:ascii="宋体" w:hAnsi="宋体" w:eastAsia="宋体" w:cs="宋体"/>
          <w:strike/>
          <w:snapToGrid w:val="0"/>
          <w:color w:val="auto"/>
          <w:kern w:val="0"/>
          <w:highlight w:val="none"/>
        </w:rPr>
      </w:pPr>
      <w:r>
        <w:rPr>
          <w:rFonts w:hint="eastAsia" w:ascii="宋体" w:hAnsi="宋体" w:eastAsia="宋体" w:cs="宋体"/>
          <w:b/>
          <w:snapToGrid w:val="0"/>
          <w:color w:val="auto"/>
          <w:kern w:val="0"/>
          <w:highlight w:val="none"/>
        </w:rPr>
        <w:t>3．备查要求</w:t>
      </w:r>
    </w:p>
    <w:p w14:paraId="67F44935">
      <w:pPr>
        <w:wordWrap w:val="0"/>
        <w:adjustRightInd w:val="0"/>
        <w:snapToGrid w:val="0"/>
        <w:spacing w:line="440" w:lineRule="exact"/>
        <w:ind w:firstLine="560"/>
        <w:rPr>
          <w:rFonts w:hint="eastAsia" w:ascii="宋体" w:hAnsi="宋体" w:eastAsia="宋体" w:cs="宋体"/>
          <w:strike/>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人必须在施工现场准备至少一套上述规范，</w:t>
      </w:r>
      <w:r>
        <w:rPr>
          <w:rFonts w:hint="eastAsia" w:ascii="宋体" w:hAnsi="宋体" w:eastAsia="宋体" w:cs="宋体"/>
          <w:snapToGrid w:val="0"/>
          <w:color w:val="auto"/>
          <w:kern w:val="0"/>
          <w:highlight w:val="none"/>
        </w:rPr>
        <w:t>发包</w:t>
      </w:r>
      <w:r>
        <w:rPr>
          <w:rFonts w:hint="eastAsia" w:ascii="宋体" w:hAnsi="宋体" w:eastAsia="宋体" w:cs="宋体"/>
          <w:bCs/>
          <w:snapToGrid w:val="0"/>
          <w:color w:val="auto"/>
          <w:kern w:val="0"/>
          <w:highlight w:val="none"/>
        </w:rPr>
        <w:t>人和监理单位可随时检查</w:t>
      </w: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人的上述规范，并监督</w:t>
      </w: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人按规范要求执行。</w:t>
      </w:r>
      <w:bookmarkStart w:id="256" w:name="_Hlt69670335"/>
      <w:bookmarkEnd w:id="256"/>
    </w:p>
    <w:p w14:paraId="65C74E2D">
      <w:pPr>
        <w:pStyle w:val="2"/>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bookmarkStart w:id="257" w:name="_Hlt69358336"/>
      <w:bookmarkEnd w:id="257"/>
      <w:bookmarkStart w:id="258" w:name="_Hlt69635247"/>
      <w:bookmarkEnd w:id="258"/>
      <w:bookmarkStart w:id="259" w:name="_Hlt69265207"/>
      <w:bookmarkEnd w:id="259"/>
      <w:bookmarkStart w:id="260" w:name="_Hlt66848640"/>
      <w:bookmarkEnd w:id="260"/>
      <w:bookmarkStart w:id="261" w:name="_Hlt69338190"/>
      <w:bookmarkEnd w:id="261"/>
      <w:bookmarkStart w:id="262" w:name="_Hlt69116863"/>
      <w:bookmarkEnd w:id="262"/>
      <w:bookmarkStart w:id="263" w:name="_Toc10987"/>
      <w:bookmarkStart w:id="264" w:name="_Toc10057"/>
      <w:bookmarkStart w:id="265" w:name="_Toc29329"/>
      <w:r>
        <w:rPr>
          <w:rFonts w:hint="eastAsia" w:ascii="宋体" w:hAnsi="宋体" w:eastAsia="宋体" w:cs="宋体"/>
          <w:b/>
          <w:snapToGrid w:val="0"/>
          <w:color w:val="auto"/>
          <w:sz w:val="24"/>
          <w:highlight w:val="none"/>
          <w:lang w:val="en-US" w:eastAsia="zh-CN"/>
        </w:rPr>
        <w:t>第五章</w:t>
      </w:r>
      <w:bookmarkStart w:id="266" w:name="_Hlt87793860"/>
      <w:bookmarkEnd w:id="266"/>
      <w:r>
        <w:rPr>
          <w:rFonts w:hint="eastAsia" w:ascii="宋体" w:hAnsi="宋体" w:eastAsia="宋体" w:cs="宋体"/>
          <w:b/>
          <w:snapToGrid w:val="0"/>
          <w:color w:val="auto"/>
          <w:sz w:val="24"/>
          <w:highlight w:val="none"/>
          <w:lang w:val="en-US" w:eastAsia="zh-CN"/>
        </w:rPr>
        <w:t xml:space="preserve"> 图纸和招标工程</w:t>
      </w:r>
      <w:bookmarkStart w:id="267" w:name="_Hlt69669215"/>
      <w:bookmarkEnd w:id="267"/>
      <w:r>
        <w:rPr>
          <w:rFonts w:hint="eastAsia" w:ascii="宋体" w:hAnsi="宋体" w:eastAsia="宋体" w:cs="宋体"/>
          <w:b/>
          <w:snapToGrid w:val="0"/>
          <w:color w:val="auto"/>
          <w:sz w:val="24"/>
          <w:highlight w:val="none"/>
          <w:lang w:val="en-US" w:eastAsia="zh-CN"/>
        </w:rPr>
        <w:t>量清单</w:t>
      </w:r>
      <w:bookmarkEnd w:id="263"/>
      <w:bookmarkEnd w:id="264"/>
      <w:bookmarkEnd w:id="265"/>
    </w:p>
    <w:p w14:paraId="3E291842">
      <w:pPr>
        <w:wordWrap w:val="0"/>
        <w:adjustRightInd w:val="0"/>
        <w:snapToGrid w:val="0"/>
        <w:spacing w:line="440" w:lineRule="exact"/>
        <w:ind w:firstLine="480" w:firstLineChars="200"/>
        <w:rPr>
          <w:rFonts w:hint="eastAsia" w:ascii="宋体" w:hAnsi="宋体" w:eastAsia="宋体" w:cs="宋体"/>
          <w:snapToGrid w:val="0"/>
          <w:color w:val="auto"/>
          <w:kern w:val="0"/>
          <w:highlight w:val="none"/>
        </w:rPr>
      </w:pPr>
      <w:bookmarkStart w:id="268" w:name="_Hlt69669182"/>
      <w:bookmarkEnd w:id="268"/>
      <w:bookmarkStart w:id="269" w:name="_Hlt87793868"/>
      <w:bookmarkEnd w:id="269"/>
      <w:bookmarkStart w:id="270" w:name="_Hlt66104919"/>
      <w:bookmarkEnd w:id="270"/>
      <w:bookmarkStart w:id="271" w:name="_Hlt75747203"/>
      <w:bookmarkEnd w:id="271"/>
      <w:bookmarkStart w:id="272" w:name="_Toc25252"/>
      <w:bookmarkStart w:id="273" w:name="_Hlt69698785"/>
    </w:p>
    <w:p w14:paraId="31CAC6F2">
      <w:pPr>
        <w:pStyle w:val="4"/>
        <w:bidi w:val="0"/>
        <w:spacing w:line="360" w:lineRule="auto"/>
        <w:ind w:firstLine="964"/>
        <w:rPr>
          <w:rFonts w:hint="eastAsia" w:ascii="宋体" w:hAnsi="宋体" w:eastAsia="宋体" w:cs="宋体"/>
          <w:color w:val="auto"/>
        </w:rPr>
      </w:pPr>
      <w:bookmarkStart w:id="274" w:name="_Toc28153"/>
      <w:r>
        <w:rPr>
          <w:rFonts w:hint="eastAsia" w:ascii="宋体" w:hAnsi="宋体" w:eastAsia="宋体" w:cs="宋体"/>
          <w:color w:val="auto"/>
        </w:rPr>
        <w:t>1．图纸</w:t>
      </w:r>
      <w:bookmarkEnd w:id="274"/>
    </w:p>
    <w:p w14:paraId="1C045677">
      <w:pPr>
        <w:wordWrap w:val="0"/>
        <w:adjustRightInd w:val="0"/>
        <w:snapToGrid w:val="0"/>
        <w:spacing w:line="360" w:lineRule="auto"/>
        <w:ind w:firstLine="480" w:firstLineChars="200"/>
        <w:rPr>
          <w:rFonts w:hint="eastAsia" w:ascii="宋体" w:hAnsi="宋体" w:eastAsia="宋体" w:cs="宋体"/>
          <w:b w:val="0"/>
          <w:bCs/>
          <w:color w:val="auto"/>
          <w:highlight w:val="none"/>
          <w:lang w:eastAsia="zh-CN"/>
        </w:rPr>
      </w:pPr>
      <w:bookmarkStart w:id="275" w:name="_Toc14740"/>
      <w:r>
        <w:rPr>
          <w:rFonts w:hint="eastAsia" w:ascii="宋体" w:hAnsi="宋体" w:eastAsia="宋体" w:cs="宋体"/>
          <w:snapToGrid w:val="0"/>
          <w:color w:val="auto"/>
          <w:kern w:val="0"/>
          <w:highlight w:val="none"/>
        </w:rPr>
        <w:t>本招标文件随文另附施工图（电子文件）各一套。</w:t>
      </w:r>
    </w:p>
    <w:bookmarkEnd w:id="275"/>
    <w:p w14:paraId="1782A57F">
      <w:pPr>
        <w:pStyle w:val="4"/>
        <w:bidi w:val="0"/>
        <w:spacing w:line="360" w:lineRule="auto"/>
        <w:ind w:firstLine="964"/>
        <w:rPr>
          <w:rFonts w:hint="eastAsia" w:ascii="宋体" w:hAnsi="宋体" w:eastAsia="宋体" w:cs="宋体"/>
          <w:color w:val="auto"/>
        </w:rPr>
      </w:pPr>
      <w:r>
        <w:rPr>
          <w:rFonts w:hint="eastAsia" w:ascii="宋体" w:hAnsi="宋体" w:eastAsia="宋体" w:cs="宋体"/>
          <w:color w:val="auto"/>
        </w:rPr>
        <w:t>2．招标工程量清单</w:t>
      </w:r>
    </w:p>
    <w:p w14:paraId="31DDF78C">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2.1</w:t>
      </w:r>
      <w:r>
        <w:rPr>
          <w:rFonts w:hint="eastAsia" w:ascii="宋体" w:hAnsi="宋体" w:eastAsia="宋体" w:cs="宋体"/>
          <w:snapToGrid w:val="0"/>
          <w:color w:val="auto"/>
          <w:kern w:val="0"/>
          <w:highlight w:val="none"/>
        </w:rPr>
        <w:t xml:space="preserve"> 本招标文件随文另附招标工程量清单一套。</w:t>
      </w:r>
    </w:p>
    <w:p w14:paraId="71F15594">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2.2</w:t>
      </w:r>
      <w:r>
        <w:rPr>
          <w:rFonts w:hint="eastAsia" w:ascii="宋体" w:hAnsi="宋体" w:eastAsia="宋体" w:cs="宋体"/>
          <w:snapToGrid w:val="0"/>
          <w:color w:val="auto"/>
          <w:kern w:val="0"/>
          <w:highlight w:val="none"/>
        </w:rPr>
        <w:t xml:space="preserve"> 本工程按照以下依据编制招标工程量清单：</w:t>
      </w:r>
    </w:p>
    <w:p w14:paraId="28D49375">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w:t>
      </w:r>
      <w:r>
        <w:rPr>
          <w:rFonts w:hint="eastAsia" w:ascii="宋体" w:hAnsi="宋体" w:eastAsia="宋体" w:cs="宋体"/>
          <w:snapToGrid w:val="0"/>
          <w:color w:val="auto"/>
          <w:kern w:val="0"/>
          <w:sz w:val="24"/>
          <w:szCs w:val="24"/>
          <w:highlight w:val="none"/>
          <w:lang w:val="en-US" w:eastAsia="zh-CN"/>
        </w:rPr>
        <w:t>《建设工程工程量清单计价标准》(GB/T50500-2024)</w:t>
      </w:r>
      <w:r>
        <w:rPr>
          <w:rFonts w:hint="eastAsia" w:ascii="宋体" w:hAnsi="宋体" w:eastAsia="宋体" w:cs="宋体"/>
          <w:snapToGrid w:val="0"/>
          <w:color w:val="auto"/>
          <w:kern w:val="0"/>
          <w:highlight w:val="none"/>
        </w:rPr>
        <w:t>；</w:t>
      </w:r>
    </w:p>
    <w:p w14:paraId="7D6D1D2B">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27F4BE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napToGrid w:val="0"/>
          <w:color w:val="auto"/>
          <w:kern w:val="0"/>
          <w:highlight w:val="none"/>
          <w:lang w:eastAsia="zh-CN"/>
        </w:rPr>
      </w:pP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3</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sz w:val="24"/>
          <w:szCs w:val="24"/>
          <w:highlight w:val="none"/>
          <w:lang w:val="en-US" w:eastAsia="zh-CN"/>
        </w:rPr>
        <w:t>《房屋建筑与装饰工程工程量计算标准》(GB/T50854-2024)；</w:t>
      </w:r>
    </w:p>
    <w:p w14:paraId="7B348B6B">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）施工图及相关资料；</w:t>
      </w:r>
    </w:p>
    <w:p w14:paraId="554436C4">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）招标文件；</w:t>
      </w:r>
    </w:p>
    <w:p w14:paraId="4D95A811">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施工现场情况、地勘水文资料、工程特点及常规施工方案；</w:t>
      </w:r>
    </w:p>
    <w:p w14:paraId="4417B18E">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7</w:t>
      </w:r>
      <w:r>
        <w:rPr>
          <w:rFonts w:hint="eastAsia" w:ascii="宋体" w:hAnsi="宋体" w:eastAsia="宋体" w:cs="宋体"/>
          <w:snapToGrid w:val="0"/>
          <w:color w:val="auto"/>
          <w:kern w:val="0"/>
          <w:highlight w:val="none"/>
        </w:rPr>
        <w:t>）与建设工程有关的标准、规范、技术资料。</w:t>
      </w:r>
    </w:p>
    <w:p w14:paraId="0C72BD26">
      <w:pPr>
        <w:wordWrap w:val="0"/>
        <w:adjustRightInd w:val="0"/>
        <w:snapToGrid w:val="0"/>
        <w:spacing w:line="440" w:lineRule="exact"/>
        <w:ind w:firstLine="480"/>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2A5E58E8">
      <w:pPr>
        <w:pStyle w:val="2"/>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bookmarkStart w:id="276" w:name="_Toc16415"/>
      <w:bookmarkStart w:id="277" w:name="_Toc22127"/>
      <w:r>
        <w:rPr>
          <w:rFonts w:hint="eastAsia" w:ascii="宋体" w:hAnsi="宋体" w:eastAsia="宋体" w:cs="宋体"/>
          <w:b/>
          <w:snapToGrid w:val="0"/>
          <w:color w:val="auto"/>
          <w:sz w:val="24"/>
          <w:highlight w:val="none"/>
          <w:lang w:val="en-US" w:eastAsia="zh-CN"/>
        </w:rPr>
        <w:t xml:space="preserve">第六章 </w:t>
      </w:r>
      <w:bookmarkEnd w:id="272"/>
      <w:bookmarkStart w:id="278" w:name="_Hlt75747044"/>
      <w:bookmarkEnd w:id="278"/>
      <w:r>
        <w:rPr>
          <w:rFonts w:hint="eastAsia" w:ascii="宋体" w:hAnsi="宋体" w:eastAsia="宋体" w:cs="宋体"/>
          <w:b/>
          <w:snapToGrid w:val="0"/>
          <w:color w:val="auto"/>
          <w:sz w:val="24"/>
          <w:highlight w:val="none"/>
          <w:lang w:val="en-US" w:eastAsia="zh-CN"/>
        </w:rPr>
        <w:t>投标文件格式</w:t>
      </w:r>
      <w:bookmarkEnd w:id="276"/>
      <w:bookmarkEnd w:id="277"/>
    </w:p>
    <w:bookmarkEnd w:id="273"/>
    <w:p w14:paraId="3E5CA248">
      <w:pPr>
        <w:pStyle w:val="78"/>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snapToGrid w:val="0"/>
          <w:color w:val="auto"/>
          <w:highlight w:val="none"/>
        </w:rPr>
      </w:pPr>
      <w:bookmarkStart w:id="279" w:name="_附件四：工期承诺书"/>
      <w:bookmarkEnd w:id="279"/>
      <w:bookmarkStart w:id="280" w:name="_附件一：投标函"/>
      <w:bookmarkEnd w:id="280"/>
      <w:bookmarkStart w:id="281" w:name="_附件五：综合评审合理低价法"/>
      <w:bookmarkEnd w:id="281"/>
      <w:bookmarkStart w:id="282" w:name="_附件一：对招标文件条款自愿接受承诺书"/>
      <w:bookmarkEnd w:id="282"/>
      <w:bookmarkStart w:id="283" w:name="_附件二：工期承诺书"/>
      <w:bookmarkEnd w:id="283"/>
      <w:bookmarkStart w:id="284" w:name="_附件二：近三年度主要施工项目（竣工及在建）一览表"/>
      <w:bookmarkEnd w:id="284"/>
      <w:bookmarkStart w:id="285" w:name="_Toc200338097"/>
      <w:bookmarkStart w:id="286" w:name="_Toc137621693"/>
      <w:bookmarkStart w:id="287" w:name="_Toc66849200"/>
      <w:bookmarkStart w:id="288" w:name="_Hlt66847557"/>
    </w:p>
    <w:p w14:paraId="5470CEAB">
      <w:pPr>
        <w:pStyle w:val="4"/>
        <w:bidi w:val="0"/>
        <w:ind w:firstLine="964"/>
        <w:rPr>
          <w:rFonts w:hint="eastAsia" w:ascii="宋体" w:hAnsi="宋体" w:eastAsia="宋体" w:cs="宋体"/>
          <w:color w:val="auto"/>
        </w:rPr>
      </w:pPr>
      <w:bookmarkStart w:id="289" w:name="_Toc14677"/>
      <w:bookmarkStart w:id="290" w:name="_Toc13462"/>
      <w:bookmarkStart w:id="291" w:name="_Toc17749"/>
      <w:r>
        <w:rPr>
          <w:rFonts w:hint="eastAsia" w:ascii="宋体" w:hAnsi="宋体" w:eastAsia="宋体" w:cs="宋体"/>
          <w:color w:val="auto"/>
        </w:rPr>
        <w:t>格式一 封面</w:t>
      </w:r>
      <w:bookmarkEnd w:id="289"/>
      <w:bookmarkEnd w:id="290"/>
      <w:bookmarkEnd w:id="291"/>
    </w:p>
    <w:p w14:paraId="62285726">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4553C2D9">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404006EB">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68E9812F">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331A9C0C">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6ED3773B">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22C8C392">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64CADC78">
      <w:pPr>
        <w:pStyle w:val="74"/>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Cs/>
          <w:snapToGrid w:val="0"/>
          <w:color w:val="auto"/>
          <w:sz w:val="48"/>
          <w:szCs w:val="48"/>
          <w:highlight w:val="none"/>
          <w:u w:val="single"/>
        </w:rPr>
        <w:t xml:space="preserve">             </w:t>
      </w:r>
      <w:r>
        <w:rPr>
          <w:rFonts w:hint="eastAsia" w:ascii="宋体" w:hAnsi="宋体" w:eastAsia="宋体" w:cs="宋体"/>
          <w:b/>
          <w:snapToGrid w:val="0"/>
          <w:color w:val="auto"/>
          <w:sz w:val="48"/>
          <w:szCs w:val="48"/>
          <w:highlight w:val="none"/>
        </w:rPr>
        <w:t>（项目名称）招标</w:t>
      </w:r>
    </w:p>
    <w:p w14:paraId="74280D79">
      <w:pPr>
        <w:pStyle w:val="74"/>
        <w:widowControl w:val="0"/>
        <w:wordWrap w:val="0"/>
        <w:adjustRightInd w:val="0"/>
        <w:snapToGrid w:val="0"/>
        <w:spacing w:line="240" w:lineRule="auto"/>
        <w:ind w:firstLine="0"/>
        <w:jc w:val="center"/>
        <w:rPr>
          <w:rFonts w:hint="eastAsia" w:ascii="宋体" w:hAnsi="宋体" w:eastAsia="宋体" w:cs="宋体"/>
          <w:b/>
          <w:snapToGrid w:val="0"/>
          <w:color w:val="auto"/>
          <w:sz w:val="32"/>
          <w:highlight w:val="none"/>
        </w:rPr>
      </w:pPr>
    </w:p>
    <w:p w14:paraId="1AF8E20E">
      <w:pPr>
        <w:pStyle w:val="74"/>
        <w:widowControl w:val="0"/>
        <w:wordWrap w:val="0"/>
        <w:adjustRightInd w:val="0"/>
        <w:snapToGrid w:val="0"/>
        <w:spacing w:line="240" w:lineRule="auto"/>
        <w:ind w:firstLine="0"/>
        <w:jc w:val="center"/>
        <w:rPr>
          <w:rFonts w:hint="eastAsia" w:ascii="宋体" w:hAnsi="宋体" w:eastAsia="宋体" w:cs="宋体"/>
          <w:b/>
          <w:snapToGrid w:val="0"/>
          <w:color w:val="auto"/>
          <w:sz w:val="72"/>
          <w:highlight w:val="none"/>
        </w:rPr>
      </w:pPr>
      <w:r>
        <w:rPr>
          <w:rFonts w:hint="eastAsia" w:ascii="宋体" w:hAnsi="宋体" w:eastAsia="宋体" w:cs="宋体"/>
          <w:b/>
          <w:snapToGrid w:val="0"/>
          <w:color w:val="auto"/>
          <w:sz w:val="72"/>
          <w:highlight w:val="none"/>
        </w:rPr>
        <w:t>投  标  文  件</w:t>
      </w:r>
    </w:p>
    <w:p w14:paraId="09EBFE22">
      <w:pPr>
        <w:pStyle w:val="74"/>
        <w:widowControl w:val="0"/>
        <w:wordWrap w:val="0"/>
        <w:adjustRightInd w:val="0"/>
        <w:snapToGrid w:val="0"/>
        <w:spacing w:line="240" w:lineRule="auto"/>
        <w:ind w:firstLine="0"/>
        <w:jc w:val="center"/>
        <w:rPr>
          <w:rFonts w:hint="eastAsia" w:ascii="宋体" w:hAnsi="宋体" w:eastAsia="宋体" w:cs="宋体"/>
          <w:b/>
          <w:snapToGrid w:val="0"/>
          <w:color w:val="auto"/>
          <w:sz w:val="32"/>
          <w:highlight w:val="none"/>
        </w:rPr>
      </w:pPr>
    </w:p>
    <w:p w14:paraId="19384084">
      <w:pPr>
        <w:pStyle w:val="74"/>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（商务标书／经济标书／施工组织设计）</w:t>
      </w:r>
    </w:p>
    <w:p w14:paraId="64B90567">
      <w:pPr>
        <w:pStyle w:val="74"/>
        <w:widowControl w:val="0"/>
        <w:wordWrap w:val="0"/>
        <w:adjustRightInd w:val="0"/>
        <w:snapToGrid w:val="0"/>
        <w:spacing w:line="240" w:lineRule="auto"/>
        <w:rPr>
          <w:rFonts w:hint="eastAsia" w:ascii="宋体" w:hAnsi="宋体" w:eastAsia="宋体" w:cs="宋体"/>
          <w:b/>
          <w:snapToGrid w:val="0"/>
          <w:color w:val="auto"/>
          <w:highlight w:val="none"/>
        </w:rPr>
      </w:pPr>
    </w:p>
    <w:p w14:paraId="189EEA00">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44DCF70B">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51B6B47E">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0C5BDB24">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6B60CED4">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2F3092EB">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420C7425">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66DFF8C2">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45DAD187">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08001D46">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41EDE1DA">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6F7C862D">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3E637BE5">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72EA2AF6">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1A975475">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u w:val="single"/>
        </w:rPr>
      </w:pPr>
    </w:p>
    <w:p w14:paraId="4A9347C3">
      <w:pPr>
        <w:pStyle w:val="74"/>
        <w:widowControl w:val="0"/>
        <w:wordWrap w:val="0"/>
        <w:adjustRightInd w:val="0"/>
        <w:snapToGrid w:val="0"/>
        <w:spacing w:line="24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2F104A7">
      <w:pPr>
        <w:pStyle w:val="74"/>
        <w:widowControl w:val="0"/>
        <w:wordWrap w:val="0"/>
        <w:adjustRightInd w:val="0"/>
        <w:snapToGrid w:val="0"/>
        <w:rPr>
          <w:rFonts w:hint="eastAsia" w:ascii="宋体" w:hAnsi="宋体" w:eastAsia="宋体" w:cs="宋体"/>
          <w:b/>
          <w:snapToGrid w:val="0"/>
          <w:color w:val="auto"/>
          <w:highlight w:val="none"/>
        </w:rPr>
      </w:pPr>
    </w:p>
    <w:p w14:paraId="53CB3B82">
      <w:pPr>
        <w:pStyle w:val="74"/>
        <w:widowControl w:val="0"/>
        <w:wordWrap w:val="0"/>
        <w:adjustRightInd w:val="0"/>
        <w:snapToGrid w:val="0"/>
        <w:rPr>
          <w:rFonts w:hint="eastAsia" w:ascii="宋体" w:hAnsi="宋体" w:eastAsia="宋体" w:cs="宋体"/>
          <w:b/>
          <w:snapToGrid w:val="0"/>
          <w:color w:val="auto"/>
          <w:highlight w:val="none"/>
        </w:rPr>
      </w:pPr>
    </w:p>
    <w:p w14:paraId="20584595">
      <w:pPr>
        <w:pStyle w:val="74"/>
        <w:widowControl w:val="0"/>
        <w:wordWrap w:val="0"/>
        <w:adjustRightInd w:val="0"/>
        <w:snapToGrid w:val="0"/>
        <w:rPr>
          <w:rFonts w:hint="eastAsia" w:ascii="宋体" w:hAnsi="宋体" w:eastAsia="宋体" w:cs="宋体"/>
          <w:b/>
          <w:snapToGrid w:val="0"/>
          <w:color w:val="auto"/>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5B097F81">
      <w:pPr>
        <w:pStyle w:val="4"/>
        <w:bidi w:val="0"/>
        <w:ind w:firstLine="964"/>
        <w:rPr>
          <w:rFonts w:hint="eastAsia" w:ascii="宋体" w:hAnsi="宋体" w:eastAsia="宋体" w:cs="宋体"/>
          <w:color w:val="auto"/>
        </w:rPr>
      </w:pPr>
      <w:bookmarkStart w:id="292" w:name="_Toc3166"/>
      <w:bookmarkStart w:id="293" w:name="_Toc7500"/>
      <w:bookmarkStart w:id="294" w:name="_Toc17232"/>
      <w:bookmarkStart w:id="295" w:name="_Toc104711098"/>
      <w:bookmarkStart w:id="296" w:name="_Toc28280"/>
      <w:bookmarkStart w:id="297" w:name="_Toc106418843"/>
      <w:r>
        <w:rPr>
          <w:rFonts w:hint="eastAsia" w:ascii="宋体" w:hAnsi="宋体" w:eastAsia="宋体" w:cs="宋体"/>
          <w:color w:val="auto"/>
        </w:rPr>
        <w:t>格式</w:t>
      </w:r>
      <w:bookmarkStart w:id="298" w:name="_Hlt97526007"/>
      <w:bookmarkEnd w:id="298"/>
      <w:r>
        <w:rPr>
          <w:rFonts w:hint="eastAsia" w:ascii="宋体" w:hAnsi="宋体" w:eastAsia="宋体" w:cs="宋体"/>
          <w:color w:val="auto"/>
        </w:rPr>
        <w:t>二 投标函</w:t>
      </w:r>
      <w:bookmarkEnd w:id="292"/>
      <w:bookmarkEnd w:id="293"/>
      <w:bookmarkEnd w:id="294"/>
    </w:p>
    <w:p w14:paraId="3D160AA4">
      <w:pPr>
        <w:pStyle w:val="4"/>
        <w:keepNext w:val="0"/>
        <w:keepLines w:val="0"/>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bookmarkStart w:id="299" w:name="_Toc23239"/>
      <w:bookmarkStart w:id="300" w:name="_Toc25895"/>
      <w:bookmarkStart w:id="301" w:name="_Toc26551"/>
      <w:r>
        <w:rPr>
          <w:rFonts w:hint="eastAsia" w:ascii="宋体" w:hAnsi="宋体" w:eastAsia="宋体" w:cs="宋体"/>
          <w:b/>
          <w:snapToGrid w:val="0"/>
          <w:color w:val="auto"/>
          <w:kern w:val="0"/>
          <w:sz w:val="30"/>
          <w:highlight w:val="none"/>
        </w:rPr>
        <w:t>投  标  函</w:t>
      </w:r>
      <w:bookmarkEnd w:id="295"/>
      <w:bookmarkEnd w:id="296"/>
      <w:bookmarkEnd w:id="297"/>
      <w:bookmarkEnd w:id="299"/>
      <w:bookmarkEnd w:id="300"/>
      <w:bookmarkEnd w:id="301"/>
    </w:p>
    <w:p w14:paraId="5BD61156">
      <w:pPr>
        <w:wordWrap w:val="0"/>
        <w:adjustRightInd w:val="0"/>
        <w:snapToGrid w:val="0"/>
        <w:spacing w:line="440" w:lineRule="exact"/>
        <w:jc w:val="center"/>
        <w:rPr>
          <w:rFonts w:hint="eastAsia" w:ascii="宋体" w:hAnsi="宋体" w:eastAsia="宋体" w:cs="宋体"/>
          <w:b/>
          <w:snapToGrid w:val="0"/>
          <w:color w:val="auto"/>
          <w:kern w:val="0"/>
          <w:highlight w:val="none"/>
        </w:rPr>
      </w:pPr>
    </w:p>
    <w:p w14:paraId="65BB6F90">
      <w:pPr>
        <w:wordWrap w:val="0"/>
        <w:adjustRightInd w:val="0"/>
        <w:snapToGrid w:val="0"/>
        <w:spacing w:line="440" w:lineRule="exac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（招标人名称）</w:t>
      </w:r>
    </w:p>
    <w:p w14:paraId="7DF7758A">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1. </w:t>
      </w:r>
      <w:r>
        <w:rPr>
          <w:rFonts w:hint="eastAsia" w:ascii="宋体" w:hAnsi="宋体" w:eastAsia="宋体" w:cs="宋体"/>
          <w:snapToGrid w:val="0"/>
          <w:color w:val="auto"/>
          <w:kern w:val="0"/>
          <w:szCs w:val="22"/>
          <w:highlight w:val="none"/>
        </w:rPr>
        <w:t>我方</w:t>
      </w:r>
      <w:r>
        <w:rPr>
          <w:rFonts w:hint="eastAsia" w:ascii="宋体" w:hAnsi="宋体" w:eastAsia="宋体" w:cs="宋体"/>
          <w:snapToGrid w:val="0"/>
          <w:color w:val="auto"/>
          <w:kern w:val="0"/>
          <w:highlight w:val="none"/>
        </w:rPr>
        <w:t>考察现场并充分研究</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（项目名称）（以下简称“本项目”）施工招标文件</w:t>
      </w:r>
      <w:r>
        <w:rPr>
          <w:rFonts w:hint="eastAsia" w:ascii="宋体" w:hAnsi="宋体" w:eastAsia="宋体" w:cs="宋体"/>
          <w:snapToGrid w:val="0"/>
          <w:color w:val="auto"/>
          <w:kern w:val="0"/>
          <w:szCs w:val="22"/>
          <w:highlight w:val="none"/>
        </w:rPr>
        <w:t>所有内容后</w:t>
      </w:r>
      <w:r>
        <w:rPr>
          <w:rFonts w:hint="eastAsia" w:ascii="宋体" w:hAnsi="宋体" w:eastAsia="宋体" w:cs="宋体"/>
          <w:snapToGrid w:val="0"/>
          <w:color w:val="auto"/>
          <w:kern w:val="0"/>
          <w:highlight w:val="none"/>
        </w:rPr>
        <w:t>，结合自身资质、能力和特点，愿意接受招标文件的全部内容和条件，兹以人民币（大写）：</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szCs w:val="22"/>
          <w:highlight w:val="none"/>
        </w:rPr>
        <w:t>的投标总价</w:t>
      </w:r>
      <w:r>
        <w:rPr>
          <w:rFonts w:hint="eastAsia" w:ascii="宋体" w:hAnsi="宋体" w:eastAsia="宋体" w:cs="宋体"/>
          <w:snapToGrid w:val="0"/>
          <w:color w:val="auto"/>
          <w:kern w:val="0"/>
          <w:highlight w:val="none"/>
        </w:rPr>
        <w:t>竞投本项目施工。</w:t>
      </w:r>
    </w:p>
    <w:p w14:paraId="7CCD072B">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在我方的上述投标总价中，包括：</w:t>
      </w:r>
      <w:r>
        <w:rPr>
          <w:rFonts w:hint="eastAsia" w:ascii="宋体" w:hAnsi="宋体" w:eastAsia="宋体" w:cs="宋体"/>
          <w:snapToGrid w:val="0"/>
          <w:color w:val="auto"/>
          <w:kern w:val="0"/>
          <w:highlight w:val="none"/>
          <w:lang w:eastAsia="zh-CN"/>
        </w:rPr>
        <w:t>安全生产措施费</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，暂列金额¥</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，暂估价¥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p>
    <w:p w14:paraId="09C76540">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 如果我方中标，我方保证按照合同约定的开工日期开始本项目的施工，</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个日历天内竣工，并确保工程质量达到</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标准和维修其中的任何缺陷。</w:t>
      </w:r>
    </w:p>
    <w:p w14:paraId="7E9D8559">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5C20BCCC">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4．我方在此声明，我方不存在本项目招标文件第一章第三节第</w:t>
      </w:r>
      <w:r>
        <w:rPr>
          <w:rFonts w:hint="eastAsia" w:ascii="宋体" w:hAnsi="宋体" w:eastAsia="宋体" w:cs="宋体"/>
          <w:b/>
          <w:bCs/>
          <w:snapToGrid w:val="0"/>
          <w:color w:val="auto"/>
          <w:kern w:val="0"/>
          <w:highlight w:val="none"/>
        </w:rPr>
        <w:t>2.4</w:t>
      </w:r>
      <w:r>
        <w:rPr>
          <w:rFonts w:hint="eastAsia" w:ascii="宋体" w:hAnsi="宋体" w:eastAsia="宋体" w:cs="宋体"/>
          <w:snapToGrid w:val="0"/>
          <w:color w:val="auto"/>
          <w:kern w:val="0"/>
          <w:highlight w:val="none"/>
        </w:rPr>
        <w:t>条“禁止投标条款”所列出的任何一种情形，并愿意承担因我方就此弄虚作假所引起的一切法律后果。</w:t>
      </w:r>
    </w:p>
    <w:p w14:paraId="48B983E4">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43AF98F8">
      <w:pPr>
        <w:wordWrap w:val="0"/>
        <w:adjustRightInd w:val="0"/>
        <w:snapToGrid w:val="0"/>
        <w:spacing w:line="440" w:lineRule="exact"/>
        <w:ind w:firstLine="570"/>
        <w:rPr>
          <w:rFonts w:hint="eastAsia" w:ascii="宋体" w:hAnsi="宋体" w:eastAsia="宋体" w:cs="宋体"/>
          <w:snapToGrid w:val="0"/>
          <w:color w:val="auto"/>
          <w:kern w:val="0"/>
          <w:highlight w:val="none"/>
        </w:rPr>
      </w:pPr>
      <w:bookmarkStart w:id="302" w:name="_Hlt68771070"/>
      <w:bookmarkEnd w:id="302"/>
      <w:r>
        <w:rPr>
          <w:rFonts w:hint="eastAsia" w:ascii="宋体" w:hAnsi="宋体" w:eastAsia="宋体" w:cs="宋体"/>
          <w:snapToGrid w:val="0"/>
          <w:color w:val="auto"/>
          <w:kern w:val="0"/>
          <w:highlight w:val="none"/>
        </w:rPr>
        <w:t>6. 我方理解你方不一定要接纳收到的最低投标总价或任何投标总价的投标人中标，也不要求你方解释我方是否中标的原因。</w:t>
      </w:r>
    </w:p>
    <w:p w14:paraId="15E89DC9">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p>
    <w:p w14:paraId="7F4043DD">
      <w:pPr>
        <w:wordWrap w:val="0"/>
        <w:adjustRightInd w:val="0"/>
        <w:snapToGrid w:val="0"/>
        <w:spacing w:line="440" w:lineRule="exact"/>
        <w:rPr>
          <w:rFonts w:hint="eastAsia" w:ascii="宋体" w:hAnsi="宋体" w:eastAsia="宋体" w:cs="宋体"/>
          <w:snapToGrid w:val="0"/>
          <w:color w:val="auto"/>
          <w:kern w:val="0"/>
          <w:highlight w:val="none"/>
        </w:rPr>
      </w:pPr>
    </w:p>
    <w:p w14:paraId="55215338">
      <w:pPr>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投标人：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（盖单位章）</w:t>
      </w:r>
    </w:p>
    <w:p w14:paraId="5A1B5F53">
      <w:pPr>
        <w:wordWrap w:val="0"/>
        <w:adjustRightInd w:val="0"/>
        <w:snapToGrid w:val="0"/>
        <w:spacing w:line="440" w:lineRule="exact"/>
        <w:jc w:val="right"/>
        <w:rPr>
          <w:rFonts w:hint="eastAsia" w:ascii="宋体" w:hAnsi="宋体" w:eastAsia="宋体" w:cs="宋体"/>
          <w:snapToGrid w:val="0"/>
          <w:color w:val="auto"/>
          <w:kern w:val="0"/>
          <w:highlight w:val="none"/>
        </w:rPr>
      </w:pPr>
    </w:p>
    <w:p w14:paraId="26508364">
      <w:pPr>
        <w:wordWrap w:val="0"/>
        <w:adjustRightInd w:val="0"/>
        <w:snapToGrid w:val="0"/>
        <w:spacing w:line="440" w:lineRule="exact"/>
        <w:jc w:val="right"/>
        <w:rPr>
          <w:rFonts w:hint="eastAsia" w:ascii="宋体" w:hAnsi="宋体" w:eastAsia="宋体" w:cs="宋体"/>
          <w:snapToGrid w:val="0"/>
          <w:color w:val="auto"/>
          <w:kern w:val="0"/>
          <w:highlight w:val="none"/>
        </w:rPr>
      </w:pPr>
    </w:p>
    <w:p w14:paraId="558F4CA0">
      <w:pPr>
        <w:wordWrap w:val="0"/>
        <w:adjustRightInd w:val="0"/>
        <w:snapToGrid w:val="0"/>
        <w:spacing w:line="440" w:lineRule="exact"/>
        <w:ind w:firstLine="480" w:firstLineChars="200"/>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法定代表人或其委托代理人：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（签字或盖章）</w:t>
      </w:r>
    </w:p>
    <w:p w14:paraId="655DCCE3">
      <w:pPr>
        <w:wordWrap w:val="0"/>
        <w:adjustRightInd w:val="0"/>
        <w:snapToGrid w:val="0"/>
        <w:spacing w:line="440" w:lineRule="exact"/>
        <w:ind w:firstLine="480" w:firstLineChars="200"/>
        <w:jc w:val="right"/>
        <w:rPr>
          <w:rFonts w:hint="eastAsia" w:ascii="宋体" w:hAnsi="宋体" w:eastAsia="宋体" w:cs="宋体"/>
          <w:snapToGrid w:val="0"/>
          <w:color w:val="auto"/>
          <w:kern w:val="0"/>
          <w:highlight w:val="none"/>
        </w:rPr>
      </w:pPr>
    </w:p>
    <w:p w14:paraId="6B3C6271">
      <w:pPr>
        <w:wordWrap w:val="0"/>
        <w:adjustRightInd w:val="0"/>
        <w:snapToGrid w:val="0"/>
        <w:spacing w:line="440" w:lineRule="exact"/>
        <w:jc w:val="left"/>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5B22A1B2">
      <w:pPr>
        <w:pStyle w:val="4"/>
        <w:bidi w:val="0"/>
        <w:ind w:firstLine="964"/>
        <w:rPr>
          <w:rFonts w:hint="eastAsia" w:ascii="宋体" w:hAnsi="宋体" w:eastAsia="宋体" w:cs="宋体"/>
          <w:color w:val="auto"/>
        </w:rPr>
      </w:pPr>
      <w:bookmarkStart w:id="303" w:name="_Toc26367"/>
      <w:r>
        <w:rPr>
          <w:rFonts w:hint="eastAsia" w:ascii="宋体" w:hAnsi="宋体" w:eastAsia="宋体" w:cs="宋体"/>
          <w:color w:val="auto"/>
        </w:rPr>
        <w:t>格式三 各项承诺一览表</w:t>
      </w:r>
      <w:bookmarkEnd w:id="303"/>
    </w:p>
    <w:p w14:paraId="7ED1E1C4">
      <w:pPr>
        <w:pStyle w:val="78"/>
        <w:keepNext w:val="0"/>
        <w:keepLines w:val="0"/>
        <w:widowControl w:val="0"/>
        <w:wordWrap w:val="0"/>
        <w:adjustRightInd w:val="0"/>
        <w:snapToGrid w:val="0"/>
        <w:spacing w:before="260" w:after="260" w:line="440" w:lineRule="exact"/>
        <w:ind w:firstLine="0"/>
        <w:rPr>
          <w:rFonts w:hint="eastAsia" w:ascii="宋体" w:hAnsi="宋体" w:eastAsia="宋体" w:cs="宋体"/>
          <w:b/>
          <w:snapToGrid w:val="0"/>
          <w:color w:val="auto"/>
          <w:highlight w:val="none"/>
        </w:rPr>
      </w:pPr>
      <w:bookmarkStart w:id="304" w:name="_Toc19422"/>
      <w:bookmarkStart w:id="305" w:name="_Toc29967"/>
      <w:bookmarkStart w:id="306" w:name="_Toc18715"/>
      <w:r>
        <w:rPr>
          <w:rFonts w:hint="eastAsia" w:ascii="宋体" w:hAnsi="宋体" w:eastAsia="宋体" w:cs="宋体"/>
          <w:b/>
          <w:snapToGrid w:val="0"/>
          <w:color w:val="auto"/>
          <w:sz w:val="30"/>
          <w:highlight w:val="none"/>
        </w:rPr>
        <w:t>各项承诺一览表</w:t>
      </w:r>
      <w:bookmarkEnd w:id="304"/>
      <w:bookmarkEnd w:id="305"/>
      <w:bookmarkEnd w:id="306"/>
    </w:p>
    <w:tbl>
      <w:tblPr>
        <w:tblStyle w:val="30"/>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5051"/>
      </w:tblGrid>
      <w:tr w14:paraId="6A4B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0523F676">
            <w:pPr>
              <w:pStyle w:val="62"/>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序号</w:t>
            </w:r>
          </w:p>
        </w:tc>
        <w:tc>
          <w:tcPr>
            <w:tcW w:w="1573" w:type="dxa"/>
            <w:noWrap w:val="0"/>
            <w:vAlign w:val="center"/>
          </w:tcPr>
          <w:p w14:paraId="05516782">
            <w:pPr>
              <w:pStyle w:val="62"/>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承诺事项</w:t>
            </w:r>
          </w:p>
        </w:tc>
        <w:tc>
          <w:tcPr>
            <w:tcW w:w="2923" w:type="dxa"/>
            <w:noWrap w:val="0"/>
            <w:vAlign w:val="center"/>
          </w:tcPr>
          <w:p w14:paraId="748193F3">
            <w:pPr>
              <w:pStyle w:val="62"/>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承诺内容</w:t>
            </w:r>
          </w:p>
        </w:tc>
        <w:tc>
          <w:tcPr>
            <w:tcW w:w="5051" w:type="dxa"/>
            <w:noWrap w:val="0"/>
            <w:vAlign w:val="center"/>
          </w:tcPr>
          <w:p w14:paraId="789C2810">
            <w:pPr>
              <w:pStyle w:val="62"/>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违约承诺</w:t>
            </w:r>
          </w:p>
        </w:tc>
      </w:tr>
      <w:tr w14:paraId="11B8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16" w:type="dxa"/>
            <w:noWrap w:val="0"/>
            <w:vAlign w:val="center"/>
          </w:tcPr>
          <w:p w14:paraId="1DAC863C">
            <w:pPr>
              <w:pStyle w:val="62"/>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14:paraId="19F39EE6">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77DBC478">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noWrap w:val="0"/>
            <w:vAlign w:val="center"/>
          </w:tcPr>
          <w:p w14:paraId="5DBBC6A2">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5051" w:type="dxa"/>
            <w:noWrap w:val="0"/>
            <w:vAlign w:val="center"/>
          </w:tcPr>
          <w:p w14:paraId="47E4CB27">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6DF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716" w:type="dxa"/>
            <w:noWrap w:val="0"/>
            <w:vAlign w:val="center"/>
          </w:tcPr>
          <w:p w14:paraId="37117678">
            <w:pPr>
              <w:pStyle w:val="62"/>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14:paraId="78BACBE4">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0ADD0EBE">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noWrap w:val="0"/>
            <w:vAlign w:val="center"/>
          </w:tcPr>
          <w:p w14:paraId="0D17CBC0">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5051" w:type="dxa"/>
            <w:noWrap w:val="0"/>
            <w:vAlign w:val="center"/>
          </w:tcPr>
          <w:p w14:paraId="713FE0BB">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6DD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jc w:val="center"/>
        </w:trPr>
        <w:tc>
          <w:tcPr>
            <w:tcW w:w="716" w:type="dxa"/>
            <w:noWrap w:val="0"/>
            <w:vAlign w:val="center"/>
          </w:tcPr>
          <w:p w14:paraId="1EAECE13">
            <w:pPr>
              <w:pStyle w:val="62"/>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14:paraId="75495091">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0915F300">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38DD2D73">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noWrap w:val="0"/>
            <w:vAlign w:val="center"/>
          </w:tcPr>
          <w:p w14:paraId="6078EC86">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5051" w:type="dxa"/>
            <w:noWrap w:val="0"/>
            <w:vAlign w:val="center"/>
          </w:tcPr>
          <w:p w14:paraId="69666C85">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345B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6" w:hRule="atLeast"/>
          <w:jc w:val="center"/>
        </w:trPr>
        <w:tc>
          <w:tcPr>
            <w:tcW w:w="716" w:type="dxa"/>
            <w:noWrap w:val="0"/>
            <w:vAlign w:val="center"/>
          </w:tcPr>
          <w:p w14:paraId="6D1A01CA">
            <w:pPr>
              <w:pStyle w:val="62"/>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14:paraId="6E653F04">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39D8D8B0">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noWrap w:val="0"/>
            <w:vAlign w:val="center"/>
          </w:tcPr>
          <w:p w14:paraId="247CCC5F">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我方拟派项目经理现阶段没有担任任何在施（包括已中标未开工、已开工未竣工）建设工程项目的项目经理。</w:t>
            </w:r>
          </w:p>
        </w:tc>
        <w:tc>
          <w:tcPr>
            <w:tcW w:w="5051" w:type="dxa"/>
            <w:noWrap w:val="0"/>
            <w:vAlign w:val="center"/>
          </w:tcPr>
          <w:p w14:paraId="10D09C7E">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01B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716" w:type="dxa"/>
            <w:noWrap w:val="0"/>
            <w:vAlign w:val="center"/>
          </w:tcPr>
          <w:p w14:paraId="67910BF8">
            <w:pPr>
              <w:pStyle w:val="62"/>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14:paraId="2DD2F65B">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738087CB">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noWrap w:val="0"/>
            <w:vAlign w:val="center"/>
          </w:tcPr>
          <w:p w14:paraId="2C049438">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5051" w:type="dxa"/>
            <w:noWrap w:val="0"/>
            <w:vAlign w:val="center"/>
          </w:tcPr>
          <w:p w14:paraId="62C904A4">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787F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16" w:type="dxa"/>
            <w:noWrap w:val="0"/>
            <w:vAlign w:val="center"/>
          </w:tcPr>
          <w:p w14:paraId="68B0DDA3">
            <w:pPr>
              <w:pStyle w:val="62"/>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14:paraId="2F332959">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04E8FAE0">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noWrap w:val="0"/>
            <w:vAlign w:val="center"/>
          </w:tcPr>
          <w:p w14:paraId="56C5303D">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Style w:val="149"/>
                <w:rFonts w:hint="eastAsia" w:ascii="宋体" w:hAnsi="宋体" w:eastAsia="宋体" w:cs="宋体"/>
                <w:color w:val="auto"/>
                <w:kern w:val="0"/>
                <w:sz w:val="21"/>
                <w:szCs w:val="21"/>
                <w:highlight w:val="none"/>
                <w:lang w:val="en-US" w:eastAsia="zh-CN" w:bidi="ar-SA"/>
              </w:rPr>
              <w:t>我方提供完整的电子文件。如果我方成为本项目中标候选人，我方同意并授权招标人在评标结果公示期内公开我方商务标书的全部内容。</w:t>
            </w:r>
          </w:p>
        </w:tc>
        <w:tc>
          <w:tcPr>
            <w:tcW w:w="5051"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14:paraId="14CEA547">
            <w:pPr>
              <w:pStyle w:val="105"/>
              <w:wordWrap w:val="0"/>
              <w:adjustRightInd w:val="0"/>
              <w:snapToGrid w:val="0"/>
              <w:spacing w:line="240" w:lineRule="auto"/>
              <w:ind w:firstLine="0" w:firstLineChars="0"/>
              <w:jc w:val="left"/>
              <mc:AlternateContent>
                <mc:Choice Requires="wpsCustomData">
                  <wpsCustomData:diagonalParaType/>
                </mc:Choice>
              </mc:AlternateConten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p w14:paraId="2F2D6720">
            <w:pPr>
              <w:pStyle w:val="105"/>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70FB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1AA2AFEC">
            <w:pPr>
              <w:pStyle w:val="62"/>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14:paraId="26CFDCE0">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14:paraId="0ED97ECC">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2923" w:type="dxa"/>
            <w:noWrap w:val="0"/>
            <w:vAlign w:val="center"/>
          </w:tcPr>
          <w:p w14:paraId="75717B94">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5051" w:type="dxa"/>
            <w:tcBorders>
              <w:tr2bl w:val="single" w:color="auto" w:sz="4" w:space="0"/>
            </w:tcBorders>
            <w:noWrap w:val="0"/>
            <w:vAlign w:val="center"/>
          </w:tcPr>
          <w:p w14:paraId="1EC5CF1B">
            <w:pPr>
              <w:pStyle w:val="105"/>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p w14:paraId="7C3A418B">
            <w:pPr>
              <w:pStyle w:val="105"/>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6F66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6EE990D8">
            <w:pPr>
              <w:pStyle w:val="62"/>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14:paraId="720FD32C">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14:paraId="5DADC463">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2923" w:type="dxa"/>
            <w:noWrap w:val="0"/>
            <w:vAlign w:val="center"/>
          </w:tcPr>
          <w:p w14:paraId="35D27895">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5051" w:type="dxa"/>
            <w:noWrap w:val="0"/>
            <w:vAlign w:val="center"/>
          </w:tcPr>
          <w:p w14:paraId="3AE88E3E">
            <w:pPr>
              <w:pStyle w:val="105"/>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4EFC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63365C53">
            <w:pPr>
              <w:pStyle w:val="62"/>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14:paraId="6FA8C30A">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1BCA131A">
            <w:pPr>
              <w:pStyle w:val="105"/>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noWrap w:val="0"/>
            <w:vAlign w:val="center"/>
          </w:tcPr>
          <w:p w14:paraId="1EFF4E75">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5051" w:type="dxa"/>
            <w:noWrap w:val="0"/>
            <w:vAlign w:val="center"/>
          </w:tcPr>
          <w:p w14:paraId="1D829707">
            <w:pPr>
              <w:pStyle w:val="105"/>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24C13A44">
      <w:pPr>
        <w:pStyle w:val="62"/>
        <w:wordWrap w:val="0"/>
        <w:adjustRightInd w:val="0"/>
        <w:snapToGrid w:val="0"/>
        <w:spacing w:line="420" w:lineRule="exact"/>
        <w:jc w:val="left"/>
        <w:rPr>
          <w:rFonts w:hint="eastAsia" w:ascii="宋体" w:hAnsi="宋体" w:eastAsia="宋体" w:cs="宋体"/>
          <w:snapToGrid w:val="0"/>
          <w:color w:val="auto"/>
          <w:kern w:val="0"/>
          <w:highlight w:val="none"/>
        </w:rPr>
      </w:pPr>
    </w:p>
    <w:p w14:paraId="1E71F53A">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273CB0B0">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p>
    <w:p w14:paraId="0E7A76ED">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p>
    <w:p w14:paraId="179E45B4">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法定代表人或其委托代理人：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02BB82C7">
      <w:pPr>
        <w:pStyle w:val="17"/>
        <w:wordWrap w:val="0"/>
        <w:adjustRightInd w:val="0"/>
        <w:snapToGrid w:val="0"/>
        <w:spacing w:line="420" w:lineRule="exact"/>
        <w:ind w:firstLine="480" w:firstLineChars="200"/>
        <w:rPr>
          <w:rFonts w:hint="eastAsia" w:ascii="宋体" w:hAnsi="宋体" w:eastAsia="宋体" w:cs="宋体"/>
          <w:snapToGrid w:val="0"/>
          <w:color w:val="auto"/>
          <w:kern w:val="0"/>
          <w:szCs w:val="24"/>
          <w:highlight w:val="none"/>
        </w:rPr>
      </w:pPr>
    </w:p>
    <w:p w14:paraId="6AF098DC">
      <w:pPr>
        <w:pStyle w:val="17"/>
        <w:wordWrap w:val="0"/>
        <w:adjustRightInd w:val="0"/>
        <w:snapToGrid w:val="0"/>
        <w:spacing w:line="420" w:lineRule="exact"/>
        <w:ind w:firstLine="480" w:firstLineChars="20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日</w:t>
      </w:r>
    </w:p>
    <w:p w14:paraId="39F77F4D">
      <w:pPr>
        <w:wordWrap w:val="0"/>
        <w:adjustRightInd w:val="0"/>
        <w:snapToGrid w:val="0"/>
        <w:spacing w:line="420" w:lineRule="exact"/>
        <w:jc w:val="left"/>
        <w:outlineLvl w:val="2"/>
        <w:rPr>
          <w:rFonts w:hint="eastAsia" w:ascii="宋体" w:hAnsi="宋体" w:eastAsia="宋体" w:cs="宋体"/>
          <w:b/>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0D7DEAC4">
      <w:pPr>
        <w:pStyle w:val="4"/>
        <w:bidi w:val="0"/>
        <w:ind w:firstLine="964"/>
        <w:rPr>
          <w:rFonts w:hint="eastAsia" w:ascii="宋体" w:hAnsi="宋体" w:eastAsia="宋体" w:cs="宋体"/>
          <w:color w:val="auto"/>
        </w:rPr>
      </w:pPr>
      <w:bookmarkStart w:id="307" w:name="_Toc1689"/>
      <w:bookmarkStart w:id="308" w:name="_Toc1822"/>
      <w:r>
        <w:rPr>
          <w:rFonts w:hint="eastAsia" w:ascii="宋体" w:hAnsi="宋体" w:eastAsia="宋体" w:cs="宋体"/>
          <w:color w:val="auto"/>
        </w:rPr>
        <w:t>格式四 授权委托书</w:t>
      </w:r>
      <w:bookmarkEnd w:id="307"/>
      <w:bookmarkEnd w:id="308"/>
    </w:p>
    <w:p w14:paraId="1A4B32DD">
      <w:pPr>
        <w:wordWrap w:val="0"/>
        <w:adjustRightInd w:val="0"/>
        <w:snapToGrid w:val="0"/>
        <w:spacing w:line="440" w:lineRule="exact"/>
        <w:outlineLvl w:val="2"/>
        <w:rPr>
          <w:rFonts w:hint="eastAsia" w:ascii="宋体" w:hAnsi="宋体" w:eastAsia="宋体" w:cs="宋体"/>
          <w:b/>
          <w:bCs/>
          <w:snapToGrid w:val="0"/>
          <w:color w:val="auto"/>
          <w:kern w:val="0"/>
          <w:szCs w:val="24"/>
          <w:highlight w:val="none"/>
        </w:rPr>
      </w:pPr>
    </w:p>
    <w:p w14:paraId="47660150">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授权委托书</w:t>
      </w:r>
    </w:p>
    <w:p w14:paraId="793F2DE8">
      <w:pPr>
        <w:wordWrap w:val="0"/>
        <w:adjustRightInd w:val="0"/>
        <w:snapToGrid w:val="0"/>
        <w:spacing w:line="440" w:lineRule="exact"/>
        <w:rPr>
          <w:rFonts w:hint="eastAsia" w:ascii="宋体" w:hAnsi="宋体" w:eastAsia="宋体" w:cs="宋体"/>
          <w:snapToGrid w:val="0"/>
          <w:color w:val="auto"/>
          <w:kern w:val="0"/>
          <w:szCs w:val="28"/>
          <w:highlight w:val="none"/>
        </w:rPr>
      </w:pPr>
    </w:p>
    <w:p w14:paraId="07E22506">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（项目名称）投标文件、签订合同和处理有关事宜，其法律后果由我方承担。</w:t>
      </w:r>
    </w:p>
    <w:p w14:paraId="172BCBCB">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委托期限：至</w:t>
      </w:r>
      <w:r>
        <w:rPr>
          <w:rFonts w:hint="eastAsia" w:ascii="宋体" w:hAnsi="宋体" w:eastAsia="宋体" w:cs="宋体"/>
          <w:snapToGrid w:val="0"/>
          <w:color w:val="auto"/>
          <w:kern w:val="0"/>
          <w:szCs w:val="21"/>
          <w:highlight w:val="none"/>
          <w:u w:val="single"/>
        </w:rPr>
        <w:t xml:space="preserve">     年   月   日</w:t>
      </w:r>
      <w:r>
        <w:rPr>
          <w:rFonts w:hint="eastAsia" w:ascii="宋体" w:hAnsi="宋体" w:eastAsia="宋体" w:cs="宋体"/>
          <w:i/>
          <w:iCs/>
          <w:snapToGrid w:val="0"/>
          <w:color w:val="auto"/>
          <w:kern w:val="0"/>
          <w:szCs w:val="21"/>
          <w:highlight w:val="none"/>
          <w:u w:val="single"/>
        </w:rPr>
        <w:t>（不得短于招标文件规定的投标有效期）</w:t>
      </w:r>
      <w:r>
        <w:rPr>
          <w:rFonts w:hint="eastAsia" w:ascii="宋体" w:hAnsi="宋体" w:eastAsia="宋体" w:cs="宋体"/>
          <w:snapToGrid w:val="0"/>
          <w:color w:val="auto"/>
          <w:kern w:val="0"/>
          <w:szCs w:val="21"/>
          <w:highlight w:val="none"/>
        </w:rPr>
        <w:t xml:space="preserve"> 。</w:t>
      </w:r>
    </w:p>
    <w:p w14:paraId="2DC64069">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代理人无转委托权。</w:t>
      </w:r>
    </w:p>
    <w:p w14:paraId="36B11894">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6BB4D931">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56114A8D">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投  标  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255E44F3">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1C5A3FD3">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49B8A0F4">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69A73393">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36316A00">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Cs w:val="21"/>
          <w:highlight w:val="none"/>
          <w:lang w:val="en-US" w:eastAsia="zh-CN"/>
        </w:rPr>
        <w:t xml:space="preserve">       </w:t>
      </w:r>
      <w:r>
        <w:rPr>
          <w:rFonts w:hint="eastAsia" w:ascii="宋体" w:hAnsi="宋体" w:eastAsia="宋体" w:cs="宋体"/>
          <w:snapToGrid w:val="0"/>
          <w:color w:val="auto"/>
          <w:kern w:val="0"/>
          <w:szCs w:val="21"/>
          <w:highlight w:val="none"/>
        </w:rPr>
        <w:t>委托代理人：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16DC21C6">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1FBEA013">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40EAFD4F">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54457C0A">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5045367D">
      <w:pPr>
        <w:wordWrap w:val="0"/>
        <w:adjustRightInd w:val="0"/>
        <w:snapToGrid w:val="0"/>
        <w:ind w:firstLine="6440" w:firstLineChars="23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8"/>
          <w:szCs w:val="28"/>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2202815"/>
                <wp:effectExtent l="4445" t="4445" r="5080" b="21590"/>
                <wp:wrapNone/>
                <wp:docPr id="20" name="自选图形 19"/>
                <wp:cNvGraphicFramePr/>
                <a:graphic xmlns:a="http://schemas.openxmlformats.org/drawingml/2006/main">
                  <a:graphicData uri="http://schemas.microsoft.com/office/word/2010/wordprocessingShape">
                    <wps:wsp>
                      <wps:cNvSpPr/>
                      <wps:spPr>
                        <a:xfrm>
                          <a:off x="0" y="0"/>
                          <a:ext cx="3190875" cy="22028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B94B07E">
                            <w:pPr>
                              <w:jc w:val="both"/>
                              <w:rPr>
                                <w:rFonts w:hint="eastAsia"/>
                                <w:szCs w:val="21"/>
                              </w:rPr>
                            </w:pPr>
                          </w:p>
                          <w:p w14:paraId="734E4B05">
                            <w:pPr>
                              <w:jc w:val="center"/>
                              <w:rPr>
                                <w:szCs w:val="21"/>
                              </w:rPr>
                            </w:pPr>
                            <w:r>
                              <w:rPr>
                                <w:rFonts w:hint="eastAsia"/>
                                <w:szCs w:val="21"/>
                              </w:rPr>
                              <w:t>委托代理人身份证</w:t>
                            </w:r>
                            <w:r>
                              <w:rPr>
                                <w:rFonts w:hint="eastAsia"/>
                                <w:szCs w:val="21"/>
                                <w:lang w:val="en-US" w:eastAsia="zh-CN"/>
                              </w:rPr>
                              <w:t>彩色扫描件</w:t>
                            </w:r>
                            <w:r>
                              <w:rPr>
                                <w:rFonts w:hint="eastAsia"/>
                                <w:szCs w:val="21"/>
                              </w:rPr>
                              <w:t>正、反面</w:t>
                            </w:r>
                          </w:p>
                        </w:txbxContent>
                      </wps:txbx>
                      <wps:bodyPr wrap="square" upright="1"/>
                    </wps:wsp>
                  </a:graphicData>
                </a:graphic>
              </wp:anchor>
            </w:drawing>
          </mc:Choice>
          <mc:Fallback>
            <w:pict>
              <v:shape id="自选图形 19" o:spid="_x0000_s1026" o:spt="176" type="#_x0000_t176" style="position:absolute;left:0pt;margin-left:115.5pt;margin-top:2.6pt;height:173.45pt;width:251.25pt;z-index:251661312;mso-width-relative:page;mso-height-relative:page;" fillcolor="#FFFFFF" filled="t" stroked="t" coordsize="21600,21600" o:gfxdata="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dUEotgAAAAJAQAADwAAAAAAAAABACAAAAAiAAAAZHJzL2Rvd25yZXYueG1sUEsBAhQAFAAAAAgA&#10;h07iQCOOAcwlAgAAVQQAAA4AAAAAAAAAAQAgAAAAJwEAAGRycy9lMm9Eb2MueG1sUEsFBgAAAAAG&#10;AAYAWQEAAL4FAAAAAA==&#10;">
                <v:fill on="t" focussize="0,0"/>
                <v:stroke color="#000000" joinstyle="miter"/>
                <v:imagedata o:title=""/>
                <o:lock v:ext="edit" aspectratio="f"/>
                <v:textbox>
                  <w:txbxContent>
                    <w:p w14:paraId="7B94B07E">
                      <w:pPr>
                        <w:jc w:val="both"/>
                        <w:rPr>
                          <w:rFonts w:hint="eastAsia"/>
                          <w:szCs w:val="21"/>
                        </w:rPr>
                      </w:pPr>
                    </w:p>
                    <w:p w14:paraId="734E4B05">
                      <w:pPr>
                        <w:jc w:val="center"/>
                        <w:rPr>
                          <w:szCs w:val="21"/>
                        </w:rPr>
                      </w:pPr>
                      <w:r>
                        <w:rPr>
                          <w:rFonts w:hint="eastAsia"/>
                          <w:szCs w:val="21"/>
                        </w:rPr>
                        <w:t>委托代理人身份证</w:t>
                      </w:r>
                      <w:r>
                        <w:rPr>
                          <w:rFonts w:hint="eastAsia"/>
                          <w:szCs w:val="21"/>
                          <w:lang w:val="en-US" w:eastAsia="zh-CN"/>
                        </w:rPr>
                        <w:t>彩色扫描件</w:t>
                      </w:r>
                      <w:r>
                        <w:rPr>
                          <w:rFonts w:hint="eastAsia"/>
                          <w:szCs w:val="21"/>
                        </w:rPr>
                        <w:t>正、反面</w:t>
                      </w:r>
                    </w:p>
                  </w:txbxContent>
                </v:textbox>
              </v:shape>
            </w:pict>
          </mc:Fallback>
        </mc:AlternateContent>
      </w:r>
    </w:p>
    <w:p w14:paraId="146ED89D">
      <w:pPr>
        <w:pStyle w:val="11"/>
        <w:wordWrap w:val="0"/>
        <w:adjustRightInd w:val="0"/>
        <w:snapToGrid w:val="0"/>
        <w:rPr>
          <w:rFonts w:hint="eastAsia" w:ascii="宋体" w:hAnsi="宋体" w:eastAsia="宋体" w:cs="宋体"/>
          <w:snapToGrid w:val="0"/>
          <w:color w:val="auto"/>
          <w:kern w:val="0"/>
          <w:szCs w:val="24"/>
          <w:highlight w:val="none"/>
        </w:rPr>
      </w:pPr>
    </w:p>
    <w:p w14:paraId="13997643">
      <w:pPr>
        <w:pStyle w:val="4"/>
        <w:keepNext w:val="0"/>
        <w:keepLines w:val="0"/>
        <w:wordWrap w:val="0"/>
        <w:adjustRightInd w:val="0"/>
        <w:snapToGrid w:val="0"/>
        <w:rPr>
          <w:rFonts w:hint="eastAsia" w:ascii="宋体" w:hAnsi="宋体" w:eastAsia="宋体" w:cs="宋体"/>
          <w:snapToGrid w:val="0"/>
          <w:color w:val="auto"/>
          <w:kern w:val="0"/>
          <w:highlight w:val="none"/>
        </w:rPr>
      </w:pPr>
    </w:p>
    <w:p w14:paraId="05D406CA">
      <w:pPr>
        <w:pStyle w:val="5"/>
        <w:widowControl w:val="0"/>
        <w:wordWrap w:val="0"/>
        <w:adjustRightInd w:val="0"/>
        <w:snapToGrid w:val="0"/>
        <w:rPr>
          <w:rFonts w:hint="eastAsia" w:ascii="宋体" w:hAnsi="宋体" w:eastAsia="宋体" w:cs="宋体"/>
          <w:snapToGrid w:val="0"/>
          <w:color w:val="auto"/>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4CA478D1">
      <w:pPr>
        <w:pStyle w:val="4"/>
        <w:bidi w:val="0"/>
        <w:ind w:firstLine="964"/>
        <w:rPr>
          <w:rFonts w:hint="eastAsia" w:ascii="宋体" w:hAnsi="宋体" w:eastAsia="宋体" w:cs="宋体"/>
          <w:color w:val="auto"/>
        </w:rPr>
      </w:pPr>
      <w:bookmarkStart w:id="309" w:name="_Toc21377"/>
      <w:bookmarkStart w:id="310" w:name="_Toc26408"/>
      <w:r>
        <w:rPr>
          <w:rFonts w:hint="eastAsia" w:ascii="宋体" w:hAnsi="宋体" w:eastAsia="宋体" w:cs="宋体"/>
          <w:color w:val="auto"/>
        </w:rPr>
        <w:t>格式五 法定代表人身份证明</w:t>
      </w:r>
      <w:bookmarkEnd w:id="309"/>
      <w:bookmarkEnd w:id="310"/>
    </w:p>
    <w:p w14:paraId="128111AD">
      <w:pPr>
        <w:wordWrap w:val="0"/>
        <w:adjustRightInd w:val="0"/>
        <w:snapToGrid w:val="0"/>
        <w:spacing w:line="440" w:lineRule="exact"/>
        <w:outlineLvl w:val="2"/>
        <w:rPr>
          <w:rFonts w:hint="eastAsia" w:ascii="宋体" w:hAnsi="宋体" w:eastAsia="宋体" w:cs="宋体"/>
          <w:b/>
          <w:snapToGrid w:val="0"/>
          <w:color w:val="auto"/>
          <w:kern w:val="0"/>
          <w:highlight w:val="none"/>
        </w:rPr>
      </w:pPr>
    </w:p>
    <w:p w14:paraId="31B9C975">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法定代表人身份证明</w:t>
      </w:r>
    </w:p>
    <w:p w14:paraId="6BB54858">
      <w:pPr>
        <w:wordWrap w:val="0"/>
        <w:adjustRightInd w:val="0"/>
        <w:snapToGrid w:val="0"/>
        <w:spacing w:line="440" w:lineRule="exact"/>
        <w:rPr>
          <w:rFonts w:hint="eastAsia" w:ascii="宋体" w:hAnsi="宋体" w:eastAsia="宋体" w:cs="宋体"/>
          <w:snapToGrid w:val="0"/>
          <w:color w:val="auto"/>
          <w:kern w:val="0"/>
          <w:szCs w:val="21"/>
          <w:highlight w:val="none"/>
        </w:rPr>
      </w:pPr>
    </w:p>
    <w:p w14:paraId="59DE099D">
      <w:pPr>
        <w:wordWrap w:val="0"/>
        <w:adjustRightInd w:val="0"/>
        <w:snapToGrid w:val="0"/>
        <w:spacing w:line="440" w:lineRule="exact"/>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投标人名称：</w:t>
      </w:r>
      <w:r>
        <w:rPr>
          <w:rFonts w:hint="eastAsia" w:ascii="宋体" w:hAnsi="宋体" w:eastAsia="宋体" w:cs="宋体"/>
          <w:snapToGrid w:val="0"/>
          <w:color w:val="auto"/>
          <w:kern w:val="0"/>
          <w:szCs w:val="21"/>
          <w:highlight w:val="none"/>
          <w:u w:val="single"/>
        </w:rPr>
        <w:t xml:space="preserve">                  </w:t>
      </w:r>
    </w:p>
    <w:p w14:paraId="18EC02A4">
      <w:pPr>
        <w:wordWrap w:val="0"/>
        <w:adjustRightInd w:val="0"/>
        <w:snapToGrid w:val="0"/>
        <w:spacing w:line="440" w:lineRule="exact"/>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姓名：</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性别：</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年龄：</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职务：</w:t>
      </w:r>
      <w:r>
        <w:rPr>
          <w:rFonts w:hint="eastAsia" w:ascii="宋体" w:hAnsi="宋体" w:eastAsia="宋体" w:cs="宋体"/>
          <w:snapToGrid w:val="0"/>
          <w:color w:val="auto"/>
          <w:kern w:val="0"/>
          <w:szCs w:val="21"/>
          <w:highlight w:val="none"/>
          <w:u w:val="single"/>
        </w:rPr>
        <w:t xml:space="preserve">           </w:t>
      </w:r>
    </w:p>
    <w:p w14:paraId="2AE3013E">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w:t>
      </w:r>
    </w:p>
    <w:p w14:paraId="1905C333">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特此证明。</w:t>
      </w:r>
    </w:p>
    <w:p w14:paraId="33D73E87">
      <w:pPr>
        <w:wordWrap w:val="0"/>
        <w:adjustRightInd w:val="0"/>
        <w:snapToGrid w:val="0"/>
        <w:spacing w:line="440" w:lineRule="exact"/>
        <w:rPr>
          <w:rFonts w:hint="eastAsia" w:ascii="宋体" w:hAnsi="宋体" w:eastAsia="宋体" w:cs="宋体"/>
          <w:snapToGrid w:val="0"/>
          <w:color w:val="auto"/>
          <w:kern w:val="0"/>
          <w:szCs w:val="21"/>
          <w:highlight w:val="none"/>
        </w:rPr>
      </w:pPr>
    </w:p>
    <w:p w14:paraId="78B8D652">
      <w:pPr>
        <w:wordWrap w:val="0"/>
        <w:adjustRightInd w:val="0"/>
        <w:snapToGrid w:val="0"/>
        <w:spacing w:line="440" w:lineRule="exact"/>
        <w:rPr>
          <w:rFonts w:hint="eastAsia" w:ascii="宋体" w:hAnsi="宋体" w:eastAsia="宋体" w:cs="宋体"/>
          <w:snapToGrid w:val="0"/>
          <w:color w:val="auto"/>
          <w:kern w:val="0"/>
          <w:szCs w:val="21"/>
          <w:highlight w:val="none"/>
        </w:rPr>
      </w:pPr>
    </w:p>
    <w:p w14:paraId="3EB40026">
      <w:pPr>
        <w:wordWrap w:val="0"/>
        <w:adjustRightInd w:val="0"/>
        <w:snapToGrid w:val="0"/>
        <w:spacing w:line="440" w:lineRule="exact"/>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3A983D9B">
      <w:pPr>
        <w:wordWrap w:val="0"/>
        <w:adjustRightInd w:val="0"/>
        <w:snapToGrid w:val="0"/>
        <w:spacing w:line="440" w:lineRule="exact"/>
        <w:jc w:val="right"/>
        <w:rPr>
          <w:rFonts w:hint="eastAsia" w:ascii="宋体" w:hAnsi="宋体" w:eastAsia="宋体" w:cs="宋体"/>
          <w:snapToGrid w:val="0"/>
          <w:color w:val="auto"/>
          <w:kern w:val="0"/>
          <w:szCs w:val="21"/>
          <w:highlight w:val="none"/>
        </w:rPr>
      </w:pPr>
    </w:p>
    <w:p w14:paraId="56B50CF0">
      <w:pPr>
        <w:wordWrap w:val="0"/>
        <w:adjustRightInd w:val="0"/>
        <w:snapToGrid w:val="0"/>
        <w:spacing w:line="440" w:lineRule="exact"/>
        <w:jc w:val="right"/>
        <w:rPr>
          <w:rFonts w:hint="eastAsia" w:ascii="宋体" w:hAnsi="宋体" w:eastAsia="宋体" w:cs="宋体"/>
          <w:snapToGrid w:val="0"/>
          <w:color w:val="auto"/>
          <w:kern w:val="0"/>
          <w:szCs w:val="21"/>
          <w:highlight w:val="none"/>
        </w:rPr>
      </w:pPr>
    </w:p>
    <w:p w14:paraId="346061ED">
      <w:pPr>
        <w:wordWrap w:val="0"/>
        <w:adjustRightInd w:val="0"/>
        <w:snapToGrid w:val="0"/>
        <w:spacing w:line="440" w:lineRule="exact"/>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085EDE61">
      <w:pPr>
        <w:wordWrap w:val="0"/>
        <w:adjustRightInd w:val="0"/>
        <w:snapToGrid w:val="0"/>
        <w:spacing w:line="440" w:lineRule="exact"/>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0FE4AB79">
      <w:pPr>
        <w:wordWrap w:val="0"/>
        <w:adjustRightInd w:val="0"/>
        <w:snapToGrid w:val="0"/>
        <w:spacing w:line="440" w:lineRule="exact"/>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 xml:space="preserve">日       </w:t>
      </w:r>
    </w:p>
    <w:p w14:paraId="32092DA9">
      <w:pPr>
        <w:wordWrap w:val="0"/>
        <w:adjustRightInd w:val="0"/>
        <w:snapToGrid w:val="0"/>
        <w:spacing w:line="440" w:lineRule="exact"/>
        <w:ind w:firstLine="240" w:firstLineChars="1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3F52A745">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i/>
          <w:iCs/>
          <w:snapToGrid w:val="0"/>
          <w:color w:val="auto"/>
          <w:kern w:val="0"/>
          <w:szCs w:val="21"/>
          <w:highlight w:val="none"/>
        </w:rPr>
        <w:t xml:space="preserve"> </w:t>
      </w:r>
    </w:p>
    <w:p w14:paraId="615D270D">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p>
    <w:p w14:paraId="5B16402B">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p>
    <w:p w14:paraId="1597B753">
      <w:pPr>
        <w:wordWrap w:val="0"/>
        <w:adjustRightInd w:val="0"/>
        <w:snapToGrid w:val="0"/>
        <w:rPr>
          <w:rFonts w:hint="eastAsia" w:ascii="宋体" w:hAnsi="宋体" w:eastAsia="宋体" w:cs="宋体"/>
          <w:b/>
          <w:snapToGrid w:val="0"/>
          <w:color w:val="auto"/>
          <w:kern w:val="0"/>
          <w:szCs w:val="21"/>
          <w:highlight w:val="none"/>
        </w:rPr>
      </w:pPr>
      <w:r>
        <w:rPr>
          <w:rFonts w:hint="eastAsia" w:ascii="宋体" w:hAnsi="宋体" w:eastAsia="宋体" w:cs="宋体"/>
          <w:b/>
          <w:snapToGrid w:val="0"/>
          <w:color w:val="auto"/>
          <w:kern w:val="0"/>
          <w:szCs w:val="21"/>
          <w:highlight w:val="none"/>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3120390" cy="2336165"/>
                <wp:effectExtent l="4445" t="4445" r="18415" b="21590"/>
                <wp:wrapNone/>
                <wp:docPr id="19" name="自选图形 18"/>
                <wp:cNvGraphicFramePr/>
                <a:graphic xmlns:a="http://schemas.openxmlformats.org/drawingml/2006/main">
                  <a:graphicData uri="http://schemas.microsoft.com/office/word/2010/wordprocessingShape">
                    <wps:wsp>
                      <wps:cNvSpPr/>
                      <wps:spPr>
                        <a:xfrm>
                          <a:off x="0" y="0"/>
                          <a:ext cx="3120390" cy="233616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33CAFD">
                            <w:pPr>
                              <w:jc w:val="center"/>
                              <w:rPr>
                                <w:rFonts w:hint="eastAsia"/>
                                <w:szCs w:val="21"/>
                              </w:rPr>
                            </w:pPr>
                          </w:p>
                          <w:p w14:paraId="41B32FAC">
                            <w:pPr>
                              <w:jc w:val="center"/>
                              <w:rPr>
                                <w:szCs w:val="21"/>
                              </w:rPr>
                            </w:pPr>
                            <w:r>
                              <w:rPr>
                                <w:rFonts w:hint="eastAsia"/>
                                <w:szCs w:val="21"/>
                              </w:rPr>
                              <w:t>法定代表人身份证</w:t>
                            </w:r>
                            <w:r>
                              <w:rPr>
                                <w:rFonts w:hint="eastAsia"/>
                                <w:szCs w:val="21"/>
                                <w:lang w:val="en-US" w:eastAsia="zh-CN"/>
                              </w:rPr>
                              <w:t>彩色扫描件</w:t>
                            </w:r>
                            <w:r>
                              <w:rPr>
                                <w:rFonts w:hint="eastAsia"/>
                                <w:szCs w:val="21"/>
                              </w:rPr>
                              <w:t>正、反面</w:t>
                            </w:r>
                          </w:p>
                        </w:txbxContent>
                      </wps:txbx>
                      <wps:bodyPr wrap="square" upright="1"/>
                    </wps:wsp>
                  </a:graphicData>
                </a:graphic>
              </wp:anchor>
            </w:drawing>
          </mc:Choice>
          <mc:Fallback>
            <w:pict>
              <v:shape id="自选图形 18" o:spid="_x0000_s1026" o:spt="176" type="#_x0000_t176" style="position:absolute;left:0pt;margin-left:127.5pt;margin-top:1.6pt;height:183.95pt;width:245.7pt;z-index:251660288;mso-width-relative:page;mso-height-relative:page;" fillcolor="#FFFFFF" filled="t" stroked="t" coordsize="21600,21600" o:gfxdata="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yCSMrXAAAACQEAAA8AAAAAAAAAAQAgAAAAIgAAAGRycy9kb3ducmV2LnhtbFBLAQIUABQAAAAI&#10;AIdO4kCFFy0zJwIAAFUEAAAOAAAAAAAAAAEAIAAAACYBAABkcnMvZTJvRG9jLnhtbFBLBQYAAAAA&#10;BgAGAFkBAAC/BQAAAAA=&#10;">
                <v:fill on="t" focussize="0,0"/>
                <v:stroke color="#000000" joinstyle="miter"/>
                <v:imagedata o:title=""/>
                <o:lock v:ext="edit" aspectratio="f"/>
                <v:textbox>
                  <w:txbxContent>
                    <w:p w14:paraId="3B33CAFD">
                      <w:pPr>
                        <w:jc w:val="center"/>
                        <w:rPr>
                          <w:rFonts w:hint="eastAsia"/>
                          <w:szCs w:val="21"/>
                        </w:rPr>
                      </w:pPr>
                    </w:p>
                    <w:p w14:paraId="41B32FAC">
                      <w:pPr>
                        <w:jc w:val="center"/>
                        <w:rPr>
                          <w:szCs w:val="21"/>
                        </w:rPr>
                      </w:pPr>
                      <w:r>
                        <w:rPr>
                          <w:rFonts w:hint="eastAsia"/>
                          <w:szCs w:val="21"/>
                        </w:rPr>
                        <w:t>法定代表人身份证</w:t>
                      </w:r>
                      <w:r>
                        <w:rPr>
                          <w:rFonts w:hint="eastAsia"/>
                          <w:szCs w:val="21"/>
                          <w:lang w:val="en-US" w:eastAsia="zh-CN"/>
                        </w:rPr>
                        <w:t>彩色扫描件</w:t>
                      </w:r>
                      <w:r>
                        <w:rPr>
                          <w:rFonts w:hint="eastAsia"/>
                          <w:szCs w:val="21"/>
                        </w:rPr>
                        <w:t>正、反面</w:t>
                      </w:r>
                    </w:p>
                  </w:txbxContent>
                </v:textbox>
              </v:shape>
            </w:pict>
          </mc:Fallback>
        </mc:AlternateContent>
      </w:r>
    </w:p>
    <w:p w14:paraId="22494FB9">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宋体" w:hAnsi="宋体" w:eastAsia="宋体" w:cs="宋体"/>
          <w:snapToGrid w:val="0"/>
          <w:color w:val="auto"/>
          <w:kern w:val="0"/>
          <w:sz w:val="28"/>
          <w:szCs w:val="28"/>
          <w:highlight w:val="none"/>
        </w:rPr>
      </w:pPr>
    </w:p>
    <w:p w14:paraId="62C6C69A">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pPr>
    </w:p>
    <w:p w14:paraId="68360507">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pPr>
    </w:p>
    <w:p w14:paraId="76CD6A02">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2829A00C">
      <w:pPr>
        <w:pStyle w:val="4"/>
        <w:bidi w:val="0"/>
        <w:ind w:firstLine="964"/>
        <w:rPr>
          <w:rFonts w:hint="eastAsia" w:ascii="宋体" w:hAnsi="宋体" w:eastAsia="宋体" w:cs="宋体"/>
          <w:color w:val="auto"/>
        </w:rPr>
      </w:pPr>
      <w:bookmarkStart w:id="311" w:name="_Toc191"/>
      <w:r>
        <w:rPr>
          <w:rFonts w:hint="eastAsia" w:ascii="宋体" w:hAnsi="宋体" w:eastAsia="宋体" w:cs="宋体"/>
          <w:color w:val="auto"/>
        </w:rPr>
        <w:t>格式六 联合体协议书</w:t>
      </w:r>
      <w:bookmarkEnd w:id="311"/>
    </w:p>
    <w:p w14:paraId="5D306B4F">
      <w:pPr>
        <w:pStyle w:val="74"/>
        <w:widowControl w:val="0"/>
        <w:wordWrap w:val="0"/>
        <w:adjustRightInd w:val="0"/>
        <w:snapToGrid w:val="0"/>
        <w:spacing w:line="440" w:lineRule="exact"/>
        <w:ind w:firstLine="0"/>
        <w:rPr>
          <w:rFonts w:hint="eastAsia" w:ascii="宋体" w:hAnsi="宋体" w:eastAsia="宋体" w:cs="宋体"/>
          <w:b/>
          <w:bCs/>
          <w:snapToGrid w:val="0"/>
          <w:color w:val="auto"/>
          <w:sz w:val="24"/>
          <w:szCs w:val="24"/>
          <w:highlight w:val="none"/>
        </w:rPr>
      </w:pPr>
    </w:p>
    <w:p w14:paraId="5E87777E">
      <w:pPr>
        <w:pStyle w:val="74"/>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1"/>
          <w:highlight w:val="none"/>
        </w:rPr>
      </w:pPr>
      <w:r>
        <w:rPr>
          <w:rFonts w:hint="eastAsia" w:ascii="宋体" w:hAnsi="宋体" w:eastAsia="宋体" w:cs="宋体"/>
          <w:b/>
          <w:snapToGrid w:val="0"/>
          <w:color w:val="auto"/>
          <w:sz w:val="30"/>
          <w:highlight w:val="none"/>
        </w:rPr>
        <w:t>联合体协议书</w:t>
      </w:r>
    </w:p>
    <w:p w14:paraId="69F636C0">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0BCACDBF">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p>
    <w:p w14:paraId="1D3E9AB9">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319DF58B">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064EC425">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5E1A040C">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val="en-US" w:eastAsia="zh-CN"/>
        </w:rPr>
        <w:t>二</w:t>
      </w:r>
      <w:r>
        <w:rPr>
          <w:rFonts w:hint="eastAsia" w:ascii="宋体" w:hAnsi="宋体" w:eastAsia="宋体" w:cs="宋体"/>
          <w:snapToGrid w:val="0"/>
          <w:color w:val="auto"/>
          <w:sz w:val="24"/>
          <w:szCs w:val="24"/>
          <w:highlight w:val="none"/>
        </w:rPr>
        <w:t>名称：</w:t>
      </w:r>
      <w:r>
        <w:rPr>
          <w:rFonts w:hint="eastAsia" w:ascii="宋体" w:hAnsi="宋体" w:eastAsia="宋体" w:cs="宋体"/>
          <w:snapToGrid w:val="0"/>
          <w:color w:val="auto"/>
          <w:sz w:val="24"/>
          <w:szCs w:val="24"/>
          <w:highlight w:val="none"/>
          <w:u w:val="single"/>
        </w:rPr>
        <w:t xml:space="preserve">                                                  </w:t>
      </w:r>
    </w:p>
    <w:p w14:paraId="4DCF143E">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4ACB16D7">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31305BBC">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14:paraId="1760019B">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（项目名称）（以下简称“本项目”）的施工投标并争取赢得本项目施工承包合同（以下简称合同）。现就联合体投标事宜订立如下协议：</w:t>
      </w:r>
    </w:p>
    <w:p w14:paraId="189A3C00">
      <w:pPr>
        <w:pStyle w:val="74"/>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1．</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（某成员单位名称）为联合体牵头人。</w:t>
      </w:r>
    </w:p>
    <w:p w14:paraId="34B528C9">
      <w:pPr>
        <w:pStyle w:val="74"/>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1D5D3570">
      <w:pPr>
        <w:pStyle w:val="74"/>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20A9AE58">
      <w:pPr>
        <w:pStyle w:val="74"/>
        <w:widowControl w:val="0"/>
        <w:wordWrap w:val="0"/>
        <w:adjustRightInd w:val="0"/>
        <w:snapToGrid w:val="0"/>
        <w:spacing w:line="440" w:lineRule="exact"/>
        <w:ind w:firstLine="48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4．联合体各成员单位内部的职责分工如下：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p w14:paraId="604386BC">
      <w:pPr>
        <w:pStyle w:val="74"/>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5．投标工作和联合体在中标后工程实施过程中的有关费用按各自承担的工作量分摊。</w:t>
      </w:r>
    </w:p>
    <w:p w14:paraId="3DCA25F8">
      <w:pPr>
        <w:pStyle w:val="74"/>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6．联合体中标后，本联合体协议是合同的附件，对联合体各成员单位有合同约束力。</w:t>
      </w:r>
    </w:p>
    <w:p w14:paraId="126F1908">
      <w:pPr>
        <w:pStyle w:val="74"/>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7．本协议书自签署之日起生效，联合体未中标或者中标时合同履行完毕后自动失效。</w:t>
      </w:r>
    </w:p>
    <w:p w14:paraId="434EFC00">
      <w:pPr>
        <w:pStyle w:val="74"/>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8．本协议书一式</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份，联合体成员和招标人各执一份。</w:t>
      </w:r>
    </w:p>
    <w:p w14:paraId="50AF13E6">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5DAF77B3">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038C141A">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1B309A60">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71CFD60E">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371FB67E">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0C71F078">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2AD1012C">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4F3A070A">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3C42CEDC">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594D54B9">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5E8DBD40">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w:t>
      </w:r>
      <w:r>
        <w:rPr>
          <w:rFonts w:hint="eastAsia" w:ascii="宋体" w:hAnsi="宋体" w:eastAsia="宋体" w:cs="宋体"/>
          <w:snapToGrid w:val="0"/>
          <w:color w:val="auto"/>
          <w:sz w:val="24"/>
          <w:szCs w:val="24"/>
          <w:highlight w:val="none"/>
          <w:lang w:val="en-US" w:eastAsia="zh-CN"/>
        </w:rPr>
        <w:t>二</w:t>
      </w:r>
      <w:r>
        <w:rPr>
          <w:rFonts w:hint="eastAsia" w:ascii="宋体" w:hAnsi="宋体" w:eastAsia="宋体" w:cs="宋体"/>
          <w:snapToGrid w:val="0"/>
          <w:color w:val="auto"/>
          <w:sz w:val="24"/>
          <w:szCs w:val="24"/>
          <w:highlight w:val="none"/>
        </w:rPr>
        <w:t>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07549BB1">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790189EB">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1987C139">
      <w:pPr>
        <w:pStyle w:val="74"/>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18AC942D">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6D26417F">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061D6DDA">
      <w:pPr>
        <w:pStyle w:val="74"/>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77E09E97">
      <w:pPr>
        <w:pStyle w:val="74"/>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p>
    <w:p w14:paraId="1D8D5FB5">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1"/>
          <w:szCs w:val="21"/>
          <w:highlight w:val="none"/>
        </w:rPr>
        <w:t>说明：《联合体协议书》由委托代理人签字或盖章的，应附法定代表人签字或盖章的授权委托书。</w:t>
      </w:r>
    </w:p>
    <w:p w14:paraId="0C53638E">
      <w:pPr>
        <w:pStyle w:val="74"/>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5B676C02">
      <w:pPr>
        <w:pStyle w:val="4"/>
        <w:bidi w:val="0"/>
        <w:ind w:firstLine="964"/>
        <w:rPr>
          <w:rFonts w:hint="eastAsia" w:ascii="宋体" w:hAnsi="宋体" w:eastAsia="宋体" w:cs="宋体"/>
          <w:color w:val="auto"/>
        </w:rPr>
      </w:pPr>
      <w:bookmarkStart w:id="312" w:name="_Toc15143"/>
      <w:bookmarkStart w:id="313" w:name="_Toc4289"/>
      <w:r>
        <w:rPr>
          <w:rFonts w:hint="eastAsia" w:ascii="宋体" w:hAnsi="宋体" w:eastAsia="宋体" w:cs="宋体"/>
          <w:color w:val="auto"/>
        </w:rPr>
        <w:t>格式七 投标人基本情况表</w:t>
      </w:r>
      <w:bookmarkEnd w:id="312"/>
      <w:bookmarkEnd w:id="313"/>
    </w:p>
    <w:p w14:paraId="02920C33">
      <w:pPr>
        <w:pStyle w:val="74"/>
        <w:widowControl w:val="0"/>
        <w:wordWrap w:val="0"/>
        <w:adjustRightInd w:val="0"/>
        <w:snapToGrid w:val="0"/>
        <w:spacing w:before="260" w:after="260" w:line="400" w:lineRule="exact"/>
        <w:ind w:firstLine="0"/>
        <w:jc w:val="center"/>
        <w:rPr>
          <w:rFonts w:hint="eastAsia"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30"/>
        <w:tblW w:w="9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9"/>
        <w:gridCol w:w="1236"/>
        <w:gridCol w:w="1350"/>
        <w:gridCol w:w="803"/>
        <w:gridCol w:w="457"/>
        <w:gridCol w:w="789"/>
        <w:gridCol w:w="260"/>
        <w:gridCol w:w="709"/>
        <w:gridCol w:w="1890"/>
      </w:tblGrid>
      <w:tr w14:paraId="7BAD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5FCBF126">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投标人名称</w:t>
            </w:r>
          </w:p>
        </w:tc>
        <w:tc>
          <w:tcPr>
            <w:tcW w:w="7494" w:type="dxa"/>
            <w:gridSpan w:val="8"/>
            <w:noWrap w:val="0"/>
            <w:vAlign w:val="center"/>
          </w:tcPr>
          <w:p w14:paraId="1141AE83">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6AD8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2BD74181">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注册地址</w:t>
            </w:r>
          </w:p>
        </w:tc>
        <w:tc>
          <w:tcPr>
            <w:tcW w:w="3389" w:type="dxa"/>
            <w:gridSpan w:val="3"/>
            <w:noWrap w:val="0"/>
            <w:vAlign w:val="center"/>
          </w:tcPr>
          <w:p w14:paraId="7A466E18">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46" w:type="dxa"/>
            <w:gridSpan w:val="2"/>
            <w:noWrap w:val="0"/>
            <w:vAlign w:val="center"/>
          </w:tcPr>
          <w:p w14:paraId="60A6D937">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邮政编码</w:t>
            </w:r>
          </w:p>
        </w:tc>
        <w:tc>
          <w:tcPr>
            <w:tcW w:w="2859" w:type="dxa"/>
            <w:gridSpan w:val="3"/>
            <w:noWrap w:val="0"/>
            <w:vAlign w:val="center"/>
          </w:tcPr>
          <w:p w14:paraId="14BCFEED">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05A9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vMerge w:val="restart"/>
            <w:noWrap w:val="0"/>
            <w:vAlign w:val="center"/>
          </w:tcPr>
          <w:p w14:paraId="4493069D">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联系方式</w:t>
            </w:r>
          </w:p>
        </w:tc>
        <w:tc>
          <w:tcPr>
            <w:tcW w:w="1236" w:type="dxa"/>
            <w:noWrap w:val="0"/>
            <w:vAlign w:val="center"/>
          </w:tcPr>
          <w:p w14:paraId="1FFDA03A">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w:t>
            </w:r>
          </w:p>
        </w:tc>
        <w:tc>
          <w:tcPr>
            <w:tcW w:w="2153" w:type="dxa"/>
            <w:gridSpan w:val="2"/>
            <w:noWrap w:val="0"/>
            <w:vAlign w:val="center"/>
          </w:tcPr>
          <w:p w14:paraId="21D5388A">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46" w:type="dxa"/>
            <w:gridSpan w:val="2"/>
            <w:noWrap w:val="0"/>
            <w:vAlign w:val="center"/>
          </w:tcPr>
          <w:p w14:paraId="0477B6CA">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电  话</w:t>
            </w:r>
          </w:p>
        </w:tc>
        <w:tc>
          <w:tcPr>
            <w:tcW w:w="2859" w:type="dxa"/>
            <w:gridSpan w:val="3"/>
            <w:noWrap w:val="0"/>
            <w:vAlign w:val="center"/>
          </w:tcPr>
          <w:p w14:paraId="66E713B9">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412E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vMerge w:val="continue"/>
            <w:noWrap w:val="0"/>
            <w:vAlign w:val="center"/>
          </w:tcPr>
          <w:p w14:paraId="1F2CA452">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36" w:type="dxa"/>
            <w:noWrap w:val="0"/>
            <w:vAlign w:val="center"/>
          </w:tcPr>
          <w:p w14:paraId="19BD0998">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传  真</w:t>
            </w:r>
          </w:p>
        </w:tc>
        <w:tc>
          <w:tcPr>
            <w:tcW w:w="2153" w:type="dxa"/>
            <w:gridSpan w:val="2"/>
            <w:noWrap w:val="0"/>
            <w:vAlign w:val="center"/>
          </w:tcPr>
          <w:p w14:paraId="4F089F0C">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46" w:type="dxa"/>
            <w:gridSpan w:val="2"/>
            <w:noWrap w:val="0"/>
            <w:vAlign w:val="center"/>
          </w:tcPr>
          <w:p w14:paraId="3D535E67">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电子邮箱</w:t>
            </w:r>
          </w:p>
        </w:tc>
        <w:tc>
          <w:tcPr>
            <w:tcW w:w="2859" w:type="dxa"/>
            <w:gridSpan w:val="3"/>
            <w:noWrap w:val="0"/>
            <w:vAlign w:val="center"/>
          </w:tcPr>
          <w:p w14:paraId="7050CDAC">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6090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094BD079">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单位性质</w:t>
            </w:r>
          </w:p>
        </w:tc>
        <w:tc>
          <w:tcPr>
            <w:tcW w:w="7494" w:type="dxa"/>
            <w:gridSpan w:val="8"/>
            <w:noWrap w:val="0"/>
            <w:vAlign w:val="center"/>
          </w:tcPr>
          <w:p w14:paraId="766919B3">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7078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325AA326">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法定代表人</w:t>
            </w:r>
          </w:p>
        </w:tc>
        <w:tc>
          <w:tcPr>
            <w:tcW w:w="1236" w:type="dxa"/>
            <w:noWrap w:val="0"/>
            <w:vAlign w:val="center"/>
          </w:tcPr>
          <w:p w14:paraId="69E198DD">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姓名</w:t>
            </w:r>
          </w:p>
        </w:tc>
        <w:tc>
          <w:tcPr>
            <w:tcW w:w="1350" w:type="dxa"/>
            <w:noWrap w:val="0"/>
            <w:vAlign w:val="center"/>
          </w:tcPr>
          <w:p w14:paraId="4EB20802">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noWrap w:val="0"/>
            <w:vAlign w:val="center"/>
          </w:tcPr>
          <w:p w14:paraId="0D707791">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技术职称</w:t>
            </w:r>
          </w:p>
        </w:tc>
        <w:tc>
          <w:tcPr>
            <w:tcW w:w="1049" w:type="dxa"/>
            <w:gridSpan w:val="2"/>
            <w:noWrap w:val="0"/>
            <w:vAlign w:val="center"/>
          </w:tcPr>
          <w:p w14:paraId="140ECDC1">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709" w:type="dxa"/>
            <w:noWrap w:val="0"/>
            <w:vAlign w:val="center"/>
          </w:tcPr>
          <w:p w14:paraId="1551EDE7">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电话</w:t>
            </w:r>
          </w:p>
        </w:tc>
        <w:tc>
          <w:tcPr>
            <w:tcW w:w="1890" w:type="dxa"/>
            <w:noWrap w:val="0"/>
            <w:vAlign w:val="center"/>
          </w:tcPr>
          <w:p w14:paraId="0D667B51">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0FF1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3F85FB91">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成立时间</w:t>
            </w:r>
          </w:p>
        </w:tc>
        <w:tc>
          <w:tcPr>
            <w:tcW w:w="2586" w:type="dxa"/>
            <w:gridSpan w:val="2"/>
            <w:noWrap w:val="0"/>
            <w:vAlign w:val="center"/>
          </w:tcPr>
          <w:p w14:paraId="30C36794">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4908" w:type="dxa"/>
            <w:gridSpan w:val="6"/>
            <w:noWrap w:val="0"/>
            <w:vAlign w:val="center"/>
          </w:tcPr>
          <w:p w14:paraId="26E3444A">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员工总人数（个）：</w:t>
            </w:r>
          </w:p>
        </w:tc>
      </w:tr>
      <w:tr w14:paraId="239B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09221102">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企业资质</w:t>
            </w:r>
          </w:p>
          <w:p w14:paraId="074E5BA2">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类型和等级</w:t>
            </w:r>
          </w:p>
        </w:tc>
        <w:tc>
          <w:tcPr>
            <w:tcW w:w="2586" w:type="dxa"/>
            <w:gridSpan w:val="2"/>
            <w:noWrap w:val="0"/>
            <w:vAlign w:val="center"/>
          </w:tcPr>
          <w:p w14:paraId="15D4B1AF">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restart"/>
            <w:noWrap w:val="0"/>
            <w:vAlign w:val="center"/>
          </w:tcPr>
          <w:p w14:paraId="53AEAEE4">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其中</w:t>
            </w:r>
          </w:p>
        </w:tc>
        <w:tc>
          <w:tcPr>
            <w:tcW w:w="1758" w:type="dxa"/>
            <w:gridSpan w:val="3"/>
            <w:noWrap w:val="0"/>
            <w:vAlign w:val="center"/>
          </w:tcPr>
          <w:p w14:paraId="6657B11A">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w:t>
            </w:r>
          </w:p>
        </w:tc>
        <w:tc>
          <w:tcPr>
            <w:tcW w:w="1890" w:type="dxa"/>
            <w:noWrap w:val="0"/>
            <w:vAlign w:val="center"/>
          </w:tcPr>
          <w:p w14:paraId="2157CF26">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5749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2A882B96">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营业执照号</w:t>
            </w:r>
          </w:p>
        </w:tc>
        <w:tc>
          <w:tcPr>
            <w:tcW w:w="2586" w:type="dxa"/>
            <w:gridSpan w:val="2"/>
            <w:noWrap w:val="0"/>
            <w:vAlign w:val="center"/>
          </w:tcPr>
          <w:p w14:paraId="65D93120">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203CC3E6">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54ED8B2E">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高级职称人员</w:t>
            </w:r>
          </w:p>
        </w:tc>
        <w:tc>
          <w:tcPr>
            <w:tcW w:w="1890" w:type="dxa"/>
            <w:noWrap w:val="0"/>
            <w:vAlign w:val="center"/>
          </w:tcPr>
          <w:p w14:paraId="271B76F5">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6801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14042E10">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注册资金</w:t>
            </w:r>
          </w:p>
        </w:tc>
        <w:tc>
          <w:tcPr>
            <w:tcW w:w="2586" w:type="dxa"/>
            <w:gridSpan w:val="2"/>
            <w:noWrap w:val="0"/>
            <w:vAlign w:val="center"/>
          </w:tcPr>
          <w:p w14:paraId="53B9073C">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44EF65A1">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7DDEF8E0">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中级职称人员</w:t>
            </w:r>
          </w:p>
        </w:tc>
        <w:tc>
          <w:tcPr>
            <w:tcW w:w="1890" w:type="dxa"/>
            <w:noWrap w:val="0"/>
            <w:vAlign w:val="center"/>
          </w:tcPr>
          <w:p w14:paraId="10FC2EF1">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3D15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21EB1A41">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基本账户</w:t>
            </w:r>
          </w:p>
          <w:p w14:paraId="701DEF42">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开户银行</w:t>
            </w:r>
          </w:p>
        </w:tc>
        <w:tc>
          <w:tcPr>
            <w:tcW w:w="2586" w:type="dxa"/>
            <w:gridSpan w:val="2"/>
            <w:noWrap w:val="0"/>
            <w:vAlign w:val="center"/>
          </w:tcPr>
          <w:p w14:paraId="066A1826">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082FAF1D">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6E0AB430">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初级职称人员</w:t>
            </w:r>
          </w:p>
        </w:tc>
        <w:tc>
          <w:tcPr>
            <w:tcW w:w="1890" w:type="dxa"/>
            <w:noWrap w:val="0"/>
            <w:vAlign w:val="center"/>
          </w:tcPr>
          <w:p w14:paraId="22232309">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1AEB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4140EC42">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基本账户</w:t>
            </w:r>
          </w:p>
          <w:p w14:paraId="46413F0D">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银行账号</w:t>
            </w:r>
          </w:p>
        </w:tc>
        <w:tc>
          <w:tcPr>
            <w:tcW w:w="2586" w:type="dxa"/>
            <w:gridSpan w:val="2"/>
            <w:noWrap w:val="0"/>
            <w:vAlign w:val="center"/>
          </w:tcPr>
          <w:p w14:paraId="138DE8BA">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415BC6A8">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18B84979">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技术员</w:t>
            </w:r>
          </w:p>
        </w:tc>
        <w:tc>
          <w:tcPr>
            <w:tcW w:w="1890" w:type="dxa"/>
            <w:noWrap w:val="0"/>
            <w:vAlign w:val="center"/>
          </w:tcPr>
          <w:p w14:paraId="08658855">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2E38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548077D9">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经营范围</w:t>
            </w:r>
          </w:p>
        </w:tc>
        <w:tc>
          <w:tcPr>
            <w:tcW w:w="7494" w:type="dxa"/>
            <w:gridSpan w:val="8"/>
            <w:noWrap w:val="0"/>
            <w:vAlign w:val="center"/>
          </w:tcPr>
          <w:p w14:paraId="1DEAE451">
            <w:pPr>
              <w:pStyle w:val="123"/>
              <w:wordWrap w:val="0"/>
              <w:adjustRightInd w:val="0"/>
              <w:snapToGrid w:val="0"/>
              <w:spacing w:line="360" w:lineRule="auto"/>
              <w:jc w:val="left"/>
              <w:rPr>
                <w:rFonts w:hint="eastAsia" w:ascii="宋体" w:hAnsi="宋体" w:eastAsia="宋体" w:cs="宋体"/>
                <w:snapToGrid w:val="0"/>
                <w:color w:val="auto"/>
                <w:kern w:val="0"/>
                <w:sz w:val="22"/>
                <w:szCs w:val="22"/>
                <w:highlight w:val="none"/>
              </w:rPr>
            </w:pPr>
          </w:p>
        </w:tc>
      </w:tr>
      <w:tr w14:paraId="4480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0BF9E39F">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关联企业情况</w:t>
            </w:r>
          </w:p>
        </w:tc>
        <w:tc>
          <w:tcPr>
            <w:tcW w:w="7494" w:type="dxa"/>
            <w:gridSpan w:val="8"/>
            <w:noWrap w:val="0"/>
            <w:vAlign w:val="center"/>
          </w:tcPr>
          <w:p w14:paraId="76970875">
            <w:pPr>
              <w:pStyle w:val="123"/>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包括但不限于与投标人存在以下关系的不同单位：</w:t>
            </w:r>
          </w:p>
          <w:p w14:paraId="4DFD7CE2">
            <w:pPr>
              <w:pStyle w:val="123"/>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1．法定代表人为同一人的。</w:t>
            </w:r>
          </w:p>
          <w:p w14:paraId="69B918B2">
            <w:pPr>
              <w:pStyle w:val="123"/>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2．存在控股、管理关系的。</w:t>
            </w:r>
          </w:p>
          <w:p w14:paraId="1CADA060">
            <w:pPr>
              <w:pStyle w:val="123"/>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3．主要人员相互任职的。</w:t>
            </w:r>
          </w:p>
        </w:tc>
      </w:tr>
      <w:tr w14:paraId="559A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7B1CA370">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备注</w:t>
            </w:r>
          </w:p>
        </w:tc>
        <w:tc>
          <w:tcPr>
            <w:tcW w:w="7494" w:type="dxa"/>
            <w:gridSpan w:val="8"/>
            <w:noWrap w:val="0"/>
            <w:vAlign w:val="center"/>
          </w:tcPr>
          <w:p w14:paraId="24CC1CC0">
            <w:pPr>
              <w:pStyle w:val="123"/>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bl>
    <w:p w14:paraId="4D454CB0">
      <w:pPr>
        <w:pStyle w:val="123"/>
        <w:wordWrap w:val="0"/>
        <w:adjustRightInd w:val="0"/>
        <w:snapToGrid w:val="0"/>
        <w:spacing w:line="400" w:lineRule="exact"/>
        <w:ind w:firstLine="440" w:firstLineChars="2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说明：</w:t>
      </w:r>
    </w:p>
    <w:p w14:paraId="18F6A04D">
      <w:pPr>
        <w:pStyle w:val="123"/>
        <w:wordWrap w:val="0"/>
        <w:adjustRightInd w:val="0"/>
        <w:snapToGrid w:val="0"/>
        <w:spacing w:line="400" w:lineRule="exact"/>
        <w:ind w:firstLine="440" w:firstLineChars="2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1．《投标人基本情况表》后应附以下资料：</w:t>
      </w:r>
    </w:p>
    <w:p w14:paraId="4AA9340D">
      <w:pPr>
        <w:pStyle w:val="123"/>
        <w:wordWrap w:val="0"/>
        <w:adjustRightInd w:val="0"/>
        <w:snapToGrid w:val="0"/>
        <w:spacing w:line="400" w:lineRule="exact"/>
        <w:ind w:firstLine="440" w:firstLineChars="200"/>
        <w:rPr>
          <w:rFonts w:hint="eastAsia" w:ascii="宋体" w:hAnsi="宋体" w:eastAsia="宋体" w:cs="宋体"/>
          <w:b/>
          <w:bCs/>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（1）企业营业执照、资质证书、安全生产许可证的（</w:t>
      </w:r>
      <w:r>
        <w:rPr>
          <w:rFonts w:hint="eastAsia" w:ascii="宋体" w:hAnsi="宋体" w:eastAsia="宋体" w:cs="宋体"/>
          <w:b/>
          <w:bCs/>
          <w:snapToGrid w:val="0"/>
          <w:color w:val="auto"/>
          <w:kern w:val="0"/>
          <w:sz w:val="22"/>
          <w:szCs w:val="22"/>
          <w:highlight w:val="none"/>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75BA6363">
      <w:pPr>
        <w:pStyle w:val="123"/>
        <w:wordWrap w:val="0"/>
        <w:adjustRightInd w:val="0"/>
        <w:snapToGrid w:val="0"/>
        <w:spacing w:line="400" w:lineRule="exact"/>
        <w:ind w:firstLine="440" w:firstLineChars="200"/>
        <w:rPr>
          <w:rFonts w:hint="eastAsia" w:ascii="宋体" w:hAnsi="宋体" w:eastAsia="宋体" w:cs="宋体"/>
          <w:snapToGrid w:val="0"/>
          <w:color w:val="auto"/>
          <w:kern w:val="0"/>
          <w:sz w:val="22"/>
          <w:szCs w:val="28"/>
          <w:highlight w:val="none"/>
        </w:rPr>
      </w:pPr>
      <w:r>
        <w:rPr>
          <w:rFonts w:hint="eastAsia" w:ascii="宋体" w:hAnsi="宋体" w:eastAsia="宋体" w:cs="宋体"/>
          <w:snapToGrid w:val="0"/>
          <w:color w:val="auto"/>
          <w:kern w:val="0"/>
          <w:sz w:val="22"/>
          <w:szCs w:val="22"/>
          <w:highlight w:val="none"/>
        </w:rPr>
        <w:t>（2）</w:t>
      </w:r>
      <w:r>
        <w:rPr>
          <w:rFonts w:hint="eastAsia" w:ascii="宋体" w:hAnsi="宋体" w:eastAsia="宋体" w:cs="宋体"/>
          <w:snapToGrid w:val="0"/>
          <w:color w:val="auto"/>
          <w:kern w:val="0"/>
          <w:sz w:val="22"/>
          <w:szCs w:val="28"/>
          <w:highlight w:val="none"/>
        </w:rPr>
        <w:t>“进粤企业和人员诚信信息登记平台”企业信息情况打印页。（适用于省外建筑企业）</w:t>
      </w:r>
    </w:p>
    <w:p w14:paraId="7565FFDA">
      <w:pPr>
        <w:pStyle w:val="123"/>
        <w:wordWrap w:val="0"/>
        <w:adjustRightInd w:val="0"/>
        <w:snapToGrid w:val="0"/>
        <w:spacing w:line="400" w:lineRule="exact"/>
        <w:ind w:firstLine="440" w:firstLineChars="200"/>
        <w:rPr>
          <w:rFonts w:hint="eastAsia" w:ascii="宋体" w:hAnsi="宋体" w:eastAsia="宋体" w:cs="宋体"/>
          <w:snapToGrid w:val="0"/>
          <w:color w:val="auto"/>
          <w:kern w:val="0"/>
          <w:sz w:val="22"/>
          <w:szCs w:val="28"/>
          <w:highlight w:val="none"/>
        </w:rPr>
      </w:pPr>
      <w:r>
        <w:rPr>
          <w:rFonts w:hint="eastAsia" w:ascii="宋体" w:hAnsi="宋体" w:eastAsia="宋体" w:cs="宋体"/>
          <w:snapToGrid w:val="0"/>
          <w:color w:val="auto"/>
          <w:kern w:val="0"/>
          <w:sz w:val="22"/>
          <w:szCs w:val="22"/>
          <w:highlight w:val="none"/>
        </w:rPr>
        <w:t>（3）</w:t>
      </w:r>
      <w:r>
        <w:rPr>
          <w:rFonts w:hint="eastAsia" w:ascii="宋体" w:hAnsi="宋体" w:eastAsia="宋体" w:cs="宋体"/>
          <w:snapToGrid w:val="0"/>
          <w:color w:val="auto"/>
          <w:kern w:val="0"/>
          <w:sz w:val="22"/>
          <w:szCs w:val="28"/>
          <w:highlight w:val="none"/>
        </w:rPr>
        <w:t>《法人和非法人组织公共信用信息报告》（在“信用中国”网站企业查询界面中下载）。</w:t>
      </w:r>
    </w:p>
    <w:p w14:paraId="179E3ACF">
      <w:pPr>
        <w:pStyle w:val="123"/>
        <w:wordWrap w:val="0"/>
        <w:adjustRightInd w:val="0"/>
        <w:snapToGrid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8"/>
          <w:highlight w:val="none"/>
        </w:rPr>
        <w:t xml:space="preserve">    </w:t>
      </w:r>
    </w:p>
    <w:p w14:paraId="603E6E0C">
      <w:pPr>
        <w:pStyle w:val="74"/>
        <w:widowControl w:val="0"/>
        <w:wordWrap w:val="0"/>
        <w:adjustRightInd w:val="0"/>
        <w:snapToGrid w:val="0"/>
        <w:spacing w:line="400" w:lineRule="exact"/>
        <w:jc w:val="center"/>
        <w:rPr>
          <w:rFonts w:hint="eastAsia" w:ascii="宋体" w:hAnsi="宋体" w:eastAsia="宋体" w:cs="宋体"/>
          <w:snapToGrid w:val="0"/>
          <w:color w:val="auto"/>
          <w:sz w:val="21"/>
          <w:szCs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bookmarkEnd w:id="285"/>
    <w:bookmarkEnd w:id="286"/>
    <w:p w14:paraId="257E92EE">
      <w:pPr>
        <w:pStyle w:val="4"/>
        <w:bidi w:val="0"/>
        <w:ind w:firstLine="964"/>
        <w:rPr>
          <w:rFonts w:hint="eastAsia" w:ascii="宋体" w:hAnsi="宋体" w:eastAsia="宋体" w:cs="宋体"/>
          <w:color w:val="auto"/>
        </w:rPr>
      </w:pPr>
      <w:bookmarkStart w:id="314" w:name="_Toc20248"/>
      <w:bookmarkStart w:id="315" w:name="_Toc27834"/>
      <w:bookmarkStart w:id="316" w:name="_Toc32402"/>
      <w:bookmarkStart w:id="317" w:name="_Toc10778"/>
      <w:r>
        <w:rPr>
          <w:rFonts w:hint="eastAsia" w:ascii="宋体" w:hAnsi="宋体" w:eastAsia="宋体" w:cs="宋体"/>
          <w:color w:val="auto"/>
        </w:rPr>
        <w:t>格式八 项目经理简历表</w:t>
      </w:r>
      <w:bookmarkEnd w:id="314"/>
      <w:bookmarkEnd w:id="315"/>
      <w:bookmarkEnd w:id="316"/>
      <w:bookmarkEnd w:id="317"/>
    </w:p>
    <w:p w14:paraId="3F50AE56">
      <w:pPr>
        <w:rPr>
          <w:rFonts w:hint="eastAsia" w:ascii="宋体" w:hAnsi="宋体" w:eastAsia="宋体" w:cs="宋体"/>
          <w:color w:val="auto"/>
          <w:highlight w:val="none"/>
        </w:rPr>
      </w:pPr>
    </w:p>
    <w:tbl>
      <w:tblPr>
        <w:tblStyle w:val="30"/>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D7FB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ADC183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1355C1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35D30C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299452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6D4C267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725064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44D11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BB0F11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2E4439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452FF3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06E43C5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4FD7D1F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6647D7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04CCC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1D750A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02BD292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2725EFE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AF0399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3928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3CD0CD4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以项目经理身份参与过的主要业绩（已完工项目）</w:t>
            </w:r>
          </w:p>
        </w:tc>
      </w:tr>
      <w:tr w14:paraId="0F6651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901B82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C662EE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37EC84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C93901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C36633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A15EF2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2E3811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FD6510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CA1E16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DFF5DA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D73B71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440F33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D75444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32C3C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C94BBA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8DC6C0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12949D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5C0660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C27E08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0E59BC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55DD1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31F5CF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E39C55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3E828E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61093A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EC981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27B30E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15258E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F54C1E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315F88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97CDA4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018A4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42E555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E38328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bl>
    <w:p w14:paraId="333CD819">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bookmarkStart w:id="318" w:name="_Toc21706"/>
      <w:bookmarkStart w:id="319" w:name="_Toc31554"/>
      <w:r>
        <w:rPr>
          <w:rFonts w:hint="eastAsia" w:ascii="宋体" w:hAnsi="宋体" w:eastAsia="宋体" w:cs="宋体"/>
          <w:b/>
          <w:snapToGrid w:val="0"/>
          <w:color w:val="auto"/>
          <w:kern w:val="0"/>
          <w:sz w:val="30"/>
          <w:highlight w:val="none"/>
        </w:rPr>
        <w:t>项目经理简历表</w:t>
      </w:r>
      <w:bookmarkEnd w:id="318"/>
      <w:bookmarkEnd w:id="319"/>
    </w:p>
    <w:p w14:paraId="70952DB3">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1A9BDCD5">
      <w:pPr>
        <w:pStyle w:val="62"/>
        <w:wordWrap w:val="0"/>
        <w:adjustRightInd w:val="0"/>
        <w:snapToGrid w:val="0"/>
        <w:spacing w:line="440" w:lineRule="exact"/>
        <w:jc w:val="right"/>
        <w:rPr>
          <w:rFonts w:hint="eastAsia" w:ascii="宋体" w:hAnsi="宋体" w:eastAsia="宋体" w:cs="宋体"/>
          <w:snapToGrid w:val="0"/>
          <w:color w:val="auto"/>
          <w:kern w:val="0"/>
          <w:highlight w:val="none"/>
        </w:rPr>
      </w:pPr>
    </w:p>
    <w:p w14:paraId="27299335">
      <w:pPr>
        <w:pStyle w:val="62"/>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项目经理：</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5E6483BB">
      <w:pPr>
        <w:pStyle w:val="62"/>
        <w:wordWrap w:val="0"/>
        <w:adjustRightInd w:val="0"/>
        <w:snapToGrid w:val="0"/>
        <w:spacing w:line="440" w:lineRule="exact"/>
        <w:jc w:val="right"/>
        <w:rPr>
          <w:rFonts w:hint="eastAsia" w:ascii="宋体" w:hAnsi="宋体" w:eastAsia="宋体" w:cs="宋体"/>
          <w:snapToGrid w:val="0"/>
          <w:color w:val="auto"/>
          <w:kern w:val="0"/>
          <w:highlight w:val="none"/>
        </w:rPr>
      </w:pPr>
    </w:p>
    <w:p w14:paraId="6A8A7244">
      <w:pPr>
        <w:pStyle w:val="62"/>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71B8F092">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44FCFD3F">
      <w:pPr>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说明：《项目经理简历表》后应附拟派项目经理以下资料：</w:t>
      </w:r>
    </w:p>
    <w:p w14:paraId="1AAE81FB">
      <w:pPr>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1．身份证</w:t>
      </w:r>
      <w:r>
        <w:rPr>
          <w:rFonts w:hint="eastAsia" w:ascii="宋体" w:hAnsi="宋体" w:eastAsia="宋体" w:cs="宋体"/>
          <w:snapToGrid w:val="0"/>
          <w:color w:val="auto"/>
          <w:kern w:val="0"/>
          <w:sz w:val="21"/>
          <w:szCs w:val="21"/>
          <w:highlight w:val="none"/>
          <w:lang w:eastAsia="zh-CN"/>
        </w:rPr>
        <w:t>彩色扫描件</w:t>
      </w:r>
      <w:r>
        <w:rPr>
          <w:rFonts w:hint="eastAsia" w:ascii="宋体" w:hAnsi="宋体" w:eastAsia="宋体" w:cs="宋体"/>
          <w:snapToGrid w:val="0"/>
          <w:color w:val="auto"/>
          <w:kern w:val="0"/>
          <w:sz w:val="21"/>
          <w:szCs w:val="21"/>
          <w:highlight w:val="none"/>
        </w:rPr>
        <w:t>；</w:t>
      </w:r>
    </w:p>
    <w:p w14:paraId="373EEC9B">
      <w:pPr>
        <w:wordWrap w:val="0"/>
        <w:adjustRightInd w:val="0"/>
        <w:snapToGrid w:val="0"/>
        <w:spacing w:line="360" w:lineRule="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 xml:space="preserve">    2．</w:t>
      </w:r>
      <w:r>
        <w:rPr>
          <w:rFonts w:hint="eastAsia" w:ascii="宋体" w:hAnsi="宋体" w:eastAsia="宋体" w:cs="宋体"/>
          <w:snapToGrid w:val="0"/>
          <w:color w:val="auto"/>
          <w:kern w:val="0"/>
          <w:sz w:val="21"/>
          <w:szCs w:val="21"/>
          <w:highlight w:val="none"/>
          <w:lang w:eastAsia="zh-CN"/>
        </w:rPr>
        <w:t>建造师电子注册证书（在使用有效期内的有效电子证书）彩色扫描件；</w:t>
      </w:r>
    </w:p>
    <w:p w14:paraId="6D389050">
      <w:pPr>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3．B类安全生产考核合格证书</w:t>
      </w:r>
      <w:r>
        <w:rPr>
          <w:rFonts w:hint="eastAsia" w:ascii="宋体" w:hAnsi="宋体" w:eastAsia="宋体" w:cs="宋体"/>
          <w:snapToGrid w:val="0"/>
          <w:color w:val="auto"/>
          <w:kern w:val="0"/>
          <w:sz w:val="21"/>
          <w:szCs w:val="21"/>
          <w:highlight w:val="none"/>
          <w:lang w:eastAsia="zh-CN"/>
        </w:rPr>
        <w:t>彩色扫描件</w:t>
      </w:r>
      <w:r>
        <w:rPr>
          <w:rFonts w:hint="eastAsia" w:ascii="宋体" w:hAnsi="宋体" w:eastAsia="宋体" w:cs="宋体"/>
          <w:snapToGrid w:val="0"/>
          <w:color w:val="auto"/>
          <w:kern w:val="0"/>
          <w:sz w:val="21"/>
          <w:szCs w:val="21"/>
          <w:highlight w:val="none"/>
        </w:rPr>
        <w:t>或广东省建筑施工企业管理人员安全生产考核系统考核合格信息打印页；</w:t>
      </w:r>
    </w:p>
    <w:p w14:paraId="24A1F9BC">
      <w:pPr>
        <w:snapToGrid w:val="0"/>
        <w:spacing w:line="360" w:lineRule="auto"/>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4．</w:t>
      </w:r>
      <w:r>
        <w:rPr>
          <w:rFonts w:hint="eastAsia" w:ascii="宋体" w:hAnsi="宋体" w:eastAsia="宋体" w:cs="宋体"/>
          <w:snapToGrid w:val="0"/>
          <w:color w:val="auto"/>
          <w:kern w:val="0"/>
          <w:sz w:val="21"/>
          <w:szCs w:val="21"/>
          <w:highlight w:val="none"/>
          <w:lang w:eastAsia="zh-CN"/>
        </w:rPr>
        <w:t>在本单位缴纳社保的证明（至少连续</w:t>
      </w:r>
      <w:r>
        <w:rPr>
          <w:rFonts w:hint="eastAsia" w:ascii="宋体" w:hAnsi="宋体" w:eastAsia="宋体" w:cs="宋体"/>
          <w:snapToGrid w:val="0"/>
          <w:color w:val="auto"/>
          <w:kern w:val="0"/>
          <w:sz w:val="21"/>
          <w:szCs w:val="21"/>
          <w:highlight w:val="none"/>
          <w:lang w:val="en-US" w:eastAsia="zh-CN"/>
        </w:rPr>
        <w:t>一</w:t>
      </w:r>
      <w:r>
        <w:rPr>
          <w:rFonts w:hint="eastAsia" w:ascii="宋体" w:hAnsi="宋体" w:eastAsia="宋体" w:cs="宋体"/>
          <w:snapToGrid w:val="0"/>
          <w:color w:val="auto"/>
          <w:kern w:val="0"/>
          <w:sz w:val="21"/>
          <w:szCs w:val="21"/>
          <w:highlight w:val="none"/>
          <w:lang w:eastAsia="zh-CN"/>
        </w:rPr>
        <w:t>个月，其中必须有202</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eastAsia="zh-CN"/>
        </w:rPr>
        <w:t>年</w:t>
      </w:r>
      <w:r>
        <w:rPr>
          <w:rFonts w:hint="eastAsia" w:hAnsi="宋体" w:cs="宋体"/>
          <w:snapToGrid w:val="0"/>
          <w:color w:val="auto"/>
          <w:kern w:val="0"/>
          <w:sz w:val="21"/>
          <w:szCs w:val="21"/>
          <w:highlight w:val="none"/>
          <w:lang w:val="en-US" w:eastAsia="zh-CN"/>
        </w:rPr>
        <w:t>11</w:t>
      </w:r>
      <w:r>
        <w:rPr>
          <w:rFonts w:hint="eastAsia" w:ascii="宋体" w:hAnsi="宋体" w:eastAsia="宋体" w:cs="宋体"/>
          <w:snapToGrid w:val="0"/>
          <w:color w:val="auto"/>
          <w:kern w:val="0"/>
          <w:sz w:val="21"/>
          <w:szCs w:val="21"/>
          <w:highlight w:val="none"/>
          <w:lang w:eastAsia="zh-CN"/>
        </w:rPr>
        <w:t>月）彩色扫描件。拟派项目经理为退休返聘人员无法提供社保证明的，提供退休证和劳动彩色扫描件；</w:t>
      </w:r>
    </w:p>
    <w:p w14:paraId="2D1A5D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eastAsia="zh-CN"/>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“进粤企业和人员诚信信息登记平台”个人信息情况截图。（适用于省外建筑企业）。</w:t>
      </w:r>
    </w:p>
    <w:p w14:paraId="5DEAF4E8">
      <w:pPr>
        <w:pStyle w:val="4"/>
        <w:bidi w:val="0"/>
        <w:ind w:firstLine="964"/>
        <w:rPr>
          <w:rFonts w:hint="eastAsia" w:ascii="宋体" w:hAnsi="宋体" w:eastAsia="宋体" w:cs="宋体"/>
          <w:color w:val="auto"/>
        </w:rPr>
      </w:pPr>
      <w:bookmarkStart w:id="320" w:name="_Toc21761"/>
      <w:bookmarkStart w:id="321" w:name="_Toc8211"/>
      <w:bookmarkStart w:id="322" w:name="_Toc2842"/>
      <w:bookmarkStart w:id="323" w:name="_Toc5290"/>
      <w:r>
        <w:rPr>
          <w:rFonts w:hint="eastAsia" w:ascii="宋体" w:hAnsi="宋体" w:eastAsia="宋体" w:cs="宋体"/>
          <w:color w:val="auto"/>
        </w:rPr>
        <w:t>格式九 项目经理任职声明</w:t>
      </w:r>
      <w:bookmarkEnd w:id="320"/>
      <w:bookmarkEnd w:id="321"/>
      <w:bookmarkEnd w:id="322"/>
      <w:bookmarkEnd w:id="323"/>
    </w:p>
    <w:p w14:paraId="14F0CE43">
      <w:pPr>
        <w:rPr>
          <w:rFonts w:hint="eastAsia" w:ascii="宋体" w:hAnsi="宋体" w:eastAsia="宋体" w:cs="宋体"/>
          <w:color w:val="auto"/>
          <w:highlight w:val="none"/>
        </w:rPr>
      </w:pPr>
    </w:p>
    <w:p w14:paraId="218D3A3A">
      <w:pPr>
        <w:wordWrap w:val="0"/>
        <w:adjustRightInd w:val="0"/>
        <w:snapToGrid w:val="0"/>
        <w:spacing w:before="260" w:after="260"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b/>
          <w:snapToGrid w:val="0"/>
          <w:color w:val="auto"/>
          <w:kern w:val="0"/>
          <w:sz w:val="30"/>
          <w:highlight w:val="none"/>
        </w:rPr>
        <w:t>项目经理任职声明</w:t>
      </w:r>
    </w:p>
    <w:p w14:paraId="45DC195A">
      <w:pPr>
        <w:wordWrap w:val="0"/>
        <w:adjustRightInd w:val="0"/>
        <w:snapToGrid w:val="0"/>
        <w:spacing w:line="440" w:lineRule="exact"/>
        <w:jc w:val="center"/>
        <w:rPr>
          <w:rFonts w:hint="eastAsia" w:ascii="宋体" w:hAnsi="宋体" w:eastAsia="宋体" w:cs="宋体"/>
          <w:snapToGrid w:val="0"/>
          <w:color w:val="auto"/>
          <w:kern w:val="0"/>
          <w:szCs w:val="28"/>
          <w:highlight w:val="none"/>
        </w:rPr>
      </w:pPr>
    </w:p>
    <w:p w14:paraId="62664D40">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（招标人名称）：</w:t>
      </w:r>
    </w:p>
    <w:p w14:paraId="647CE416">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我方在此声明，我方拟派往</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（项目名称）的项目经理</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（项目经理姓名）现阶段没有担任任何在施（包括已中标未开工、已开工未竣工）建设工程项目的项目经理。</w:t>
      </w:r>
    </w:p>
    <w:p w14:paraId="7FB173E1">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我方保证上述信息的真实和准确，并愿意承担因我方就此弄虚作假所引起的一切法律后果。</w:t>
      </w:r>
    </w:p>
    <w:p w14:paraId="237EEE33">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283E22E3">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特此承诺　　</w:t>
      </w:r>
    </w:p>
    <w:p w14:paraId="02BC082B">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4235C005">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4DC8890A">
      <w:pPr>
        <w:wordWrap w:val="0"/>
        <w:adjustRightInd w:val="0"/>
        <w:snapToGrid w:val="0"/>
        <w:spacing w:line="440" w:lineRule="exact"/>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投标人：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（盖单位章）</w:t>
      </w:r>
    </w:p>
    <w:p w14:paraId="6427A282">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1A24926C">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7729CED2">
      <w:pPr>
        <w:wordWrap w:val="0"/>
        <w:adjustRightInd w:val="0"/>
        <w:snapToGrid w:val="0"/>
        <w:spacing w:line="440" w:lineRule="exact"/>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法定代表人或其委托代理人：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（签字或盖章）</w:t>
      </w:r>
    </w:p>
    <w:p w14:paraId="0E109AC8">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08D12FAA">
      <w:pPr>
        <w:wordWrap w:val="0"/>
        <w:adjustRightInd w:val="0"/>
        <w:snapToGrid w:val="0"/>
        <w:spacing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月</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日</w:t>
      </w:r>
    </w:p>
    <w:p w14:paraId="6957D60E">
      <w:pPr>
        <w:wordWrap w:val="0"/>
        <w:adjustRightInd w:val="0"/>
        <w:snapToGrid w:val="0"/>
        <w:spacing w:line="440" w:lineRule="exact"/>
        <w:rPr>
          <w:rFonts w:hint="eastAsia" w:ascii="宋体" w:hAnsi="宋体" w:eastAsia="宋体" w:cs="宋体"/>
          <w:snapToGrid w:val="0"/>
          <w:color w:val="auto"/>
          <w:kern w:val="0"/>
          <w:szCs w:val="28"/>
          <w:highlight w:val="none"/>
        </w:rPr>
        <w:sectPr>
          <w:endnotePr>
            <w:numFmt w:val="decimal"/>
          </w:endnotePr>
          <w:pgSz w:w="11906" w:h="16838"/>
          <w:pgMar w:top="1134" w:right="1134" w:bottom="1134" w:left="1134" w:header="567" w:footer="567" w:gutter="0"/>
          <w:cols w:space="720" w:num="1"/>
          <w:docGrid w:linePitch="327" w:charSpace="0"/>
        </w:sectPr>
      </w:pPr>
    </w:p>
    <w:p w14:paraId="02E975E8">
      <w:pPr>
        <w:pStyle w:val="4"/>
        <w:bidi w:val="0"/>
        <w:ind w:firstLine="964"/>
        <w:rPr>
          <w:rFonts w:hint="eastAsia" w:ascii="宋体" w:hAnsi="宋体" w:eastAsia="宋体" w:cs="宋体"/>
          <w:color w:val="auto"/>
        </w:rPr>
      </w:pPr>
      <w:bookmarkStart w:id="324" w:name="_Toc12722"/>
      <w:bookmarkStart w:id="325" w:name="_Toc27257"/>
      <w:bookmarkStart w:id="326" w:name="_Toc24994"/>
      <w:bookmarkStart w:id="327" w:name="_Toc21420"/>
      <w:r>
        <w:rPr>
          <w:rFonts w:hint="eastAsia" w:ascii="宋体" w:hAnsi="宋体" w:eastAsia="宋体" w:cs="宋体"/>
          <w:color w:val="auto"/>
        </w:rPr>
        <w:t>格式十 项目技术负责人简历表</w:t>
      </w:r>
      <w:bookmarkEnd w:id="324"/>
      <w:bookmarkEnd w:id="325"/>
      <w:bookmarkEnd w:id="326"/>
      <w:bookmarkEnd w:id="327"/>
    </w:p>
    <w:p w14:paraId="259A65F5">
      <w:pPr>
        <w:rPr>
          <w:rFonts w:hint="eastAsia" w:ascii="宋体" w:hAnsi="宋体" w:eastAsia="宋体" w:cs="宋体"/>
          <w:color w:val="auto"/>
          <w:highlight w:val="none"/>
        </w:rPr>
      </w:pPr>
    </w:p>
    <w:tbl>
      <w:tblPr>
        <w:tblStyle w:val="30"/>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E9564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CC8480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29C5A1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55794C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91CA21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49DA6CB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E4991D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53B7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2F714B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C6B06E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F3F1F3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6A4DCD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B7AB78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C8CED6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8FFC6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9452DE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3404E89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22114A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E1FD37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34558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2DF790E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以项目技术负责人身份参与过的主要业绩（已完工项目）</w:t>
            </w:r>
          </w:p>
        </w:tc>
      </w:tr>
      <w:tr w14:paraId="093B5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D32455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8317C9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5F423D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FF149C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C5244D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C9F438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11C0C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799ABC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167B27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833AAF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DA5526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01B7DC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C89E82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6DD4C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B346A5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9B7DE3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A90E6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259A8D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0417FC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2E7E22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0D60E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4FB5BA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9506DD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13265C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93B426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17B81A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8ED268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BA3C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52AB46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30B9B6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E6D0D8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EDFD91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0DFC30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DC47E5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E9EF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8D4848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F10B4F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272A82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DD79C0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E1C898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A4B99F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bl>
    <w:p w14:paraId="0AD99FDB">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bookmarkStart w:id="328" w:name="_Toc12290"/>
      <w:bookmarkStart w:id="329" w:name="_Toc6237"/>
      <w:r>
        <w:rPr>
          <w:rFonts w:hint="eastAsia" w:ascii="宋体" w:hAnsi="宋体" w:eastAsia="宋体" w:cs="宋体"/>
          <w:b/>
          <w:snapToGrid w:val="0"/>
          <w:color w:val="auto"/>
          <w:kern w:val="0"/>
          <w:sz w:val="30"/>
          <w:highlight w:val="none"/>
        </w:rPr>
        <w:t>项目技术负责人简历表</w:t>
      </w:r>
      <w:bookmarkEnd w:id="328"/>
      <w:bookmarkEnd w:id="329"/>
    </w:p>
    <w:p w14:paraId="25012E6D">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12310E71">
      <w:pPr>
        <w:pStyle w:val="62"/>
        <w:wordWrap w:val="0"/>
        <w:adjustRightInd w:val="0"/>
        <w:snapToGrid w:val="0"/>
        <w:spacing w:line="440" w:lineRule="exact"/>
        <w:jc w:val="right"/>
        <w:rPr>
          <w:rFonts w:hint="eastAsia" w:ascii="宋体" w:hAnsi="宋体" w:eastAsia="宋体" w:cs="宋体"/>
          <w:snapToGrid w:val="0"/>
          <w:color w:val="auto"/>
          <w:kern w:val="0"/>
          <w:highlight w:val="none"/>
        </w:rPr>
      </w:pPr>
    </w:p>
    <w:p w14:paraId="55628FD1">
      <w:pPr>
        <w:pStyle w:val="62"/>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项目技术负责人：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545BDB91">
      <w:pPr>
        <w:pStyle w:val="62"/>
        <w:wordWrap w:val="0"/>
        <w:adjustRightInd w:val="0"/>
        <w:snapToGrid w:val="0"/>
        <w:spacing w:line="440" w:lineRule="exact"/>
        <w:jc w:val="right"/>
        <w:rPr>
          <w:rFonts w:hint="eastAsia" w:ascii="宋体" w:hAnsi="宋体" w:eastAsia="宋体" w:cs="宋体"/>
          <w:snapToGrid w:val="0"/>
          <w:color w:val="auto"/>
          <w:kern w:val="0"/>
          <w:highlight w:val="none"/>
        </w:rPr>
      </w:pPr>
    </w:p>
    <w:p w14:paraId="7C9DCDF0">
      <w:pPr>
        <w:pStyle w:val="62"/>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786517CA">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334B7C81">
      <w:pPr>
        <w:pStyle w:val="10"/>
        <w:rPr>
          <w:rFonts w:hint="eastAsia" w:ascii="宋体" w:hAnsi="宋体" w:eastAsia="宋体" w:cs="宋体"/>
          <w:snapToGrid w:val="0"/>
          <w:color w:val="auto"/>
          <w:kern w:val="0"/>
          <w:szCs w:val="28"/>
          <w:highlight w:val="none"/>
        </w:rPr>
      </w:pPr>
    </w:p>
    <w:p w14:paraId="15B12F41">
      <w:pPr>
        <w:rPr>
          <w:rFonts w:hint="eastAsia" w:ascii="宋体" w:hAnsi="宋体" w:eastAsia="宋体" w:cs="宋体"/>
          <w:color w:val="auto"/>
          <w:highlight w:val="none"/>
        </w:rPr>
      </w:pPr>
    </w:p>
    <w:p w14:paraId="6AD2B7D7">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bookmarkStart w:id="330" w:name="_Toc8264"/>
      <w:bookmarkStart w:id="331" w:name="_Toc200338098"/>
      <w:r>
        <w:rPr>
          <w:rFonts w:hint="eastAsia" w:ascii="宋体" w:hAnsi="宋体" w:eastAsia="宋体" w:cs="宋体"/>
          <w:snapToGrid w:val="0"/>
          <w:color w:val="auto"/>
          <w:kern w:val="0"/>
          <w:sz w:val="21"/>
          <w:szCs w:val="28"/>
          <w:highlight w:val="none"/>
        </w:rPr>
        <w:t>说明：《项目技术负责人简历表》后应附拟派项目技术负责人以下资料：</w:t>
      </w:r>
    </w:p>
    <w:p w14:paraId="01FCF52B">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8"/>
          <w:highlight w:val="none"/>
          <w:lang w:eastAsia="zh-CN"/>
        </w:rPr>
        <w:t>彩色扫描件</w:t>
      </w:r>
      <w:r>
        <w:rPr>
          <w:rFonts w:hint="eastAsia" w:ascii="宋体" w:hAnsi="宋体" w:eastAsia="宋体" w:cs="宋体"/>
          <w:snapToGrid w:val="0"/>
          <w:color w:val="auto"/>
          <w:kern w:val="0"/>
          <w:sz w:val="21"/>
          <w:szCs w:val="28"/>
          <w:highlight w:val="none"/>
        </w:rPr>
        <w:t>；</w:t>
      </w:r>
    </w:p>
    <w:p w14:paraId="6ADCBA34">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2．职称证</w:t>
      </w:r>
      <w:r>
        <w:rPr>
          <w:rFonts w:hint="eastAsia" w:ascii="宋体" w:hAnsi="宋体" w:eastAsia="宋体" w:cs="宋体"/>
          <w:snapToGrid w:val="0"/>
          <w:color w:val="auto"/>
          <w:kern w:val="0"/>
          <w:sz w:val="21"/>
          <w:szCs w:val="28"/>
          <w:highlight w:val="none"/>
          <w:lang w:eastAsia="zh-CN"/>
        </w:rPr>
        <w:t>彩色扫描件</w:t>
      </w:r>
      <w:r>
        <w:rPr>
          <w:rFonts w:hint="eastAsia" w:ascii="宋体" w:hAnsi="宋体" w:eastAsia="宋体" w:cs="宋体"/>
          <w:snapToGrid w:val="0"/>
          <w:color w:val="auto"/>
          <w:kern w:val="0"/>
          <w:sz w:val="21"/>
          <w:szCs w:val="28"/>
          <w:highlight w:val="none"/>
        </w:rPr>
        <w:t>；</w:t>
      </w:r>
    </w:p>
    <w:p w14:paraId="76CC3A0F">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3．在本单位缴纳社保的证明（</w:t>
      </w:r>
      <w:r>
        <w:rPr>
          <w:rFonts w:hint="eastAsia" w:ascii="宋体" w:hAnsi="宋体" w:eastAsia="宋体" w:cs="宋体"/>
          <w:snapToGrid w:val="0"/>
          <w:color w:val="auto"/>
          <w:kern w:val="0"/>
          <w:sz w:val="21"/>
          <w:szCs w:val="28"/>
          <w:highlight w:val="none"/>
          <w:lang w:eastAsia="zh-CN"/>
        </w:rPr>
        <w:t>至少连续</w:t>
      </w:r>
      <w:r>
        <w:rPr>
          <w:rFonts w:hint="eastAsia" w:ascii="宋体" w:hAnsi="宋体" w:eastAsia="宋体" w:cs="宋体"/>
          <w:snapToGrid w:val="0"/>
          <w:color w:val="auto"/>
          <w:kern w:val="0"/>
          <w:sz w:val="21"/>
          <w:szCs w:val="28"/>
          <w:highlight w:val="none"/>
          <w:lang w:val="en-US" w:eastAsia="zh-CN"/>
        </w:rPr>
        <w:t>一</w:t>
      </w:r>
      <w:r>
        <w:rPr>
          <w:rFonts w:hint="eastAsia" w:ascii="宋体" w:hAnsi="宋体" w:eastAsia="宋体" w:cs="宋体"/>
          <w:snapToGrid w:val="0"/>
          <w:color w:val="auto"/>
          <w:kern w:val="0"/>
          <w:sz w:val="21"/>
          <w:szCs w:val="28"/>
          <w:highlight w:val="none"/>
          <w:lang w:eastAsia="zh-CN"/>
        </w:rPr>
        <w:t>个月，其中必须有</w:t>
      </w:r>
      <w:r>
        <w:rPr>
          <w:rFonts w:hint="eastAsia" w:ascii="宋体" w:hAnsi="宋体" w:eastAsia="宋体" w:cs="宋体"/>
          <w:snapToGrid w:val="0"/>
          <w:color w:val="auto"/>
          <w:kern w:val="0"/>
          <w:sz w:val="21"/>
          <w:szCs w:val="21"/>
          <w:highlight w:val="none"/>
          <w:lang w:eastAsia="zh-CN"/>
        </w:rPr>
        <w:t>202</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eastAsia="zh-CN"/>
        </w:rPr>
        <w:t>年</w:t>
      </w:r>
      <w:r>
        <w:rPr>
          <w:rFonts w:hint="eastAsia" w:hAnsi="宋体" w:cs="宋体"/>
          <w:snapToGrid w:val="0"/>
          <w:color w:val="auto"/>
          <w:kern w:val="0"/>
          <w:sz w:val="21"/>
          <w:szCs w:val="21"/>
          <w:highlight w:val="none"/>
          <w:lang w:val="en-US" w:eastAsia="zh-CN"/>
        </w:rPr>
        <w:t>11</w:t>
      </w:r>
      <w:r>
        <w:rPr>
          <w:rFonts w:hint="eastAsia" w:ascii="宋体" w:hAnsi="宋体" w:eastAsia="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。拟派项目技术负责人为退休返聘人员无法提供社保证明的，提供退休证和劳动合同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67186CFC">
      <w:pPr>
        <w:ind w:firstLine="420" w:firstLineChars="200"/>
        <w:rPr>
          <w:rFonts w:hint="eastAsia" w:ascii="宋体" w:hAnsi="宋体" w:eastAsia="宋体" w:cs="宋体"/>
          <w:color w:val="auto"/>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“进粤企业和人员诚信信息登记平台”个人信息情况截图。（适用于省外建筑企业）。</w:t>
      </w:r>
    </w:p>
    <w:p w14:paraId="6B83A33B">
      <w:pPr>
        <w:pStyle w:val="4"/>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szCs w:val="22"/>
          <w:highlight w:val="none"/>
        </w:rPr>
      </w:pPr>
    </w:p>
    <w:p w14:paraId="43F37F8A">
      <w:pPr>
        <w:pStyle w:val="5"/>
        <w:rPr>
          <w:rFonts w:hint="eastAsia" w:ascii="宋体" w:hAnsi="宋体" w:eastAsia="宋体" w:cs="宋体"/>
          <w:color w:val="auto"/>
          <w:highlight w:val="none"/>
        </w:rPr>
      </w:pPr>
    </w:p>
    <w:p w14:paraId="48F7CA03">
      <w:pPr>
        <w:pStyle w:val="4"/>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szCs w:val="22"/>
          <w:highlight w:val="none"/>
        </w:rPr>
      </w:pPr>
      <w:bookmarkStart w:id="332" w:name="_Toc8834"/>
      <w:bookmarkStart w:id="333" w:name="_Toc9436"/>
      <w:bookmarkStart w:id="334" w:name="_Toc4344"/>
    </w:p>
    <w:p w14:paraId="59E9416E">
      <w:pPr>
        <w:pStyle w:val="4"/>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szCs w:val="22"/>
          <w:highlight w:val="none"/>
        </w:rPr>
        <w:sectPr>
          <w:endnotePr>
            <w:numFmt w:val="decimal"/>
          </w:endnotePr>
          <w:pgSz w:w="11906" w:h="16838"/>
          <w:pgMar w:top="1134" w:right="1134" w:bottom="1134" w:left="1134" w:header="567" w:footer="567" w:gutter="0"/>
          <w:cols w:space="720" w:num="1"/>
          <w:docGrid w:linePitch="327" w:charSpace="0"/>
        </w:sectPr>
      </w:pPr>
    </w:p>
    <w:p w14:paraId="78C99C8B">
      <w:pPr>
        <w:pStyle w:val="4"/>
        <w:bidi w:val="0"/>
        <w:ind w:firstLine="964"/>
        <w:rPr>
          <w:rFonts w:hint="eastAsia" w:ascii="宋体" w:hAnsi="宋体" w:eastAsia="宋体" w:cs="宋体"/>
          <w:color w:val="auto"/>
        </w:rPr>
      </w:pPr>
      <w:bookmarkStart w:id="335" w:name="_Toc16727"/>
      <w:r>
        <w:rPr>
          <w:rFonts w:hint="eastAsia" w:ascii="宋体" w:hAnsi="宋体" w:eastAsia="宋体" w:cs="宋体"/>
          <w:color w:val="auto"/>
        </w:rPr>
        <w:t>格式十一 专职安全员简历表</w:t>
      </w:r>
      <w:bookmarkEnd w:id="332"/>
      <w:bookmarkEnd w:id="333"/>
      <w:bookmarkEnd w:id="334"/>
      <w:bookmarkEnd w:id="335"/>
    </w:p>
    <w:p w14:paraId="295CE35B">
      <w:pPr>
        <w:rPr>
          <w:rFonts w:hint="eastAsia" w:ascii="宋体" w:hAnsi="宋体" w:eastAsia="宋体" w:cs="宋体"/>
          <w:color w:val="auto"/>
          <w:highlight w:val="none"/>
        </w:rPr>
      </w:pPr>
    </w:p>
    <w:tbl>
      <w:tblPr>
        <w:tblStyle w:val="30"/>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250E6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4E889D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FEA076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9B6EA5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7D28928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35B1923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0180B6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019C9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1DAB6B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0CDE6F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998B56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1C195C4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905B8A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D338AE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20BE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B7A46C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75F8F72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492E72F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62CE35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1693C5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759CE41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以专职安全员身份参与过的主要业绩（已完工项目）</w:t>
            </w:r>
          </w:p>
        </w:tc>
      </w:tr>
      <w:tr w14:paraId="305443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6C673D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39EEA3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878FCE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E002E7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C7F8E6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D2AD74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4A476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1EE8CE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F5EF5B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E8E762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F6E2A0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51271F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C24CB6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BF799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6A428A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37A24A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D33DA0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5C2B9B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2BEBD8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F1AE71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D990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3F9D8B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7AAE7E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3ABCDF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1563FF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EE6E57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5334E1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4514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6D86FD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CE8EC9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1E30A3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455923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D433D4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679A01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4529A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7C6EF2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2A13DC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FE58B2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1C2747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668309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AC20B7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bl>
    <w:p w14:paraId="3E2D0D33">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bookmarkStart w:id="336" w:name="_Toc12212"/>
      <w:bookmarkStart w:id="337" w:name="_Toc19513"/>
      <w:r>
        <w:rPr>
          <w:rFonts w:hint="eastAsia" w:ascii="宋体" w:hAnsi="宋体" w:eastAsia="宋体" w:cs="宋体"/>
          <w:b/>
          <w:snapToGrid w:val="0"/>
          <w:color w:val="auto"/>
          <w:kern w:val="0"/>
          <w:sz w:val="30"/>
          <w:highlight w:val="none"/>
        </w:rPr>
        <w:t>专职安全员简历表</w:t>
      </w:r>
      <w:bookmarkEnd w:id="336"/>
      <w:bookmarkEnd w:id="337"/>
    </w:p>
    <w:p w14:paraId="4B7B20B5">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73ACCF2E">
      <w:pPr>
        <w:pStyle w:val="62"/>
        <w:wordWrap w:val="0"/>
        <w:adjustRightInd w:val="0"/>
        <w:snapToGrid w:val="0"/>
        <w:spacing w:line="440" w:lineRule="exact"/>
        <w:jc w:val="right"/>
        <w:rPr>
          <w:rFonts w:hint="eastAsia" w:ascii="宋体" w:hAnsi="宋体" w:eastAsia="宋体" w:cs="宋体"/>
          <w:snapToGrid w:val="0"/>
          <w:color w:val="auto"/>
          <w:kern w:val="0"/>
          <w:highlight w:val="none"/>
        </w:rPr>
      </w:pPr>
    </w:p>
    <w:p w14:paraId="50DD7DE6">
      <w:pPr>
        <w:pStyle w:val="62"/>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专职安全员：</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238B7992">
      <w:pPr>
        <w:pStyle w:val="62"/>
        <w:wordWrap w:val="0"/>
        <w:adjustRightInd w:val="0"/>
        <w:snapToGrid w:val="0"/>
        <w:spacing w:line="440" w:lineRule="exact"/>
        <w:jc w:val="right"/>
        <w:rPr>
          <w:rFonts w:hint="eastAsia" w:ascii="宋体" w:hAnsi="宋体" w:eastAsia="宋体" w:cs="宋体"/>
          <w:snapToGrid w:val="0"/>
          <w:color w:val="auto"/>
          <w:kern w:val="0"/>
          <w:highlight w:val="none"/>
        </w:rPr>
      </w:pPr>
    </w:p>
    <w:p w14:paraId="374FEB97">
      <w:pPr>
        <w:pStyle w:val="62"/>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032E4527">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3E2B8BAD">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说明：《专职安全员简历表》后应附拟派专职安全员以下资料：</w:t>
      </w:r>
    </w:p>
    <w:p w14:paraId="3CBFC8AA">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1．身份证</w:t>
      </w:r>
      <w:r>
        <w:rPr>
          <w:rFonts w:hint="eastAsia" w:ascii="宋体" w:hAnsi="宋体" w:eastAsia="宋体" w:cs="宋体"/>
          <w:snapToGrid w:val="0"/>
          <w:color w:val="auto"/>
          <w:kern w:val="0"/>
          <w:sz w:val="21"/>
          <w:szCs w:val="21"/>
          <w:highlight w:val="none"/>
          <w:lang w:eastAsia="zh-CN"/>
        </w:rPr>
        <w:t>彩色扫描件</w:t>
      </w:r>
      <w:r>
        <w:rPr>
          <w:rFonts w:hint="eastAsia" w:ascii="宋体" w:hAnsi="宋体" w:eastAsia="宋体" w:cs="宋体"/>
          <w:snapToGrid w:val="0"/>
          <w:color w:val="auto"/>
          <w:kern w:val="0"/>
          <w:sz w:val="21"/>
          <w:szCs w:val="21"/>
          <w:highlight w:val="none"/>
        </w:rPr>
        <w:t>；</w:t>
      </w:r>
    </w:p>
    <w:p w14:paraId="1F03E0A6">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2．C类安全生产考核合格证书</w:t>
      </w:r>
      <w:r>
        <w:rPr>
          <w:rFonts w:hint="eastAsia" w:ascii="宋体" w:hAnsi="宋体" w:eastAsia="宋体" w:cs="宋体"/>
          <w:snapToGrid w:val="0"/>
          <w:color w:val="auto"/>
          <w:kern w:val="0"/>
          <w:sz w:val="21"/>
          <w:szCs w:val="21"/>
          <w:highlight w:val="none"/>
          <w:lang w:eastAsia="zh-CN"/>
        </w:rPr>
        <w:t>彩色扫描件</w:t>
      </w:r>
      <w:r>
        <w:rPr>
          <w:rFonts w:hint="eastAsia" w:ascii="宋体" w:hAnsi="宋体" w:eastAsia="宋体" w:cs="宋体"/>
          <w:snapToGrid w:val="0"/>
          <w:color w:val="auto"/>
          <w:kern w:val="0"/>
          <w:sz w:val="21"/>
          <w:szCs w:val="21"/>
          <w:highlight w:val="none"/>
        </w:rPr>
        <w:t>或“广东省建筑施工企业管理人员安全生产考核信息系统”考核合格信息打印页；</w:t>
      </w:r>
    </w:p>
    <w:p w14:paraId="6F2788D7">
      <w:pPr>
        <w:wordWrap w:val="0"/>
        <w:adjustRightInd w:val="0"/>
        <w:snapToGrid w:val="0"/>
        <w:spacing w:line="400" w:lineRule="exact"/>
        <w:ind w:firstLine="420" w:firstLineChars="200"/>
        <w:rPr>
          <w:rStyle w:val="149"/>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eastAsia="zh-CN"/>
        </w:rPr>
        <w:t>在本单位缴纳社保的证明（至少连续</w:t>
      </w:r>
      <w:r>
        <w:rPr>
          <w:rFonts w:hint="eastAsia" w:ascii="宋体" w:hAnsi="宋体" w:eastAsia="宋体" w:cs="宋体"/>
          <w:snapToGrid w:val="0"/>
          <w:color w:val="auto"/>
          <w:kern w:val="0"/>
          <w:sz w:val="21"/>
          <w:szCs w:val="21"/>
          <w:highlight w:val="none"/>
          <w:lang w:val="en-US" w:eastAsia="zh-CN"/>
        </w:rPr>
        <w:t>一</w:t>
      </w:r>
      <w:r>
        <w:rPr>
          <w:rFonts w:hint="eastAsia" w:ascii="宋体" w:hAnsi="宋体" w:eastAsia="宋体" w:cs="宋体"/>
          <w:snapToGrid w:val="0"/>
          <w:color w:val="auto"/>
          <w:kern w:val="0"/>
          <w:sz w:val="21"/>
          <w:szCs w:val="21"/>
          <w:highlight w:val="none"/>
          <w:lang w:eastAsia="zh-CN"/>
        </w:rPr>
        <w:t>个月，其中必须有202</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eastAsia="zh-CN"/>
        </w:rPr>
        <w:t>年</w:t>
      </w:r>
      <w:r>
        <w:rPr>
          <w:rFonts w:hint="eastAsia" w:hAnsi="宋体" w:cs="宋体"/>
          <w:snapToGrid w:val="0"/>
          <w:color w:val="auto"/>
          <w:kern w:val="0"/>
          <w:sz w:val="21"/>
          <w:szCs w:val="21"/>
          <w:highlight w:val="none"/>
          <w:lang w:val="en-US" w:eastAsia="zh-CN"/>
        </w:rPr>
        <w:t>11</w:t>
      </w:r>
      <w:r>
        <w:rPr>
          <w:rFonts w:hint="eastAsia" w:ascii="宋体" w:hAnsi="宋体" w:eastAsia="宋体" w:cs="宋体"/>
          <w:snapToGrid w:val="0"/>
          <w:color w:val="auto"/>
          <w:kern w:val="0"/>
          <w:sz w:val="21"/>
          <w:szCs w:val="21"/>
          <w:highlight w:val="none"/>
          <w:lang w:eastAsia="zh-CN"/>
        </w:rPr>
        <w:t>月）彩色扫描件。拟派专职安全员为退休返聘人员无法提供社保证明的，提供退休证和劳动合同彩色扫描件；</w:t>
      </w:r>
    </w:p>
    <w:p w14:paraId="6D57810E">
      <w:pPr>
        <w:pStyle w:val="74"/>
        <w:widowControl w:val="0"/>
        <w:wordWrap w:val="0"/>
        <w:adjustRightInd w:val="0"/>
        <w:snapToGrid w:val="0"/>
        <w:spacing w:line="400" w:lineRule="exact"/>
        <w:rPr>
          <w:rFonts w:hint="eastAsia" w:ascii="宋体" w:hAnsi="宋体" w:eastAsia="宋体" w:cs="宋体"/>
          <w:snapToGrid w:val="0"/>
          <w:color w:val="auto"/>
          <w:sz w:val="21"/>
          <w:szCs w:val="28"/>
          <w:highlight w:val="none"/>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“进粤企业和人员诚信信息登记平台”个人信息情况截图。（适用于省外建筑企业）。</w:t>
      </w:r>
    </w:p>
    <w:p w14:paraId="241C2AFA">
      <w:pPr>
        <w:pStyle w:val="4"/>
        <w:bidi w:val="0"/>
        <w:ind w:firstLine="964"/>
        <w:rPr>
          <w:rFonts w:hint="eastAsia" w:ascii="宋体" w:hAnsi="宋体" w:eastAsia="宋体" w:cs="宋体"/>
          <w:color w:val="auto"/>
        </w:rPr>
      </w:pPr>
      <w:bookmarkStart w:id="338" w:name="_Toc994"/>
      <w:bookmarkStart w:id="339" w:name="_Toc14261309"/>
      <w:bookmarkStart w:id="340" w:name="_Toc20506"/>
      <w:bookmarkStart w:id="341" w:name="_Toc29727"/>
      <w:bookmarkStart w:id="342" w:name="_Toc23812"/>
      <w:bookmarkStart w:id="343" w:name="_Toc14989"/>
      <w:r>
        <w:rPr>
          <w:rFonts w:hint="eastAsia" w:ascii="宋体" w:hAnsi="宋体" w:eastAsia="宋体" w:cs="宋体"/>
          <w:color w:val="auto"/>
        </w:rPr>
        <w:t>格式</w:t>
      </w:r>
      <w:bookmarkStart w:id="344" w:name="_Hlt287950384"/>
      <w:bookmarkEnd w:id="344"/>
      <w:r>
        <w:rPr>
          <w:rFonts w:hint="eastAsia" w:ascii="宋体" w:hAnsi="宋体" w:eastAsia="宋体" w:cs="宋体"/>
          <w:color w:val="auto"/>
        </w:rPr>
        <w:t>十二 项目管理机构组成表</w:t>
      </w:r>
      <w:bookmarkEnd w:id="338"/>
      <w:bookmarkEnd w:id="339"/>
      <w:bookmarkEnd w:id="340"/>
      <w:bookmarkEnd w:id="341"/>
      <w:bookmarkEnd w:id="342"/>
      <w:bookmarkEnd w:id="343"/>
    </w:p>
    <w:p w14:paraId="2A01A5B5">
      <w:pPr>
        <w:wordWrap w:val="0"/>
        <w:adjustRightInd w:val="0"/>
        <w:snapToGrid w:val="0"/>
        <w:spacing w:before="260" w:after="260" w:line="440" w:lineRule="exact"/>
        <w:jc w:val="center"/>
        <w:outlineLvl w:val="2"/>
        <w:rPr>
          <w:rFonts w:hint="eastAsia" w:ascii="宋体" w:hAnsi="宋体" w:eastAsia="宋体" w:cs="宋体"/>
          <w:b/>
          <w:snapToGrid w:val="0"/>
          <w:color w:val="auto"/>
          <w:kern w:val="0"/>
          <w:highlight w:val="none"/>
        </w:rPr>
      </w:pPr>
      <w:bookmarkStart w:id="345" w:name="_Toc3834"/>
      <w:bookmarkStart w:id="346" w:name="_Toc21803"/>
      <w:bookmarkStart w:id="347" w:name="_Toc14261751"/>
      <w:r>
        <w:rPr>
          <w:rFonts w:hint="eastAsia" w:ascii="宋体" w:hAnsi="宋体" w:eastAsia="宋体" w:cs="宋体"/>
          <w:b/>
          <w:snapToGrid w:val="0"/>
          <w:color w:val="auto"/>
          <w:kern w:val="0"/>
          <w:sz w:val="30"/>
          <w:highlight w:val="none"/>
        </w:rPr>
        <w:t>项目管理机构组成表</w:t>
      </w:r>
      <w:bookmarkEnd w:id="345"/>
      <w:bookmarkEnd w:id="346"/>
      <w:bookmarkEnd w:id="347"/>
    </w:p>
    <w:tbl>
      <w:tblPr>
        <w:tblStyle w:val="30"/>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30758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auto" w:sz="6" w:space="0"/>
              <w:left w:val="single" w:color="auto" w:sz="6" w:space="0"/>
              <w:bottom w:val="single" w:color="auto" w:sz="6" w:space="0"/>
              <w:right w:val="single" w:color="auto" w:sz="6" w:space="0"/>
            </w:tcBorders>
            <w:noWrap w:val="0"/>
            <w:vAlign w:val="center"/>
          </w:tcPr>
          <w:p w14:paraId="7D14144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DEFD67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职务</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12BB2BF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5455DA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性别</w:t>
            </w:r>
          </w:p>
        </w:tc>
        <w:tc>
          <w:tcPr>
            <w:tcW w:w="817" w:type="dxa"/>
            <w:tcBorders>
              <w:top w:val="single" w:color="auto" w:sz="6" w:space="0"/>
              <w:left w:val="single" w:color="auto" w:sz="6" w:space="0"/>
              <w:bottom w:val="single" w:color="auto" w:sz="6" w:space="0"/>
              <w:right w:val="single" w:color="auto" w:sz="6" w:space="0"/>
            </w:tcBorders>
            <w:noWrap w:val="0"/>
            <w:vAlign w:val="center"/>
          </w:tcPr>
          <w:p w14:paraId="603BCCB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年龄</w:t>
            </w: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D7DF99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w:t>
            </w: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5372F0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5723F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23D162B1">
            <w:pPr>
              <w:wordWrap w:val="0"/>
              <w:adjustRightInd w:val="0"/>
              <w:snapToGrid w:val="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7030D7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F3C4B0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CBE49E2">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56D946AD">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9CDD42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39F2031E">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26769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1"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320F2CD4">
            <w:pPr>
              <w:wordWrap w:val="0"/>
              <w:adjustRightInd w:val="0"/>
              <w:snapToGrid w:val="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6129DD5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项目技术</w:t>
            </w:r>
          </w:p>
          <w:p w14:paraId="364C082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负责人</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5FF63CA6">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FEAE2C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54E7BF3">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F66FD4C">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AC31E1E">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7FB86D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exact"/>
        </w:trPr>
        <w:tc>
          <w:tcPr>
            <w:tcW w:w="743" w:type="dxa"/>
            <w:tcBorders>
              <w:top w:val="single" w:color="auto" w:sz="6" w:space="0"/>
              <w:left w:val="single" w:color="auto" w:sz="6" w:space="0"/>
              <w:right w:val="single" w:color="auto" w:sz="6" w:space="0"/>
            </w:tcBorders>
            <w:noWrap w:val="0"/>
            <w:vAlign w:val="center"/>
          </w:tcPr>
          <w:p w14:paraId="61E0FF45">
            <w:pPr>
              <w:wordWrap w:val="0"/>
              <w:adjustRightInd w:val="0"/>
              <w:snapToGrid w:val="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21" w:type="dxa"/>
            <w:tcBorders>
              <w:top w:val="single" w:color="auto" w:sz="6" w:space="0"/>
              <w:left w:val="single" w:color="auto" w:sz="6" w:space="0"/>
              <w:right w:val="single" w:color="auto" w:sz="6" w:space="0"/>
            </w:tcBorders>
            <w:noWrap w:val="0"/>
            <w:vAlign w:val="center"/>
          </w:tcPr>
          <w:p w14:paraId="0DFA5BF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专职安全员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103D7F3">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4E1C0C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8DC5461">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67B8A0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0176E15">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04AA82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BE8F7EF">
            <w:pPr>
              <w:wordWrap w:val="0"/>
              <w:adjustRightInd w:val="0"/>
              <w:snapToGrid w:val="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4</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6F4FF35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4DEF1FE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8AA47A3">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5EDBB61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33F5F9E3">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BD58CBC">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77B58D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C3488D4">
            <w:pPr>
              <w:wordWrap w:val="0"/>
              <w:adjustRightInd w:val="0"/>
              <w:snapToGrid w:val="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5</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206DD3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1BDEDBEF">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FD9A995">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20E2949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356C38A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9505E2B">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5B026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0D52610">
            <w:pPr>
              <w:wordWrap w:val="0"/>
              <w:adjustRightInd w:val="0"/>
              <w:snapToGrid w:val="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6</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CF89D0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材料员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5E313652">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3871C2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AB74900">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79346C4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33F87039">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1B288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18A4D24B">
            <w:pPr>
              <w:wordWrap w:val="0"/>
              <w:adjustRightInd w:val="0"/>
              <w:snapToGrid w:val="0"/>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7</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BEB727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C4FB39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663BD55C">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12B5206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3A7FFE8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9744306">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16E17F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4B203E25">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6AE7526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51F2B1B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2B8F9361">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7F8F894">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27D41AF">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0112A35">
            <w:pPr>
              <w:wordWrap w:val="0"/>
              <w:adjustRightInd w:val="0"/>
              <w:snapToGrid w:val="0"/>
              <w:jc w:val="center"/>
              <w:rPr>
                <w:rFonts w:hint="eastAsia" w:ascii="宋体" w:hAnsi="宋体" w:eastAsia="宋体" w:cs="宋体"/>
                <w:snapToGrid w:val="0"/>
                <w:color w:val="auto"/>
                <w:kern w:val="0"/>
                <w:sz w:val="21"/>
                <w:szCs w:val="21"/>
                <w:highlight w:val="none"/>
              </w:rPr>
            </w:pPr>
          </w:p>
        </w:tc>
        <w:bookmarkStart w:id="348" w:name="_附件二十四：技术标提问单"/>
        <w:bookmarkStart w:id="349" w:name="_附件十：单项工程费汇总表"/>
        <w:bookmarkStart w:id="350" w:name="_Hlt68774664"/>
        <w:bookmarkStart w:id="351" w:name="_Hlt69116778"/>
        <w:bookmarkStart w:id="352" w:name="_附件二十五：综合评审合理低价法"/>
      </w:tr>
      <w:bookmarkEnd w:id="330"/>
      <w:bookmarkEnd w:id="331"/>
      <w:bookmarkEnd w:id="348"/>
      <w:bookmarkEnd w:id="349"/>
      <w:bookmarkEnd w:id="350"/>
      <w:bookmarkEnd w:id="351"/>
      <w:bookmarkEnd w:id="352"/>
    </w:tbl>
    <w:p w14:paraId="4E531D2D">
      <w:pPr>
        <w:pStyle w:val="150"/>
        <w:snapToGrid w:val="0"/>
        <w:spacing w:line="400" w:lineRule="exact"/>
        <w:rPr>
          <w:rStyle w:val="149"/>
          <w:rFonts w:hint="eastAsia" w:ascii="宋体" w:hAnsi="宋体" w:eastAsia="宋体" w:cs="宋体"/>
          <w:color w:val="auto"/>
          <w:sz w:val="21"/>
          <w:szCs w:val="21"/>
          <w:highlight w:val="none"/>
        </w:rPr>
      </w:pPr>
      <w:r>
        <w:rPr>
          <w:rStyle w:val="149"/>
          <w:rFonts w:hint="eastAsia" w:ascii="宋体" w:hAnsi="宋体" w:eastAsia="宋体" w:cs="宋体"/>
          <w:color w:val="auto"/>
          <w:sz w:val="21"/>
          <w:szCs w:val="21"/>
          <w:highlight w:val="none"/>
        </w:rPr>
        <w:t>说明：</w:t>
      </w:r>
    </w:p>
    <w:p w14:paraId="257996AB">
      <w:pPr>
        <w:pStyle w:val="74"/>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sz w:val="21"/>
          <w:szCs w:val="28"/>
          <w:highlight w:val="none"/>
        </w:rPr>
      </w:pPr>
      <w:r>
        <w:rPr>
          <w:rFonts w:hint="eastAsia" w:ascii="宋体" w:hAnsi="宋体" w:eastAsia="宋体" w:cs="宋体"/>
          <w:snapToGrid w:val="0"/>
          <w:color w:val="auto"/>
          <w:sz w:val="21"/>
          <w:highlight w:val="none"/>
        </w:rPr>
        <w:t>1</w:t>
      </w:r>
      <w:r>
        <w:rPr>
          <w:rFonts w:hint="eastAsia" w:ascii="宋体" w:hAnsi="宋体" w:eastAsia="宋体" w:cs="宋体"/>
          <w:snapToGrid w:val="0"/>
          <w:color w:val="auto"/>
          <w:sz w:val="21"/>
          <w:szCs w:val="28"/>
          <w:highlight w:val="none"/>
        </w:rPr>
        <w:t>．</w:t>
      </w:r>
      <w:r>
        <w:rPr>
          <w:rFonts w:hint="eastAsia" w:ascii="宋体" w:hAnsi="宋体" w:eastAsia="宋体" w:cs="宋体"/>
          <w:snapToGrid w:val="0"/>
          <w:color w:val="auto"/>
          <w:sz w:val="21"/>
          <w:highlight w:val="none"/>
        </w:rPr>
        <w:t>《项目管理机构组成表》后应附表中拟派人员（项目经理、项目技术负责人、专职安全员除外）以下资料：</w:t>
      </w:r>
    </w:p>
    <w:p w14:paraId="69C3B13C">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w:t>
      </w:r>
      <w:r>
        <w:rPr>
          <w:rFonts w:hint="eastAsia" w:ascii="宋体" w:hAnsi="宋体" w:eastAsia="宋体" w:cs="宋体"/>
          <w:snapToGrid w:val="0"/>
          <w:color w:val="auto"/>
          <w:kern w:val="0"/>
          <w:sz w:val="21"/>
          <w:szCs w:val="28"/>
          <w:highlight w:val="none"/>
          <w:lang w:eastAsia="zh-CN"/>
        </w:rPr>
        <w:t>彩色扫描件</w:t>
      </w:r>
      <w:r>
        <w:rPr>
          <w:rFonts w:hint="eastAsia" w:ascii="宋体" w:hAnsi="宋体" w:eastAsia="宋体" w:cs="宋体"/>
          <w:snapToGrid w:val="0"/>
          <w:color w:val="auto"/>
          <w:kern w:val="0"/>
          <w:sz w:val="21"/>
          <w:szCs w:val="28"/>
          <w:highlight w:val="none"/>
        </w:rPr>
        <w:t>；</w:t>
      </w:r>
    </w:p>
    <w:p w14:paraId="7AEA615F">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 w:val="21"/>
          <w:szCs w:val="28"/>
          <w:highlight w:val="none"/>
          <w:lang w:eastAsia="zh-CN"/>
        </w:rPr>
      </w:pPr>
      <w:r>
        <w:rPr>
          <w:rFonts w:hint="eastAsia" w:ascii="宋体" w:hAnsi="宋体" w:eastAsia="宋体" w:cs="宋体"/>
          <w:snapToGrid w:val="0"/>
          <w:color w:val="auto"/>
          <w:kern w:val="0"/>
          <w:sz w:val="21"/>
          <w:szCs w:val="28"/>
          <w:highlight w:val="none"/>
        </w:rPr>
        <w:t>（2）</w:t>
      </w:r>
      <w:r>
        <w:rPr>
          <w:rFonts w:hint="eastAsia" w:ascii="宋体" w:hAnsi="宋体" w:eastAsia="宋体" w:cs="宋体"/>
          <w:snapToGrid w:val="0"/>
          <w:color w:val="auto"/>
          <w:kern w:val="0"/>
          <w:sz w:val="21"/>
          <w:szCs w:val="28"/>
          <w:highlight w:val="none"/>
          <w:lang w:val="en-US" w:eastAsia="zh-CN"/>
        </w:rPr>
        <w:t>职称证或</w:t>
      </w:r>
      <w:r>
        <w:rPr>
          <w:rFonts w:hint="eastAsia" w:ascii="宋体" w:hAnsi="宋体" w:eastAsia="宋体" w:cs="宋体"/>
          <w:snapToGrid w:val="0"/>
          <w:color w:val="auto"/>
          <w:kern w:val="0"/>
          <w:sz w:val="21"/>
          <w:szCs w:val="28"/>
          <w:highlight w:val="none"/>
        </w:rPr>
        <w:t>岗位证或培训证</w:t>
      </w:r>
      <w:r>
        <w:rPr>
          <w:rFonts w:hint="eastAsia" w:ascii="宋体" w:hAnsi="宋体" w:eastAsia="宋体" w:cs="宋体"/>
          <w:snapToGrid w:val="0"/>
          <w:color w:val="auto"/>
          <w:kern w:val="0"/>
          <w:sz w:val="21"/>
          <w:szCs w:val="28"/>
          <w:highlight w:val="none"/>
          <w:lang w:eastAsia="zh-CN"/>
        </w:rPr>
        <w:t>彩色扫描件</w:t>
      </w:r>
      <w:r>
        <w:rPr>
          <w:rFonts w:hint="eastAsia" w:ascii="宋体" w:hAnsi="宋体" w:eastAsia="宋体" w:cs="宋体"/>
          <w:snapToGrid w:val="0"/>
          <w:color w:val="auto"/>
          <w:kern w:val="0"/>
          <w:sz w:val="21"/>
          <w:szCs w:val="21"/>
          <w:highlight w:val="none"/>
        </w:rPr>
        <w:t>（或打印件）；</w:t>
      </w:r>
    </w:p>
    <w:p w14:paraId="4115CCF7">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val="en-US" w:eastAsia="zh-CN"/>
        </w:rPr>
        <w:t>3</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8"/>
          <w:highlight w:val="none"/>
          <w:lang w:eastAsia="zh-CN"/>
        </w:rPr>
        <w:t>至少连续</w:t>
      </w:r>
      <w:r>
        <w:rPr>
          <w:rFonts w:hint="eastAsia" w:ascii="宋体" w:hAnsi="宋体" w:eastAsia="宋体" w:cs="宋体"/>
          <w:snapToGrid w:val="0"/>
          <w:color w:val="auto"/>
          <w:kern w:val="0"/>
          <w:sz w:val="21"/>
          <w:szCs w:val="28"/>
          <w:highlight w:val="none"/>
          <w:lang w:val="en-US" w:eastAsia="zh-CN"/>
        </w:rPr>
        <w:t>一</w:t>
      </w:r>
      <w:r>
        <w:rPr>
          <w:rFonts w:hint="eastAsia" w:ascii="宋体" w:hAnsi="宋体" w:eastAsia="宋体" w:cs="宋体"/>
          <w:snapToGrid w:val="0"/>
          <w:color w:val="auto"/>
          <w:kern w:val="0"/>
          <w:sz w:val="21"/>
          <w:szCs w:val="28"/>
          <w:highlight w:val="none"/>
          <w:lang w:eastAsia="zh-CN"/>
        </w:rPr>
        <w:t>个月，其中必须</w:t>
      </w:r>
      <w:r>
        <w:rPr>
          <w:rFonts w:hint="eastAsia" w:ascii="宋体" w:hAnsi="宋体" w:eastAsia="宋体" w:cs="宋体"/>
          <w:snapToGrid w:val="0"/>
          <w:color w:val="auto"/>
          <w:kern w:val="0"/>
          <w:sz w:val="21"/>
          <w:szCs w:val="21"/>
          <w:highlight w:val="none"/>
          <w:lang w:eastAsia="zh-CN"/>
        </w:rPr>
        <w:t>有202</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eastAsia="zh-CN"/>
        </w:rPr>
        <w:t>年</w:t>
      </w:r>
      <w:r>
        <w:rPr>
          <w:rFonts w:hint="eastAsia" w:hAnsi="宋体" w:cs="宋体"/>
          <w:snapToGrid w:val="0"/>
          <w:color w:val="auto"/>
          <w:kern w:val="0"/>
          <w:sz w:val="21"/>
          <w:szCs w:val="21"/>
          <w:highlight w:val="none"/>
          <w:lang w:val="en-US" w:eastAsia="zh-CN"/>
        </w:rPr>
        <w:t>11</w:t>
      </w:r>
      <w:r>
        <w:rPr>
          <w:rFonts w:hint="eastAsia" w:ascii="宋体" w:hAnsi="宋体" w:eastAsia="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w:t>
      </w:r>
      <w:r>
        <w:rPr>
          <w:rFonts w:hint="eastAsia" w:ascii="宋体" w:hAnsi="宋体" w:eastAsia="宋体" w:cs="宋体"/>
          <w:snapToGrid w:val="0"/>
          <w:color w:val="auto"/>
          <w:kern w:val="0"/>
          <w:sz w:val="21"/>
          <w:szCs w:val="28"/>
          <w:highlight w:val="none"/>
          <w:lang w:val="en-US" w:eastAsia="zh-CN"/>
        </w:rPr>
        <w:t>人员</w:t>
      </w:r>
      <w:r>
        <w:rPr>
          <w:rFonts w:hint="eastAsia" w:ascii="宋体" w:hAnsi="宋体" w:eastAsia="宋体" w:cs="宋体"/>
          <w:snapToGrid w:val="0"/>
          <w:color w:val="auto"/>
          <w:kern w:val="0"/>
          <w:sz w:val="21"/>
          <w:szCs w:val="28"/>
          <w:highlight w:val="none"/>
        </w:rPr>
        <w:t>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78C426FF">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16"/>
          <w:lang w:eastAsia="zh-CN"/>
        </w:rPr>
        <w:sectPr>
          <w:pgSz w:w="11907" w:h="16840"/>
          <w:pgMar w:top="1134" w:right="1134" w:bottom="1134" w:left="1134" w:header="567" w:footer="567" w:gutter="0"/>
          <w:cols w:space="720" w:num="1"/>
        </w:sectPr>
      </w:pPr>
      <w:r>
        <w:rPr>
          <w:rFonts w:hint="eastAsia" w:ascii="宋体" w:hAnsi="宋体" w:eastAsia="宋体" w:cs="宋体"/>
          <w:color w:val="auto"/>
          <w:sz w:val="21"/>
          <w:szCs w:val="16"/>
          <w:lang w:eastAsia="zh-CN"/>
        </w:rPr>
        <w:t>（</w:t>
      </w:r>
      <w:r>
        <w:rPr>
          <w:rFonts w:hint="eastAsia" w:ascii="宋体" w:hAnsi="宋体" w:eastAsia="宋体" w:cs="宋体"/>
          <w:color w:val="auto"/>
          <w:sz w:val="21"/>
          <w:szCs w:val="16"/>
          <w:lang w:val="en-US" w:eastAsia="zh-CN"/>
        </w:rPr>
        <w:t>4</w:t>
      </w:r>
      <w:r>
        <w:rPr>
          <w:rFonts w:hint="eastAsia" w:ascii="宋体" w:hAnsi="宋体" w:eastAsia="宋体" w:cs="宋体"/>
          <w:color w:val="auto"/>
          <w:sz w:val="21"/>
          <w:szCs w:val="16"/>
          <w:lang w:eastAsia="zh-CN"/>
        </w:rPr>
        <w:t>）</w:t>
      </w:r>
      <w:r>
        <w:rPr>
          <w:rFonts w:hint="eastAsia" w:ascii="宋体" w:hAnsi="宋体" w:eastAsia="宋体" w:cs="宋体"/>
          <w:color w:val="auto"/>
          <w:sz w:val="21"/>
          <w:szCs w:val="21"/>
          <w:lang w:eastAsia="zh-CN"/>
        </w:rPr>
        <w:t>“进粤企业和人员诚信信息登记平台”个人信息情况截图。（适用于省外建筑企业）。</w:t>
      </w:r>
    </w:p>
    <w:p w14:paraId="132C37FB">
      <w:pPr>
        <w:pStyle w:val="4"/>
        <w:bidi w:val="0"/>
        <w:ind w:firstLine="964"/>
        <w:rPr>
          <w:rFonts w:hint="eastAsia" w:ascii="宋体" w:hAnsi="宋体" w:eastAsia="宋体" w:cs="宋体"/>
          <w:color w:val="auto"/>
        </w:rPr>
      </w:pPr>
      <w:bookmarkStart w:id="353" w:name="_Toc13555"/>
      <w:r>
        <w:rPr>
          <w:rFonts w:hint="eastAsia" w:ascii="宋体" w:hAnsi="宋体" w:eastAsia="宋体" w:cs="宋体"/>
          <w:color w:val="auto"/>
        </w:rPr>
        <w:t>格式十</w:t>
      </w:r>
      <w:r>
        <w:rPr>
          <w:rFonts w:hint="eastAsia" w:ascii="宋体" w:hAnsi="宋体" w:eastAsia="宋体" w:cs="宋体"/>
          <w:color w:val="auto"/>
          <w:lang w:val="en-US" w:eastAsia="zh-CN"/>
        </w:rPr>
        <w:t>三</w:t>
      </w:r>
      <w:r>
        <w:rPr>
          <w:rFonts w:hint="eastAsia" w:ascii="宋体" w:hAnsi="宋体" w:eastAsia="宋体" w:cs="宋体"/>
          <w:color w:val="auto"/>
        </w:rPr>
        <w:t xml:space="preserve"> 建造师查询页（有效期+建造师签字）</w:t>
      </w:r>
      <w:bookmarkEnd w:id="353"/>
    </w:p>
    <w:p w14:paraId="30C5F9AE">
      <w:pPr>
        <w:pStyle w:val="74"/>
        <w:widowControl w:val="0"/>
        <w:wordWrap w:val="0"/>
        <w:adjustRightInd w:val="0"/>
        <w:snapToGrid w:val="0"/>
        <w:spacing w:line="240" w:lineRule="auto"/>
        <w:ind w:firstLine="0"/>
        <w:jc w:val="center"/>
        <w:rPr>
          <w:rFonts w:hint="eastAsia" w:ascii="宋体" w:hAnsi="宋体" w:eastAsia="宋体" w:cs="宋体"/>
          <w:snapToGrid w:val="0"/>
          <w:color w:val="auto"/>
          <w:sz w:val="21"/>
          <w:highlight w:val="none"/>
        </w:rPr>
      </w:pPr>
      <w:r>
        <w:rPr>
          <w:rFonts w:hint="eastAsia" w:ascii="宋体" w:hAnsi="宋体" w:eastAsia="宋体" w:cs="宋体"/>
          <w:caps w:val="0"/>
          <w:smallCaps w:val="0"/>
          <w:snapToGrid w:val="0"/>
          <w:color w:val="auto"/>
          <w:spacing w:val="0"/>
          <w:kern w:val="0"/>
          <w:sz w:val="21"/>
          <w:highlight w:val="none"/>
          <w:lang w:val="en-US" w:eastAsia="zh-CN"/>
        </w:rPr>
        <w:drawing>
          <wp:inline distT="0" distB="0" distL="114300" distR="114300">
            <wp:extent cx="5768975" cy="8063865"/>
            <wp:effectExtent l="0" t="0" r="3175" b="13335"/>
            <wp:docPr id="2" name="图片 2" descr="32d7491b2f9802d8de0f2607fe015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2d7491b2f9802d8de0f2607fe015bb"/>
                    <pic:cNvPicPr>
                      <a:picLocks noChangeAspect="1"/>
                    </pic:cNvPicPr>
                  </pic:nvPicPr>
                  <pic:blipFill>
                    <a:blip r:embed="rId8"/>
                    <a:stretch>
                      <a:fillRect/>
                    </a:stretch>
                  </pic:blipFill>
                  <pic:spPr>
                    <a:xfrm>
                      <a:off x="0" y="0"/>
                      <a:ext cx="5768975" cy="8063865"/>
                    </a:xfrm>
                    <a:prstGeom prst="rect">
                      <a:avLst/>
                    </a:prstGeom>
                    <a:noFill/>
                    <a:ln>
                      <a:noFill/>
                    </a:ln>
                  </pic:spPr>
                </pic:pic>
              </a:graphicData>
            </a:graphic>
          </wp:inline>
        </w:drawing>
      </w:r>
      <w:r>
        <w:rPr>
          <w:rFonts w:hint="eastAsia" w:ascii="宋体" w:hAnsi="宋体" w:eastAsia="宋体" w:cs="宋体"/>
          <w:color w:val="auto"/>
          <w:sz w:val="24"/>
          <w:szCs w:val="24"/>
        </w:rPr>
        <w:drawing>
          <wp:inline distT="0" distB="0" distL="114300" distR="114300">
            <wp:extent cx="6507480" cy="7734300"/>
            <wp:effectExtent l="0" t="0" r="7620" b="0"/>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9"/>
                    <a:stretch>
                      <a:fillRect/>
                    </a:stretch>
                  </pic:blipFill>
                  <pic:spPr>
                    <a:xfrm>
                      <a:off x="0" y="0"/>
                      <a:ext cx="6507480" cy="7734300"/>
                    </a:xfrm>
                    <a:prstGeom prst="rect">
                      <a:avLst/>
                    </a:prstGeom>
                    <a:noFill/>
                    <a:ln w="9525">
                      <a:noFill/>
                    </a:ln>
                  </pic:spPr>
                </pic:pic>
              </a:graphicData>
            </a:graphic>
          </wp:inline>
        </w:drawing>
      </w:r>
    </w:p>
    <w:p w14:paraId="044BAB73">
      <w:pPr>
        <w:rPr>
          <w:rFonts w:hint="eastAsia" w:ascii="宋体" w:hAnsi="宋体" w:eastAsia="宋体" w:cs="宋体"/>
          <w:b/>
          <w:bCs/>
          <w:snapToGrid w:val="0"/>
          <w:color w:val="auto"/>
          <w:sz w:val="21"/>
          <w:highlight w:val="none"/>
          <w:lang w:val="en-US" w:eastAsia="zh-CN"/>
        </w:rPr>
      </w:pPr>
      <w:r>
        <w:rPr>
          <w:rFonts w:hint="eastAsia" w:ascii="宋体" w:hAnsi="宋体" w:eastAsia="宋体" w:cs="宋体"/>
          <w:snapToGrid w:val="0"/>
          <w:color w:val="auto"/>
          <w:sz w:val="21"/>
          <w:highlight w:val="none"/>
        </w:rPr>
        <w:br w:type="page"/>
      </w:r>
    </w:p>
    <w:p w14:paraId="68893148">
      <w:pPr>
        <w:pStyle w:val="74"/>
        <w:widowControl w:val="0"/>
        <w:wordWrap w:val="0"/>
        <w:adjustRightInd w:val="0"/>
        <w:snapToGrid w:val="0"/>
        <w:spacing w:line="240" w:lineRule="auto"/>
        <w:ind w:firstLine="0"/>
        <w:rPr>
          <w:rFonts w:hint="eastAsia" w:ascii="宋体" w:hAnsi="宋体" w:eastAsia="宋体" w:cs="宋体"/>
          <w:snapToGrid w:val="0"/>
          <w:color w:val="auto"/>
          <w:sz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bookmarkEnd w:id="7"/>
    <w:bookmarkEnd w:id="287"/>
    <w:bookmarkEnd w:id="288"/>
    <w:p w14:paraId="1F1A3B36">
      <w:pPr>
        <w:pStyle w:val="4"/>
        <w:bidi w:val="0"/>
        <w:ind w:firstLine="964"/>
        <w:rPr>
          <w:rFonts w:hint="eastAsia" w:ascii="宋体" w:hAnsi="宋体" w:eastAsia="宋体" w:cs="宋体"/>
          <w:color w:val="auto"/>
        </w:rPr>
      </w:pPr>
      <w:bookmarkStart w:id="354" w:name="_Hlt87783244"/>
      <w:bookmarkEnd w:id="354"/>
      <w:bookmarkStart w:id="355" w:name="_Hlt87793582"/>
      <w:bookmarkEnd w:id="355"/>
      <w:bookmarkStart w:id="356" w:name="_附件十六：措施项目清单计价表"/>
      <w:bookmarkEnd w:id="356"/>
      <w:bookmarkStart w:id="357" w:name="_附件二十一：土建工程、电气工程、给排水工程工程清单项目费汇总表"/>
      <w:bookmarkEnd w:id="357"/>
      <w:bookmarkStart w:id="358" w:name="_Toc2067"/>
      <w:bookmarkStart w:id="359" w:name="_Toc13122"/>
      <w:bookmarkStart w:id="360" w:name="_Toc9569"/>
      <w:bookmarkStart w:id="361" w:name="_Toc346"/>
      <w:bookmarkStart w:id="362" w:name="_Toc142468134"/>
      <w:bookmarkStart w:id="363" w:name="_Toc137444778"/>
      <w:bookmarkStart w:id="364" w:name="_Toc133160683"/>
      <w:bookmarkStart w:id="365" w:name="_Toc13722"/>
      <w:bookmarkStart w:id="366" w:name="_Toc132687128"/>
      <w:bookmarkStart w:id="367" w:name="_Toc78794873"/>
      <w:bookmarkStart w:id="368" w:name="_Toc133815902"/>
      <w:r>
        <w:rPr>
          <w:rFonts w:hint="eastAsia" w:ascii="宋体" w:hAnsi="宋体" w:eastAsia="宋体" w:cs="宋体"/>
          <w:color w:val="auto"/>
        </w:rPr>
        <w:t>格式十</w:t>
      </w:r>
      <w:r>
        <w:rPr>
          <w:rFonts w:hint="eastAsia" w:ascii="宋体" w:hAnsi="宋体" w:eastAsia="宋体" w:cs="宋体"/>
          <w:color w:val="auto"/>
          <w:lang w:val="en-US" w:eastAsia="zh-CN"/>
        </w:rPr>
        <w:t>四</w:t>
      </w:r>
      <w:r>
        <w:rPr>
          <w:rFonts w:hint="eastAsia" w:ascii="宋体" w:hAnsi="宋体" w:eastAsia="宋体" w:cs="宋体"/>
          <w:color w:val="auto"/>
        </w:rPr>
        <w:t xml:space="preserve"> 原件一览表</w:t>
      </w:r>
      <w:bookmarkEnd w:id="358"/>
      <w:bookmarkEnd w:id="359"/>
      <w:bookmarkEnd w:id="360"/>
      <w:bookmarkEnd w:id="361"/>
    </w:p>
    <w:p w14:paraId="58E5E4F8">
      <w:pPr>
        <w:spacing w:line="336" w:lineRule="auto"/>
        <w:contextualSpacing/>
        <w:jc w:val="left"/>
        <w:rPr>
          <w:rFonts w:hint="eastAsia" w:ascii="宋体" w:hAnsi="宋体" w:eastAsia="宋体" w:cs="宋体"/>
          <w:color w:val="auto"/>
          <w:highlight w:val="none"/>
        </w:rPr>
      </w:pPr>
    </w:p>
    <w:tbl>
      <w:tblPr>
        <w:tblStyle w:val="30"/>
        <w:tblpPr w:leftFromText="180" w:rightFromText="180" w:vertAnchor="text" w:horzAnchor="page" w:tblpX="1664" w:tblpY="438"/>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68B2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noWrap w:val="0"/>
            <w:tcMar>
              <w:left w:w="108" w:type="dxa"/>
              <w:right w:w="108" w:type="dxa"/>
            </w:tcMar>
            <w:vAlign w:val="center"/>
          </w:tcPr>
          <w:p w14:paraId="782E7337">
            <w:pPr>
              <w:jc w:val="center"/>
              <w:rPr>
                <w:rFonts w:hint="eastAsia" w:ascii="宋体" w:hAnsi="宋体" w:eastAsia="宋体" w:cs="宋体"/>
                <w:color w:val="auto"/>
                <w:highlight w:val="none"/>
              </w:rPr>
            </w:pPr>
            <w:r>
              <w:rPr>
                <w:rFonts w:hint="eastAsia" w:ascii="宋体" w:hAnsi="宋体" w:eastAsia="宋体" w:cs="宋体"/>
                <w:b/>
                <w:color w:val="auto"/>
                <w:highlight w:val="none"/>
              </w:rPr>
              <w:t>原件一览表</w:t>
            </w:r>
          </w:p>
        </w:tc>
      </w:tr>
      <w:tr w14:paraId="57AC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18ECE8F6">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lang w:val="en-US" w:eastAsia="zh-CN"/>
              </w:rPr>
              <w:t>项目</w:t>
            </w:r>
            <w:r>
              <w:rPr>
                <w:rFonts w:hint="eastAsia" w:ascii="宋体" w:hAnsi="宋体" w:eastAsia="宋体" w:cs="宋体"/>
                <w:color w:val="auto"/>
                <w:sz w:val="20"/>
                <w:highlight w:val="none"/>
              </w:rPr>
              <w:t>名称</w:t>
            </w:r>
          </w:p>
        </w:tc>
        <w:tc>
          <w:tcPr>
            <w:tcW w:w="6809" w:type="dxa"/>
            <w:gridSpan w:val="5"/>
            <w:shd w:val="clear" w:color="000000" w:fill="FFFFFF"/>
            <w:noWrap w:val="0"/>
            <w:tcMar>
              <w:left w:w="108" w:type="dxa"/>
              <w:right w:w="108" w:type="dxa"/>
            </w:tcMar>
            <w:vAlign w:val="center"/>
          </w:tcPr>
          <w:p w14:paraId="2A454562">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 xml:space="preserve"> </w:t>
            </w:r>
          </w:p>
        </w:tc>
      </w:tr>
      <w:tr w14:paraId="27EB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1559497C">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投标人名称                (请务必填写单位全称)</w:t>
            </w:r>
          </w:p>
        </w:tc>
        <w:tc>
          <w:tcPr>
            <w:tcW w:w="6809" w:type="dxa"/>
            <w:gridSpan w:val="5"/>
            <w:shd w:val="clear" w:color="000000" w:fill="FFFFFF"/>
            <w:noWrap w:val="0"/>
            <w:tcMar>
              <w:left w:w="108" w:type="dxa"/>
              <w:right w:w="108" w:type="dxa"/>
            </w:tcMar>
            <w:vAlign w:val="center"/>
          </w:tcPr>
          <w:p w14:paraId="564CAB2C">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　</w:t>
            </w:r>
          </w:p>
        </w:tc>
      </w:tr>
      <w:tr w14:paraId="0FD0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6A358BA3">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投标人法定代表人或其</w:t>
            </w:r>
          </w:p>
          <w:p w14:paraId="3AC60E4A">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委托代理人签名</w:t>
            </w:r>
          </w:p>
        </w:tc>
        <w:tc>
          <w:tcPr>
            <w:tcW w:w="3527" w:type="dxa"/>
            <w:gridSpan w:val="2"/>
            <w:shd w:val="clear" w:color="000000" w:fill="FFFFFF"/>
            <w:noWrap w:val="0"/>
            <w:tcMar>
              <w:left w:w="108" w:type="dxa"/>
              <w:right w:w="108" w:type="dxa"/>
            </w:tcMar>
            <w:vAlign w:val="center"/>
          </w:tcPr>
          <w:p w14:paraId="2B124D22">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　</w:t>
            </w:r>
          </w:p>
        </w:tc>
        <w:tc>
          <w:tcPr>
            <w:tcW w:w="754" w:type="dxa"/>
            <w:shd w:val="clear" w:color="000000" w:fill="FFFFFF"/>
            <w:noWrap w:val="0"/>
            <w:tcMar>
              <w:left w:w="108" w:type="dxa"/>
              <w:right w:w="108" w:type="dxa"/>
            </w:tcMar>
            <w:vAlign w:val="center"/>
          </w:tcPr>
          <w:p w14:paraId="64C0891A">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手机号码</w:t>
            </w:r>
          </w:p>
        </w:tc>
        <w:tc>
          <w:tcPr>
            <w:tcW w:w="2528" w:type="dxa"/>
            <w:gridSpan w:val="2"/>
            <w:shd w:val="clear" w:color="000000" w:fill="FFFFFF"/>
            <w:noWrap w:val="0"/>
            <w:tcMar>
              <w:left w:w="108" w:type="dxa"/>
              <w:right w:w="108" w:type="dxa"/>
            </w:tcMar>
            <w:vAlign w:val="center"/>
          </w:tcPr>
          <w:p w14:paraId="775FC6D7">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　</w:t>
            </w:r>
          </w:p>
        </w:tc>
      </w:tr>
      <w:tr w14:paraId="3F8A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000000" w:fill="FFFFFF"/>
            <w:noWrap w:val="0"/>
            <w:tcMar>
              <w:left w:w="108" w:type="dxa"/>
              <w:right w:w="108" w:type="dxa"/>
            </w:tcMar>
            <w:vAlign w:val="center"/>
          </w:tcPr>
          <w:p w14:paraId="02EF021E">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递交的证明材料原件如下：</w:t>
            </w:r>
          </w:p>
        </w:tc>
      </w:tr>
      <w:tr w14:paraId="1D0F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noWrap w:val="0"/>
            <w:tcMar>
              <w:left w:w="108" w:type="dxa"/>
              <w:right w:w="108" w:type="dxa"/>
            </w:tcMar>
            <w:vAlign w:val="center"/>
          </w:tcPr>
          <w:p w14:paraId="05582F4C">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序号</w:t>
            </w:r>
          </w:p>
        </w:tc>
        <w:tc>
          <w:tcPr>
            <w:tcW w:w="5125" w:type="dxa"/>
            <w:gridSpan w:val="4"/>
            <w:shd w:val="clear" w:color="auto" w:fill="FFFFFF"/>
            <w:noWrap w:val="0"/>
            <w:tcMar>
              <w:left w:w="108" w:type="dxa"/>
              <w:right w:w="108" w:type="dxa"/>
            </w:tcMar>
            <w:vAlign w:val="center"/>
          </w:tcPr>
          <w:p w14:paraId="559FA8DE">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证明材料原件名称</w:t>
            </w:r>
          </w:p>
        </w:tc>
        <w:tc>
          <w:tcPr>
            <w:tcW w:w="1712" w:type="dxa"/>
            <w:gridSpan w:val="2"/>
            <w:shd w:val="clear" w:color="auto" w:fill="FFFFFF"/>
            <w:noWrap w:val="0"/>
            <w:tcMar>
              <w:left w:w="108" w:type="dxa"/>
              <w:right w:w="108" w:type="dxa"/>
            </w:tcMar>
            <w:vAlign w:val="center"/>
          </w:tcPr>
          <w:p w14:paraId="106B125B">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单位</w:t>
            </w:r>
          </w:p>
        </w:tc>
        <w:tc>
          <w:tcPr>
            <w:tcW w:w="1570" w:type="dxa"/>
            <w:shd w:val="clear" w:color="auto" w:fill="FFFFFF"/>
            <w:noWrap w:val="0"/>
            <w:tcMar>
              <w:left w:w="108" w:type="dxa"/>
              <w:right w:w="108" w:type="dxa"/>
            </w:tcMar>
            <w:vAlign w:val="center"/>
          </w:tcPr>
          <w:p w14:paraId="308476C4">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数量</w:t>
            </w:r>
          </w:p>
        </w:tc>
      </w:tr>
      <w:tr w14:paraId="3F9B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2929E57C">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5125" w:type="dxa"/>
            <w:gridSpan w:val="4"/>
            <w:shd w:val="clear" w:color="000000" w:fill="FFFFFF"/>
            <w:noWrap w:val="0"/>
            <w:tcMar>
              <w:left w:w="108" w:type="dxa"/>
              <w:right w:w="108" w:type="dxa"/>
            </w:tcMar>
            <w:vAlign w:val="center"/>
          </w:tcPr>
          <w:p w14:paraId="4099C3BD">
            <w:pPr>
              <w:jc w:val="center"/>
              <w:rPr>
                <w:rFonts w:hint="eastAsia" w:ascii="宋体" w:hAnsi="宋体" w:eastAsia="宋体" w:cs="宋体"/>
                <w:color w:val="auto"/>
                <w:highlight w:val="none"/>
              </w:rPr>
            </w:pPr>
          </w:p>
        </w:tc>
        <w:tc>
          <w:tcPr>
            <w:tcW w:w="1712" w:type="dxa"/>
            <w:gridSpan w:val="2"/>
            <w:shd w:val="clear" w:color="000000" w:fill="FFFFFF"/>
            <w:noWrap w:val="0"/>
            <w:tcMar>
              <w:left w:w="108" w:type="dxa"/>
              <w:right w:w="108" w:type="dxa"/>
            </w:tcMar>
            <w:vAlign w:val="center"/>
          </w:tcPr>
          <w:p w14:paraId="5839CDEF">
            <w:pPr>
              <w:jc w:val="center"/>
              <w:rPr>
                <w:rFonts w:hint="eastAsia" w:ascii="宋体" w:hAnsi="宋体" w:eastAsia="宋体" w:cs="宋体"/>
                <w:color w:val="auto"/>
                <w:highlight w:val="none"/>
              </w:rPr>
            </w:pPr>
          </w:p>
        </w:tc>
        <w:tc>
          <w:tcPr>
            <w:tcW w:w="1570" w:type="dxa"/>
            <w:shd w:val="clear" w:color="000000" w:fill="FFFFFF"/>
            <w:noWrap w:val="0"/>
            <w:tcMar>
              <w:left w:w="108" w:type="dxa"/>
              <w:right w:w="108" w:type="dxa"/>
            </w:tcMar>
            <w:vAlign w:val="center"/>
          </w:tcPr>
          <w:p w14:paraId="3500F32A">
            <w:pPr>
              <w:jc w:val="center"/>
              <w:rPr>
                <w:rFonts w:hint="eastAsia" w:ascii="宋体" w:hAnsi="宋体" w:eastAsia="宋体" w:cs="宋体"/>
                <w:color w:val="auto"/>
                <w:highlight w:val="none"/>
              </w:rPr>
            </w:pPr>
            <w:r>
              <w:rPr>
                <w:rFonts w:hint="eastAsia" w:ascii="宋体" w:hAnsi="宋体" w:eastAsia="宋体" w:cs="宋体"/>
                <w:color w:val="auto"/>
                <w:highlight w:val="none"/>
              </w:rPr>
              <w:t>　</w:t>
            </w:r>
          </w:p>
        </w:tc>
      </w:tr>
      <w:tr w14:paraId="51A9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7BA16B22">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5125" w:type="dxa"/>
            <w:gridSpan w:val="4"/>
            <w:shd w:val="clear" w:color="000000" w:fill="FFFFFF"/>
            <w:noWrap w:val="0"/>
            <w:tcMar>
              <w:left w:w="108" w:type="dxa"/>
              <w:right w:w="108" w:type="dxa"/>
            </w:tcMar>
            <w:vAlign w:val="center"/>
          </w:tcPr>
          <w:p w14:paraId="514DDB9A">
            <w:pPr>
              <w:jc w:val="center"/>
              <w:rPr>
                <w:rFonts w:hint="eastAsia" w:ascii="宋体" w:hAnsi="宋体" w:eastAsia="宋体" w:cs="宋体"/>
                <w:color w:val="auto"/>
                <w:highlight w:val="none"/>
              </w:rPr>
            </w:pPr>
          </w:p>
        </w:tc>
        <w:tc>
          <w:tcPr>
            <w:tcW w:w="1712" w:type="dxa"/>
            <w:gridSpan w:val="2"/>
            <w:shd w:val="clear" w:color="000000" w:fill="FFFFFF"/>
            <w:noWrap w:val="0"/>
            <w:tcMar>
              <w:left w:w="108" w:type="dxa"/>
              <w:right w:w="108" w:type="dxa"/>
            </w:tcMar>
            <w:vAlign w:val="center"/>
          </w:tcPr>
          <w:p w14:paraId="7AA4DB01">
            <w:pPr>
              <w:jc w:val="center"/>
              <w:rPr>
                <w:rFonts w:hint="eastAsia" w:ascii="宋体" w:hAnsi="宋体" w:eastAsia="宋体" w:cs="宋体"/>
                <w:color w:val="auto"/>
                <w:highlight w:val="none"/>
              </w:rPr>
            </w:pPr>
          </w:p>
        </w:tc>
        <w:tc>
          <w:tcPr>
            <w:tcW w:w="1570" w:type="dxa"/>
            <w:shd w:val="clear" w:color="000000" w:fill="FFFFFF"/>
            <w:noWrap w:val="0"/>
            <w:tcMar>
              <w:left w:w="108" w:type="dxa"/>
              <w:right w:w="108" w:type="dxa"/>
            </w:tcMar>
            <w:vAlign w:val="center"/>
          </w:tcPr>
          <w:p w14:paraId="55C4B9FF">
            <w:pPr>
              <w:jc w:val="center"/>
              <w:rPr>
                <w:rFonts w:hint="eastAsia" w:ascii="宋体" w:hAnsi="宋体" w:eastAsia="宋体" w:cs="宋体"/>
                <w:color w:val="auto"/>
                <w:highlight w:val="none"/>
              </w:rPr>
            </w:pPr>
          </w:p>
        </w:tc>
      </w:tr>
      <w:tr w14:paraId="6E72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7B07D806">
            <w:pPr>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5125" w:type="dxa"/>
            <w:gridSpan w:val="4"/>
            <w:shd w:val="clear" w:color="000000" w:fill="FFFFFF"/>
            <w:noWrap w:val="0"/>
            <w:tcMar>
              <w:left w:w="108" w:type="dxa"/>
              <w:right w:w="108" w:type="dxa"/>
            </w:tcMar>
            <w:vAlign w:val="center"/>
          </w:tcPr>
          <w:p w14:paraId="4843CD22">
            <w:pPr>
              <w:jc w:val="center"/>
              <w:rPr>
                <w:rFonts w:hint="eastAsia" w:ascii="宋体" w:hAnsi="宋体" w:eastAsia="宋体" w:cs="宋体"/>
                <w:color w:val="auto"/>
                <w:highlight w:val="none"/>
              </w:rPr>
            </w:pPr>
          </w:p>
        </w:tc>
        <w:tc>
          <w:tcPr>
            <w:tcW w:w="1712" w:type="dxa"/>
            <w:gridSpan w:val="2"/>
            <w:shd w:val="clear" w:color="000000" w:fill="FFFFFF"/>
            <w:noWrap w:val="0"/>
            <w:tcMar>
              <w:left w:w="108" w:type="dxa"/>
              <w:right w:w="108" w:type="dxa"/>
            </w:tcMar>
            <w:vAlign w:val="center"/>
          </w:tcPr>
          <w:p w14:paraId="041D69FC">
            <w:pPr>
              <w:jc w:val="center"/>
              <w:rPr>
                <w:rFonts w:hint="eastAsia" w:ascii="宋体" w:hAnsi="宋体" w:eastAsia="宋体" w:cs="宋体"/>
                <w:color w:val="auto"/>
                <w:highlight w:val="none"/>
              </w:rPr>
            </w:pPr>
          </w:p>
        </w:tc>
        <w:tc>
          <w:tcPr>
            <w:tcW w:w="1570" w:type="dxa"/>
            <w:shd w:val="clear" w:color="000000" w:fill="FFFFFF"/>
            <w:noWrap w:val="0"/>
            <w:tcMar>
              <w:left w:w="108" w:type="dxa"/>
              <w:right w:w="108" w:type="dxa"/>
            </w:tcMar>
            <w:vAlign w:val="center"/>
          </w:tcPr>
          <w:p w14:paraId="1216FF6A">
            <w:pPr>
              <w:jc w:val="center"/>
              <w:rPr>
                <w:rFonts w:hint="eastAsia" w:ascii="宋体" w:hAnsi="宋体" w:eastAsia="宋体" w:cs="宋体"/>
                <w:color w:val="auto"/>
                <w:highlight w:val="none"/>
              </w:rPr>
            </w:pPr>
          </w:p>
        </w:tc>
      </w:tr>
      <w:tr w14:paraId="27E0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177E8FBB">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5125" w:type="dxa"/>
            <w:gridSpan w:val="4"/>
            <w:shd w:val="clear" w:color="000000" w:fill="FFFFFF"/>
            <w:noWrap w:val="0"/>
            <w:tcMar>
              <w:left w:w="108" w:type="dxa"/>
              <w:right w:w="108" w:type="dxa"/>
            </w:tcMar>
            <w:vAlign w:val="center"/>
          </w:tcPr>
          <w:p w14:paraId="475F2F9E">
            <w:pPr>
              <w:jc w:val="center"/>
              <w:rPr>
                <w:rFonts w:hint="eastAsia" w:ascii="宋体" w:hAnsi="宋体" w:eastAsia="宋体" w:cs="宋体"/>
                <w:color w:val="auto"/>
                <w:highlight w:val="none"/>
              </w:rPr>
            </w:pPr>
          </w:p>
        </w:tc>
        <w:tc>
          <w:tcPr>
            <w:tcW w:w="1712" w:type="dxa"/>
            <w:gridSpan w:val="2"/>
            <w:shd w:val="clear" w:color="000000" w:fill="FFFFFF"/>
            <w:noWrap w:val="0"/>
            <w:tcMar>
              <w:left w:w="108" w:type="dxa"/>
              <w:right w:w="108" w:type="dxa"/>
            </w:tcMar>
            <w:vAlign w:val="center"/>
          </w:tcPr>
          <w:p w14:paraId="744FA12F">
            <w:pPr>
              <w:jc w:val="center"/>
              <w:rPr>
                <w:rFonts w:hint="eastAsia" w:ascii="宋体" w:hAnsi="宋体" w:eastAsia="宋体" w:cs="宋体"/>
                <w:color w:val="auto"/>
                <w:highlight w:val="none"/>
              </w:rPr>
            </w:pPr>
          </w:p>
        </w:tc>
        <w:tc>
          <w:tcPr>
            <w:tcW w:w="1570" w:type="dxa"/>
            <w:shd w:val="clear" w:color="000000" w:fill="FFFFFF"/>
            <w:noWrap w:val="0"/>
            <w:tcMar>
              <w:left w:w="108" w:type="dxa"/>
              <w:right w:w="108" w:type="dxa"/>
            </w:tcMar>
            <w:vAlign w:val="center"/>
          </w:tcPr>
          <w:p w14:paraId="4FE0A12E">
            <w:pPr>
              <w:jc w:val="center"/>
              <w:rPr>
                <w:rFonts w:hint="eastAsia" w:ascii="宋体" w:hAnsi="宋体" w:eastAsia="宋体" w:cs="宋体"/>
                <w:color w:val="auto"/>
                <w:highlight w:val="none"/>
              </w:rPr>
            </w:pPr>
            <w:r>
              <w:rPr>
                <w:rFonts w:hint="eastAsia" w:ascii="宋体" w:hAnsi="宋体" w:eastAsia="宋体" w:cs="宋体"/>
                <w:color w:val="auto"/>
                <w:highlight w:val="none"/>
              </w:rPr>
              <w:t>　</w:t>
            </w:r>
          </w:p>
        </w:tc>
      </w:tr>
      <w:tr w14:paraId="1451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noWrap w:val="0"/>
            <w:tcMar>
              <w:left w:w="108" w:type="dxa"/>
              <w:right w:w="108" w:type="dxa"/>
            </w:tcMar>
            <w:vAlign w:val="center"/>
          </w:tcPr>
          <w:p w14:paraId="7E184362">
            <w:pPr>
              <w:ind w:left="8" w:hanging="94"/>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注意：</w:t>
            </w:r>
          </w:p>
        </w:tc>
        <w:tc>
          <w:tcPr>
            <w:tcW w:w="8407" w:type="dxa"/>
            <w:gridSpan w:val="7"/>
            <w:shd w:val="clear" w:color="auto" w:fill="FFFFFF"/>
            <w:noWrap w:val="0"/>
            <w:tcMar>
              <w:left w:w="108" w:type="dxa"/>
              <w:right w:w="108" w:type="dxa"/>
            </w:tcMar>
            <w:vAlign w:val="center"/>
          </w:tcPr>
          <w:p w14:paraId="34137430">
            <w:pPr>
              <w:ind w:firstLine="480"/>
              <w:rPr>
                <w:rFonts w:hint="eastAsia" w:ascii="宋体" w:hAnsi="宋体" w:eastAsia="宋体" w:cs="宋体"/>
                <w:color w:val="auto"/>
                <w:sz w:val="20"/>
                <w:highlight w:val="none"/>
              </w:rPr>
            </w:pPr>
            <w:r>
              <w:rPr>
                <w:rFonts w:hint="eastAsia" w:ascii="宋体" w:hAnsi="宋体" w:eastAsia="宋体" w:cs="宋体"/>
                <w:color w:val="auto"/>
                <w:sz w:val="20"/>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3A3D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noWrap w:val="0"/>
            <w:tcMar>
              <w:left w:w="108" w:type="dxa"/>
              <w:right w:w="108" w:type="dxa"/>
            </w:tcMar>
            <w:vAlign w:val="center"/>
          </w:tcPr>
          <w:p w14:paraId="11BE785A">
            <w:pPr>
              <w:jc w:val="center"/>
              <w:rPr>
                <w:rFonts w:hint="eastAsia" w:ascii="宋体" w:hAnsi="宋体" w:eastAsia="宋体" w:cs="宋体"/>
                <w:color w:val="auto"/>
                <w:sz w:val="20"/>
                <w:highlight w:val="none"/>
              </w:rPr>
            </w:pPr>
          </w:p>
          <w:p w14:paraId="6432014F">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接收原件经办人(招标代理)：</w:t>
            </w:r>
          </w:p>
        </w:tc>
        <w:tc>
          <w:tcPr>
            <w:tcW w:w="1994" w:type="dxa"/>
            <w:gridSpan w:val="2"/>
            <w:shd w:val="clear" w:color="000000" w:fill="FFFFFF"/>
            <w:noWrap w:val="0"/>
            <w:tcMar>
              <w:left w:w="108" w:type="dxa"/>
              <w:right w:w="108" w:type="dxa"/>
            </w:tcMar>
            <w:vAlign w:val="center"/>
          </w:tcPr>
          <w:p w14:paraId="64EF6556">
            <w:pPr>
              <w:jc w:val="center"/>
              <w:rPr>
                <w:rFonts w:hint="eastAsia" w:ascii="宋体" w:hAnsi="宋体" w:eastAsia="宋体" w:cs="宋体"/>
                <w:color w:val="auto"/>
                <w:sz w:val="20"/>
                <w:highlight w:val="none"/>
              </w:rPr>
            </w:pPr>
          </w:p>
        </w:tc>
        <w:tc>
          <w:tcPr>
            <w:tcW w:w="1625" w:type="dxa"/>
            <w:shd w:val="clear" w:color="000000" w:fill="FFFFFF"/>
            <w:noWrap w:val="0"/>
            <w:tcMar>
              <w:left w:w="108" w:type="dxa"/>
              <w:right w:w="108" w:type="dxa"/>
            </w:tcMar>
            <w:vAlign w:val="center"/>
          </w:tcPr>
          <w:p w14:paraId="2C62D6CD">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接收时间：</w:t>
            </w:r>
          </w:p>
        </w:tc>
        <w:tc>
          <w:tcPr>
            <w:tcW w:w="3282" w:type="dxa"/>
            <w:gridSpan w:val="3"/>
            <w:shd w:val="clear" w:color="000000" w:fill="FFFFFF"/>
            <w:noWrap w:val="0"/>
            <w:tcMar>
              <w:left w:w="108" w:type="dxa"/>
              <w:right w:w="108" w:type="dxa"/>
            </w:tcMar>
            <w:vAlign w:val="center"/>
          </w:tcPr>
          <w:p w14:paraId="41E5D9AB">
            <w:pPr>
              <w:ind w:firstLine="600" w:firstLineChars="300"/>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t>年   月   日   时  分</w:t>
            </w:r>
          </w:p>
        </w:tc>
      </w:tr>
      <w:tr w14:paraId="45B8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000000" w:fill="FFFFFF"/>
            <w:noWrap w:val="0"/>
            <w:tcMar>
              <w:left w:w="108" w:type="dxa"/>
              <w:right w:w="108" w:type="dxa"/>
            </w:tcMar>
            <w:vAlign w:val="center"/>
          </w:tcPr>
          <w:p w14:paraId="0359AF54">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退还原件接收人(投标人)：</w:t>
            </w:r>
          </w:p>
        </w:tc>
        <w:tc>
          <w:tcPr>
            <w:tcW w:w="1994" w:type="dxa"/>
            <w:gridSpan w:val="2"/>
            <w:shd w:val="clear" w:color="000000" w:fill="FFFFFF"/>
            <w:noWrap w:val="0"/>
            <w:tcMar>
              <w:left w:w="108" w:type="dxa"/>
              <w:right w:w="108" w:type="dxa"/>
            </w:tcMar>
            <w:vAlign w:val="center"/>
          </w:tcPr>
          <w:p w14:paraId="77E741D3">
            <w:pPr>
              <w:jc w:val="center"/>
              <w:rPr>
                <w:rFonts w:hint="eastAsia" w:ascii="宋体" w:hAnsi="宋体" w:eastAsia="宋体" w:cs="宋体"/>
                <w:color w:val="auto"/>
                <w:sz w:val="20"/>
                <w:highlight w:val="none"/>
              </w:rPr>
            </w:pPr>
          </w:p>
        </w:tc>
        <w:tc>
          <w:tcPr>
            <w:tcW w:w="1625" w:type="dxa"/>
            <w:shd w:val="clear" w:color="000000" w:fill="FFFFFF"/>
            <w:noWrap w:val="0"/>
            <w:tcMar>
              <w:left w:w="108" w:type="dxa"/>
              <w:right w:w="108" w:type="dxa"/>
            </w:tcMar>
            <w:vAlign w:val="center"/>
          </w:tcPr>
          <w:p w14:paraId="115DC5D1">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退还时间：</w:t>
            </w:r>
          </w:p>
        </w:tc>
        <w:tc>
          <w:tcPr>
            <w:tcW w:w="3282" w:type="dxa"/>
            <w:gridSpan w:val="3"/>
            <w:shd w:val="clear" w:color="000000" w:fill="FFFFFF"/>
            <w:noWrap w:val="0"/>
            <w:tcMar>
              <w:left w:w="108" w:type="dxa"/>
              <w:right w:w="108" w:type="dxa"/>
            </w:tcMar>
            <w:vAlign w:val="center"/>
          </w:tcPr>
          <w:p w14:paraId="01FC9EBC">
            <w:pPr>
              <w:ind w:firstLine="600" w:firstLineChars="300"/>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t>年   月   日   时   分</w:t>
            </w:r>
          </w:p>
        </w:tc>
      </w:tr>
    </w:tbl>
    <w:p w14:paraId="79F98C6B">
      <w:pPr>
        <w:pStyle w:val="74"/>
        <w:widowControl w:val="0"/>
        <w:wordWrap w:val="0"/>
        <w:adjustRightInd w:val="0"/>
        <w:snapToGrid w:val="0"/>
        <w:spacing w:line="400" w:lineRule="exact"/>
        <w:rPr>
          <w:rFonts w:hint="eastAsia" w:ascii="宋体" w:hAnsi="宋体" w:eastAsia="宋体" w:cs="宋体"/>
          <w:snapToGrid w:val="0"/>
          <w:color w:val="auto"/>
          <w:sz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36FA6E8B">
      <w:pPr>
        <w:pStyle w:val="2"/>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369" w:name="_Toc13959"/>
      <w:bookmarkStart w:id="370" w:name="_Toc17586"/>
      <w:r>
        <w:rPr>
          <w:rFonts w:hint="eastAsia" w:ascii="宋体" w:hAnsi="宋体" w:eastAsia="宋体" w:cs="宋体"/>
          <w:b/>
          <w:snapToGrid w:val="0"/>
          <w:color w:val="auto"/>
          <w:sz w:val="24"/>
          <w:highlight w:val="none"/>
        </w:rPr>
        <w:t>第七章 建设工程施工合同</w:t>
      </w:r>
      <w:bookmarkEnd w:id="362"/>
      <w:bookmarkEnd w:id="363"/>
      <w:bookmarkEnd w:id="364"/>
      <w:bookmarkEnd w:id="365"/>
      <w:bookmarkEnd w:id="366"/>
      <w:bookmarkEnd w:id="369"/>
      <w:bookmarkEnd w:id="370"/>
    </w:p>
    <w:p w14:paraId="0A013BA5">
      <w:pPr>
        <w:wordWrap w:val="0"/>
        <w:adjustRightInd w:val="0"/>
        <w:snapToGrid w:val="0"/>
        <w:spacing w:line="440" w:lineRule="exact"/>
        <w:rPr>
          <w:rFonts w:hint="eastAsia" w:ascii="宋体" w:hAnsi="宋体" w:eastAsia="宋体" w:cs="宋体"/>
          <w:snapToGrid w:val="0"/>
          <w:color w:val="auto"/>
          <w:kern w:val="0"/>
          <w:highlight w:val="none"/>
        </w:rPr>
      </w:pPr>
    </w:p>
    <w:p w14:paraId="33681202">
      <w:pPr>
        <w:wordWrap w:val="0"/>
        <w:adjustRightInd w:val="0"/>
        <w:snapToGrid w:val="0"/>
        <w:spacing w:line="440" w:lineRule="exac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（略），</w:t>
      </w:r>
      <w:bookmarkEnd w:id="367"/>
      <w:bookmarkEnd w:id="368"/>
      <w:r>
        <w:rPr>
          <w:rFonts w:hint="eastAsia" w:ascii="宋体" w:hAnsi="宋体" w:eastAsia="宋体" w:cs="宋体"/>
          <w:snapToGrid w:val="0"/>
          <w:color w:val="auto"/>
          <w:kern w:val="0"/>
          <w:highlight w:val="none"/>
        </w:rPr>
        <w:t>按《广东省建设工程标准施工合同》（2009年版）或《建设工程施工合同（示范文本）》（GF—2017—0201）执行。</w:t>
      </w:r>
    </w:p>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69D89">
    <w:pPr>
      <w:pStyle w:val="19"/>
      <w:pBdr>
        <w:between w:val="none" w:color="auto" w:sz="0" w:space="0"/>
      </w:pBdr>
      <w:rPr>
        <w:rFonts w:hint="eastAsia"/>
      </w:rPr>
    </w:pPr>
  </w:p>
  <w:p w14:paraId="4472F7EC">
    <w:pPr>
      <w:pStyle w:val="19"/>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759D6">
    <w:pPr>
      <w:pStyle w:val="19"/>
      <w:pBdr>
        <w:between w:val="none" w:color="auto" w:sz="0"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6C9EB6">
                          <w:pPr>
                            <w:pStyle w:val="19"/>
                            <w:rPr>
                              <w:rFonts w:hint="eastAsia"/>
                            </w:rPr>
                          </w:pPr>
                          <w:r>
                            <w:rPr>
                              <w:rFonts w:hint="eastAsia" w:ascii="Times New Roman"/>
                              <w:sz w:val="21"/>
                            </w:rPr>
                            <w:t>—</w:t>
                          </w:r>
                          <w:r>
                            <w:rPr>
                              <w:rFonts w:hint="eastAsia" w:ascii="宋体" w:hAnsi="宋体" w:eastAsia="宋体" w:cs="宋体"/>
                              <w:sz w:val="21"/>
                            </w:rPr>
                            <w:fldChar w:fldCharType="begin"/>
                          </w:r>
                          <w:r>
                            <w:rPr>
                              <w:rFonts w:hint="eastAsia" w:ascii="宋体" w:hAnsi="宋体" w:eastAsia="宋体" w:cs="宋体"/>
                              <w:sz w:val="21"/>
                            </w:rPr>
                            <w:instrText xml:space="preserve"> PAGE  \* MERGEFORMAT </w:instrText>
                          </w:r>
                          <w:r>
                            <w:rPr>
                              <w:rFonts w:hint="eastAsia" w:ascii="宋体" w:hAnsi="宋体" w:eastAsia="宋体" w:cs="宋体"/>
                              <w:sz w:val="21"/>
                            </w:rPr>
                            <w:fldChar w:fldCharType="separate"/>
                          </w:r>
                          <w:r>
                            <w:rPr>
                              <w:rFonts w:hint="eastAsia" w:ascii="宋体" w:hAnsi="宋体" w:eastAsia="宋体" w:cs="宋体"/>
                            </w:rPr>
                            <w:t>54</w:t>
                          </w:r>
                          <w:r>
                            <w:rPr>
                              <w:rFonts w:hint="eastAsia" w:ascii="宋体" w:hAnsi="宋体" w:eastAsia="宋体" w:cs="宋体"/>
                              <w:sz w:val="21"/>
                            </w:rPr>
                            <w:fldChar w:fldCharType="end"/>
                          </w:r>
                          <w:r>
                            <w:rPr>
                              <w:rFonts w:hint="eastAsia" w:ascii="Times New Roman"/>
                              <w:sz w:val="21"/>
                            </w:rPr>
                            <w:t>—</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2tjnsoBAACaAwAADgAAAGRycy9lMm9Eb2MueG1srVPNjtMwEL4j8Q6W&#10;79TZrgR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fUOK4xYmff3w///x9/vWN&#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2tjnsoBAACaAwAADgAAAAAAAAABACAAAAAeAQAAZHJzL2Uyb0Rv&#10;Yy54bWxQSwUGAAAAAAYABgBZAQAAWgUAAAAA&#10;">
              <v:fill on="f" focussize="0,0"/>
              <v:stroke on="f"/>
              <v:imagedata o:title=""/>
              <o:lock v:ext="edit" aspectratio="f"/>
              <v:textbox inset="0mm,0mm,0mm,0mm" style="mso-fit-shape-to-text:t;">
                <w:txbxContent>
                  <w:p w14:paraId="726C9EB6">
                    <w:pPr>
                      <w:pStyle w:val="19"/>
                      <w:rPr>
                        <w:rFonts w:hint="eastAsia"/>
                      </w:rPr>
                    </w:pPr>
                    <w:r>
                      <w:rPr>
                        <w:rFonts w:hint="eastAsia" w:ascii="Times New Roman"/>
                        <w:sz w:val="21"/>
                      </w:rPr>
                      <w:t>—</w:t>
                    </w:r>
                    <w:r>
                      <w:rPr>
                        <w:rFonts w:hint="eastAsia" w:ascii="宋体" w:hAnsi="宋体" w:eastAsia="宋体" w:cs="宋体"/>
                        <w:sz w:val="21"/>
                      </w:rPr>
                      <w:fldChar w:fldCharType="begin"/>
                    </w:r>
                    <w:r>
                      <w:rPr>
                        <w:rFonts w:hint="eastAsia" w:ascii="宋体" w:hAnsi="宋体" w:eastAsia="宋体" w:cs="宋体"/>
                        <w:sz w:val="21"/>
                      </w:rPr>
                      <w:instrText xml:space="preserve"> PAGE  \* MERGEFORMAT </w:instrText>
                    </w:r>
                    <w:r>
                      <w:rPr>
                        <w:rFonts w:hint="eastAsia" w:ascii="宋体" w:hAnsi="宋体" w:eastAsia="宋体" w:cs="宋体"/>
                        <w:sz w:val="21"/>
                      </w:rPr>
                      <w:fldChar w:fldCharType="separate"/>
                    </w:r>
                    <w:r>
                      <w:rPr>
                        <w:rFonts w:hint="eastAsia" w:ascii="宋体" w:hAnsi="宋体" w:eastAsia="宋体" w:cs="宋体"/>
                      </w:rPr>
                      <w:t>54</w:t>
                    </w:r>
                    <w:r>
                      <w:rPr>
                        <w:rFonts w:hint="eastAsia" w:ascii="宋体" w:hAnsi="宋体" w:eastAsia="宋体" w:cs="宋体"/>
                        <w:sz w:val="21"/>
                      </w:rPr>
                      <w:fldChar w:fldCharType="end"/>
                    </w:r>
                    <w:r>
                      <w:rPr>
                        <w:rFonts w:hint="eastAsia" w:ascii="Times New Roman"/>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MjY2NzBhZWQ3Zjc5NDdhZTU5NDg5NTA0ZGM3N2UifQ=="/>
    <w:docVar w:name="KSO_WPS_MARK_KEY" w:val="339fc04a-30c4-466d-ab1a-b9d928989bea"/>
  </w:docVars>
  <w:rsids>
    <w:rsidRoot w:val="00172A27"/>
    <w:rsid w:val="000813CE"/>
    <w:rsid w:val="00156E02"/>
    <w:rsid w:val="001740E2"/>
    <w:rsid w:val="00204CA9"/>
    <w:rsid w:val="00253E2F"/>
    <w:rsid w:val="004804C4"/>
    <w:rsid w:val="00485BD6"/>
    <w:rsid w:val="004A677C"/>
    <w:rsid w:val="005D2C6E"/>
    <w:rsid w:val="00662AF1"/>
    <w:rsid w:val="00735061"/>
    <w:rsid w:val="00783750"/>
    <w:rsid w:val="008859E0"/>
    <w:rsid w:val="008B6453"/>
    <w:rsid w:val="00947E79"/>
    <w:rsid w:val="00976E7B"/>
    <w:rsid w:val="009E1A7B"/>
    <w:rsid w:val="009E7023"/>
    <w:rsid w:val="009F585C"/>
    <w:rsid w:val="00C4516D"/>
    <w:rsid w:val="00D5717A"/>
    <w:rsid w:val="01065CF6"/>
    <w:rsid w:val="011A0428"/>
    <w:rsid w:val="011F3697"/>
    <w:rsid w:val="013A3F8C"/>
    <w:rsid w:val="01635D69"/>
    <w:rsid w:val="01D953BA"/>
    <w:rsid w:val="020227A1"/>
    <w:rsid w:val="021717B9"/>
    <w:rsid w:val="02227179"/>
    <w:rsid w:val="02FC76B4"/>
    <w:rsid w:val="03315C3D"/>
    <w:rsid w:val="034C6D1C"/>
    <w:rsid w:val="035B58E7"/>
    <w:rsid w:val="03D006DB"/>
    <w:rsid w:val="04061CFF"/>
    <w:rsid w:val="041025A8"/>
    <w:rsid w:val="041341B1"/>
    <w:rsid w:val="04CB5FDF"/>
    <w:rsid w:val="04EB042F"/>
    <w:rsid w:val="05235E1B"/>
    <w:rsid w:val="05533E9B"/>
    <w:rsid w:val="05717EE4"/>
    <w:rsid w:val="057E6B27"/>
    <w:rsid w:val="06127454"/>
    <w:rsid w:val="065C6C4B"/>
    <w:rsid w:val="066300E8"/>
    <w:rsid w:val="06A32407"/>
    <w:rsid w:val="06C4753C"/>
    <w:rsid w:val="06CB210C"/>
    <w:rsid w:val="06CC5B3F"/>
    <w:rsid w:val="07031B00"/>
    <w:rsid w:val="072C105E"/>
    <w:rsid w:val="07311844"/>
    <w:rsid w:val="0732071C"/>
    <w:rsid w:val="07594EB4"/>
    <w:rsid w:val="076B1CFB"/>
    <w:rsid w:val="07852DBD"/>
    <w:rsid w:val="07982AEC"/>
    <w:rsid w:val="07A251EE"/>
    <w:rsid w:val="07D62FDE"/>
    <w:rsid w:val="082A5712"/>
    <w:rsid w:val="0837398B"/>
    <w:rsid w:val="08472853"/>
    <w:rsid w:val="0878647D"/>
    <w:rsid w:val="08D32CA6"/>
    <w:rsid w:val="08DB54AE"/>
    <w:rsid w:val="09573962"/>
    <w:rsid w:val="0957416C"/>
    <w:rsid w:val="0958005D"/>
    <w:rsid w:val="09AA019F"/>
    <w:rsid w:val="09CE23B5"/>
    <w:rsid w:val="0A0A7E5D"/>
    <w:rsid w:val="0A345888"/>
    <w:rsid w:val="0A860745"/>
    <w:rsid w:val="0ADD2F10"/>
    <w:rsid w:val="0B112BB9"/>
    <w:rsid w:val="0B337C85"/>
    <w:rsid w:val="0B3F61A8"/>
    <w:rsid w:val="0B4B1C27"/>
    <w:rsid w:val="0B957346"/>
    <w:rsid w:val="0B9D0C4F"/>
    <w:rsid w:val="0BAF665A"/>
    <w:rsid w:val="0C264F0A"/>
    <w:rsid w:val="0C473915"/>
    <w:rsid w:val="0C5965C6"/>
    <w:rsid w:val="0C6F50D1"/>
    <w:rsid w:val="0C982D80"/>
    <w:rsid w:val="0CAD246E"/>
    <w:rsid w:val="0CC207F1"/>
    <w:rsid w:val="0CE56967"/>
    <w:rsid w:val="0D161723"/>
    <w:rsid w:val="0D366D45"/>
    <w:rsid w:val="0D4232B6"/>
    <w:rsid w:val="0D53151A"/>
    <w:rsid w:val="0DB20DDC"/>
    <w:rsid w:val="0E054EB6"/>
    <w:rsid w:val="0E1919B2"/>
    <w:rsid w:val="0EA35515"/>
    <w:rsid w:val="0EAD2C13"/>
    <w:rsid w:val="0EB977F0"/>
    <w:rsid w:val="0F427539"/>
    <w:rsid w:val="0F8B63BB"/>
    <w:rsid w:val="0F933B9D"/>
    <w:rsid w:val="0FB5646C"/>
    <w:rsid w:val="10162E29"/>
    <w:rsid w:val="101B48E8"/>
    <w:rsid w:val="10223C6A"/>
    <w:rsid w:val="102739F7"/>
    <w:rsid w:val="10336C65"/>
    <w:rsid w:val="1055163A"/>
    <w:rsid w:val="10637A6B"/>
    <w:rsid w:val="10817DC1"/>
    <w:rsid w:val="10B416E8"/>
    <w:rsid w:val="10C42F37"/>
    <w:rsid w:val="10CD6A2A"/>
    <w:rsid w:val="10DF5DAE"/>
    <w:rsid w:val="10E70644"/>
    <w:rsid w:val="11024F3F"/>
    <w:rsid w:val="114C494B"/>
    <w:rsid w:val="11934328"/>
    <w:rsid w:val="11C404D9"/>
    <w:rsid w:val="123635C4"/>
    <w:rsid w:val="124226EB"/>
    <w:rsid w:val="12815A20"/>
    <w:rsid w:val="129920B1"/>
    <w:rsid w:val="12A80195"/>
    <w:rsid w:val="12C12CBB"/>
    <w:rsid w:val="135F0966"/>
    <w:rsid w:val="138B03FE"/>
    <w:rsid w:val="14060DE1"/>
    <w:rsid w:val="149D77CF"/>
    <w:rsid w:val="15226C56"/>
    <w:rsid w:val="153C6A85"/>
    <w:rsid w:val="153E45AB"/>
    <w:rsid w:val="15B42ABF"/>
    <w:rsid w:val="15C12761"/>
    <w:rsid w:val="160F6D81"/>
    <w:rsid w:val="162B0E39"/>
    <w:rsid w:val="163E52CD"/>
    <w:rsid w:val="16465E0D"/>
    <w:rsid w:val="16825090"/>
    <w:rsid w:val="16B20DAC"/>
    <w:rsid w:val="16DD6444"/>
    <w:rsid w:val="16F17BE3"/>
    <w:rsid w:val="1751770F"/>
    <w:rsid w:val="17B95607"/>
    <w:rsid w:val="183C2959"/>
    <w:rsid w:val="184719C8"/>
    <w:rsid w:val="18534570"/>
    <w:rsid w:val="18A80D52"/>
    <w:rsid w:val="18C36995"/>
    <w:rsid w:val="18FF1058"/>
    <w:rsid w:val="1986632D"/>
    <w:rsid w:val="19C37774"/>
    <w:rsid w:val="1A232E93"/>
    <w:rsid w:val="1A6554FA"/>
    <w:rsid w:val="1A9F7572"/>
    <w:rsid w:val="1AE6196C"/>
    <w:rsid w:val="1AF5570C"/>
    <w:rsid w:val="1B21189C"/>
    <w:rsid w:val="1B9D1DD5"/>
    <w:rsid w:val="1BEF6DFD"/>
    <w:rsid w:val="1BF06998"/>
    <w:rsid w:val="1C1545C5"/>
    <w:rsid w:val="1C5635D6"/>
    <w:rsid w:val="1C744DB0"/>
    <w:rsid w:val="1C7562B0"/>
    <w:rsid w:val="1D141CAC"/>
    <w:rsid w:val="1D55171C"/>
    <w:rsid w:val="1D69459E"/>
    <w:rsid w:val="1D742D80"/>
    <w:rsid w:val="1DB02AA1"/>
    <w:rsid w:val="1DE1641B"/>
    <w:rsid w:val="1E76451C"/>
    <w:rsid w:val="1ECB21F4"/>
    <w:rsid w:val="1F26151A"/>
    <w:rsid w:val="1F6F04E9"/>
    <w:rsid w:val="1F8F29A7"/>
    <w:rsid w:val="1FB73684"/>
    <w:rsid w:val="1FDA10C4"/>
    <w:rsid w:val="1FF42F10"/>
    <w:rsid w:val="2036210F"/>
    <w:rsid w:val="206E2053"/>
    <w:rsid w:val="20713F99"/>
    <w:rsid w:val="207B66B3"/>
    <w:rsid w:val="21224762"/>
    <w:rsid w:val="218A22F4"/>
    <w:rsid w:val="218D0B38"/>
    <w:rsid w:val="2192066D"/>
    <w:rsid w:val="219569C3"/>
    <w:rsid w:val="21DB149C"/>
    <w:rsid w:val="226B1A58"/>
    <w:rsid w:val="226C0772"/>
    <w:rsid w:val="227E0643"/>
    <w:rsid w:val="230C3197"/>
    <w:rsid w:val="23381CEE"/>
    <w:rsid w:val="234E0189"/>
    <w:rsid w:val="23713D9D"/>
    <w:rsid w:val="23E9602A"/>
    <w:rsid w:val="23FD1838"/>
    <w:rsid w:val="24132B71"/>
    <w:rsid w:val="24962A42"/>
    <w:rsid w:val="24BA4892"/>
    <w:rsid w:val="24EF141E"/>
    <w:rsid w:val="25236495"/>
    <w:rsid w:val="254A2AF8"/>
    <w:rsid w:val="25A16BBC"/>
    <w:rsid w:val="25BD5A88"/>
    <w:rsid w:val="25C04D26"/>
    <w:rsid w:val="25CD411B"/>
    <w:rsid w:val="26393298"/>
    <w:rsid w:val="26526878"/>
    <w:rsid w:val="26730090"/>
    <w:rsid w:val="26A5092E"/>
    <w:rsid w:val="26D43BC6"/>
    <w:rsid w:val="26DC6022"/>
    <w:rsid w:val="27001050"/>
    <w:rsid w:val="270B2978"/>
    <w:rsid w:val="271433BD"/>
    <w:rsid w:val="27303202"/>
    <w:rsid w:val="28096C9A"/>
    <w:rsid w:val="286E29AA"/>
    <w:rsid w:val="28BE4088"/>
    <w:rsid w:val="290B64C5"/>
    <w:rsid w:val="29135C0E"/>
    <w:rsid w:val="29421D31"/>
    <w:rsid w:val="299F64A8"/>
    <w:rsid w:val="2A251746"/>
    <w:rsid w:val="2AC27A05"/>
    <w:rsid w:val="2B4166E9"/>
    <w:rsid w:val="2B66641F"/>
    <w:rsid w:val="2BDD46C6"/>
    <w:rsid w:val="2BFE4F67"/>
    <w:rsid w:val="2C0B1A81"/>
    <w:rsid w:val="2C183670"/>
    <w:rsid w:val="2C290723"/>
    <w:rsid w:val="2C4D3FF3"/>
    <w:rsid w:val="2C4F43C7"/>
    <w:rsid w:val="2C724190"/>
    <w:rsid w:val="2D38581D"/>
    <w:rsid w:val="2D4B4E2D"/>
    <w:rsid w:val="2D51162C"/>
    <w:rsid w:val="2D930C39"/>
    <w:rsid w:val="2D973D96"/>
    <w:rsid w:val="2DAD3E66"/>
    <w:rsid w:val="2DF51B3E"/>
    <w:rsid w:val="2E1D2B43"/>
    <w:rsid w:val="2E204C18"/>
    <w:rsid w:val="2E2F0ABD"/>
    <w:rsid w:val="2E6B5FB9"/>
    <w:rsid w:val="2E6E34C0"/>
    <w:rsid w:val="2F2F348A"/>
    <w:rsid w:val="2F3C5BA7"/>
    <w:rsid w:val="2F3E191F"/>
    <w:rsid w:val="2F896F93"/>
    <w:rsid w:val="2FDA63FB"/>
    <w:rsid w:val="30105A39"/>
    <w:rsid w:val="3018665F"/>
    <w:rsid w:val="303074BA"/>
    <w:rsid w:val="303C57F4"/>
    <w:rsid w:val="30536D05"/>
    <w:rsid w:val="305A2B4D"/>
    <w:rsid w:val="307D4226"/>
    <w:rsid w:val="30B30AAC"/>
    <w:rsid w:val="30B337A6"/>
    <w:rsid w:val="30C222D2"/>
    <w:rsid w:val="30C85944"/>
    <w:rsid w:val="30D501D4"/>
    <w:rsid w:val="31210BB1"/>
    <w:rsid w:val="317433D6"/>
    <w:rsid w:val="31A041CB"/>
    <w:rsid w:val="31D51879"/>
    <w:rsid w:val="31DE6AA2"/>
    <w:rsid w:val="322104CD"/>
    <w:rsid w:val="32A63A63"/>
    <w:rsid w:val="32BE2779"/>
    <w:rsid w:val="32D305D1"/>
    <w:rsid w:val="33182487"/>
    <w:rsid w:val="33266BDE"/>
    <w:rsid w:val="33377574"/>
    <w:rsid w:val="33557238"/>
    <w:rsid w:val="34117689"/>
    <w:rsid w:val="342C1BED"/>
    <w:rsid w:val="34437F20"/>
    <w:rsid w:val="352D168F"/>
    <w:rsid w:val="35586B6B"/>
    <w:rsid w:val="35812CF5"/>
    <w:rsid w:val="35EA0C71"/>
    <w:rsid w:val="35F15BE6"/>
    <w:rsid w:val="35F55F65"/>
    <w:rsid w:val="360A3E4F"/>
    <w:rsid w:val="361C403D"/>
    <w:rsid w:val="36211653"/>
    <w:rsid w:val="362700CC"/>
    <w:rsid w:val="36436AD9"/>
    <w:rsid w:val="365B7948"/>
    <w:rsid w:val="36653C36"/>
    <w:rsid w:val="369F1D0C"/>
    <w:rsid w:val="36F80606"/>
    <w:rsid w:val="36FE3E1F"/>
    <w:rsid w:val="37935F95"/>
    <w:rsid w:val="383D25F2"/>
    <w:rsid w:val="38841C4D"/>
    <w:rsid w:val="389B38FE"/>
    <w:rsid w:val="38EE5BAC"/>
    <w:rsid w:val="390F3BFF"/>
    <w:rsid w:val="39143A18"/>
    <w:rsid w:val="39387BD3"/>
    <w:rsid w:val="39644BE0"/>
    <w:rsid w:val="398B779E"/>
    <w:rsid w:val="398C62F9"/>
    <w:rsid w:val="39DF5703"/>
    <w:rsid w:val="3A005EB0"/>
    <w:rsid w:val="3A091E3B"/>
    <w:rsid w:val="3A096720"/>
    <w:rsid w:val="3A38094F"/>
    <w:rsid w:val="3A385253"/>
    <w:rsid w:val="3B0D7690"/>
    <w:rsid w:val="3B5A482F"/>
    <w:rsid w:val="3BAB6E46"/>
    <w:rsid w:val="3BB50377"/>
    <w:rsid w:val="3BE9676F"/>
    <w:rsid w:val="3C501C16"/>
    <w:rsid w:val="3C6B3628"/>
    <w:rsid w:val="3C890B1C"/>
    <w:rsid w:val="3CDC0368"/>
    <w:rsid w:val="3CE82F45"/>
    <w:rsid w:val="3CF27EE4"/>
    <w:rsid w:val="3D142020"/>
    <w:rsid w:val="3D90085D"/>
    <w:rsid w:val="3DA821F1"/>
    <w:rsid w:val="3DCE34F0"/>
    <w:rsid w:val="3DE93F38"/>
    <w:rsid w:val="3DFA3EDF"/>
    <w:rsid w:val="3E3642DC"/>
    <w:rsid w:val="3E94568C"/>
    <w:rsid w:val="3EF77497"/>
    <w:rsid w:val="3F47212A"/>
    <w:rsid w:val="3F95226A"/>
    <w:rsid w:val="3FBB5D0C"/>
    <w:rsid w:val="3FC61702"/>
    <w:rsid w:val="40295CD4"/>
    <w:rsid w:val="40876255"/>
    <w:rsid w:val="408847A8"/>
    <w:rsid w:val="40F564A2"/>
    <w:rsid w:val="41406E31"/>
    <w:rsid w:val="414836DE"/>
    <w:rsid w:val="4173714A"/>
    <w:rsid w:val="41A35612"/>
    <w:rsid w:val="41EC0D67"/>
    <w:rsid w:val="42240113"/>
    <w:rsid w:val="42783DA7"/>
    <w:rsid w:val="42A4461E"/>
    <w:rsid w:val="42B526FB"/>
    <w:rsid w:val="42DE3A88"/>
    <w:rsid w:val="42E020F1"/>
    <w:rsid w:val="432F1B40"/>
    <w:rsid w:val="435A387A"/>
    <w:rsid w:val="4415344F"/>
    <w:rsid w:val="44250560"/>
    <w:rsid w:val="4439334D"/>
    <w:rsid w:val="4484172B"/>
    <w:rsid w:val="44A818BD"/>
    <w:rsid w:val="44C90CE4"/>
    <w:rsid w:val="44F3240C"/>
    <w:rsid w:val="45307B43"/>
    <w:rsid w:val="453411E9"/>
    <w:rsid w:val="454E4597"/>
    <w:rsid w:val="458B507A"/>
    <w:rsid w:val="45CE4402"/>
    <w:rsid w:val="45D16987"/>
    <w:rsid w:val="462C48A5"/>
    <w:rsid w:val="4666543F"/>
    <w:rsid w:val="46830038"/>
    <w:rsid w:val="46A3216A"/>
    <w:rsid w:val="46B20A58"/>
    <w:rsid w:val="46BD7176"/>
    <w:rsid w:val="46C4592F"/>
    <w:rsid w:val="4759106A"/>
    <w:rsid w:val="477D10DD"/>
    <w:rsid w:val="47D51828"/>
    <w:rsid w:val="484D14FE"/>
    <w:rsid w:val="48CB6044"/>
    <w:rsid w:val="48D507A7"/>
    <w:rsid w:val="491F2342"/>
    <w:rsid w:val="493C6C84"/>
    <w:rsid w:val="49516671"/>
    <w:rsid w:val="49ED3E05"/>
    <w:rsid w:val="4A2C1F1B"/>
    <w:rsid w:val="4A2D0433"/>
    <w:rsid w:val="4A6D370F"/>
    <w:rsid w:val="4A927004"/>
    <w:rsid w:val="4AA462C2"/>
    <w:rsid w:val="4AB17999"/>
    <w:rsid w:val="4AD17C6A"/>
    <w:rsid w:val="4ADD673C"/>
    <w:rsid w:val="4AFD42C5"/>
    <w:rsid w:val="4BEC431A"/>
    <w:rsid w:val="4C26753E"/>
    <w:rsid w:val="4C7D6B0F"/>
    <w:rsid w:val="4C83676C"/>
    <w:rsid w:val="4CEE1D65"/>
    <w:rsid w:val="4CF54FD3"/>
    <w:rsid w:val="4CFB6302"/>
    <w:rsid w:val="4D0D7455"/>
    <w:rsid w:val="4D153868"/>
    <w:rsid w:val="4D184DDC"/>
    <w:rsid w:val="4D305F93"/>
    <w:rsid w:val="4DCB3F26"/>
    <w:rsid w:val="4DE60D60"/>
    <w:rsid w:val="4DE906B8"/>
    <w:rsid w:val="4E034506"/>
    <w:rsid w:val="4E9D3A56"/>
    <w:rsid w:val="4ED06ACC"/>
    <w:rsid w:val="4EF11423"/>
    <w:rsid w:val="4F9D61B1"/>
    <w:rsid w:val="500A476B"/>
    <w:rsid w:val="50154140"/>
    <w:rsid w:val="501B7800"/>
    <w:rsid w:val="5076449B"/>
    <w:rsid w:val="511424B5"/>
    <w:rsid w:val="5167777C"/>
    <w:rsid w:val="51E341EA"/>
    <w:rsid w:val="51EE072E"/>
    <w:rsid w:val="521F6F37"/>
    <w:rsid w:val="52831CC6"/>
    <w:rsid w:val="52DD4AA0"/>
    <w:rsid w:val="53334E5E"/>
    <w:rsid w:val="53414F13"/>
    <w:rsid w:val="53C02167"/>
    <w:rsid w:val="53EC2E48"/>
    <w:rsid w:val="545A2A0D"/>
    <w:rsid w:val="54DB6CF8"/>
    <w:rsid w:val="550860CF"/>
    <w:rsid w:val="553053B0"/>
    <w:rsid w:val="55490F06"/>
    <w:rsid w:val="558419F7"/>
    <w:rsid w:val="55843DEA"/>
    <w:rsid w:val="565572D8"/>
    <w:rsid w:val="56B87FEA"/>
    <w:rsid w:val="577E6AC5"/>
    <w:rsid w:val="57971413"/>
    <w:rsid w:val="57ED15F0"/>
    <w:rsid w:val="587F6039"/>
    <w:rsid w:val="58CF6A0F"/>
    <w:rsid w:val="58E30CBE"/>
    <w:rsid w:val="59326E77"/>
    <w:rsid w:val="59A63D9B"/>
    <w:rsid w:val="59BE7B1D"/>
    <w:rsid w:val="59C53DD7"/>
    <w:rsid w:val="59CD3A40"/>
    <w:rsid w:val="59D61BA3"/>
    <w:rsid w:val="5A9A7FEA"/>
    <w:rsid w:val="5AB3121A"/>
    <w:rsid w:val="5AD7215D"/>
    <w:rsid w:val="5B2B56DE"/>
    <w:rsid w:val="5B8272E2"/>
    <w:rsid w:val="5BA1515F"/>
    <w:rsid w:val="5BC64949"/>
    <w:rsid w:val="5C8A5924"/>
    <w:rsid w:val="5CD361A8"/>
    <w:rsid w:val="5CE45E53"/>
    <w:rsid w:val="5CED5785"/>
    <w:rsid w:val="5CFA7B59"/>
    <w:rsid w:val="5D081B2B"/>
    <w:rsid w:val="5D7E531B"/>
    <w:rsid w:val="5DDF1B27"/>
    <w:rsid w:val="5DFF4CA0"/>
    <w:rsid w:val="5E162F9C"/>
    <w:rsid w:val="5E23390B"/>
    <w:rsid w:val="5E806055"/>
    <w:rsid w:val="5EA252A9"/>
    <w:rsid w:val="5EFC720B"/>
    <w:rsid w:val="5F335282"/>
    <w:rsid w:val="5F456F62"/>
    <w:rsid w:val="5F6850AE"/>
    <w:rsid w:val="5FA338FA"/>
    <w:rsid w:val="5FB971CA"/>
    <w:rsid w:val="5FC15189"/>
    <w:rsid w:val="5FDA7209"/>
    <w:rsid w:val="5FE7724F"/>
    <w:rsid w:val="608839CA"/>
    <w:rsid w:val="60E94998"/>
    <w:rsid w:val="61144667"/>
    <w:rsid w:val="61810B92"/>
    <w:rsid w:val="61A134C4"/>
    <w:rsid w:val="61D2232C"/>
    <w:rsid w:val="61EA1238"/>
    <w:rsid w:val="61EE5FDE"/>
    <w:rsid w:val="61FD278D"/>
    <w:rsid w:val="626E7E8B"/>
    <w:rsid w:val="62EF7FF6"/>
    <w:rsid w:val="636812F3"/>
    <w:rsid w:val="63BB50B2"/>
    <w:rsid w:val="647257A1"/>
    <w:rsid w:val="64BD6E23"/>
    <w:rsid w:val="64E9313E"/>
    <w:rsid w:val="64FE49C2"/>
    <w:rsid w:val="656C0B78"/>
    <w:rsid w:val="657219D1"/>
    <w:rsid w:val="65B348B5"/>
    <w:rsid w:val="660404C6"/>
    <w:rsid w:val="66136878"/>
    <w:rsid w:val="661E19B4"/>
    <w:rsid w:val="662D2233"/>
    <w:rsid w:val="66594E7C"/>
    <w:rsid w:val="66717333"/>
    <w:rsid w:val="66C043ED"/>
    <w:rsid w:val="66C11F13"/>
    <w:rsid w:val="66E57306"/>
    <w:rsid w:val="670D43FE"/>
    <w:rsid w:val="674622CC"/>
    <w:rsid w:val="674F55EC"/>
    <w:rsid w:val="67553AAB"/>
    <w:rsid w:val="676A713E"/>
    <w:rsid w:val="676F0E01"/>
    <w:rsid w:val="67830574"/>
    <w:rsid w:val="67B176A0"/>
    <w:rsid w:val="67DB2196"/>
    <w:rsid w:val="681D04F5"/>
    <w:rsid w:val="68667456"/>
    <w:rsid w:val="68A76E4E"/>
    <w:rsid w:val="68D97D4B"/>
    <w:rsid w:val="68F8079F"/>
    <w:rsid w:val="6919541B"/>
    <w:rsid w:val="69CA10DE"/>
    <w:rsid w:val="6A090914"/>
    <w:rsid w:val="6A60658C"/>
    <w:rsid w:val="6AF64BE0"/>
    <w:rsid w:val="6B306F2E"/>
    <w:rsid w:val="6BED7202"/>
    <w:rsid w:val="6BF14433"/>
    <w:rsid w:val="6C4C35F0"/>
    <w:rsid w:val="6C986FDB"/>
    <w:rsid w:val="6CC961B8"/>
    <w:rsid w:val="6D390A55"/>
    <w:rsid w:val="6D594D13"/>
    <w:rsid w:val="6D9258E0"/>
    <w:rsid w:val="6DA25CBE"/>
    <w:rsid w:val="6DD24CB8"/>
    <w:rsid w:val="6E385CCB"/>
    <w:rsid w:val="6E3D4575"/>
    <w:rsid w:val="6E4121AE"/>
    <w:rsid w:val="6E435064"/>
    <w:rsid w:val="6E530EB1"/>
    <w:rsid w:val="6E8B56BC"/>
    <w:rsid w:val="6EB45747"/>
    <w:rsid w:val="6EED58A5"/>
    <w:rsid w:val="6F37578E"/>
    <w:rsid w:val="6F8306AD"/>
    <w:rsid w:val="6FA80114"/>
    <w:rsid w:val="700C06A3"/>
    <w:rsid w:val="703A1840"/>
    <w:rsid w:val="705F3682"/>
    <w:rsid w:val="70B328CC"/>
    <w:rsid w:val="70F7175E"/>
    <w:rsid w:val="70F8517F"/>
    <w:rsid w:val="71540B5A"/>
    <w:rsid w:val="71861FE4"/>
    <w:rsid w:val="71EA67C2"/>
    <w:rsid w:val="71F238C8"/>
    <w:rsid w:val="72702E0F"/>
    <w:rsid w:val="72A43708"/>
    <w:rsid w:val="72D9462C"/>
    <w:rsid w:val="72EB5955"/>
    <w:rsid w:val="73001740"/>
    <w:rsid w:val="732D2D08"/>
    <w:rsid w:val="73611130"/>
    <w:rsid w:val="7386251A"/>
    <w:rsid w:val="73F303E1"/>
    <w:rsid w:val="74623C1E"/>
    <w:rsid w:val="74A40D4F"/>
    <w:rsid w:val="75067AB9"/>
    <w:rsid w:val="752B3379"/>
    <w:rsid w:val="75551EC0"/>
    <w:rsid w:val="75716BA1"/>
    <w:rsid w:val="75C61952"/>
    <w:rsid w:val="75F401CA"/>
    <w:rsid w:val="760B2304"/>
    <w:rsid w:val="760D3533"/>
    <w:rsid w:val="760D7FFA"/>
    <w:rsid w:val="764A3CD3"/>
    <w:rsid w:val="76A96199"/>
    <w:rsid w:val="771C4781"/>
    <w:rsid w:val="77494EF6"/>
    <w:rsid w:val="77912588"/>
    <w:rsid w:val="77C22EB1"/>
    <w:rsid w:val="781E5D2E"/>
    <w:rsid w:val="7843417C"/>
    <w:rsid w:val="788B412F"/>
    <w:rsid w:val="78F833FC"/>
    <w:rsid w:val="795D44C5"/>
    <w:rsid w:val="798049F2"/>
    <w:rsid w:val="798149F9"/>
    <w:rsid w:val="79A62319"/>
    <w:rsid w:val="79AA0D57"/>
    <w:rsid w:val="79B06543"/>
    <w:rsid w:val="79F91F7E"/>
    <w:rsid w:val="7A0128FA"/>
    <w:rsid w:val="7A1A1600"/>
    <w:rsid w:val="7A4805DF"/>
    <w:rsid w:val="7A686FCC"/>
    <w:rsid w:val="7A6F427A"/>
    <w:rsid w:val="7AA11B1E"/>
    <w:rsid w:val="7ABE3062"/>
    <w:rsid w:val="7AEC04F3"/>
    <w:rsid w:val="7AF4245F"/>
    <w:rsid w:val="7B026E3F"/>
    <w:rsid w:val="7B570210"/>
    <w:rsid w:val="7B6126DB"/>
    <w:rsid w:val="7BFC4D17"/>
    <w:rsid w:val="7C013085"/>
    <w:rsid w:val="7C06244A"/>
    <w:rsid w:val="7C1D30D3"/>
    <w:rsid w:val="7C7400FF"/>
    <w:rsid w:val="7C8B0BA1"/>
    <w:rsid w:val="7D402DFE"/>
    <w:rsid w:val="7D4F6A43"/>
    <w:rsid w:val="7D622B91"/>
    <w:rsid w:val="7D77701F"/>
    <w:rsid w:val="7DBF2BE5"/>
    <w:rsid w:val="7DCF7B93"/>
    <w:rsid w:val="7E077CFD"/>
    <w:rsid w:val="7E403498"/>
    <w:rsid w:val="7E6B47E6"/>
    <w:rsid w:val="7F06714D"/>
    <w:rsid w:val="7F2B4AF7"/>
    <w:rsid w:val="7F947D6D"/>
    <w:rsid w:val="7F9B734D"/>
    <w:rsid w:val="7FD90FAC"/>
    <w:rsid w:val="7FF803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rFonts w:ascii="宋体" w:hAnsi="宋体" w:eastAsia="宋体"/>
      <w:b/>
      <w:kern w:val="0"/>
    </w:rPr>
  </w:style>
  <w:style w:type="paragraph" w:styleId="4">
    <w:name w:val="heading 3"/>
    <w:basedOn w:val="5"/>
    <w:next w:val="5"/>
    <w:link w:val="154"/>
    <w:qFormat/>
    <w:uiPriority w:val="0"/>
    <w:pPr>
      <w:keepNext/>
      <w:keepLines/>
      <w:spacing w:beforeLines="0" w:beforeAutospacing="0" w:afterLines="0" w:afterAutospacing="0"/>
      <w:ind w:firstLine="964" w:firstLineChars="200"/>
      <w:jc w:val="left"/>
      <w:outlineLvl w:val="2"/>
    </w:pPr>
    <w:rPr>
      <w:rFonts w:ascii="宋体" w:hAnsi="宋体" w:eastAsia="宋体"/>
      <w:b/>
      <w:sz w:val="24"/>
    </w:rPr>
  </w:style>
  <w:style w:type="paragraph" w:styleId="6">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32">
    <w:name w:val="Default Paragraph Font"/>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7">
    <w:name w:val="toc 7"/>
    <w:basedOn w:val="1"/>
    <w:next w:val="1"/>
    <w:qFormat/>
    <w:uiPriority w:val="0"/>
    <w:pPr>
      <w:ind w:left="1680"/>
      <w:jc w:val="left"/>
    </w:pPr>
  </w:style>
  <w:style w:type="paragraph" w:styleId="8">
    <w:name w:val="table of authorities"/>
    <w:basedOn w:val="1"/>
    <w:next w:val="1"/>
    <w:qFormat/>
    <w:uiPriority w:val="0"/>
    <w:pPr>
      <w:ind w:left="420" w:leftChars="200"/>
    </w:pPr>
  </w:style>
  <w:style w:type="paragraph" w:styleId="9">
    <w:name w:val="Document Map"/>
    <w:basedOn w:val="1"/>
    <w:qFormat/>
    <w:uiPriority w:val="0"/>
    <w:pPr>
      <w:shd w:val="clear" w:color="auto" w:fill="000080"/>
    </w:pPr>
  </w:style>
  <w:style w:type="paragraph" w:styleId="10">
    <w:name w:val="annotation text"/>
    <w:basedOn w:val="1"/>
    <w:next w:val="1"/>
    <w:qFormat/>
    <w:uiPriority w:val="0"/>
    <w:pPr>
      <w:adjustRightInd w:val="0"/>
      <w:spacing w:line="360" w:lineRule="atLeast"/>
      <w:jc w:val="left"/>
      <w:textAlignment w:val="baseline"/>
    </w:pPr>
    <w:rPr>
      <w:rFonts w:ascii="宋体"/>
      <w:kern w:val="0"/>
      <w:sz w:val="24"/>
    </w:rPr>
  </w:style>
  <w:style w:type="paragraph" w:styleId="11">
    <w:name w:val="Body Text"/>
    <w:basedOn w:val="1"/>
    <w:qFormat/>
    <w:uiPriority w:val="0"/>
    <w:pPr>
      <w:spacing w:after="120" w:afterLines="0" w:afterAutospacing="0"/>
    </w:pPr>
  </w:style>
  <w:style w:type="paragraph" w:styleId="12">
    <w:name w:val="Body Text Indent"/>
    <w:basedOn w:val="1"/>
    <w:next w:val="13"/>
    <w:link w:val="39"/>
    <w:qFormat/>
    <w:uiPriority w:val="0"/>
    <w:pPr>
      <w:ind w:firstLine="560" w:firstLineChars="200"/>
    </w:pPr>
  </w:style>
  <w:style w:type="paragraph" w:styleId="13">
    <w:name w:val="envelope return"/>
    <w:basedOn w:val="1"/>
    <w:qFormat/>
    <w:uiPriority w:val="99"/>
    <w:pPr>
      <w:snapToGrid w:val="0"/>
    </w:pPr>
    <w:rPr>
      <w:rFonts w:ascii="Arial" w:hAnsi="Arial"/>
    </w:rPr>
  </w:style>
  <w:style w:type="paragraph" w:styleId="14">
    <w:name w:val="toc 5"/>
    <w:basedOn w:val="1"/>
    <w:next w:val="1"/>
    <w:qFormat/>
    <w:uiPriority w:val="0"/>
    <w:pPr>
      <w:ind w:left="1120"/>
      <w:jc w:val="left"/>
    </w:pPr>
  </w:style>
  <w:style w:type="paragraph" w:styleId="15">
    <w:name w:val="toc 3"/>
    <w:basedOn w:val="1"/>
    <w:next w:val="1"/>
    <w:qFormat/>
    <w:uiPriority w:val="0"/>
    <w:pPr>
      <w:ind w:left="561"/>
      <w:jc w:val="left"/>
    </w:pPr>
    <w:rPr>
      <w:sz w:val="24"/>
    </w:rPr>
  </w:style>
  <w:style w:type="paragraph" w:styleId="16">
    <w:name w:val="toc 8"/>
    <w:basedOn w:val="1"/>
    <w:next w:val="1"/>
    <w:qFormat/>
    <w:uiPriority w:val="0"/>
    <w:pPr>
      <w:ind w:left="1960"/>
      <w:jc w:val="left"/>
    </w:pPr>
  </w:style>
  <w:style w:type="paragraph" w:styleId="17">
    <w:name w:val="Body Text Indent 2"/>
    <w:basedOn w:val="1"/>
    <w:qFormat/>
    <w:uiPriority w:val="0"/>
    <w:pPr>
      <w:spacing w:line="480" w:lineRule="auto"/>
      <w:ind w:firstLine="561"/>
    </w:pPr>
    <w:rPr>
      <w:rFonts w:ascii="宋体"/>
    </w:rPr>
  </w:style>
  <w:style w:type="paragraph" w:styleId="18">
    <w:name w:val="Balloon Text"/>
    <w:basedOn w:val="1"/>
    <w:qFormat/>
    <w:uiPriority w:val="0"/>
    <w:rPr>
      <w:sz w:val="18"/>
      <w:szCs w:val="18"/>
    </w:rPr>
  </w:style>
  <w:style w:type="paragraph" w:styleId="19">
    <w:name w:val="footer"/>
    <w:basedOn w:val="1"/>
    <w:qFormat/>
    <w:uiPriority w:val="0"/>
    <w:pPr>
      <w:widowControl/>
      <w:tabs>
        <w:tab w:val="center" w:pos="4153"/>
        <w:tab w:val="right" w:pos="8306"/>
      </w:tabs>
      <w:snapToGrid w:val="0"/>
      <w:jc w:val="left"/>
    </w:pPr>
    <w:rPr>
      <w:kern w:val="0"/>
      <w:sz w:val="18"/>
    </w:rPr>
  </w:style>
  <w:style w:type="paragraph" w:styleId="20">
    <w:name w:val="header"/>
    <w:basedOn w:val="1"/>
    <w:qFormat/>
    <w:uiPriority w:val="0"/>
    <w:pPr>
      <w:widowControl/>
      <w:pBdr>
        <w:bottom w:val="single" w:color="auto" w:sz="6" w:space="1"/>
      </w:pBdr>
      <w:tabs>
        <w:tab w:val="center" w:pos="4153"/>
        <w:tab w:val="right" w:pos="8306"/>
      </w:tabs>
      <w:snapToGrid w:val="0"/>
      <w:jc w:val="center"/>
    </w:pPr>
    <w:rPr>
      <w:kern w:val="0"/>
      <w:sz w:val="18"/>
    </w:rPr>
  </w:style>
  <w:style w:type="paragraph" w:styleId="21">
    <w:name w:val="toc 1"/>
    <w:basedOn w:val="1"/>
    <w:next w:val="1"/>
    <w:qFormat/>
    <w:uiPriority w:val="0"/>
    <w:pPr>
      <w:spacing w:before="120" w:beforeLines="0" w:beforeAutospacing="0" w:after="120" w:afterLines="0" w:afterAutospacing="0"/>
      <w:jc w:val="left"/>
    </w:pPr>
    <w:rPr>
      <w:caps/>
      <w:sz w:val="24"/>
    </w:rPr>
  </w:style>
  <w:style w:type="paragraph" w:styleId="22">
    <w:name w:val="toc 4"/>
    <w:basedOn w:val="1"/>
    <w:next w:val="1"/>
    <w:qFormat/>
    <w:uiPriority w:val="0"/>
    <w:pPr>
      <w:ind w:left="840"/>
      <w:jc w:val="left"/>
    </w:pPr>
  </w:style>
  <w:style w:type="paragraph" w:styleId="23">
    <w:name w:val="toc 6"/>
    <w:basedOn w:val="1"/>
    <w:next w:val="1"/>
    <w:qFormat/>
    <w:uiPriority w:val="0"/>
    <w:pPr>
      <w:ind w:left="1400"/>
      <w:jc w:val="left"/>
    </w:pPr>
  </w:style>
  <w:style w:type="paragraph" w:styleId="24">
    <w:name w:val="Body Text Indent 3"/>
    <w:basedOn w:val="1"/>
    <w:link w:val="40"/>
    <w:qFormat/>
    <w:uiPriority w:val="0"/>
    <w:pPr>
      <w:ind w:firstLine="560"/>
    </w:pPr>
    <w:rPr>
      <w:color w:val="FF0000"/>
    </w:rPr>
  </w:style>
  <w:style w:type="paragraph" w:styleId="25">
    <w:name w:val="toc 2"/>
    <w:basedOn w:val="1"/>
    <w:next w:val="1"/>
    <w:qFormat/>
    <w:uiPriority w:val="0"/>
    <w:pPr>
      <w:ind w:left="278"/>
      <w:jc w:val="left"/>
    </w:pPr>
    <w:rPr>
      <w:smallCaps/>
      <w:sz w:val="24"/>
    </w:rPr>
  </w:style>
  <w:style w:type="paragraph" w:styleId="26">
    <w:name w:val="toc 9"/>
    <w:basedOn w:val="1"/>
    <w:next w:val="1"/>
    <w:qFormat/>
    <w:uiPriority w:val="0"/>
    <w:pPr>
      <w:ind w:left="2240"/>
      <w:jc w:val="left"/>
    </w:pPr>
  </w:style>
  <w:style w:type="paragraph" w:styleId="27">
    <w:name w:val="Body Text 2"/>
    <w:basedOn w:val="1"/>
    <w:qFormat/>
    <w:uiPriority w:val="0"/>
    <w:pPr>
      <w:spacing w:line="500" w:lineRule="exact"/>
    </w:pPr>
    <w:rPr>
      <w:rFonts w:ascii="宋体"/>
      <w:sz w:val="24"/>
    </w:rPr>
  </w:style>
  <w:style w:type="paragraph" w:styleId="2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9">
    <w:name w:val="annotation subject"/>
    <w:basedOn w:val="10"/>
    <w:next w:val="10"/>
    <w:qFormat/>
    <w:uiPriority w:val="0"/>
    <w:pPr>
      <w:adjustRightInd/>
      <w:spacing w:line="360" w:lineRule="auto"/>
      <w:textAlignment w:val="auto"/>
    </w:pPr>
    <w:rPr>
      <w:b/>
      <w:bCs/>
      <w:kern w:val="2"/>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0"/>
    <w:rPr>
      <w:b/>
      <w:bCs/>
    </w:rPr>
  </w:style>
  <w:style w:type="character" w:styleId="34">
    <w:name w:val="page number"/>
    <w:qFormat/>
    <w:uiPriority w:val="0"/>
  </w:style>
  <w:style w:type="character" w:styleId="35">
    <w:name w:val="FollowedHyperlink"/>
    <w:qFormat/>
    <w:uiPriority w:val="0"/>
    <w:rPr>
      <w:color w:val="800080"/>
      <w:u w:val="single"/>
    </w:rPr>
  </w:style>
  <w:style w:type="character" w:styleId="36">
    <w:name w:val="Emphasis"/>
    <w:qFormat/>
    <w:uiPriority w:val="0"/>
    <w:rPr>
      <w:i/>
    </w:rPr>
  </w:style>
  <w:style w:type="character" w:styleId="37">
    <w:name w:val="Hyperlink"/>
    <w:qFormat/>
    <w:uiPriority w:val="0"/>
    <w:rPr>
      <w:color w:val="0000FF"/>
      <w:u w:val="single"/>
    </w:rPr>
  </w:style>
  <w:style w:type="character" w:styleId="38">
    <w:name w:val="annotation reference"/>
    <w:qFormat/>
    <w:uiPriority w:val="0"/>
    <w:rPr>
      <w:sz w:val="21"/>
    </w:rPr>
  </w:style>
  <w:style w:type="character" w:customStyle="1" w:styleId="39">
    <w:name w:val="正文文本缩进 字符"/>
    <w:link w:val="12"/>
    <w:qFormat/>
    <w:uiPriority w:val="0"/>
    <w:rPr>
      <w:rFonts w:ascii="宋体"/>
      <w:kern w:val="2"/>
      <w:sz w:val="24"/>
    </w:rPr>
  </w:style>
  <w:style w:type="character" w:customStyle="1" w:styleId="40">
    <w:name w:val="正文文本缩进 3 字符"/>
    <w:link w:val="24"/>
    <w:qFormat/>
    <w:uiPriority w:val="0"/>
    <w:rPr>
      <w:rFonts w:ascii="宋体" w:eastAsia="宋体"/>
      <w:color w:val="FF0000"/>
      <w:kern w:val="2"/>
      <w:sz w:val="24"/>
      <w:lang w:val="en-US" w:eastAsia="zh-CN" w:bidi="ar-SA"/>
    </w:rPr>
  </w:style>
  <w:style w:type="paragraph" w:customStyle="1" w:styleId="41">
    <w:name w:val=" Char Char2"/>
    <w:basedOn w:val="9"/>
    <w:qFormat/>
    <w:uiPriority w:val="0"/>
    <w:pPr>
      <w:spacing w:line="240" w:lineRule="auto"/>
    </w:pPr>
  </w:style>
  <w:style w:type="character" w:customStyle="1" w:styleId="42">
    <w:name w:val="超链接 New"/>
    <w:qFormat/>
    <w:uiPriority w:val="0"/>
    <w:rPr>
      <w:color w:val="000000"/>
      <w:sz w:val="18"/>
      <w:szCs w:val="18"/>
      <w:u w:val="none"/>
    </w:rPr>
  </w:style>
  <w:style w:type="character" w:customStyle="1" w:styleId="43">
    <w:name w:val=" Char Char1"/>
    <w:qFormat/>
    <w:uiPriority w:val="0"/>
    <w:rPr>
      <w:rFonts w:ascii="宋体" w:eastAsia="宋体"/>
      <w:color w:val="FF0000"/>
      <w:kern w:val="2"/>
      <w:sz w:val="24"/>
      <w:lang w:val="en-US" w:eastAsia="zh-CN" w:bidi="ar-SA"/>
    </w:rPr>
  </w:style>
  <w:style w:type="character" w:customStyle="1" w:styleId="44">
    <w:name w:val="Default Paragraph Font"/>
    <w:qFormat/>
    <w:uiPriority w:val="0"/>
    <w:rPr>
      <w:rFonts w:hint="default"/>
    </w:rPr>
  </w:style>
  <w:style w:type="character" w:customStyle="1" w:styleId="45">
    <w:name w:val="正文文本 (2) + 间距 0 pt3"/>
    <w:qFormat/>
    <w:uiPriority w:val="99"/>
    <w:rPr>
      <w:rFonts w:ascii="MingLiU" w:eastAsia="MingLiU" w:cs="MingLiU"/>
      <w:spacing w:val="0"/>
      <w:sz w:val="22"/>
      <w:szCs w:val="22"/>
      <w:u w:val="none"/>
    </w:rPr>
  </w:style>
  <w:style w:type="character" w:customStyle="1" w:styleId="46">
    <w:name w:val="页码 New New"/>
    <w:qFormat/>
    <w:uiPriority w:val="0"/>
    <w:rPr>
      <w:rFonts w:eastAsia="宋体"/>
      <w:kern w:val="2"/>
      <w:sz w:val="24"/>
      <w:szCs w:val="24"/>
      <w:lang w:val="en-US" w:eastAsia="zh-CN" w:bidi="ar-SA"/>
    </w:rPr>
  </w:style>
  <w:style w:type="character" w:customStyle="1" w:styleId="47">
    <w:name w:val="默认段落字体 New New"/>
    <w:link w:val="48"/>
    <w:qFormat/>
    <w:uiPriority w:val="0"/>
    <w:rPr>
      <w:rFonts w:ascii="Tahoma" w:hAnsi="Tahoma"/>
      <w:szCs w:val="24"/>
    </w:rPr>
  </w:style>
  <w:style w:type="paragraph" w:customStyle="1" w:styleId="48">
    <w:name w:val=" Char New New"/>
    <w:basedOn w:val="1"/>
    <w:link w:val="47"/>
    <w:qFormat/>
    <w:uiPriority w:val="0"/>
    <w:pPr>
      <w:spacing w:line="240" w:lineRule="auto"/>
    </w:pPr>
    <w:rPr>
      <w:rFonts w:ascii="Tahoma" w:hAnsi="Tahoma"/>
      <w:kern w:val="0"/>
      <w:sz w:val="20"/>
      <w:szCs w:val="24"/>
    </w:rPr>
  </w:style>
  <w:style w:type="character" w:customStyle="1" w:styleId="49">
    <w:name w:val="超链接 New New"/>
    <w:qFormat/>
    <w:uiPriority w:val="0"/>
    <w:rPr>
      <w:color w:val="000000"/>
      <w:sz w:val="18"/>
      <w:szCs w:val="18"/>
      <w:u w:val="none"/>
    </w:rPr>
  </w:style>
  <w:style w:type="character" w:customStyle="1" w:styleId="50">
    <w:name w:val="页码 New New New"/>
    <w:qFormat/>
    <w:uiPriority w:val="0"/>
    <w:rPr>
      <w:rFonts w:eastAsia="宋体"/>
      <w:kern w:val="2"/>
      <w:sz w:val="24"/>
      <w:szCs w:val="24"/>
      <w:lang w:val="en-US" w:eastAsia="zh-CN" w:bidi="ar-SA"/>
    </w:rPr>
  </w:style>
  <w:style w:type="character" w:customStyle="1" w:styleId="51">
    <w:name w:val="页码 New"/>
    <w:qFormat/>
    <w:uiPriority w:val="0"/>
    <w:rPr>
      <w:rFonts w:eastAsia="宋体"/>
      <w:kern w:val="2"/>
      <w:sz w:val="24"/>
      <w:szCs w:val="24"/>
      <w:lang w:val="en-US" w:eastAsia="zh-CN" w:bidi="ar-SA"/>
    </w:rPr>
  </w:style>
  <w:style w:type="character" w:customStyle="1" w:styleId="52">
    <w:name w:val="默认段落字体 New"/>
    <w:link w:val="53"/>
    <w:qFormat/>
    <w:uiPriority w:val="0"/>
    <w:rPr>
      <w:rFonts w:ascii="Tahoma" w:hAnsi="Tahoma"/>
      <w:szCs w:val="24"/>
    </w:rPr>
  </w:style>
  <w:style w:type="paragraph" w:customStyle="1" w:styleId="53">
    <w:name w:val=" Char New"/>
    <w:basedOn w:val="1"/>
    <w:link w:val="52"/>
    <w:qFormat/>
    <w:uiPriority w:val="0"/>
    <w:pPr>
      <w:spacing w:line="240" w:lineRule="auto"/>
    </w:pPr>
    <w:rPr>
      <w:rFonts w:ascii="Tahoma" w:hAnsi="Tahoma"/>
      <w:kern w:val="0"/>
      <w:sz w:val="20"/>
      <w:szCs w:val="24"/>
    </w:rPr>
  </w:style>
  <w:style w:type="paragraph" w:customStyle="1" w:styleId="54">
    <w:name w:val="页脚 New New"/>
    <w:basedOn w:val="55"/>
    <w:qFormat/>
    <w:uiPriority w:val="0"/>
    <w:pPr>
      <w:tabs>
        <w:tab w:val="center" w:pos="4153"/>
        <w:tab w:val="right" w:pos="8306"/>
      </w:tabs>
      <w:snapToGrid w:val="0"/>
      <w:jc w:val="left"/>
    </w:pPr>
    <w:rPr>
      <w:sz w:val="18"/>
      <w:szCs w:val="18"/>
    </w:rPr>
  </w:style>
  <w:style w:type="paragraph" w:customStyle="1" w:styleId="55">
    <w:name w:val="正文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6">
    <w:name w:val="正文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7">
    <w:name w:val="p18"/>
    <w:qFormat/>
    <w:uiPriority w:val="0"/>
    <w:pPr>
      <w:spacing w:after="120" w:line="360" w:lineRule="auto"/>
    </w:pPr>
    <w:rPr>
      <w:rFonts w:ascii="宋体" w:hAnsi="宋体" w:eastAsia="宋体" w:cs="宋体"/>
      <w:sz w:val="24"/>
      <w:szCs w:val="24"/>
      <w:lang w:val="en-US" w:eastAsia="zh-CN" w:bidi="ar-SA"/>
    </w:rPr>
  </w:style>
  <w:style w:type="paragraph" w:customStyle="1" w:styleId="5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9">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0">
    <w:name w:val="样式 宋体 行距: 1.5 倍行距"/>
    <w:basedOn w:val="61"/>
    <w:next w:val="1"/>
    <w:qFormat/>
    <w:uiPriority w:val="99"/>
    <w:pPr>
      <w:jc w:val="center"/>
    </w:pPr>
    <w:rPr>
      <w:b/>
    </w:rPr>
  </w:style>
  <w:style w:type="paragraph" w:customStyle="1" w:styleId="6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0"/>
    <w:qFormat/>
    <w:uiPriority w:val="0"/>
    <w:pPr>
      <w:widowControl w:val="0"/>
      <w:jc w:val="both"/>
    </w:pPr>
    <w:rPr>
      <w:rFonts w:ascii="Calibri" w:hAnsi="Calibri" w:eastAsia="宋体" w:cs="黑体"/>
      <w:kern w:val="2"/>
      <w:sz w:val="21"/>
      <w:szCs w:val="24"/>
      <w:lang w:val="en-US" w:eastAsia="zh-CN" w:bidi="ar-SA"/>
    </w:rPr>
  </w:style>
  <w:style w:type="paragraph" w:customStyle="1" w:styleId="62">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3">
    <w:name w:val="纯文本 New New"/>
    <w:basedOn w:val="56"/>
    <w:qFormat/>
    <w:uiPriority w:val="0"/>
    <w:rPr>
      <w:rFonts w:ascii="宋体" w:hAnsi="Courier New" w:eastAsia="楷体_GB2312"/>
      <w:kern w:val="2"/>
      <w:sz w:val="21"/>
      <w:szCs w:val="24"/>
      <w:lang w:val="en-US" w:eastAsia="zh-CN" w:bidi="ar-SA"/>
    </w:rPr>
  </w:style>
  <w:style w:type="paragraph" w:customStyle="1" w:styleId="64">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页脚 New New New New"/>
    <w:basedOn w:val="68"/>
    <w:qFormat/>
    <w:uiPriority w:val="0"/>
    <w:pPr>
      <w:tabs>
        <w:tab w:val="center" w:pos="4153"/>
        <w:tab w:val="right" w:pos="8306"/>
      </w:tabs>
      <w:snapToGrid w:val="0"/>
      <w:jc w:val="left"/>
    </w:pPr>
    <w:rPr>
      <w:sz w:val="18"/>
      <w:szCs w:val="18"/>
    </w:rPr>
  </w:style>
  <w:style w:type="paragraph" w:customStyle="1" w:styleId="68">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70">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1">
    <w:name w:val="页眉 New New New New New New New"/>
    <w:basedOn w:val="69"/>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72">
    <w:name w:val="样式2"/>
    <w:basedOn w:val="21"/>
    <w:qFormat/>
    <w:uiPriority w:val="0"/>
    <w:pPr>
      <w:tabs>
        <w:tab w:val="right" w:leader="dot" w:pos="9345"/>
      </w:tabs>
    </w:pPr>
    <w:rPr>
      <w:rFonts w:ascii="宋体" w:hAnsi="宋体"/>
      <w:b/>
      <w:color w:val="0000FF"/>
      <w:u w:val="single"/>
    </w:rPr>
  </w:style>
  <w:style w:type="paragraph" w:customStyle="1" w:styleId="73">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4">
    <w:name w:val="正文缩进 New"/>
    <w:basedOn w:val="62"/>
    <w:qFormat/>
    <w:uiPriority w:val="0"/>
    <w:pPr>
      <w:widowControl/>
      <w:ind w:firstLine="420"/>
      <w:jc w:val="left"/>
    </w:pPr>
    <w:rPr>
      <w:kern w:val="0"/>
      <w:sz w:val="20"/>
    </w:rPr>
  </w:style>
  <w:style w:type="paragraph" w:customStyle="1" w:styleId="75">
    <w:name w:val="页眉 New"/>
    <w:basedOn w:val="76"/>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正文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7">
    <w:name w:val="样式1"/>
    <w:basedOn w:val="6"/>
    <w:qFormat/>
    <w:uiPriority w:val="0"/>
    <w:pPr>
      <w:tabs>
        <w:tab w:val="right" w:leader="dot" w:pos="9345"/>
      </w:tabs>
    </w:pPr>
    <w:rPr>
      <w:rFonts w:ascii="宋体" w:hAnsi="宋体" w:eastAsia="宋体"/>
      <w:b/>
      <w:caps/>
      <w:sz w:val="24"/>
      <w:u w:val="single"/>
    </w:rPr>
  </w:style>
  <w:style w:type="paragraph" w:customStyle="1" w:styleId="78">
    <w:name w:val="标题 3 New New"/>
    <w:basedOn w:val="74"/>
    <w:next w:val="74"/>
    <w:qFormat/>
    <w:uiPriority w:val="0"/>
    <w:pPr>
      <w:keepNext/>
      <w:keepLines/>
      <w:spacing w:before="120" w:beforeLines="0" w:beforeAutospacing="0" w:after="120" w:afterLines="0" w:afterAutospacing="0"/>
      <w:jc w:val="center"/>
      <w:outlineLvl w:val="2"/>
    </w:pPr>
    <w:rPr>
      <w:sz w:val="24"/>
    </w:rPr>
  </w:style>
  <w:style w:type="paragraph" w:customStyle="1" w:styleId="79">
    <w:name w:val="页脚 New New New New New New New New New New New New"/>
    <w:basedOn w:val="80"/>
    <w:qFormat/>
    <w:uiPriority w:val="0"/>
    <w:pPr>
      <w:tabs>
        <w:tab w:val="center" w:pos="4153"/>
        <w:tab w:val="right" w:pos="8306"/>
      </w:tabs>
      <w:snapToGrid w:val="0"/>
      <w:jc w:val="left"/>
    </w:pPr>
    <w:rPr>
      <w:rFonts w:eastAsia="楷体_GB2312"/>
      <w:kern w:val="2"/>
      <w:sz w:val="18"/>
      <w:szCs w:val="18"/>
    </w:rPr>
  </w:style>
  <w:style w:type="paragraph" w:customStyle="1" w:styleId="80">
    <w:name w:val="正文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1">
    <w:name w:val="页脚 New New New New New New New New New"/>
    <w:basedOn w:val="82"/>
    <w:qFormat/>
    <w:uiPriority w:val="0"/>
    <w:pPr>
      <w:tabs>
        <w:tab w:val="center" w:pos="4153"/>
        <w:tab w:val="right" w:pos="8306"/>
      </w:tabs>
      <w:snapToGrid w:val="0"/>
      <w:jc w:val="left"/>
    </w:pPr>
    <w:rPr>
      <w:kern w:val="2"/>
      <w:sz w:val="18"/>
      <w:szCs w:val="18"/>
    </w:rPr>
  </w:style>
  <w:style w:type="paragraph" w:customStyle="1" w:styleId="82">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页眉 New New New"/>
    <w:basedOn w:val="56"/>
    <w:qFormat/>
    <w:uiPriority w:val="0"/>
    <w:pPr>
      <w:pBdr>
        <w:bottom w:val="single" w:color="auto" w:sz="6" w:space="1"/>
      </w:pBdr>
      <w:tabs>
        <w:tab w:val="center" w:pos="4153"/>
        <w:tab w:val="right" w:pos="8306"/>
      </w:tabs>
      <w:snapToGrid w:val="0"/>
      <w:jc w:val="center"/>
    </w:pPr>
    <w:rPr>
      <w:sz w:val="18"/>
      <w:szCs w:val="18"/>
    </w:rPr>
  </w:style>
  <w:style w:type="paragraph" w:customStyle="1" w:styleId="84">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8">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缩进1"/>
    <w:basedOn w:val="1"/>
    <w:qFormat/>
    <w:uiPriority w:val="0"/>
    <w:pPr>
      <w:widowControl/>
      <w:ind w:firstLine="420"/>
      <w:jc w:val="left"/>
    </w:pPr>
    <w:rPr>
      <w:kern w:val="0"/>
      <w:szCs w:val="20"/>
    </w:rPr>
  </w:style>
  <w:style w:type="paragraph" w:customStyle="1" w:styleId="90">
    <w:name w:val="页眉 New New"/>
    <w:basedOn w:val="55"/>
    <w:qFormat/>
    <w:uiPriority w:val="0"/>
    <w:pPr>
      <w:pBdr>
        <w:bottom w:val="single" w:color="auto" w:sz="6" w:space="1"/>
      </w:pBdr>
      <w:tabs>
        <w:tab w:val="center" w:pos="4153"/>
        <w:tab w:val="right" w:pos="8306"/>
      </w:tabs>
      <w:snapToGrid w:val="0"/>
      <w:jc w:val="center"/>
    </w:pPr>
    <w:rPr>
      <w:sz w:val="18"/>
      <w:szCs w:val="18"/>
    </w:rPr>
  </w:style>
  <w:style w:type="paragraph" w:customStyle="1" w:styleId="91">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2">
    <w:name w:val=" Char"/>
    <w:basedOn w:val="9"/>
    <w:qFormat/>
    <w:uiPriority w:val="0"/>
    <w:pPr>
      <w:spacing w:line="240" w:lineRule="auto"/>
    </w:pPr>
  </w:style>
  <w:style w:type="paragraph" w:customStyle="1" w:styleId="93">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4">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5">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6">
    <w:name w:val="页眉 New New New New New New New New New"/>
    <w:basedOn w:val="97"/>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97">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8">
    <w:name w:val="页脚 New New New New New New"/>
    <w:basedOn w:val="87"/>
    <w:qFormat/>
    <w:uiPriority w:val="0"/>
    <w:pPr>
      <w:tabs>
        <w:tab w:val="center" w:pos="4153"/>
        <w:tab w:val="right" w:pos="8306"/>
      </w:tabs>
      <w:snapToGrid w:val="0"/>
      <w:jc w:val="left"/>
    </w:pPr>
    <w:rPr>
      <w:sz w:val="18"/>
    </w:rPr>
  </w:style>
  <w:style w:type="paragraph" w:customStyle="1" w:styleId="99">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正文文本缩进 New New New New"/>
    <w:basedOn w:val="93"/>
    <w:qFormat/>
    <w:uiPriority w:val="0"/>
    <w:pPr>
      <w:ind w:firstLine="560" w:firstLineChars="200"/>
    </w:pPr>
    <w:rPr>
      <w:rFonts w:ascii="宋体"/>
      <w:kern w:val="2"/>
      <w:sz w:val="24"/>
      <w:szCs w:val="28"/>
    </w:rPr>
  </w:style>
  <w:style w:type="paragraph" w:customStyle="1" w:styleId="101">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3">
    <w:name w:val="正文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5">
    <w:name w:val="正文文本缩进 New"/>
    <w:basedOn w:val="62"/>
    <w:qFormat/>
    <w:uiPriority w:val="0"/>
    <w:pPr>
      <w:ind w:firstLine="560" w:firstLineChars="200"/>
    </w:pPr>
    <w:rPr>
      <w:rFonts w:ascii="宋体"/>
      <w:kern w:val="2"/>
      <w:sz w:val="24"/>
    </w:rPr>
  </w:style>
  <w:style w:type="paragraph" w:customStyle="1" w:styleId="106">
    <w:name w:val="正文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08">
    <w:name w:val="页脚 New New New New New"/>
    <w:basedOn w:val="94"/>
    <w:qFormat/>
    <w:uiPriority w:val="0"/>
    <w:pPr>
      <w:tabs>
        <w:tab w:val="center" w:pos="4153"/>
        <w:tab w:val="right" w:pos="8306"/>
      </w:tabs>
      <w:snapToGrid w:val="0"/>
      <w:jc w:val="left"/>
    </w:pPr>
    <w:rPr>
      <w:sz w:val="18"/>
    </w:rPr>
  </w:style>
  <w:style w:type="paragraph" w:customStyle="1" w:styleId="109">
    <w:name w:val="页眉 New New New New"/>
    <w:basedOn w:val="9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10">
    <w:name w:val="页脚 New New New"/>
    <w:basedOn w:val="56"/>
    <w:qFormat/>
    <w:uiPriority w:val="0"/>
    <w:pPr>
      <w:tabs>
        <w:tab w:val="center" w:pos="4153"/>
        <w:tab w:val="right" w:pos="8306"/>
      </w:tabs>
      <w:snapToGrid w:val="0"/>
      <w:jc w:val="left"/>
    </w:pPr>
    <w:rPr>
      <w:sz w:val="18"/>
      <w:szCs w:val="18"/>
    </w:rPr>
  </w:style>
  <w:style w:type="paragraph" w:customStyle="1" w:styleId="111">
    <w:name w:val="toc 3"/>
    <w:basedOn w:val="112"/>
    <w:next w:val="112"/>
    <w:qFormat/>
    <w:uiPriority w:val="0"/>
    <w:pPr>
      <w:ind w:left="561"/>
      <w:jc w:val="left"/>
    </w:pPr>
    <w:rPr>
      <w:rFonts w:hint="eastAsia"/>
    </w:rPr>
  </w:style>
  <w:style w:type="paragraph" w:customStyle="1" w:styleId="112">
    <w:name w:val="Normal"/>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113">
    <w:name w:val="页脚 New New New New New New New"/>
    <w:basedOn w:val="102"/>
    <w:qFormat/>
    <w:uiPriority w:val="0"/>
    <w:pPr>
      <w:widowControl/>
      <w:tabs>
        <w:tab w:val="center" w:pos="4153"/>
        <w:tab w:val="right" w:pos="8306"/>
      </w:tabs>
      <w:snapToGrid w:val="0"/>
      <w:jc w:val="left"/>
    </w:pPr>
    <w:rPr>
      <w:kern w:val="0"/>
      <w:sz w:val="18"/>
      <w:szCs w:val="20"/>
    </w:rPr>
  </w:style>
  <w:style w:type="paragraph" w:customStyle="1" w:styleId="114">
    <w:name w:val="页眉 New New New New New New"/>
    <w:basedOn w:val="102"/>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1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6">
    <w:name w:val="footer"/>
    <w:basedOn w:val="112"/>
    <w:qFormat/>
    <w:uiPriority w:val="0"/>
    <w:pPr>
      <w:widowControl/>
      <w:tabs>
        <w:tab w:val="center" w:pos="4153"/>
        <w:tab w:val="right" w:pos="8306"/>
      </w:tabs>
      <w:snapToGrid w:val="0"/>
      <w:jc w:val="left"/>
    </w:pPr>
    <w:rPr>
      <w:rFonts w:hint="eastAsia"/>
      <w:kern w:val="0"/>
      <w:sz w:val="18"/>
    </w:rPr>
  </w:style>
  <w:style w:type="paragraph" w:customStyle="1" w:styleId="117">
    <w:name w:val="p0"/>
    <w:basedOn w:val="88"/>
    <w:qFormat/>
    <w:uiPriority w:val="0"/>
    <w:pPr>
      <w:widowControl/>
      <w:spacing w:line="360" w:lineRule="auto"/>
    </w:pPr>
    <w:rPr>
      <w:rFonts w:ascii="宋体" w:hAnsi="宋体" w:eastAsia="宋体" w:cs="宋体"/>
      <w:kern w:val="0"/>
      <w:sz w:val="24"/>
      <w:szCs w:val="24"/>
    </w:rPr>
  </w:style>
  <w:style w:type="paragraph" w:customStyle="1" w:styleId="118">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1">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2">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5">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标题 3 New"/>
    <w:basedOn w:val="5"/>
    <w:next w:val="5"/>
    <w:qFormat/>
    <w:uiPriority w:val="0"/>
    <w:pPr>
      <w:keepNext/>
      <w:keepLines/>
      <w:spacing w:before="120" w:beforeLines="0" w:after="120" w:afterLines="0"/>
      <w:jc w:val="center"/>
      <w:outlineLvl w:val="2"/>
    </w:pPr>
    <w:rPr>
      <w:sz w:val="24"/>
    </w:rPr>
  </w:style>
  <w:style w:type="paragraph" w:customStyle="1" w:styleId="127">
    <w:name w:val="页脚 New New New New New New New New New New"/>
    <w:basedOn w:val="69"/>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28">
    <w:name w:val="页眉 New New New New New New New New"/>
    <w:basedOn w:val="129"/>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29">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0">
    <w:name w:val="页眉 New New New New New"/>
    <w:basedOn w:val="8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31">
    <w:name w:val="页脚 New New New New New New New New New New New New New"/>
    <w:basedOn w:val="97"/>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32">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4">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5">
    <w:name w:val="正文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6">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页脚 New New New New New New New New New New New"/>
    <w:basedOn w:val="129"/>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38">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0">
    <w:name w:val="普通(网站) New"/>
    <w:basedOn w:val="87"/>
    <w:qFormat/>
    <w:uiPriority w:val="0"/>
    <w:rPr>
      <w:sz w:val="24"/>
    </w:rPr>
  </w:style>
  <w:style w:type="paragraph" w:customStyle="1" w:styleId="141">
    <w:name w:val="页脚 New New New New New New New New"/>
    <w:basedOn w:val="138"/>
    <w:qFormat/>
    <w:uiPriority w:val="0"/>
    <w:pPr>
      <w:tabs>
        <w:tab w:val="center" w:pos="4153"/>
        <w:tab w:val="right" w:pos="8306"/>
      </w:tabs>
      <w:snapToGrid w:val="0"/>
      <w:jc w:val="left"/>
    </w:pPr>
    <w:rPr>
      <w:kern w:val="2"/>
      <w:sz w:val="18"/>
      <w:szCs w:val="18"/>
    </w:rPr>
  </w:style>
  <w:style w:type="paragraph" w:customStyle="1" w:styleId="142">
    <w:name w:val="标题 2 New"/>
    <w:basedOn w:val="136"/>
    <w:qFormat/>
    <w:uiPriority w:val="0"/>
    <w:pPr>
      <w:widowControl/>
      <w:spacing w:before="100" w:beforeLines="0" w:beforeAutospacing="1" w:after="100" w:afterLines="0" w:afterAutospacing="1"/>
      <w:jc w:val="left"/>
      <w:outlineLvl w:val="1"/>
    </w:pPr>
    <w:rPr>
      <w:rFonts w:ascii="宋体" w:hAnsi="宋体" w:cs="宋体"/>
      <w:b/>
      <w:bCs/>
      <w:kern w:val="0"/>
      <w:sz w:val="36"/>
      <w:szCs w:val="36"/>
    </w:rPr>
  </w:style>
  <w:style w:type="paragraph" w:customStyle="1" w:styleId="143">
    <w:name w:val="blockquote"/>
    <w:basedOn w:val="1"/>
    <w:qFormat/>
    <w:uiPriority w:val="0"/>
    <w:pPr>
      <w:widowControl/>
      <w:spacing w:before="100" w:beforeLines="0" w:beforeAutospacing="1" w:after="100" w:afterLines="0" w:afterAutospacing="1" w:line="240" w:lineRule="auto"/>
      <w:jc w:val="left"/>
    </w:pPr>
    <w:rPr>
      <w:rFonts w:hAnsi="宋体"/>
      <w:kern w:val="0"/>
    </w:rPr>
  </w:style>
  <w:style w:type="paragraph" w:customStyle="1" w:styleId="144">
    <w:name w:val="纯文本 New"/>
    <w:basedOn w:val="55"/>
    <w:qFormat/>
    <w:uiPriority w:val="0"/>
    <w:rPr>
      <w:rFonts w:ascii="宋体" w:hAnsi="Courier New" w:eastAsia="楷体_GB2312"/>
      <w:kern w:val="2"/>
      <w:sz w:val="21"/>
      <w:szCs w:val="24"/>
      <w:lang w:val="en-US" w:eastAsia="zh-CN" w:bidi="ar-SA"/>
    </w:rPr>
  </w:style>
  <w:style w:type="paragraph" w:customStyle="1" w:styleId="145">
    <w:name w:val="页脚 New"/>
    <w:basedOn w:val="76"/>
    <w:qFormat/>
    <w:uiPriority w:val="0"/>
    <w:pPr>
      <w:tabs>
        <w:tab w:val="center" w:pos="4153"/>
        <w:tab w:val="right" w:pos="8306"/>
      </w:tabs>
      <w:snapToGrid w:val="0"/>
      <w:jc w:val="left"/>
    </w:pPr>
    <w:rPr>
      <w:sz w:val="18"/>
      <w:szCs w:val="18"/>
    </w:rPr>
  </w:style>
  <w:style w:type="paragraph" w:customStyle="1" w:styleId="146">
    <w:name w:val="_Style 1"/>
    <w:basedOn w:val="1"/>
    <w:qFormat/>
    <w:uiPriority w:val="0"/>
    <w:pPr>
      <w:spacing w:line="240" w:lineRule="auto"/>
      <w:ind w:firstLine="420" w:firstLineChars="200"/>
    </w:pPr>
    <w:rPr>
      <w:rFonts w:ascii="Calibri" w:hAnsi="Calibri"/>
      <w:sz w:val="21"/>
      <w:szCs w:val="22"/>
    </w:rPr>
  </w:style>
  <w:style w:type="paragraph" w:customStyle="1" w:styleId="147">
    <w:name w:val="文一"/>
    <w:basedOn w:val="1"/>
    <w:qFormat/>
    <w:uiPriority w:val="0"/>
    <w:pPr>
      <w:topLinePunct/>
      <w:adjustRightInd w:val="0"/>
      <w:snapToGrid w:val="0"/>
      <w:ind w:firstLine="200" w:firstLineChars="200"/>
    </w:pPr>
    <w:rPr>
      <w:rFonts w:hint="default" w:ascii="Calibri" w:hAnsi="Calibri" w:eastAsia="宋体" w:cs="Times New Roman"/>
      <w:snapToGrid w:val="0"/>
      <w:spacing w:val="4"/>
      <w:kern w:val="0"/>
      <w:szCs w:val="22"/>
    </w:rPr>
  </w:style>
  <w:style w:type="paragraph" w:customStyle="1" w:styleId="148">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character" w:customStyle="1" w:styleId="149">
    <w:name w:val="NormalCharacter"/>
    <w:semiHidden/>
    <w:qFormat/>
    <w:uiPriority w:val="0"/>
    <w:rPr>
      <w:rFonts w:ascii="宋体"/>
      <w:kern w:val="2"/>
      <w:sz w:val="24"/>
      <w:lang w:val="en-US" w:eastAsia="zh-CN" w:bidi="ar-SA"/>
    </w:rPr>
  </w:style>
  <w:style w:type="paragraph" w:customStyle="1" w:styleId="150">
    <w:name w:val="UserStyle_76"/>
    <w:basedOn w:val="151"/>
    <w:qFormat/>
    <w:uiPriority w:val="99"/>
    <w:pPr>
      <w:ind w:firstLine="420"/>
      <w:jc w:val="left"/>
    </w:pPr>
    <w:rPr>
      <w:kern w:val="0"/>
      <w:sz w:val="20"/>
      <w:szCs w:val="20"/>
    </w:rPr>
  </w:style>
  <w:style w:type="paragraph" w:customStyle="1" w:styleId="151">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152">
    <w:name w:val="Heading2"/>
    <w:basedOn w:val="1"/>
    <w:next w:val="1"/>
    <w:qFormat/>
    <w:uiPriority w:val="99"/>
    <w:pPr>
      <w:jc w:val="left"/>
    </w:pPr>
    <w:rPr>
      <w:kern w:val="0"/>
    </w:rPr>
  </w:style>
  <w:style w:type="paragraph" w:customStyle="1" w:styleId="153">
    <w:name w:val="Table Text"/>
    <w:basedOn w:val="1"/>
    <w:semiHidden/>
    <w:qFormat/>
    <w:uiPriority w:val="0"/>
    <w:rPr>
      <w:rFonts w:ascii="宋体" w:hAnsi="宋体" w:eastAsia="宋体" w:cs="宋体"/>
      <w:sz w:val="19"/>
      <w:szCs w:val="19"/>
      <w:lang w:val="en-US" w:eastAsia="en-US" w:bidi="ar-SA"/>
    </w:rPr>
  </w:style>
  <w:style w:type="character" w:customStyle="1" w:styleId="154">
    <w:name w:val="标题 3 Char"/>
    <w:link w:val="4"/>
    <w:qFormat/>
    <w:uiPriority w:val="0"/>
    <w:rPr>
      <w:rFonts w:ascii="宋体" w:hAnsi="宋体" w:eastAsia="宋体"/>
      <w:b/>
      <w:sz w:val="24"/>
    </w:rPr>
  </w:style>
  <w:style w:type="table" w:customStyle="1" w:styleId="15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Norma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Norma3</Template>
  <Company>1</Company>
  <Pages>77</Pages>
  <Words>17003</Words>
  <Characters>18498</Characters>
  <Lines>721</Lines>
  <Paragraphs>203</Paragraphs>
  <TotalTime>3</TotalTime>
  <ScaleCrop>false</ScaleCrop>
  <LinksUpToDate>false</LinksUpToDate>
  <CharactersWithSpaces>18890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2022-12-20T03:27:00Z</dcterms:created>
  <dc:creator>kingsons</dc:creator>
  <cp:lastModifiedBy>妮子</cp:lastModifiedBy>
  <cp:lastPrinted>2026-01-04T06:51:00Z</cp:lastPrinted>
  <dcterms:modified xsi:type="dcterms:W3CDTF">2026-01-04T09:37:08Z</dcterms:modified>
  <dc:title>广东省韶关学院第三期学生公寓第一、二组团工程施工</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CE252277CF0A404F9C796571D5D0A788_13</vt:lpwstr>
  </property>
  <property fmtid="{D5CDD505-2E9C-101B-9397-08002B2CF9AE}" pid="4" name="ribbonExt">
    <vt:lpwstr>{"WPSExtOfficeTab":{"OnGetEnabled":false,"OnGetVisible":false}}</vt:lpwstr>
  </property>
  <property fmtid="{D5CDD505-2E9C-101B-9397-08002B2CF9AE}" pid="5" name="KSOTemplateDocerSaveRecord">
    <vt:lpwstr>eyJoZGlkIjoiNzJlODJlZWIyMWViOTBjNDFkZDAwODdjNDFmYTk2MjUiLCJ1c2VySWQiOiIxMzczNjgyNDAzIn0=</vt:lpwstr>
  </property>
</Properties>
</file>