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6E6FCA">
      <w:pPr>
        <w:pStyle w:val="53"/>
        <w:shd w:val="clear" w:color="auto" w:fill="auto"/>
        <w:wordWrap w:val="0"/>
        <w:adjustRightInd w:val="0"/>
        <w:snapToGrid w:val="0"/>
        <w:spacing w:line="360" w:lineRule="auto"/>
        <w:jc w:val="center"/>
        <w:rPr>
          <w:rFonts w:hint="eastAsia" w:eastAsia="宋体"/>
          <w:snapToGrid w:val="0"/>
          <w:color w:val="auto"/>
          <w:kern w:val="0"/>
          <w:sz w:val="44"/>
          <w:szCs w:val="44"/>
          <w:highlight w:val="none"/>
          <w:u w:val="none"/>
        </w:rPr>
      </w:pPr>
      <w:r>
        <w:rPr>
          <w:rFonts w:hint="eastAsia" w:eastAsia="宋体"/>
          <w:b/>
          <w:bCs/>
          <w:snapToGrid w:val="0"/>
          <w:color w:val="auto"/>
          <w:kern w:val="0"/>
          <w:sz w:val="44"/>
          <w:szCs w:val="44"/>
          <w:highlight w:val="none"/>
          <w:u w:val="none"/>
          <w:lang w:val="en-US" w:eastAsia="zh-CN"/>
        </w:rPr>
        <w:t>翁源县翁城镇路域整治及环境提升项目(翁源县翁城镇乡村振兴产业园路段沿线整治提升项目)</w:t>
      </w:r>
      <w:r>
        <w:rPr>
          <w:rFonts w:hint="eastAsia" w:eastAsia="宋体"/>
          <w:b/>
          <w:bCs/>
          <w:snapToGrid w:val="0"/>
          <w:color w:val="auto"/>
          <w:kern w:val="0"/>
          <w:sz w:val="44"/>
          <w:szCs w:val="44"/>
          <w:highlight w:val="none"/>
          <w:u w:val="none"/>
        </w:rPr>
        <w:t>施工</w:t>
      </w:r>
    </w:p>
    <w:p w14:paraId="772983CC">
      <w:pPr>
        <w:pStyle w:val="53"/>
        <w:shd w:val="clear" w:color="auto" w:fill="auto"/>
        <w:wordWrap w:val="0"/>
        <w:adjustRightInd w:val="0"/>
        <w:snapToGrid w:val="0"/>
        <w:spacing w:line="360" w:lineRule="auto"/>
        <w:jc w:val="cente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p>
    <w:p w14:paraId="5F67FB36">
      <w:pPr>
        <w:pStyle w:val="53"/>
        <w:shd w:val="clear" w:color="auto" w:fill="auto"/>
        <w:wordWrap w:val="0"/>
        <w:adjustRightInd w:val="0"/>
        <w:snapToGrid w:val="0"/>
        <w:spacing w:line="360" w:lineRule="auto"/>
        <w:jc w:val="cente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p>
    <w:p w14:paraId="19FE8D26">
      <w:pPr>
        <w:pStyle w:val="53"/>
        <w:shd w:val="clear" w:color="auto" w:fill="auto"/>
        <w:wordWrap w:val="0"/>
        <w:adjustRightInd w:val="0"/>
        <w:snapToGrid w:val="0"/>
        <w:spacing w:line="360" w:lineRule="auto"/>
        <w:jc w:val="cente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19FE6D26">
      <w:pPr>
        <w:pStyle w:val="53"/>
        <w:shd w:val="clear" w:color="auto" w:fill="auto"/>
        <w:wordWrap w:val="0"/>
        <w:adjustRightInd w:val="0"/>
        <w:snapToGrid w:val="0"/>
        <w:spacing w:line="360" w:lineRule="auto"/>
        <w:jc w:val="cente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p>
    <w:p w14:paraId="30AF3F15">
      <w:pPr>
        <w:shd w:val="clear" w:color="auto" w:fill="auto"/>
        <w:rPr>
          <w:rFonts w:hint="eastAsia"/>
          <w:color w:val="auto"/>
          <w:highlight w:val="none"/>
        </w:rPr>
      </w:pPr>
    </w:p>
    <w:p w14:paraId="50A1C299">
      <w:pPr>
        <w:shd w:val="clear" w:color="auto" w:fill="auto"/>
        <w:rPr>
          <w:rFonts w:hint="eastAsia"/>
          <w:color w:val="auto"/>
          <w:highlight w:val="none"/>
        </w:rPr>
      </w:pPr>
    </w:p>
    <w:tbl>
      <w:tblPr>
        <w:tblStyle w:val="17"/>
        <w:tblW w:w="0" w:type="auto"/>
        <w:tblInd w:w="-102" w:type="dxa"/>
        <w:tblLayout w:type="fixed"/>
        <w:tblCellMar>
          <w:top w:w="0" w:type="dxa"/>
          <w:left w:w="0" w:type="dxa"/>
          <w:bottom w:w="0" w:type="dxa"/>
          <w:right w:w="0" w:type="dxa"/>
        </w:tblCellMar>
      </w:tblPr>
      <w:tblGrid>
        <w:gridCol w:w="4708"/>
        <w:gridCol w:w="5020"/>
      </w:tblGrid>
      <w:tr w14:paraId="4460F39F">
        <w:tblPrEx>
          <w:tblCellMar>
            <w:top w:w="0" w:type="dxa"/>
            <w:left w:w="0" w:type="dxa"/>
            <w:bottom w:w="0" w:type="dxa"/>
            <w:right w:w="0" w:type="dxa"/>
          </w:tblCellMar>
        </w:tblPrEx>
        <w:trPr>
          <w:trHeight w:val="850" w:hRule="atLeast"/>
        </w:trPr>
        <w:tc>
          <w:tcPr>
            <w:tcW w:w="4708" w:type="dxa"/>
            <w:noWrap w:val="0"/>
            <w:vAlign w:val="center"/>
          </w:tcPr>
          <w:p w14:paraId="4BFC6128">
            <w:pPr>
              <w:pStyle w:val="54"/>
              <w:shd w:val="clear" w:color="auto" w:fill="auto"/>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标</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人（盖单位章）：</w:t>
            </w:r>
          </w:p>
        </w:tc>
        <w:tc>
          <w:tcPr>
            <w:tcW w:w="5020" w:type="dxa"/>
            <w:noWrap w:val="0"/>
            <w:vAlign w:val="center"/>
          </w:tcPr>
          <w:p w14:paraId="74A8E5C9">
            <w:pPr>
              <w:pStyle w:val="54"/>
              <w:wordWrap w:val="0"/>
              <w:adjustRightInd w:val="0"/>
              <w:snapToGrid w:val="0"/>
              <w:spacing w:line="240" w:lineRule="auto"/>
              <w:rPr>
                <w:rFonts w:hint="eastAsia" w:ascii="Times New Roman" w:eastAsia="宋体"/>
                <w:snapToGrid w:val="0"/>
                <w:color w:val="auto"/>
                <w:kern w:val="0"/>
                <w:sz w:val="28"/>
                <w:szCs w:val="28"/>
                <w:highlight w:val="none"/>
                <w:lang w:eastAsia="zh-CN"/>
              </w:rPr>
            </w:pPr>
            <w:r>
              <w:rPr>
                <w:rFonts w:hint="eastAsia" w:ascii="Times New Roman" w:eastAsia="宋体"/>
                <w:snapToGrid w:val="0"/>
                <w:color w:val="auto"/>
                <w:kern w:val="0"/>
                <w:sz w:val="28"/>
                <w:szCs w:val="28"/>
                <w:highlight w:val="none"/>
                <w:lang w:eastAsia="zh-CN"/>
              </w:rPr>
              <w:t>翁源县翁城镇人民政府</w:t>
            </w:r>
          </w:p>
        </w:tc>
      </w:tr>
      <w:tr w14:paraId="31745E46">
        <w:tblPrEx>
          <w:tblCellMar>
            <w:top w:w="0" w:type="dxa"/>
            <w:left w:w="0" w:type="dxa"/>
            <w:bottom w:w="0" w:type="dxa"/>
            <w:right w:w="0" w:type="dxa"/>
          </w:tblCellMar>
        </w:tblPrEx>
        <w:trPr>
          <w:trHeight w:val="850" w:hRule="atLeast"/>
        </w:trPr>
        <w:tc>
          <w:tcPr>
            <w:tcW w:w="4708" w:type="dxa"/>
            <w:noWrap w:val="0"/>
            <w:vAlign w:val="center"/>
          </w:tcPr>
          <w:p w14:paraId="12920EAA">
            <w:pPr>
              <w:pStyle w:val="54"/>
              <w:shd w:val="clear" w:color="auto" w:fill="auto"/>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招标人工作领导小组负责人（签字）：</w:t>
            </w:r>
          </w:p>
        </w:tc>
        <w:tc>
          <w:tcPr>
            <w:tcW w:w="5020" w:type="dxa"/>
            <w:noWrap w:val="0"/>
            <w:vAlign w:val="center"/>
          </w:tcPr>
          <w:p w14:paraId="2BB1F708">
            <w:pPr>
              <w:pStyle w:val="54"/>
              <w:wordWrap w:val="0"/>
              <w:adjustRightInd w:val="0"/>
              <w:snapToGrid w:val="0"/>
              <w:spacing w:line="240" w:lineRule="auto"/>
              <w:rPr>
                <w:rFonts w:hint="eastAsia" w:ascii="Times New Roman"/>
                <w:snapToGrid w:val="0"/>
                <w:color w:val="auto"/>
                <w:kern w:val="0"/>
                <w:sz w:val="28"/>
                <w:szCs w:val="28"/>
                <w:highlight w:val="none"/>
              </w:rPr>
            </w:pPr>
          </w:p>
        </w:tc>
      </w:tr>
      <w:tr w14:paraId="0D6242EE">
        <w:tblPrEx>
          <w:tblCellMar>
            <w:top w:w="0" w:type="dxa"/>
            <w:left w:w="0" w:type="dxa"/>
            <w:bottom w:w="0" w:type="dxa"/>
            <w:right w:w="0" w:type="dxa"/>
          </w:tblCellMar>
        </w:tblPrEx>
        <w:trPr>
          <w:trHeight w:val="850" w:hRule="atLeast"/>
        </w:trPr>
        <w:tc>
          <w:tcPr>
            <w:tcW w:w="4708" w:type="dxa"/>
            <w:noWrap w:val="0"/>
            <w:vAlign w:val="center"/>
          </w:tcPr>
          <w:p w14:paraId="587E4EB8">
            <w:pPr>
              <w:pStyle w:val="54"/>
              <w:shd w:val="clear" w:color="auto" w:fill="auto"/>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 标 代 理 机 构 （盖单位章）：</w:t>
            </w:r>
          </w:p>
        </w:tc>
        <w:tc>
          <w:tcPr>
            <w:tcW w:w="5020" w:type="dxa"/>
            <w:noWrap w:val="0"/>
            <w:vAlign w:val="center"/>
          </w:tcPr>
          <w:p w14:paraId="3DF5A6C1">
            <w:pPr>
              <w:pStyle w:val="54"/>
              <w:wordWrap w:val="0"/>
              <w:adjustRightInd w:val="0"/>
              <w:snapToGrid w:val="0"/>
              <w:spacing w:line="240" w:lineRule="auto"/>
              <w:rPr>
                <w:rFonts w:hint="eastAsia" w:ascii="Times New Roman" w:eastAsia="宋体"/>
                <w:snapToGrid w:val="0"/>
                <w:color w:val="auto"/>
                <w:kern w:val="0"/>
                <w:sz w:val="28"/>
                <w:szCs w:val="28"/>
                <w:highlight w:val="none"/>
                <w:lang w:eastAsia="zh-CN"/>
              </w:rPr>
            </w:pPr>
            <w:r>
              <w:rPr>
                <w:rFonts w:hint="eastAsia" w:ascii="Times New Roman" w:eastAsia="宋体"/>
                <w:snapToGrid w:val="0"/>
                <w:color w:val="auto"/>
                <w:kern w:val="0"/>
                <w:sz w:val="28"/>
                <w:szCs w:val="28"/>
                <w:highlight w:val="none"/>
                <w:lang w:val="en-US" w:eastAsia="zh-CN"/>
              </w:rPr>
              <w:t>中轩项目管理有限公司</w:t>
            </w:r>
          </w:p>
        </w:tc>
      </w:tr>
      <w:tr w14:paraId="23F21352">
        <w:tblPrEx>
          <w:tblCellMar>
            <w:top w:w="0" w:type="dxa"/>
            <w:left w:w="0" w:type="dxa"/>
            <w:bottom w:w="0" w:type="dxa"/>
            <w:right w:w="0" w:type="dxa"/>
          </w:tblCellMar>
        </w:tblPrEx>
        <w:trPr>
          <w:trHeight w:val="850" w:hRule="atLeast"/>
        </w:trPr>
        <w:tc>
          <w:tcPr>
            <w:tcW w:w="4708" w:type="dxa"/>
            <w:noWrap w:val="0"/>
            <w:vAlign w:val="center"/>
          </w:tcPr>
          <w:p w14:paraId="53B68F6A">
            <w:pPr>
              <w:pStyle w:val="54"/>
              <w:shd w:val="clear" w:color="auto" w:fill="auto"/>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招标文件编制人（签字）：</w:t>
            </w:r>
          </w:p>
        </w:tc>
        <w:tc>
          <w:tcPr>
            <w:tcW w:w="5020" w:type="dxa"/>
            <w:noWrap w:val="0"/>
            <w:vAlign w:val="center"/>
          </w:tcPr>
          <w:p w14:paraId="165822AE">
            <w:pPr>
              <w:pStyle w:val="54"/>
              <w:wordWrap w:val="0"/>
              <w:adjustRightInd w:val="0"/>
              <w:snapToGrid w:val="0"/>
              <w:spacing w:line="240" w:lineRule="auto"/>
              <w:rPr>
                <w:rFonts w:hint="eastAsia" w:ascii="Times New Roman"/>
                <w:snapToGrid w:val="0"/>
                <w:color w:val="auto"/>
                <w:kern w:val="0"/>
                <w:sz w:val="28"/>
                <w:szCs w:val="28"/>
                <w:highlight w:val="none"/>
              </w:rPr>
            </w:pPr>
          </w:p>
        </w:tc>
      </w:tr>
      <w:tr w14:paraId="385F4E6B">
        <w:tblPrEx>
          <w:tblCellMar>
            <w:top w:w="0" w:type="dxa"/>
            <w:left w:w="0" w:type="dxa"/>
            <w:bottom w:w="0" w:type="dxa"/>
            <w:right w:w="0" w:type="dxa"/>
          </w:tblCellMar>
        </w:tblPrEx>
        <w:trPr>
          <w:trHeight w:val="850" w:hRule="atLeast"/>
        </w:trPr>
        <w:tc>
          <w:tcPr>
            <w:tcW w:w="4708" w:type="dxa"/>
            <w:noWrap w:val="0"/>
            <w:vAlign w:val="center"/>
          </w:tcPr>
          <w:p w14:paraId="2AEC54B2">
            <w:pPr>
              <w:pStyle w:val="54"/>
              <w:shd w:val="clear" w:color="auto" w:fill="auto"/>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招标代理机构项目负责人（签字）：</w:t>
            </w:r>
          </w:p>
        </w:tc>
        <w:tc>
          <w:tcPr>
            <w:tcW w:w="5020" w:type="dxa"/>
            <w:noWrap w:val="0"/>
            <w:vAlign w:val="center"/>
          </w:tcPr>
          <w:p w14:paraId="3FAC2612">
            <w:pPr>
              <w:pStyle w:val="54"/>
              <w:wordWrap w:val="0"/>
              <w:adjustRightInd w:val="0"/>
              <w:snapToGrid w:val="0"/>
              <w:spacing w:line="240" w:lineRule="auto"/>
              <w:rPr>
                <w:rFonts w:hint="eastAsia" w:ascii="Times New Roman"/>
                <w:snapToGrid w:val="0"/>
                <w:color w:val="auto"/>
                <w:kern w:val="0"/>
                <w:sz w:val="28"/>
                <w:szCs w:val="28"/>
                <w:highlight w:val="none"/>
              </w:rPr>
            </w:pPr>
          </w:p>
        </w:tc>
      </w:tr>
      <w:tr w14:paraId="1BF45B69">
        <w:tblPrEx>
          <w:tblCellMar>
            <w:top w:w="0" w:type="dxa"/>
            <w:left w:w="0" w:type="dxa"/>
            <w:bottom w:w="0" w:type="dxa"/>
            <w:right w:w="0" w:type="dxa"/>
          </w:tblCellMar>
        </w:tblPrEx>
        <w:trPr>
          <w:trHeight w:val="850" w:hRule="atLeast"/>
        </w:trPr>
        <w:tc>
          <w:tcPr>
            <w:tcW w:w="4708" w:type="dxa"/>
            <w:noWrap w:val="0"/>
            <w:vAlign w:val="center"/>
          </w:tcPr>
          <w:p w14:paraId="0AF753F8">
            <w:pPr>
              <w:pStyle w:val="54"/>
              <w:shd w:val="clear" w:color="auto" w:fill="auto"/>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招标文件编制日期：</w:t>
            </w:r>
          </w:p>
        </w:tc>
        <w:tc>
          <w:tcPr>
            <w:tcW w:w="5020" w:type="dxa"/>
            <w:noWrap w:val="0"/>
            <w:vAlign w:val="center"/>
          </w:tcPr>
          <w:p w14:paraId="67AEBBE6">
            <w:pPr>
              <w:pStyle w:val="54"/>
              <w:wordWrap w:val="0"/>
              <w:adjustRightInd w:val="0"/>
              <w:snapToGrid w:val="0"/>
              <w:spacing w:line="240" w:lineRule="auto"/>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202</w:t>
            </w:r>
            <w:r>
              <w:rPr>
                <w:rFonts w:hint="eastAsia" w:ascii="Times New Roman"/>
                <w:snapToGrid w:val="0"/>
                <w:color w:val="auto"/>
                <w:kern w:val="0"/>
                <w:sz w:val="28"/>
                <w:highlight w:val="none"/>
                <w:lang w:val="en-US" w:eastAsia="zh-CN"/>
              </w:rPr>
              <w:t>6</w:t>
            </w:r>
            <w:r>
              <w:rPr>
                <w:rFonts w:hint="eastAsia" w:ascii="Times New Roman"/>
                <w:snapToGrid w:val="0"/>
                <w:color w:val="auto"/>
                <w:kern w:val="0"/>
                <w:sz w:val="28"/>
                <w:highlight w:val="none"/>
              </w:rPr>
              <w:t>年</w:t>
            </w:r>
            <w:r>
              <w:rPr>
                <w:rFonts w:hint="eastAsia" w:ascii="Times New Roman"/>
                <w:snapToGrid w:val="0"/>
                <w:color w:val="auto"/>
                <w:kern w:val="0"/>
                <w:sz w:val="28"/>
                <w:highlight w:val="none"/>
                <w:lang w:val="en-US" w:eastAsia="zh-CN"/>
              </w:rPr>
              <w:t>9</w:t>
            </w:r>
            <w:r>
              <w:rPr>
                <w:rFonts w:hint="eastAsia" w:ascii="Times New Roman"/>
                <w:snapToGrid w:val="0"/>
                <w:color w:val="auto"/>
                <w:kern w:val="0"/>
                <w:sz w:val="28"/>
                <w:highlight w:val="none"/>
              </w:rPr>
              <w:t>月</w:t>
            </w:r>
          </w:p>
        </w:tc>
      </w:tr>
    </w:tbl>
    <w:p w14:paraId="06400B0C">
      <w:pPr>
        <w:pStyle w:val="2"/>
        <w:rPr>
          <w:rFonts w:hint="eastAsia" w:ascii="宋体" w:hAnsi="宋体" w:eastAsia="宋体" w:cs="宋体"/>
          <w:color w:val="auto"/>
          <w:highlight w:val="none"/>
        </w:rPr>
      </w:pPr>
    </w:p>
    <w:p w14:paraId="1E4DB4F4">
      <w:pPr>
        <w:rPr>
          <w:rFonts w:hint="eastAsia" w:ascii="宋体" w:hAnsi="宋体" w:eastAsia="宋体" w:cs="宋体"/>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5D46C2C5">
      <w:pPr>
        <w:pStyle w:val="11"/>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_Toc19929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_Toc19929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2271B52">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_Toc6684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5D94F48">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_Toc3868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_Toc3868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9AF058C">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_Toc26480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7B2D98F">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_Toc10857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_Toc10857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FD6E76C">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_Toc26576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_Toc26576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4FA607">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_Toc7702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07F0A0">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_Toc27523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_Toc27523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D836DD">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_Toc16239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_Toc16239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95689BF">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CBC59A3">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_Toc13451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_Toc13451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5CDA428">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_Toc7721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1FDD0D5">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_Toc19887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_Toc19887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5DC0FC">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_Toc29228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5D89A00">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_Toc17143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_Toc17143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6934389">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_Toc20352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_Toc20352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8B30B5">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_Toc16412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_Toc16412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65B96D">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_Toc13007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_Toc13007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9F1895">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B3259EC">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16．</w:t>
      </w:r>
      <w:r>
        <w:rPr>
          <w:rFonts w:hint="eastAsia" w:ascii="宋体" w:hAnsi="宋体" w:eastAsia="宋体" w:cs="宋体"/>
          <w:snapToGrid w:val="0"/>
          <w:color w:val="auto"/>
          <w:sz w:val="24"/>
          <w:szCs w:val="24"/>
          <w:highlight w:val="none"/>
          <w:lang w:eastAsia="zh-CN"/>
        </w:rPr>
        <w:t>评标结果公示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_Toc21365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5D4270F">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_Toc32577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114163D">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_Toc17305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_Toc17305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0E0BC9">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_Toc3275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61DFDB9">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_Toc26166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_Toc26166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4CCC42">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_Toc5087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_Toc5087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0FDA683">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_Toc4690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_Toc4690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D3D2F0F">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_Toc8482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5709C">
      <w:pPr>
        <w:pStyle w:val="11"/>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_Toc13547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_Toc13547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D5684E">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lang w:eastAsia="zh-CN"/>
        </w:rPr>
        <w:t>1.</w:t>
      </w:r>
      <w:r>
        <w:rPr>
          <w:rFonts w:hint="eastAsia" w:ascii="宋体" w:hAnsi="宋体" w:eastAsia="宋体" w:cs="宋体"/>
          <w:snapToGrid w:val="0"/>
          <w:color w:val="auto"/>
          <w:sz w:val="24"/>
          <w:szCs w:val="24"/>
          <w:highlight w:val="none"/>
        </w:rPr>
        <w:t>中标通知书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_Toc23768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282358">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中标结果公示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_Toc3946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6EB6EA">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_Toc15380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lang w:eastAsia="zh-CN"/>
        </w:rPr>
        <w:t>3.</w:t>
      </w:r>
      <w:r>
        <w:rPr>
          <w:rFonts w:hint="eastAsia" w:ascii="宋体" w:hAnsi="宋体" w:eastAsia="宋体" w:cs="宋体"/>
          <w:snapToGrid w:val="0"/>
          <w:color w:val="auto"/>
          <w:sz w:val="24"/>
          <w:szCs w:val="24"/>
          <w:highlight w:val="none"/>
        </w:rPr>
        <w:t>履约保证</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_Toc15380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AB280A">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lang w:eastAsia="zh-CN"/>
        </w:rPr>
        <w:t>4.</w:t>
      </w:r>
      <w:r>
        <w:rPr>
          <w:rFonts w:hint="eastAsia" w:ascii="宋体" w:hAnsi="宋体" w:eastAsia="宋体" w:cs="宋体"/>
          <w:snapToGrid w:val="0"/>
          <w:color w:val="auto"/>
          <w:sz w:val="24"/>
          <w:szCs w:val="24"/>
          <w:highlight w:val="none"/>
        </w:rPr>
        <w:t>合同订立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_Toc24225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D89AAC">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_Toc23627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lang w:eastAsia="zh-CN"/>
        </w:rPr>
        <w:t>5.</w:t>
      </w:r>
      <w:r>
        <w:rPr>
          <w:rFonts w:hint="eastAsia" w:ascii="宋体" w:hAnsi="宋体" w:eastAsia="宋体" w:cs="宋体"/>
          <w:snapToGrid w:val="0"/>
          <w:color w:val="auto"/>
          <w:sz w:val="24"/>
          <w:szCs w:val="24"/>
          <w:highlight w:val="none"/>
        </w:rPr>
        <w:t>放弃中标的处理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_Toc23627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C7B407">
      <w:pPr>
        <w:pStyle w:val="11"/>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_Toc18594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_Toc18594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979D99">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_Toc28117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4．专用合同条款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_Toc28117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5A5D82">
      <w:pPr>
        <w:pStyle w:val="11"/>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_Toc24106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第四章 技术要求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_Toc24106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429933">
      <w:pPr>
        <w:pStyle w:val="11"/>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_Toc6224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_Toc6224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A956341">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_Toc1950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_Toc1950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0407EB5">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_Toc25322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_Toc25322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1CEDABC">
      <w:pPr>
        <w:pStyle w:val="11"/>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_Toc3602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_Toc3602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0ACFE3">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_Toc27490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6380A4">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_Toc13637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01EBEA">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_Toc30611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350687C">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_Toc16497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5366D6">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_Toc10098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_Toc10098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2BEAFC">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_Toc6867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_Toc6867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D933594">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_Toc16373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_Toc16373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FA1A15">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_Toc10606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_Toc10606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241D6C">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_Toc7768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399725">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_Toc14280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AD09BB">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_Toc16314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91C415F">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_Toc21330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_Toc21330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86A2F70">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0C1DF4">
      <w:pPr>
        <w:pStyle w:val="8"/>
        <w:tabs>
          <w:tab w:val="right" w:leader="dot" w:pos="9746"/>
        </w:tabs>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t>9</w:t>
      </w:r>
    </w:p>
    <w:p w14:paraId="0F55B129">
      <w:pPr>
        <w:pStyle w:val="8"/>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_Toc31686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_Toc31686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470A5B">
      <w:pPr>
        <w:pStyle w:val="12"/>
        <w:tabs>
          <w:tab w:val="right" w:leader="dot" w:pos="9746"/>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_Toc29459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eastAsia="zh-CN"/>
        </w:rPr>
        <w:t>格式十</w:t>
      </w:r>
      <w:r>
        <w:rPr>
          <w:rFonts w:hint="eastAsia" w:ascii="宋体" w:hAnsi="宋体" w:eastAsia="宋体" w:cs="宋体"/>
          <w:bCs/>
          <w:color w:val="auto"/>
          <w:sz w:val="24"/>
          <w:szCs w:val="24"/>
          <w:highlight w:val="none"/>
          <w:lang w:val="en-US" w:eastAsia="zh-CN"/>
        </w:rPr>
        <w:t>六  定标因素评审资料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_Toc29459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FC3FE0">
      <w:pPr>
        <w:pStyle w:val="12"/>
        <w:tabs>
          <w:tab w:val="right" w:leader="dot" w:pos="9746"/>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_Toc9193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_Toc9193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4"/>
          <w:szCs w:val="24"/>
          <w:highlight w:val="none"/>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19929"/>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6684"/>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7"/>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E71DC35">
            <w:pPr>
              <w:keepNext w:val="0"/>
              <w:keepLines w:val="0"/>
              <w:pageBreakBefore w:val="0"/>
              <w:widowControl/>
              <w:kinsoku w:val="0"/>
              <w:wordWrap/>
              <w:overflowPunct/>
              <w:topLinePunct w:val="0"/>
              <w:autoSpaceDE w:val="0"/>
              <w:autoSpaceDN w:val="0"/>
              <w:bidi w:val="0"/>
              <w:adjustRightInd w:val="0"/>
              <w:snapToGrid w:val="0"/>
              <w:spacing w:line="440" w:lineRule="exact"/>
              <w:ind w:left="0" w:leftChars="0" w:firstLine="0" w:firstLine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860" w:type="dxa"/>
            <w:vAlign w:val="center"/>
          </w:tcPr>
          <w:p w14:paraId="4C2E1B8B">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内容</w:t>
            </w:r>
          </w:p>
        </w:tc>
        <w:tc>
          <w:tcPr>
            <w:tcW w:w="7544" w:type="dxa"/>
            <w:vAlign w:val="center"/>
          </w:tcPr>
          <w:p w14:paraId="5AEE0820">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743D7C8">
            <w:pPr>
              <w:keepNext w:val="0"/>
              <w:keepLines w:val="0"/>
              <w:pageBreakBefore w:val="0"/>
              <w:overflowPunct/>
              <w:topLinePunct w:val="0"/>
              <w:bidi w:val="0"/>
              <w:spacing w:before="223" w:line="440" w:lineRule="exact"/>
              <w:jc w:val="center"/>
              <w:rPr>
                <w:rFonts w:hint="eastAsia" w:ascii="宋体" w:hAnsi="宋体" w:eastAsia="宋体" w:cs="宋体"/>
                <w:color w:val="auto"/>
                <w:sz w:val="21"/>
                <w:szCs w:val="21"/>
                <w:highlight w:val="none"/>
              </w:rPr>
            </w:pPr>
            <w:bookmarkStart w:id="4" w:name="OLE_LINK2" w:colFirst="2" w:colLast="2"/>
            <w:r>
              <w:rPr>
                <w:rFonts w:hint="eastAsia" w:ascii="宋体" w:hAnsi="宋体" w:eastAsia="宋体" w:cs="宋体"/>
                <w:color w:val="auto"/>
                <w:sz w:val="21"/>
                <w:szCs w:val="21"/>
                <w:highlight w:val="none"/>
              </w:rPr>
              <w:t>1</w:t>
            </w:r>
          </w:p>
        </w:tc>
        <w:tc>
          <w:tcPr>
            <w:tcW w:w="1860" w:type="dxa"/>
            <w:vAlign w:val="center"/>
          </w:tcPr>
          <w:p w14:paraId="2DAD04FB">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项目名称</w:t>
            </w:r>
          </w:p>
        </w:tc>
        <w:tc>
          <w:tcPr>
            <w:tcW w:w="7544" w:type="dxa"/>
            <w:vAlign w:val="center"/>
          </w:tcPr>
          <w:p w14:paraId="495090BD">
            <w:pPr>
              <w:keepNext w:val="0"/>
              <w:keepLines w:val="0"/>
              <w:pageBreakBefore w:val="0"/>
              <w:tabs>
                <w:tab w:val="left" w:pos="1180"/>
              </w:tabs>
              <w:overflowPunct/>
              <w:topLinePunct w:val="0"/>
              <w:bidi w:val="0"/>
              <w:adjustRightInd w:val="0"/>
              <w:snapToGrid w:val="0"/>
              <w:spacing w:line="440" w:lineRule="exact"/>
              <w:ind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翁源县翁城镇路域整治及环境提升项目(翁源县翁城镇乡村振兴产业园路段沿线整治提升项目)施工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B02EA2B">
            <w:pPr>
              <w:keepNext w:val="0"/>
              <w:keepLines w:val="0"/>
              <w:pageBreakBefore w:val="0"/>
              <w:overflowPunct/>
              <w:topLinePunct w:val="0"/>
              <w:bidi w:val="0"/>
              <w:spacing w:before="222"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60" w:type="dxa"/>
            <w:vAlign w:val="center"/>
          </w:tcPr>
          <w:p w14:paraId="4498F624">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项目业主</w:t>
            </w:r>
          </w:p>
        </w:tc>
        <w:tc>
          <w:tcPr>
            <w:tcW w:w="7544" w:type="dxa"/>
            <w:vAlign w:val="center"/>
          </w:tcPr>
          <w:p w14:paraId="0533DE12">
            <w:pPr>
              <w:keepNext w:val="0"/>
              <w:keepLines w:val="0"/>
              <w:pageBreakBefore w:val="0"/>
              <w:wordWrap w:val="0"/>
              <w:overflowPunct/>
              <w:topLinePunct w:val="0"/>
              <w:bidi w:val="0"/>
              <w:adjustRightInd w:val="0"/>
              <w:snapToGrid w:val="0"/>
              <w:spacing w:line="440" w:lineRule="exact"/>
              <w:ind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翁源县翁城镇人民政府</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A5F6D9F">
            <w:pPr>
              <w:keepNext w:val="0"/>
              <w:keepLines w:val="0"/>
              <w:pageBreakBefore w:val="0"/>
              <w:overflowPunct/>
              <w:topLinePunct w:val="0"/>
              <w:bidi w:val="0"/>
              <w:spacing w:before="58"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60" w:type="dxa"/>
            <w:vAlign w:val="center"/>
          </w:tcPr>
          <w:p w14:paraId="157B5048">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项目批准部门及项目批准文号</w:t>
            </w:r>
          </w:p>
        </w:tc>
        <w:tc>
          <w:tcPr>
            <w:tcW w:w="7544" w:type="dxa"/>
            <w:vAlign w:val="center"/>
          </w:tcPr>
          <w:p w14:paraId="667F29C4">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翁源县发展和改革局/翁发改投审〔2026〕24号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翁发改投审〔2026〕43号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翁发改投审〔2026〕49号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E34B725">
            <w:pPr>
              <w:keepNext w:val="0"/>
              <w:keepLines w:val="0"/>
              <w:pageBreakBefore w:val="0"/>
              <w:overflowPunct/>
              <w:topLinePunct w:val="0"/>
              <w:bidi w:val="0"/>
              <w:spacing w:before="225"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c>
          <w:tcPr>
            <w:tcW w:w="1860" w:type="dxa"/>
            <w:vAlign w:val="center"/>
          </w:tcPr>
          <w:p w14:paraId="1DD2D51F">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keepNext w:val="0"/>
              <w:keepLines w:val="0"/>
              <w:pageBreakBefore w:val="0"/>
              <w:shd w:val="clear" w:color="auto" w:fill="auto"/>
              <w:wordWrap w:val="0"/>
              <w:overflowPunct/>
              <w:topLinePunct w:val="0"/>
              <w:bidi w:val="0"/>
              <w:adjustRightInd w:val="0"/>
              <w:snapToGrid w:val="0"/>
              <w:spacing w:line="440" w:lineRule="exact"/>
              <w:ind w:firstLine="210" w:firstLineChars="1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韶关市翁源县翁城镇</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18E89F5">
            <w:pPr>
              <w:keepNext w:val="0"/>
              <w:keepLines w:val="0"/>
              <w:pageBreakBefore w:val="0"/>
              <w:overflowPunct/>
              <w:topLinePunct w:val="0"/>
              <w:bidi w:val="0"/>
              <w:spacing w:before="226"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860" w:type="dxa"/>
            <w:vAlign w:val="center"/>
          </w:tcPr>
          <w:p w14:paraId="66CCEB4B">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项目代码</w:t>
            </w:r>
          </w:p>
        </w:tc>
        <w:tc>
          <w:tcPr>
            <w:tcW w:w="7544" w:type="dxa"/>
            <w:vAlign w:val="center"/>
          </w:tcPr>
          <w:p w14:paraId="44492172">
            <w:pPr>
              <w:keepNext w:val="0"/>
              <w:keepLines w:val="0"/>
              <w:pageBreakBefore w:val="0"/>
              <w:shd w:val="clear" w:color="auto" w:fill="auto"/>
              <w:wordWrap w:val="0"/>
              <w:overflowPunct/>
              <w:topLinePunct w:val="0"/>
              <w:bidi w:val="0"/>
              <w:adjustRightInd w:val="0"/>
              <w:snapToGrid w:val="0"/>
              <w:spacing w:line="440" w:lineRule="exact"/>
              <w:ind w:firstLine="210" w:firstLineChars="1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2510-440229-04-01-263175</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D804121">
            <w:pPr>
              <w:keepNext w:val="0"/>
              <w:keepLines w:val="0"/>
              <w:pageBreakBefore w:val="0"/>
              <w:overflowPunct/>
              <w:topLinePunct w:val="0"/>
              <w:bidi w:val="0"/>
              <w:spacing w:before="58"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860" w:type="dxa"/>
            <w:vAlign w:val="center"/>
          </w:tcPr>
          <w:p w14:paraId="5A6B5685">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资金来源及落实情况</w:t>
            </w:r>
          </w:p>
        </w:tc>
        <w:tc>
          <w:tcPr>
            <w:tcW w:w="7544" w:type="dxa"/>
            <w:vAlign w:val="center"/>
          </w:tcPr>
          <w:p w14:paraId="515D2834">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帮扶协作资金及小城市试点建设培育资金，不足部分由县级财政统筹解决。 </w:t>
            </w:r>
          </w:p>
          <w:p w14:paraId="440E9E3D">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100%，资金已落实</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400528AE">
            <w:pPr>
              <w:keepNext w:val="0"/>
              <w:keepLines w:val="0"/>
              <w:pageBreakBefore w:val="0"/>
              <w:overflowPunct/>
              <w:topLinePunct w:val="0"/>
              <w:bidi w:val="0"/>
              <w:spacing w:before="228"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860" w:type="dxa"/>
            <w:vAlign w:val="center"/>
          </w:tcPr>
          <w:p w14:paraId="3CAF0EEB">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招标人</w:t>
            </w:r>
          </w:p>
        </w:tc>
        <w:tc>
          <w:tcPr>
            <w:tcW w:w="7544" w:type="dxa"/>
            <w:vAlign w:val="center"/>
          </w:tcPr>
          <w:p w14:paraId="5B71CC74">
            <w:pPr>
              <w:keepNext w:val="0"/>
              <w:keepLines w:val="0"/>
              <w:pageBreakBefore w:val="0"/>
              <w:shd w:val="clear" w:color="auto" w:fill="auto"/>
              <w:wordWrap w:val="0"/>
              <w:overflowPunct/>
              <w:topLinePunct w:val="0"/>
              <w:bidi w:val="0"/>
              <w:adjustRightInd w:val="0"/>
              <w:snapToGrid w:val="0"/>
              <w:spacing w:line="440" w:lineRule="exact"/>
              <w:ind w:firstLine="210" w:firstLineChars="1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翁源县翁城镇人民政府</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44304D14">
            <w:pPr>
              <w:keepNext w:val="0"/>
              <w:keepLines w:val="0"/>
              <w:pageBreakBefore w:val="0"/>
              <w:overflowPunct/>
              <w:topLinePunct w:val="0"/>
              <w:bidi w:val="0"/>
              <w:spacing w:before="224"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860" w:type="dxa"/>
            <w:vAlign w:val="center"/>
          </w:tcPr>
          <w:p w14:paraId="31C26FCB">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招标代理机构</w:t>
            </w:r>
          </w:p>
        </w:tc>
        <w:tc>
          <w:tcPr>
            <w:tcW w:w="7544" w:type="dxa"/>
            <w:vAlign w:val="center"/>
          </w:tcPr>
          <w:p w14:paraId="4E3C0A99">
            <w:pPr>
              <w:keepNext w:val="0"/>
              <w:keepLines w:val="0"/>
              <w:pageBreakBefore w:val="0"/>
              <w:shd w:val="clear" w:color="auto" w:fill="auto"/>
              <w:wordWrap w:val="0"/>
              <w:overflowPunct/>
              <w:topLinePunct w:val="0"/>
              <w:bidi w:val="0"/>
              <w:adjustRightInd w:val="0"/>
              <w:snapToGrid w:val="0"/>
              <w:spacing w:line="440" w:lineRule="exact"/>
              <w:ind w:firstLine="210" w:firstLineChars="1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中轩项目管理有限公司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A5AC857">
            <w:pPr>
              <w:keepNext w:val="0"/>
              <w:keepLines w:val="0"/>
              <w:pageBreakBefore w:val="0"/>
              <w:overflowPunct/>
              <w:topLinePunct w:val="0"/>
              <w:bidi w:val="0"/>
              <w:spacing w:before="225"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860" w:type="dxa"/>
            <w:vAlign w:val="center"/>
          </w:tcPr>
          <w:p w14:paraId="11B17F78">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设计单位</w:t>
            </w:r>
          </w:p>
        </w:tc>
        <w:tc>
          <w:tcPr>
            <w:tcW w:w="7544" w:type="dxa"/>
            <w:vAlign w:val="center"/>
          </w:tcPr>
          <w:p w14:paraId="2E0AD384">
            <w:pPr>
              <w:keepNext w:val="0"/>
              <w:keepLines w:val="0"/>
              <w:pageBreakBefore w:val="0"/>
              <w:kinsoku/>
              <w:wordWrap w:val="0"/>
              <w:overflowPunct/>
              <w:topLinePunct w:val="0"/>
              <w:autoSpaceDE/>
              <w:autoSpaceDN/>
              <w:bidi w:val="0"/>
              <w:adjustRightInd w:val="0"/>
              <w:snapToGrid w:val="0"/>
              <w:spacing w:line="440" w:lineRule="exact"/>
              <w:ind w:firstLine="210" w:firstLineChars="10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永建设计集团有限公司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D58DA3A">
            <w:pPr>
              <w:keepNext w:val="0"/>
              <w:keepLines w:val="0"/>
              <w:pageBreakBefore w:val="0"/>
              <w:overflowPunct/>
              <w:topLinePunct w:val="0"/>
              <w:bidi w:val="0"/>
              <w:spacing w:before="245"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10</w:t>
            </w:r>
          </w:p>
        </w:tc>
        <w:tc>
          <w:tcPr>
            <w:tcW w:w="1860" w:type="dxa"/>
            <w:vAlign w:val="center"/>
          </w:tcPr>
          <w:p w14:paraId="1DD07B75">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造价咨询单位</w:t>
            </w:r>
          </w:p>
        </w:tc>
        <w:tc>
          <w:tcPr>
            <w:tcW w:w="7544" w:type="dxa"/>
            <w:vAlign w:val="center"/>
          </w:tcPr>
          <w:p w14:paraId="7A3C8AC4">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□非全过程造价咨询   ☑全过程造价咨询</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392F3A2">
            <w:pPr>
              <w:keepNext w:val="0"/>
              <w:keepLines w:val="0"/>
              <w:pageBreakBefore w:val="0"/>
              <w:overflowPunct/>
              <w:topLinePunct w:val="0"/>
              <w:bidi w:val="0"/>
              <w:spacing w:before="242"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11</w:t>
            </w:r>
          </w:p>
        </w:tc>
        <w:tc>
          <w:tcPr>
            <w:tcW w:w="1860" w:type="dxa"/>
            <w:vAlign w:val="center"/>
          </w:tcPr>
          <w:p w14:paraId="12C094CC">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监理单位</w:t>
            </w:r>
          </w:p>
        </w:tc>
        <w:tc>
          <w:tcPr>
            <w:tcW w:w="7544" w:type="dxa"/>
            <w:vAlign w:val="center"/>
          </w:tcPr>
          <w:p w14:paraId="03F5A6DB">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□已确定监理单位☑未确定监理单位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515EDE6">
            <w:pPr>
              <w:keepNext w:val="0"/>
              <w:keepLines w:val="0"/>
              <w:pageBreakBefore w:val="0"/>
              <w:overflowPunct/>
              <w:topLinePunct w:val="0"/>
              <w:bidi w:val="0"/>
              <w:spacing w:before="58"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eastAsia="zh-CN"/>
              </w:rPr>
              <w:t>1</w:t>
            </w:r>
            <w:r>
              <w:rPr>
                <w:rFonts w:hint="eastAsia" w:ascii="宋体" w:hAnsi="宋体" w:eastAsia="宋体" w:cs="宋体"/>
                <w:color w:val="auto"/>
                <w:spacing w:val="-8"/>
                <w:sz w:val="21"/>
                <w:szCs w:val="21"/>
                <w:highlight w:val="none"/>
              </w:rPr>
              <w:t>2</w:t>
            </w:r>
          </w:p>
        </w:tc>
        <w:tc>
          <w:tcPr>
            <w:tcW w:w="1860" w:type="dxa"/>
            <w:vAlign w:val="center"/>
          </w:tcPr>
          <w:p w14:paraId="3DF6750B">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建设内容和规模</w:t>
            </w:r>
          </w:p>
        </w:tc>
        <w:tc>
          <w:tcPr>
            <w:tcW w:w="7544" w:type="dxa"/>
            <w:vAlign w:val="center"/>
          </w:tcPr>
          <w:p w14:paraId="7BBA1B04">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□建设规模：</w:t>
            </w:r>
          </w:p>
          <w:p w14:paraId="1CAFA845">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☑建设内容：新建混凝土路面与花岗岩人行道、栽植乔木204株，同步进行外立面真石漆改造、树脂瓦屋面及招牌建设。</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D9D5ABA">
            <w:pPr>
              <w:keepNext w:val="0"/>
              <w:keepLines w:val="0"/>
              <w:pageBreakBefore w:val="0"/>
              <w:overflowPunct/>
              <w:topLinePunct w:val="0"/>
              <w:bidi w:val="0"/>
              <w:spacing w:before="57"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13</w:t>
            </w:r>
          </w:p>
        </w:tc>
        <w:tc>
          <w:tcPr>
            <w:tcW w:w="1860" w:type="dxa"/>
            <w:vAlign w:val="center"/>
          </w:tcPr>
          <w:p w14:paraId="280E5560">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项目总投资</w:t>
            </w:r>
          </w:p>
        </w:tc>
        <w:tc>
          <w:tcPr>
            <w:tcW w:w="7544" w:type="dxa"/>
            <w:vAlign w:val="center"/>
          </w:tcPr>
          <w:p w14:paraId="0C56FDED">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项目总投资约587.17万元。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98375C9">
            <w:pPr>
              <w:keepNext w:val="0"/>
              <w:keepLines w:val="0"/>
              <w:pageBreakBefore w:val="0"/>
              <w:overflowPunct/>
              <w:topLinePunct w:val="0"/>
              <w:bidi w:val="0"/>
              <w:spacing w:before="58"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14</w:t>
            </w:r>
          </w:p>
        </w:tc>
        <w:tc>
          <w:tcPr>
            <w:tcW w:w="1860" w:type="dxa"/>
            <w:vAlign w:val="center"/>
          </w:tcPr>
          <w:p w14:paraId="2A6F4982">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招标范围</w:t>
            </w:r>
          </w:p>
        </w:tc>
        <w:tc>
          <w:tcPr>
            <w:tcW w:w="7544" w:type="dxa"/>
            <w:vAlign w:val="center"/>
          </w:tcPr>
          <w:p w14:paraId="3DE01C1F">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val="0"/>
                <w:bCs w:val="0"/>
                <w:snapToGrid w:val="0"/>
                <w:color w:val="auto"/>
                <w:kern w:val="0"/>
                <w:sz w:val="21"/>
                <w:szCs w:val="21"/>
                <w:highlight w:val="none"/>
                <w:lang w:eastAsia="zh-CN"/>
              </w:rPr>
              <w:t>按审查合格的施工图纸及工程量清单内容施工</w:t>
            </w:r>
            <w:r>
              <w:rPr>
                <w:rFonts w:hint="eastAsia" w:ascii="宋体" w:hAnsi="宋体" w:eastAsia="宋体" w:cs="宋体"/>
                <w:b w:val="0"/>
                <w:bCs w:val="0"/>
                <w:snapToGrid w:val="0"/>
                <w:color w:val="auto"/>
                <w:kern w:val="0"/>
                <w:sz w:val="21"/>
                <w:szCs w:val="21"/>
                <w:highlight w:val="none"/>
              </w:rPr>
              <w:t>。</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EED9D8B">
            <w:pPr>
              <w:keepNext w:val="0"/>
              <w:keepLines w:val="0"/>
              <w:pageBreakBefore w:val="0"/>
              <w:overflowPunct/>
              <w:topLinePunct w:val="0"/>
              <w:bidi w:val="0"/>
              <w:spacing w:before="58"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15</w:t>
            </w:r>
          </w:p>
        </w:tc>
        <w:tc>
          <w:tcPr>
            <w:tcW w:w="1860" w:type="dxa"/>
            <w:vAlign w:val="center"/>
          </w:tcPr>
          <w:p w14:paraId="5CD69A5F">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标段划分</w:t>
            </w:r>
          </w:p>
        </w:tc>
        <w:tc>
          <w:tcPr>
            <w:tcW w:w="7544" w:type="dxa"/>
            <w:vAlign w:val="center"/>
          </w:tcPr>
          <w:p w14:paraId="71E5B427">
            <w:pPr>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val="0"/>
                <w:bCs w:val="0"/>
                <w:snapToGrid w:val="0"/>
                <w:color w:val="auto"/>
                <w:kern w:val="0"/>
                <w:sz w:val="21"/>
                <w:szCs w:val="21"/>
                <w:highlight w:val="none"/>
              </w:rPr>
              <w:t>本招标项目不划分标段。</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50937A5">
            <w:pPr>
              <w:keepNext w:val="0"/>
              <w:keepLines w:val="0"/>
              <w:pageBreakBefore w:val="0"/>
              <w:overflowPunct/>
              <w:topLinePunct w:val="0"/>
              <w:bidi w:val="0"/>
              <w:spacing w:before="57"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rPr>
              <w:t>16</w:t>
            </w:r>
          </w:p>
        </w:tc>
        <w:tc>
          <w:tcPr>
            <w:tcW w:w="1860" w:type="dxa"/>
            <w:vAlign w:val="center"/>
          </w:tcPr>
          <w:p w14:paraId="00B1E991">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工期</w:t>
            </w:r>
          </w:p>
        </w:tc>
        <w:tc>
          <w:tcPr>
            <w:tcW w:w="7544" w:type="dxa"/>
            <w:vAlign w:val="top"/>
          </w:tcPr>
          <w:p w14:paraId="2E25CB87">
            <w:pPr>
              <w:pStyle w:val="28"/>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本招标项目招标工期为</w:t>
            </w:r>
            <w:r>
              <w:rPr>
                <w:rFonts w:hint="eastAsia" w:ascii="宋体" w:hAnsi="宋体" w:eastAsia="宋体" w:cs="宋体"/>
                <w:b w:val="0"/>
                <w:bCs w:val="0"/>
                <w:snapToGrid w:val="0"/>
                <w:color w:val="auto"/>
                <w:kern w:val="0"/>
                <w:sz w:val="21"/>
                <w:szCs w:val="21"/>
                <w:highlight w:val="none"/>
                <w:u w:val="single"/>
                <w:lang w:val="en-US" w:eastAsia="zh-CN"/>
              </w:rPr>
              <w:t>120</w:t>
            </w:r>
            <w:r>
              <w:rPr>
                <w:rFonts w:hint="eastAsia" w:ascii="宋体" w:hAnsi="宋体" w:eastAsia="宋体" w:cs="宋体"/>
                <w:b w:val="0"/>
                <w:bCs w:val="0"/>
                <w:snapToGrid w:val="0"/>
                <w:color w:val="auto"/>
                <w:kern w:val="0"/>
                <w:sz w:val="21"/>
                <w:szCs w:val="21"/>
                <w:highlight w:val="none"/>
                <w:lang w:val="en-US" w:eastAsia="zh-CN"/>
              </w:rPr>
              <w:t>个日历天。具体如下：</w:t>
            </w:r>
          </w:p>
          <w:p w14:paraId="01C0C49D">
            <w:pPr>
              <w:pStyle w:val="28"/>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b w:val="0"/>
                <w:bCs w:val="0"/>
                <w:snapToGrid w:val="0"/>
                <w:color w:val="auto"/>
                <w:kern w:val="0"/>
                <w:sz w:val="21"/>
                <w:szCs w:val="21"/>
                <w:highlight w:val="none"/>
                <w:u w:val="single"/>
                <w:lang w:val="en-US" w:eastAsia="zh-CN"/>
              </w:rPr>
            </w:pPr>
            <w:r>
              <w:rPr>
                <w:rFonts w:hint="eastAsia" w:ascii="宋体" w:hAnsi="宋体" w:eastAsia="宋体" w:cs="宋体"/>
                <w:b w:val="0"/>
                <w:bCs w:val="0"/>
                <w:snapToGrid w:val="0"/>
                <w:color w:val="auto"/>
                <w:kern w:val="0"/>
                <w:sz w:val="21"/>
                <w:szCs w:val="21"/>
                <w:highlight w:val="none"/>
                <w:lang w:val="en-US" w:eastAsia="zh-CN"/>
              </w:rPr>
              <w:t>☑总工期：</w:t>
            </w:r>
            <w:r>
              <w:rPr>
                <w:rFonts w:hint="eastAsia" w:ascii="宋体" w:hAnsi="宋体" w:eastAsia="宋体" w:cs="宋体"/>
                <w:b w:val="0"/>
                <w:bCs w:val="0"/>
                <w:snapToGrid w:val="0"/>
                <w:color w:val="auto"/>
                <w:kern w:val="0"/>
                <w:sz w:val="21"/>
                <w:szCs w:val="21"/>
                <w:highlight w:val="none"/>
                <w:u w:val="single"/>
                <w:lang w:val="en-US" w:eastAsia="zh-CN"/>
              </w:rPr>
              <w:t>120</w:t>
            </w:r>
            <w:r>
              <w:rPr>
                <w:rFonts w:hint="eastAsia" w:ascii="宋体" w:hAnsi="宋体" w:eastAsia="宋体" w:cs="宋体"/>
                <w:b w:val="0"/>
                <w:bCs w:val="0"/>
                <w:snapToGrid w:val="0"/>
                <w:color w:val="auto"/>
                <w:kern w:val="0"/>
                <w:sz w:val="21"/>
                <w:szCs w:val="21"/>
                <w:highlight w:val="none"/>
                <w:lang w:val="en-US" w:eastAsia="zh-CN"/>
              </w:rPr>
              <w:t>天（日历天）（注：</w:t>
            </w:r>
            <w:r>
              <w:rPr>
                <w:rFonts w:hint="eastAsia" w:ascii="宋体" w:hAnsi="宋体" w:eastAsia="宋体" w:cs="宋体"/>
                <w:b w:val="0"/>
                <w:bCs w:val="0"/>
                <w:snapToGrid w:val="0"/>
                <w:color w:val="auto"/>
                <w:kern w:val="0"/>
                <w:sz w:val="21"/>
                <w:szCs w:val="21"/>
                <w:highlight w:val="none"/>
                <w:u w:val="single"/>
                <w:lang w:val="en-US" w:eastAsia="zh-CN"/>
              </w:rPr>
              <w:t>监理单位签发开工令之日起计，至竣工验收合格之日止。）</w:t>
            </w:r>
          </w:p>
          <w:p w14:paraId="6C47A418">
            <w:pPr>
              <w:pStyle w:val="28"/>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计划开工日期： </w:t>
            </w:r>
            <w:r>
              <w:rPr>
                <w:rFonts w:hint="eastAsia" w:ascii="宋体" w:hAnsi="宋体" w:eastAsia="宋体" w:cs="宋体"/>
                <w:b w:val="0"/>
                <w:bCs w:val="0"/>
                <w:snapToGrid w:val="0"/>
                <w:color w:val="auto"/>
                <w:kern w:val="0"/>
                <w:sz w:val="21"/>
                <w:szCs w:val="21"/>
                <w:highlight w:val="none"/>
                <w:u w:val="singl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 年</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日（具体开工日期以合同为准）</w:t>
            </w:r>
          </w:p>
          <w:p w14:paraId="7241627A">
            <w:pPr>
              <w:pStyle w:val="28"/>
              <w:keepNext w:val="0"/>
              <w:keepLines w:val="0"/>
              <w:pageBreakBefore w:val="0"/>
              <w:kinsoku/>
              <w:wordWrap w:val="0"/>
              <w:overflowPunct/>
              <w:topLinePunct w:val="0"/>
              <w:autoSpaceDE/>
              <w:autoSpaceDN/>
              <w:bidi w:val="0"/>
              <w:adjustRightInd w:val="0"/>
              <w:snapToGrid w:val="0"/>
              <w:spacing w:line="440" w:lineRule="exact"/>
              <w:ind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计划竣工日期：</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 </w:t>
            </w:r>
            <w:r>
              <w:rPr>
                <w:rFonts w:hint="eastAsia" w:ascii="宋体" w:hAnsi="宋体" w:eastAsia="宋体" w:cs="宋体"/>
                <w:b w:val="0"/>
                <w:bCs w:val="0"/>
                <w:snapToGrid w:val="0"/>
                <w:color w:val="auto"/>
                <w:kern w:val="0"/>
                <w:sz w:val="21"/>
                <w:szCs w:val="21"/>
                <w:highlight w:val="none"/>
                <w:u w:val="singl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 </w:t>
            </w:r>
          </w:p>
          <w:p w14:paraId="00A01DB6">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除上述总工期外，发包人还要求以下阶段工期：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 xml:space="preserve">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47B272B4">
            <w:pPr>
              <w:keepNext w:val="0"/>
              <w:keepLines w:val="0"/>
              <w:pageBreakBefore w:val="0"/>
              <w:overflowPunct/>
              <w:topLinePunct w:val="0"/>
              <w:bidi w:val="0"/>
              <w:spacing w:before="57"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17</w:t>
            </w:r>
          </w:p>
        </w:tc>
        <w:tc>
          <w:tcPr>
            <w:tcW w:w="1860" w:type="dxa"/>
            <w:vAlign w:val="center"/>
          </w:tcPr>
          <w:p w14:paraId="29B95E6E">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质量标准</w:t>
            </w:r>
          </w:p>
        </w:tc>
        <w:tc>
          <w:tcPr>
            <w:tcW w:w="7544" w:type="dxa"/>
            <w:vAlign w:val="top"/>
          </w:tcPr>
          <w:p w14:paraId="586BE7A6">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☑质量目标：</w:t>
            </w:r>
            <w:r>
              <w:rPr>
                <w:rFonts w:hint="eastAsia" w:ascii="宋体" w:hAnsi="宋体" w:eastAsia="宋体" w:cs="宋体"/>
                <w:snapToGrid w:val="0"/>
                <w:color w:val="auto"/>
                <w:kern w:val="0"/>
                <w:sz w:val="21"/>
                <w:szCs w:val="21"/>
                <w:highlight w:val="none"/>
                <w:u w:val="single"/>
                <w:lang w:eastAsia="zh-CN"/>
              </w:rPr>
              <w:t>合格</w:t>
            </w:r>
          </w:p>
          <w:p w14:paraId="1AD6F04D">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eastAsia="zh-CN"/>
              </w:rPr>
              <w:t>☑质量标准：符</w:t>
            </w:r>
            <w:r>
              <w:rPr>
                <w:rFonts w:hint="eastAsia" w:ascii="宋体" w:hAnsi="宋体" w:eastAsia="宋体" w:cs="宋体"/>
                <w:color w:val="auto"/>
                <w:kern w:val="0"/>
                <w:sz w:val="21"/>
                <w:szCs w:val="21"/>
                <w:highlight w:val="none"/>
                <w:lang w:val="en-US" w:eastAsia="zh-CN" w:bidi="ar"/>
              </w:rPr>
              <w:t>合现行国家有关工程施工质量验收规范和标准的要求。</w:t>
            </w:r>
          </w:p>
          <w:p w14:paraId="054D070F">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□优质工程要求：</w:t>
            </w:r>
            <w:r>
              <w:rPr>
                <w:rFonts w:hint="eastAsia" w:ascii="宋体" w:hAnsi="宋体" w:eastAsia="宋体" w:cs="宋体"/>
                <w:snapToGrid w:val="0"/>
                <w:color w:val="auto"/>
                <w:kern w:val="0"/>
                <w:sz w:val="21"/>
                <w:szCs w:val="21"/>
                <w:highlight w:val="none"/>
                <w:u w:val="single"/>
                <w:lang w:eastAsia="zh-CN"/>
              </w:rPr>
              <w:t>无……</w:t>
            </w:r>
          </w:p>
          <w:p w14:paraId="6B00BF14">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工程优质费：☑无</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eastAsia="zh-CN"/>
              </w:rPr>
              <w:t>□有：</w:t>
            </w:r>
            <w:r>
              <w:rPr>
                <w:rFonts w:hint="eastAsia" w:ascii="宋体" w:hAnsi="宋体" w:eastAsia="宋体" w:cs="宋体"/>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Merge w:val="restart"/>
            <w:vAlign w:val="center"/>
          </w:tcPr>
          <w:p w14:paraId="4BC67C17">
            <w:pPr>
              <w:keepNext w:val="0"/>
              <w:keepLines w:val="0"/>
              <w:pageBreakBefore w:val="0"/>
              <w:overflowPunct/>
              <w:topLinePunct w:val="0"/>
              <w:bidi w:val="0"/>
              <w:spacing w:before="57"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18</w:t>
            </w:r>
          </w:p>
        </w:tc>
        <w:tc>
          <w:tcPr>
            <w:tcW w:w="1860" w:type="dxa"/>
            <w:vMerge w:val="restart"/>
            <w:vAlign w:val="center"/>
          </w:tcPr>
          <w:p w14:paraId="7C8582BA">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合同类型</w:t>
            </w:r>
          </w:p>
        </w:tc>
        <w:tc>
          <w:tcPr>
            <w:tcW w:w="7544" w:type="dxa"/>
            <w:vAlign w:val="top"/>
          </w:tcPr>
          <w:p w14:paraId="32295EBF">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Merge w:val="continue"/>
            <w:vAlign w:val="center"/>
          </w:tcPr>
          <w:p w14:paraId="2941AE80">
            <w:pPr>
              <w:keepNext w:val="0"/>
              <w:keepLines w:val="0"/>
              <w:pageBreakBefore w:val="0"/>
              <w:overflowPunct/>
              <w:topLinePunct w:val="0"/>
              <w:bidi w:val="0"/>
              <w:spacing w:before="57" w:line="440" w:lineRule="exact"/>
              <w:jc w:val="center"/>
              <w:rPr>
                <w:rFonts w:hint="eastAsia" w:ascii="宋体" w:hAnsi="宋体" w:eastAsia="宋体" w:cs="宋体"/>
                <w:color w:val="auto"/>
                <w:spacing w:val="-8"/>
                <w:sz w:val="21"/>
                <w:szCs w:val="21"/>
                <w:highlight w:val="none"/>
              </w:rPr>
            </w:pPr>
          </w:p>
        </w:tc>
        <w:tc>
          <w:tcPr>
            <w:tcW w:w="1860" w:type="dxa"/>
            <w:vMerge w:val="continue"/>
            <w:vAlign w:val="center"/>
          </w:tcPr>
          <w:p w14:paraId="035DBDEF">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p>
        </w:tc>
        <w:tc>
          <w:tcPr>
            <w:tcW w:w="7544" w:type="dxa"/>
            <w:vAlign w:val="top"/>
          </w:tcPr>
          <w:p w14:paraId="7E667DD2">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972A2CD">
            <w:pPr>
              <w:keepNext w:val="0"/>
              <w:keepLines w:val="0"/>
              <w:pageBreakBefore w:val="0"/>
              <w:overflowPunct/>
              <w:topLinePunct w:val="0"/>
              <w:bidi w:val="0"/>
              <w:spacing w:before="19"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19</w:t>
            </w:r>
          </w:p>
        </w:tc>
        <w:tc>
          <w:tcPr>
            <w:tcW w:w="1860" w:type="dxa"/>
            <w:vAlign w:val="center"/>
          </w:tcPr>
          <w:p w14:paraId="2898AA7D">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房屋建筑工程绿色建筑标准</w:t>
            </w:r>
          </w:p>
        </w:tc>
        <w:tc>
          <w:tcPr>
            <w:tcW w:w="7544" w:type="dxa"/>
            <w:vAlign w:val="center"/>
          </w:tcPr>
          <w:p w14:paraId="43CBE360">
            <w:pPr>
              <w:keepNext w:val="0"/>
              <w:keepLines w:val="0"/>
              <w:pageBreakBefore w:val="0"/>
              <w:widowControl w:val="0"/>
              <w:kinsoku/>
              <w:wordWrap w:val="0"/>
              <w:overflowPunct/>
              <w:topLinePunct w:val="0"/>
              <w:autoSpaceDE/>
              <w:autoSpaceDN/>
              <w:bidi w:val="0"/>
              <w:adjustRightInd w:val="0"/>
              <w:snapToGrid w:val="0"/>
              <w:spacing w:line="440" w:lineRule="exact"/>
              <w:ind w:firstLine="210" w:firstLineChars="100"/>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本招标项目</w:t>
            </w:r>
            <w:r>
              <w:rPr>
                <w:rFonts w:hint="eastAsia" w:ascii="宋体" w:hAnsi="宋体" w:eastAsia="宋体" w:cs="宋体"/>
                <w:snapToGrid w:val="0"/>
                <w:color w:val="auto"/>
                <w:kern w:val="0"/>
                <w:sz w:val="21"/>
                <w:szCs w:val="21"/>
                <w:highlight w:val="none"/>
                <w:u w:val="single"/>
                <w:lang w:val="en-US" w:eastAsia="zh-CN"/>
              </w:rPr>
              <w:t>不</w:t>
            </w:r>
            <w:r>
              <w:rPr>
                <w:rFonts w:hint="eastAsia" w:ascii="宋体" w:hAnsi="宋体" w:eastAsia="宋体" w:cs="宋体"/>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3257DF0">
            <w:pPr>
              <w:keepNext w:val="0"/>
              <w:keepLines w:val="0"/>
              <w:pageBreakBefore w:val="0"/>
              <w:overflowPunct/>
              <w:topLinePunct w:val="0"/>
              <w:bidi w:val="0"/>
              <w:spacing w:before="58"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19.1</w:t>
            </w:r>
          </w:p>
        </w:tc>
        <w:tc>
          <w:tcPr>
            <w:tcW w:w="1860" w:type="dxa"/>
            <w:vAlign w:val="center"/>
          </w:tcPr>
          <w:p w14:paraId="25980190">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装配式建筑标准</w:t>
            </w:r>
          </w:p>
        </w:tc>
        <w:tc>
          <w:tcPr>
            <w:tcW w:w="7544" w:type="dxa"/>
            <w:vAlign w:val="center"/>
          </w:tcPr>
          <w:p w14:paraId="654C85A5">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本招标项目</w:t>
            </w:r>
            <w:r>
              <w:rPr>
                <w:rFonts w:hint="eastAsia" w:ascii="宋体" w:hAnsi="宋体" w:eastAsia="宋体" w:cs="宋体"/>
                <w:snapToGrid w:val="0"/>
                <w:color w:val="auto"/>
                <w:kern w:val="0"/>
                <w:sz w:val="21"/>
                <w:szCs w:val="21"/>
                <w:highlight w:val="none"/>
                <w:u w:val="single"/>
                <w:lang w:val="en-US" w:eastAsia="zh-CN"/>
              </w:rPr>
              <w:t>不</w:t>
            </w:r>
            <w:r>
              <w:rPr>
                <w:rFonts w:hint="eastAsia" w:ascii="宋体" w:hAnsi="宋体" w:eastAsia="宋体" w:cs="宋体"/>
                <w:snapToGrid w:val="0"/>
                <w:color w:val="auto"/>
                <w:kern w:val="0"/>
                <w:sz w:val="21"/>
                <w:szCs w:val="21"/>
                <w:highlight w:val="none"/>
                <w:lang w:eastAsia="zh-CN"/>
              </w:rPr>
              <w:t>纳入装配式建造实施范围。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F56262D">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20</w:t>
            </w:r>
          </w:p>
        </w:tc>
        <w:tc>
          <w:tcPr>
            <w:tcW w:w="1860" w:type="dxa"/>
            <w:vAlign w:val="center"/>
          </w:tcPr>
          <w:p w14:paraId="7A9699B3">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发包人提供材料和工程设备</w:t>
            </w:r>
          </w:p>
        </w:tc>
        <w:tc>
          <w:tcPr>
            <w:tcW w:w="7544" w:type="dxa"/>
            <w:vAlign w:val="center"/>
          </w:tcPr>
          <w:p w14:paraId="041C9A4A">
            <w:pPr>
              <w:keepNext w:val="0"/>
              <w:keepLines w:val="0"/>
              <w:pageBreakBefore w:val="0"/>
              <w:widowControl w:val="0"/>
              <w:kinsoku/>
              <w:wordWrap w:val="0"/>
              <w:overflowPunct/>
              <w:topLinePunct w:val="0"/>
              <w:autoSpaceDE/>
              <w:autoSpaceDN/>
              <w:bidi w:val="0"/>
              <w:adjustRightInd w:val="0"/>
              <w:snapToGrid w:val="0"/>
              <w:spacing w:line="440" w:lineRule="exact"/>
              <w:ind w:firstLine="210" w:firstLineChars="100"/>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2A7C3934">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w:t>
            </w:r>
          </w:p>
        </w:tc>
        <w:tc>
          <w:tcPr>
            <w:tcW w:w="1860" w:type="dxa"/>
            <w:vAlign w:val="center"/>
          </w:tcPr>
          <w:p w14:paraId="2B19F4DA">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承包人提供材料和工程设备</w:t>
            </w:r>
          </w:p>
        </w:tc>
        <w:tc>
          <w:tcPr>
            <w:tcW w:w="7544" w:type="dxa"/>
            <w:vAlign w:val="top"/>
          </w:tcPr>
          <w:p w14:paraId="25B336F4">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已具有合格证明的材料、工程设备，但经检测证明该项材料、工程设备符合合同约定的质量标准的，发包人应承担由此增加的费用和（或）工期延误，并向承包人支付合理利润。</w:t>
            </w:r>
          </w:p>
          <w:p w14:paraId="11881E83">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其他</w:t>
            </w:r>
            <w:r>
              <w:rPr>
                <w:rFonts w:hint="eastAsia" w:ascii="宋体" w:hAnsi="宋体" w:eastAsia="宋体" w:cs="宋体"/>
                <w:snapToGrid w:val="0"/>
                <w:color w:val="auto"/>
                <w:kern w:val="0"/>
                <w:sz w:val="21"/>
                <w:szCs w:val="21"/>
                <w:highlight w:val="none"/>
                <w:lang w:eastAsia="zh-CN"/>
              </w:rPr>
              <w:t>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BDE6007">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w:t>
            </w:r>
          </w:p>
        </w:tc>
        <w:tc>
          <w:tcPr>
            <w:tcW w:w="1860" w:type="dxa"/>
            <w:vAlign w:val="center"/>
          </w:tcPr>
          <w:p w14:paraId="079BF0EA">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最高投标限价</w:t>
            </w:r>
          </w:p>
        </w:tc>
        <w:tc>
          <w:tcPr>
            <w:tcW w:w="7544" w:type="dxa"/>
            <w:vAlign w:val="center"/>
          </w:tcPr>
          <w:p w14:paraId="00DC73E7">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u w:val="single"/>
                <w:lang w:val="en-US" w:eastAsia="zh-CN"/>
              </w:rPr>
              <w:t>本项目最高投标限价、招标工程量清单、施工图纸在投标截止时间15天前以补充通知的形式在广东省招标投标监管网（http://zbtb.gd.gov.cn）、全国公共资源交易平台（广东省·韶关市）（https://ygp.gdzwfw.gov.cn/ggzy-portal/#/440200/index）公布，各投标人应自行下载</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E0E6845">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23</w:t>
            </w:r>
          </w:p>
        </w:tc>
        <w:tc>
          <w:tcPr>
            <w:tcW w:w="1860" w:type="dxa"/>
            <w:vAlign w:val="center"/>
          </w:tcPr>
          <w:p w14:paraId="0D0D0A18">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投标人的投标报价</w:t>
            </w:r>
          </w:p>
        </w:tc>
        <w:tc>
          <w:tcPr>
            <w:tcW w:w="7544" w:type="dxa"/>
            <w:vAlign w:val="center"/>
          </w:tcPr>
          <w:p w14:paraId="38534563">
            <w:pPr>
              <w:keepNext w:val="0"/>
              <w:keepLines w:val="0"/>
              <w:pageBreakBefore w:val="0"/>
              <w:widowControl w:val="0"/>
              <w:kinsoku/>
              <w:wordWrap w:val="0"/>
              <w:overflowPunct/>
              <w:topLinePunct w:val="0"/>
              <w:autoSpaceDE/>
              <w:autoSpaceDN/>
              <w:bidi w:val="0"/>
              <w:spacing w:before="0" w:line="440" w:lineRule="exact"/>
              <w:ind w:left="0" w:right="0" w:firstLine="401" w:firstLineChars="191"/>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sz w:val="21"/>
                <w:szCs w:val="21"/>
                <w:highlight w:val="none"/>
                <w:lang w:eastAsia="zh-CN"/>
              </w:rPr>
              <w:t>投标人投标时响应招标文件要求所报出的对已标价工程量清单</w:t>
            </w:r>
            <w:r>
              <w:rPr>
                <w:rFonts w:hint="eastAsia" w:ascii="宋体" w:hAnsi="宋体" w:eastAsia="宋体" w:cs="宋体"/>
                <w:color w:val="auto"/>
                <w:sz w:val="21"/>
                <w:szCs w:val="21"/>
                <w:highlight w:val="none"/>
                <w:lang w:eastAsia="zh-CN"/>
              </w:rPr>
              <w:t>汇总后标明的总价。投标人在投标报价填写</w:t>
            </w:r>
            <w:r>
              <w:rPr>
                <w:rFonts w:hint="eastAsia" w:ascii="宋体" w:hAnsi="宋体" w:eastAsia="宋体" w:cs="宋体"/>
                <w:color w:val="auto"/>
                <w:spacing w:val="0"/>
                <w:sz w:val="21"/>
                <w:szCs w:val="21"/>
                <w:highlight w:val="none"/>
                <w:lang w:eastAsia="zh-CN"/>
              </w:rPr>
              <w:t>的工程量清单的项目编码、项目名称、项目特征、计量单位、工程数量必须与招标人招标文</w:t>
            </w:r>
            <w:r>
              <w:rPr>
                <w:rFonts w:hint="eastAsia" w:ascii="宋体" w:hAnsi="宋体" w:eastAsia="宋体" w:cs="宋体"/>
                <w:color w:val="auto"/>
                <w:sz w:val="21"/>
                <w:szCs w:val="21"/>
                <w:highlight w:val="none"/>
                <w:lang w:eastAsia="zh-CN"/>
              </w:rPr>
              <w:t>件中提供的一致，投标价不能低于工程成本</w:t>
            </w:r>
            <w:r>
              <w:rPr>
                <w:rFonts w:hint="eastAsia" w:ascii="宋体" w:hAnsi="宋体" w:eastAsia="宋体" w:cs="宋体"/>
                <w:color w:val="auto"/>
                <w:spacing w:val="0"/>
                <w:sz w:val="21"/>
                <w:szCs w:val="21"/>
                <w:highlight w:val="none"/>
                <w:lang w:eastAsia="zh-CN"/>
              </w:rPr>
              <w:t>、高于最高投标限价。</w:t>
            </w:r>
          </w:p>
          <w:p w14:paraId="01DD1AEE">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投标报价方式： ☑</w:t>
            </w:r>
            <w:r>
              <w:rPr>
                <w:rFonts w:hint="eastAsia" w:ascii="宋体" w:hAnsi="宋体" w:eastAsia="宋体" w:cs="宋体"/>
                <w:color w:val="auto"/>
                <w:kern w:val="0"/>
                <w:sz w:val="21"/>
                <w:szCs w:val="21"/>
                <w:highlight w:val="none"/>
                <w:lang w:val="en-US" w:eastAsia="zh-CN" w:bidi="ar"/>
              </w:rPr>
              <w:t>工程量清单报价</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2B41BF8F">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24</w:t>
            </w:r>
          </w:p>
        </w:tc>
        <w:tc>
          <w:tcPr>
            <w:tcW w:w="1860" w:type="dxa"/>
            <w:vAlign w:val="center"/>
          </w:tcPr>
          <w:p w14:paraId="1820F47A">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投标报价风险</w:t>
            </w:r>
          </w:p>
        </w:tc>
        <w:tc>
          <w:tcPr>
            <w:tcW w:w="7544" w:type="dxa"/>
            <w:vAlign w:val="center"/>
          </w:tcPr>
          <w:p w14:paraId="2E356AE8">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☑投标报价中应包括工程量清单项目所发生的人工费、材料费、机具费、管理费、利润、措施项目费、其他项目费、税金、暂列金额、暂估价以及所有风险、责任等各项费用。</w:t>
            </w:r>
          </w:p>
          <w:p w14:paraId="6588B200">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☑人工费、材料费、机具费、管理费、利润、措施项目费（不含</w:t>
            </w:r>
            <w:r>
              <w:rPr>
                <w:rFonts w:hint="eastAsia" w:ascii="宋体" w:hAnsi="宋体" w:eastAsia="宋体" w:cs="宋体"/>
                <w:snapToGrid w:val="0"/>
                <w:color w:val="auto"/>
                <w:kern w:val="0"/>
                <w:sz w:val="21"/>
                <w:szCs w:val="21"/>
                <w:highlight w:val="none"/>
                <w:lang w:val="en-US" w:eastAsia="zh-CN"/>
              </w:rPr>
              <w:t>安全生产措施费</w:t>
            </w:r>
            <w:r>
              <w:rPr>
                <w:rFonts w:hint="eastAsia" w:ascii="宋体" w:hAnsi="宋体" w:eastAsia="宋体" w:cs="宋体"/>
                <w:snapToGrid w:val="0"/>
                <w:color w:val="auto"/>
                <w:kern w:val="0"/>
                <w:sz w:val="21"/>
                <w:szCs w:val="21"/>
                <w:highlight w:val="none"/>
                <w:lang w:eastAsia="zh-CN"/>
              </w:rPr>
              <w:t>）投标人漏报或不报，招标人视为有关费用已包括在工程量清单项目的其他单价及合价中不予另外增加。</w:t>
            </w:r>
          </w:p>
          <w:p w14:paraId="648E63A9">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b/>
                <w:bCs/>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☑投标人应按照招标文件提供的工程量清单逐项填写单价和合价，投标人未填写的项目，招标人将视为此项费用已包括在工程量清单项目的其他单价及合价中不予另外增加。</w:t>
            </w:r>
          </w:p>
          <w:p w14:paraId="1EFA5244">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☑错漏项的认定。中标人已标价工程量清单中，任一清单项目未填报价格或价格为零的，招标人将视为此项费用已包括在工程量清单项目的其他单价及合价中不予另外增加。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414FDC8">
            <w:pPr>
              <w:keepNext w:val="0"/>
              <w:keepLines w:val="0"/>
              <w:pageBreakBefore w:val="0"/>
              <w:overflowPunct/>
              <w:topLinePunct w:val="0"/>
              <w:bidi w:val="0"/>
              <w:spacing w:before="284"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25</w:t>
            </w:r>
          </w:p>
        </w:tc>
        <w:tc>
          <w:tcPr>
            <w:tcW w:w="1860" w:type="dxa"/>
            <w:vAlign w:val="center"/>
          </w:tcPr>
          <w:p w14:paraId="4C71A8E1">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投标费用</w:t>
            </w:r>
          </w:p>
        </w:tc>
        <w:tc>
          <w:tcPr>
            <w:tcW w:w="7544" w:type="dxa"/>
            <w:vAlign w:val="center"/>
          </w:tcPr>
          <w:p w14:paraId="225B857F">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F9BB325">
            <w:pPr>
              <w:keepNext w:val="0"/>
              <w:keepLines w:val="0"/>
              <w:pageBreakBefore w:val="0"/>
              <w:overflowPunct/>
              <w:topLinePunct w:val="0"/>
              <w:bidi w:val="0"/>
              <w:spacing w:before="284" w:line="440" w:lineRule="exact"/>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26</w:t>
            </w:r>
          </w:p>
        </w:tc>
        <w:tc>
          <w:tcPr>
            <w:tcW w:w="1860" w:type="dxa"/>
            <w:vAlign w:val="center"/>
          </w:tcPr>
          <w:p w14:paraId="2F647BDB">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成本警示价</w:t>
            </w:r>
          </w:p>
        </w:tc>
        <w:tc>
          <w:tcPr>
            <w:tcW w:w="7544" w:type="dxa"/>
            <w:vAlign w:val="center"/>
          </w:tcPr>
          <w:p w14:paraId="2CB7F0A5">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投标报价要求：</w:t>
            </w:r>
          </w:p>
          <w:p w14:paraId="444583B0">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（1）投标人的投标报价不得高于招标人设置的最高投标限价，否则作无效投标处理；</w:t>
            </w:r>
          </w:p>
          <w:p w14:paraId="2B757D30">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（2）投标人的投标报价如低于招标项目的成本警示价的，需提供成本分析资料等报价依据。（成本警示价＝最高投标限价×85%）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A4811E9">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3"/>
                <w:sz w:val="21"/>
                <w:szCs w:val="21"/>
                <w:highlight w:val="none"/>
                <w:lang w:val="en-US" w:eastAsia="zh-CN"/>
              </w:rPr>
              <w:t>7</w:t>
            </w:r>
          </w:p>
        </w:tc>
        <w:tc>
          <w:tcPr>
            <w:tcW w:w="1860" w:type="dxa"/>
            <w:vAlign w:val="center"/>
          </w:tcPr>
          <w:p w14:paraId="0786E8BE">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投标人资格要求</w:t>
            </w:r>
          </w:p>
        </w:tc>
        <w:tc>
          <w:tcPr>
            <w:tcW w:w="7544" w:type="dxa"/>
            <w:vAlign w:val="center"/>
          </w:tcPr>
          <w:p w14:paraId="52F48810">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1．本次招标</w:t>
            </w:r>
            <w:r>
              <w:rPr>
                <w:rFonts w:hint="eastAsia" w:ascii="宋体" w:hAnsi="宋体" w:eastAsia="宋体" w:cs="宋体"/>
                <w:color w:val="auto"/>
                <w:sz w:val="21"/>
                <w:szCs w:val="21"/>
                <w:highlight w:val="none"/>
                <w:u w:val="single"/>
                <w:lang w:eastAsia="zh-CN"/>
              </w:rPr>
              <w:t>接受</w:t>
            </w:r>
            <w:r>
              <w:rPr>
                <w:rFonts w:hint="eastAsia" w:ascii="宋体" w:hAnsi="宋体" w:eastAsia="宋体" w:cs="宋体"/>
                <w:color w:val="auto"/>
                <w:sz w:val="21"/>
                <w:szCs w:val="21"/>
                <w:highlight w:val="none"/>
                <w:lang w:eastAsia="zh-CN"/>
              </w:rPr>
              <w:t>联合体投标，联合体以一个投标人的身份共同投标。</w:t>
            </w:r>
          </w:p>
          <w:p w14:paraId="55DA2D86">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 联合体成员数量不超过2个 。</w:t>
            </w:r>
          </w:p>
          <w:p w14:paraId="720B23F1">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 联合体各方应按招标文件提供的格式签订联合体协议书，明确联合体牵头人和各方权利义务，并承诺就中标项目向招标人承担连带责任。《联合体协议书》作为投标文件的组成部分向招标人提交。</w:t>
            </w:r>
          </w:p>
          <w:p w14:paraId="552DA6B7">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0D6DF2BC">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 联合体各方不得再以自己名义单独或参加其他联合体在本招标项目中投标，否则各相关投标均无效。</w:t>
            </w:r>
          </w:p>
          <w:p w14:paraId="206B6F6B">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2．资质要求</w:t>
            </w:r>
          </w:p>
          <w:p w14:paraId="2EED721E">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 投标人须具备独立法人资格，按国家法律经营。</w:t>
            </w:r>
          </w:p>
          <w:p w14:paraId="42FE20FB">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 投标人须持有建设行政主管部门颁发的企业资质证书及安全生产许可证。</w:t>
            </w:r>
          </w:p>
          <w:p w14:paraId="15824FD8">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2.3 参加投标的投标人可以是单一独立法人或由不超过两家独立法人组成的联合体（必须注明其中一家为牵头人），联合体各方不得再以自己的名义单独申请，也不得同时参加两个或两个以上的联合体进行本项目的投标。单一独立法人必须至少同时具备以下①和②资质，组成联合体投标的，联合后必须至少具备以下①和②资质：</w:t>
            </w:r>
          </w:p>
          <w:p w14:paraId="69CEC3E5">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eastAsia="zh-CN"/>
              </w:rPr>
              <w:t>①市政公用工程施工总承包</w:t>
            </w:r>
            <w:r>
              <w:rPr>
                <w:rFonts w:hint="eastAsia" w:ascii="宋体" w:hAnsi="宋体" w:eastAsia="宋体" w:cs="宋体"/>
                <w:color w:val="auto"/>
                <w:sz w:val="21"/>
                <w:szCs w:val="21"/>
                <w:highlight w:val="none"/>
                <w:u w:val="single"/>
                <w:lang w:val="en-US" w:eastAsia="zh-CN"/>
              </w:rPr>
              <w:t>三</w:t>
            </w:r>
            <w:r>
              <w:rPr>
                <w:rFonts w:hint="eastAsia" w:ascii="宋体" w:hAnsi="宋体" w:eastAsia="宋体" w:cs="宋体"/>
                <w:color w:val="auto"/>
                <w:sz w:val="21"/>
                <w:szCs w:val="21"/>
                <w:highlight w:val="none"/>
                <w:u w:val="single"/>
                <w:lang w:eastAsia="zh-CN"/>
              </w:rPr>
              <w:t>级以上（含</w:t>
            </w:r>
            <w:r>
              <w:rPr>
                <w:rFonts w:hint="eastAsia" w:ascii="宋体" w:hAnsi="宋体" w:eastAsia="宋体" w:cs="宋体"/>
                <w:color w:val="auto"/>
                <w:sz w:val="21"/>
                <w:szCs w:val="21"/>
                <w:highlight w:val="none"/>
                <w:u w:val="single"/>
                <w:lang w:val="en-US" w:eastAsia="zh-CN"/>
              </w:rPr>
              <w:t>三</w:t>
            </w:r>
            <w:r>
              <w:rPr>
                <w:rFonts w:hint="eastAsia" w:ascii="宋体" w:hAnsi="宋体" w:eastAsia="宋体" w:cs="宋体"/>
                <w:color w:val="auto"/>
                <w:sz w:val="21"/>
                <w:szCs w:val="21"/>
                <w:highlight w:val="none"/>
                <w:u w:val="single"/>
                <w:lang w:eastAsia="zh-CN"/>
              </w:rPr>
              <w:t>级）资质。</w:t>
            </w:r>
          </w:p>
          <w:p w14:paraId="47F1805C">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eastAsia="zh-CN"/>
              </w:rPr>
              <w:t>②建筑工程施工总承包</w:t>
            </w:r>
            <w:r>
              <w:rPr>
                <w:rFonts w:hint="eastAsia" w:ascii="宋体" w:hAnsi="宋体" w:eastAsia="宋体" w:cs="宋体"/>
                <w:color w:val="auto"/>
                <w:sz w:val="21"/>
                <w:szCs w:val="21"/>
                <w:highlight w:val="none"/>
                <w:u w:val="single"/>
                <w:lang w:val="en-US" w:eastAsia="zh-CN"/>
              </w:rPr>
              <w:t>三</w:t>
            </w:r>
            <w:r>
              <w:rPr>
                <w:rFonts w:hint="eastAsia" w:ascii="宋体" w:hAnsi="宋体" w:eastAsia="宋体" w:cs="宋体"/>
                <w:color w:val="auto"/>
                <w:sz w:val="21"/>
                <w:szCs w:val="21"/>
                <w:highlight w:val="none"/>
                <w:u w:val="single"/>
                <w:lang w:eastAsia="zh-CN"/>
              </w:rPr>
              <w:t>级以上（含</w:t>
            </w:r>
            <w:r>
              <w:rPr>
                <w:rFonts w:hint="eastAsia" w:ascii="宋体" w:hAnsi="宋体" w:eastAsia="宋体" w:cs="宋体"/>
                <w:color w:val="auto"/>
                <w:sz w:val="21"/>
                <w:szCs w:val="21"/>
                <w:highlight w:val="none"/>
                <w:u w:val="single"/>
                <w:lang w:val="en-US" w:eastAsia="zh-CN"/>
              </w:rPr>
              <w:t>三</w:t>
            </w:r>
            <w:r>
              <w:rPr>
                <w:rFonts w:hint="eastAsia" w:ascii="宋体" w:hAnsi="宋体" w:eastAsia="宋体" w:cs="宋体"/>
                <w:color w:val="auto"/>
                <w:sz w:val="21"/>
                <w:szCs w:val="21"/>
                <w:highlight w:val="none"/>
                <w:u w:val="single"/>
                <w:lang w:eastAsia="zh-CN"/>
              </w:rPr>
              <w:t>级）资质。</w:t>
            </w:r>
          </w:p>
          <w:p w14:paraId="32306F8A">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2.4投标人的企业相关证书到期的，均按该证书的发证机构相关行业主管部门最新文件执行（如自动顺延或资质延续有关事项的通知），投标人必须将相关文件附在该证书后面中，证明在开标日继续有效。</w:t>
            </w:r>
          </w:p>
          <w:p w14:paraId="22B85E70">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相关人员要求</w:t>
            </w:r>
          </w:p>
          <w:p w14:paraId="7AF2FA9E">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rPr>
              <w:t>3.1拟派项目经理须具备</w:t>
            </w:r>
            <w:r>
              <w:rPr>
                <w:rFonts w:hint="eastAsia" w:ascii="宋体" w:hAnsi="宋体" w:eastAsia="宋体" w:cs="宋体"/>
                <w:color w:val="auto"/>
                <w:sz w:val="21"/>
                <w:szCs w:val="21"/>
                <w:highlight w:val="none"/>
                <w:u w:val="single"/>
              </w:rPr>
              <w:t>市政公用工程</w:t>
            </w:r>
            <w:r>
              <w:rPr>
                <w:rFonts w:hint="eastAsia" w:ascii="宋体" w:hAnsi="宋体" w:eastAsia="宋体" w:cs="宋体"/>
                <w:color w:val="auto"/>
                <w:sz w:val="21"/>
                <w:szCs w:val="21"/>
                <w:highlight w:val="none"/>
                <w:u w:val="single"/>
                <w:lang w:val="en-US" w:eastAsia="zh-CN"/>
              </w:rPr>
              <w:t>或建筑工程</w:t>
            </w:r>
            <w:r>
              <w:rPr>
                <w:rFonts w:hint="eastAsia" w:ascii="宋体" w:hAnsi="宋体" w:eastAsia="宋体" w:cs="宋体"/>
                <w:color w:val="auto"/>
                <w:sz w:val="21"/>
                <w:szCs w:val="21"/>
                <w:highlight w:val="none"/>
                <w:u w:val="single"/>
              </w:rPr>
              <w:t>专业二级</w:t>
            </w:r>
            <w:r>
              <w:rPr>
                <w:rFonts w:hint="eastAsia" w:ascii="宋体" w:hAnsi="宋体" w:eastAsia="宋体" w:cs="宋体"/>
                <w:color w:val="auto"/>
                <w:sz w:val="21"/>
                <w:szCs w:val="21"/>
                <w:highlight w:val="none"/>
                <w:u w:val="single"/>
                <w:lang w:val="en-US" w:eastAsia="zh-CN"/>
              </w:rPr>
              <w:t>及以上</w:t>
            </w:r>
            <w:r>
              <w:rPr>
                <w:rFonts w:hint="eastAsia" w:ascii="宋体" w:hAnsi="宋体" w:eastAsia="宋体" w:cs="宋体"/>
                <w:color w:val="auto"/>
                <w:sz w:val="21"/>
                <w:szCs w:val="21"/>
                <w:highlight w:val="none"/>
                <w:u w:val="single"/>
              </w:rPr>
              <w:t>注册建造师</w:t>
            </w:r>
            <w:r>
              <w:rPr>
                <w:rFonts w:hint="eastAsia" w:ascii="宋体" w:hAnsi="宋体" w:eastAsia="宋体" w:cs="宋体"/>
                <w:color w:val="auto"/>
                <w:sz w:val="21"/>
                <w:szCs w:val="21"/>
                <w:highlight w:val="none"/>
              </w:rPr>
              <w:t>，应持有住建部门印发的在使用有效期内的有效电子注册证书（根据广东省住房和城乡建设厅（粤建市函〔2023〕469号）文件精神，二级注册建造师可随注册企业在全国范围内执业）；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38066BFB">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3.2 </w:t>
            </w:r>
            <w:r>
              <w:rPr>
                <w:rFonts w:hint="eastAsia" w:ascii="宋体" w:hAnsi="宋体" w:eastAsia="宋体" w:cs="宋体"/>
                <w:snapToGrid w:val="0"/>
                <w:color w:val="auto"/>
                <w:kern w:val="0"/>
                <w:sz w:val="21"/>
                <w:szCs w:val="21"/>
                <w:highlight w:val="none"/>
              </w:rPr>
              <w:t>拟派项目技术负责人须具备</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single"/>
              </w:rPr>
              <w:t>市政公用</w:t>
            </w:r>
            <w:r>
              <w:rPr>
                <w:rFonts w:hint="eastAsia" w:ascii="宋体" w:hAnsi="宋体" w:eastAsia="宋体" w:cs="宋体"/>
                <w:snapToGrid w:val="0"/>
                <w:color w:val="auto"/>
                <w:kern w:val="0"/>
                <w:sz w:val="21"/>
                <w:szCs w:val="21"/>
                <w:highlight w:val="none"/>
                <w:u w:val="single"/>
                <w:lang w:val="en-US" w:eastAsia="zh-CN"/>
              </w:rPr>
              <w:t>工程</w:t>
            </w:r>
            <w:r>
              <w:rPr>
                <w:rFonts w:hint="eastAsia" w:ascii="宋体" w:hAnsi="宋体" w:eastAsia="宋体" w:cs="宋体"/>
                <w:color w:val="auto"/>
                <w:sz w:val="21"/>
                <w:szCs w:val="21"/>
                <w:highlight w:val="none"/>
                <w:u w:val="single"/>
                <w:lang w:val="en-US" w:eastAsia="zh-CN"/>
              </w:rPr>
              <w:t>或建筑工程</w:t>
            </w:r>
            <w:r>
              <w:rPr>
                <w:rFonts w:hint="eastAsia" w:ascii="宋体" w:hAnsi="宋体" w:eastAsia="宋体" w:cs="宋体"/>
                <w:snapToGrid w:val="0"/>
                <w:color w:val="auto"/>
                <w:kern w:val="0"/>
                <w:sz w:val="21"/>
                <w:szCs w:val="21"/>
                <w:highlight w:val="none"/>
              </w:rPr>
              <w:t>相关专业中级或以上技术职称。</w:t>
            </w:r>
          </w:p>
          <w:p w14:paraId="101C5162">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rPr>
              <w:t>人。</w:t>
            </w:r>
          </w:p>
          <w:p w14:paraId="09350CAA">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4 </w:t>
            </w:r>
            <w:r>
              <w:rPr>
                <w:rFonts w:hint="eastAsia" w:ascii="宋体" w:hAnsi="宋体" w:eastAsia="宋体" w:cs="宋体"/>
                <w:color w:val="auto"/>
                <w:kern w:val="0"/>
                <w:sz w:val="21"/>
                <w:szCs w:val="21"/>
                <w:highlight w:val="none"/>
              </w:rPr>
              <w:t>投标人（包括组成联合体的所有成员单位）与其拟派往本项目所有人员之间必须具备合法的劳动聘用关系，需提供缴纳社保的证明</w:t>
            </w:r>
            <w:r>
              <w:rPr>
                <w:rFonts w:hint="eastAsia" w:ascii="宋体" w:hAnsi="宋体" w:eastAsia="宋体" w:cs="宋体"/>
                <w:snapToGrid w:val="0"/>
                <w:color w:val="auto"/>
                <w:kern w:val="0"/>
                <w:sz w:val="21"/>
                <w:szCs w:val="21"/>
                <w:highlight w:val="none"/>
              </w:rPr>
              <w:t>或退休证(附返聘</w:t>
            </w:r>
            <w:r>
              <w:rPr>
                <w:rFonts w:hint="eastAsia" w:ascii="宋体" w:hAnsi="宋体" w:eastAsia="宋体" w:cs="宋体"/>
                <w:snapToGrid w:val="0"/>
                <w:color w:val="auto"/>
                <w:kern w:val="0"/>
                <w:sz w:val="21"/>
                <w:szCs w:val="21"/>
                <w:highlight w:val="none"/>
                <w:lang w:val="en-US" w:eastAsia="zh-CN"/>
              </w:rPr>
              <w:t>协议</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kern w:val="0"/>
                <w:sz w:val="21"/>
                <w:szCs w:val="21"/>
                <w:highlight w:val="none"/>
              </w:rPr>
              <w:t>扫描件（由非独立法人分支机构出具的社保证明，予以认可）。拟派人员中具备注册执业资格的，其注册单位须与投标人保持一致。</w:t>
            </w:r>
          </w:p>
          <w:p w14:paraId="1A312106">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4.1 投标人不得存在下列情形之一：    </w:t>
            </w:r>
          </w:p>
          <w:p w14:paraId="798A644D">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（1）为招标人不具有独立法人资格的附属机构（单位）；</w:t>
            </w:r>
          </w:p>
          <w:p w14:paraId="5996F037">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（2）为本招标项目前期准备提供设计或咨询服务的；</w:t>
            </w:r>
          </w:p>
          <w:p w14:paraId="7ADF7779">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（3）与本招标项目的其他投标人为同一个单位负责人；</w:t>
            </w:r>
          </w:p>
          <w:p w14:paraId="67703B12">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（4）与本招标项目的其他投标人存在控股、管理关系；</w:t>
            </w:r>
          </w:p>
          <w:p w14:paraId="27284779">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（5</w:t>
            </w:r>
            <w:r>
              <w:rPr>
                <w:rFonts w:hint="eastAsia" w:ascii="宋体" w:hAnsi="宋体" w:eastAsia="宋体" w:cs="宋体"/>
                <w:color w:val="auto"/>
                <w:sz w:val="21"/>
                <w:szCs w:val="21"/>
                <w:highlight w:val="none"/>
                <w:lang w:eastAsia="zh-CN"/>
              </w:rPr>
              <w:t>）作</w:t>
            </w:r>
            <w:r>
              <w:rPr>
                <w:rFonts w:hint="eastAsia" w:ascii="宋体" w:hAnsi="宋体" w:eastAsia="宋体" w:cs="宋体"/>
                <w:color w:val="auto"/>
                <w:sz w:val="21"/>
                <w:szCs w:val="21"/>
                <w:highlight w:val="none"/>
              </w:rPr>
              <w:t>为本招标项目的监理人；</w:t>
            </w:r>
          </w:p>
          <w:p w14:paraId="2003BC30">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（6）为本招标项目的代建人；</w:t>
            </w:r>
          </w:p>
          <w:p w14:paraId="127872E1">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（7）为本招标项目的招标代理机构；</w:t>
            </w:r>
          </w:p>
          <w:p w14:paraId="02AD6637">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（8）与本招标项目的监理人或代建人或招标代理机构同为一个法定代表人；</w:t>
            </w:r>
          </w:p>
          <w:p w14:paraId="0E14E5FF">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（9）与本招标项目的监理人或代建人或招标代理机构存在控股或参股关系；</w:t>
            </w:r>
          </w:p>
          <w:p w14:paraId="229ADCF0">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（10）与本招标项目的监理人或代建人或招标代理机构存在相互任职或工作关系；</w:t>
            </w:r>
          </w:p>
          <w:p w14:paraId="50402937">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（11）被依法暂停或者取消投标资格；</w:t>
            </w:r>
          </w:p>
          <w:p w14:paraId="312E3D5C">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（12）被责令停产停业、暂扣或者吊销许可证、暂扣或者吊销执照；</w:t>
            </w:r>
          </w:p>
          <w:p w14:paraId="00D4E51B">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（13）进入清算程序，或被宣告破产，或其他丧失履约能力的情形；</w:t>
            </w:r>
          </w:p>
          <w:p w14:paraId="3276B626">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（14）在最近三年内发生重大工程质量或安全问题（以相关行业主管部门的行政处罚决定或司法机关出具的有关法律文书为准）；</w:t>
            </w:r>
          </w:p>
          <w:p w14:paraId="1CF2C448">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（15）被“信用中国”网站（https://www.creditchina.gov.cn）发布的《</w:t>
            </w:r>
            <w:r>
              <w:rPr>
                <w:rFonts w:hint="eastAsia" w:ascii="宋体" w:hAnsi="宋体" w:eastAsia="宋体" w:cs="宋体"/>
                <w:color w:val="auto"/>
                <w:sz w:val="21"/>
                <w:szCs w:val="21"/>
                <w:highlight w:val="none"/>
                <w:lang w:eastAsia="zh-CN"/>
              </w:rPr>
              <w:t>法人和非法人组织公共信用信息报告</w:t>
            </w:r>
            <w:r>
              <w:rPr>
                <w:rFonts w:hint="eastAsia" w:ascii="宋体" w:hAnsi="宋体" w:eastAsia="宋体" w:cs="宋体"/>
                <w:color w:val="auto"/>
                <w:sz w:val="21"/>
                <w:szCs w:val="21"/>
                <w:highlight w:val="none"/>
              </w:rPr>
              <w:t>》列为严重失信主体名单的。</w:t>
            </w:r>
          </w:p>
          <w:p w14:paraId="371DD306">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招标人拒绝以下名单中的单位参加本次投标：</w:t>
            </w:r>
          </w:p>
          <w:tbl>
            <w:tblPr>
              <w:tblStyle w:val="17"/>
              <w:tblW w:w="7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3197"/>
              <w:gridCol w:w="3192"/>
            </w:tblGrid>
            <w:tr w14:paraId="1030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30" w:type="dxa"/>
                  <w:noWrap w:val="0"/>
                  <w:vAlign w:val="center"/>
                </w:tcPr>
                <w:p w14:paraId="27532F09">
                  <w:pPr>
                    <w:keepNext w:val="0"/>
                    <w:keepLines w:val="0"/>
                    <w:pageBreakBefore w:val="0"/>
                    <w:wordWrap w:val="0"/>
                    <w:overflowPunct/>
                    <w:topLinePunct w:val="0"/>
                    <w:bidi w:val="0"/>
                    <w:adjustRightInd w:val="0"/>
                    <w:snapToGrid w:val="0"/>
                    <w:spacing w:line="440" w:lineRule="exact"/>
                    <w:jc w:val="center"/>
                    <w:rPr>
                      <w:rFonts w:hint="eastAsia" w:ascii="宋体" w:hAnsi="宋体" w:eastAsia="宋体" w:cs="宋体"/>
                      <w:snapToGrid w:val="0"/>
                      <w:color w:val="auto"/>
                      <w:kern w:val="0"/>
                      <w:sz w:val="21"/>
                      <w:szCs w:val="21"/>
                      <w:highlight w:val="none"/>
                      <w:shd w:val="clear" w:color="auto" w:fill="auto"/>
                    </w:rPr>
                  </w:pPr>
                  <w:r>
                    <w:rPr>
                      <w:rFonts w:hint="eastAsia" w:ascii="宋体" w:hAnsi="宋体" w:eastAsia="宋体" w:cs="宋体"/>
                      <w:snapToGrid w:val="0"/>
                      <w:color w:val="auto"/>
                      <w:kern w:val="0"/>
                      <w:sz w:val="21"/>
                      <w:szCs w:val="21"/>
                      <w:highlight w:val="none"/>
                      <w:shd w:val="clear" w:color="auto" w:fill="auto"/>
                    </w:rPr>
                    <w:t>序号</w:t>
                  </w:r>
                </w:p>
              </w:tc>
              <w:tc>
                <w:tcPr>
                  <w:tcW w:w="3197" w:type="dxa"/>
                  <w:noWrap w:val="0"/>
                  <w:vAlign w:val="center"/>
                </w:tcPr>
                <w:p w14:paraId="01C9DB87">
                  <w:pPr>
                    <w:keepNext w:val="0"/>
                    <w:keepLines w:val="0"/>
                    <w:pageBreakBefore w:val="0"/>
                    <w:wordWrap w:val="0"/>
                    <w:overflowPunct/>
                    <w:topLinePunct w:val="0"/>
                    <w:bidi w:val="0"/>
                    <w:adjustRightInd w:val="0"/>
                    <w:snapToGrid w:val="0"/>
                    <w:spacing w:line="440" w:lineRule="exact"/>
                    <w:jc w:val="center"/>
                    <w:rPr>
                      <w:rFonts w:hint="eastAsia" w:ascii="宋体" w:hAnsi="宋体" w:eastAsia="宋体" w:cs="宋体"/>
                      <w:snapToGrid w:val="0"/>
                      <w:color w:val="auto"/>
                      <w:kern w:val="0"/>
                      <w:sz w:val="21"/>
                      <w:szCs w:val="21"/>
                      <w:highlight w:val="none"/>
                      <w:shd w:val="clear" w:color="auto" w:fill="auto"/>
                    </w:rPr>
                  </w:pPr>
                  <w:r>
                    <w:rPr>
                      <w:rFonts w:hint="eastAsia" w:ascii="宋体" w:hAnsi="宋体" w:eastAsia="宋体" w:cs="宋体"/>
                      <w:snapToGrid w:val="0"/>
                      <w:color w:val="auto"/>
                      <w:kern w:val="0"/>
                      <w:sz w:val="21"/>
                      <w:szCs w:val="21"/>
                      <w:highlight w:val="none"/>
                      <w:shd w:val="clear" w:color="auto" w:fill="auto"/>
                    </w:rPr>
                    <w:t>单位名称</w:t>
                  </w:r>
                </w:p>
              </w:tc>
              <w:tc>
                <w:tcPr>
                  <w:tcW w:w="3192" w:type="dxa"/>
                  <w:noWrap w:val="0"/>
                  <w:vAlign w:val="center"/>
                </w:tcPr>
                <w:p w14:paraId="0CB6EF77">
                  <w:pPr>
                    <w:keepNext w:val="0"/>
                    <w:keepLines w:val="0"/>
                    <w:pageBreakBefore w:val="0"/>
                    <w:wordWrap w:val="0"/>
                    <w:overflowPunct/>
                    <w:topLinePunct w:val="0"/>
                    <w:bidi w:val="0"/>
                    <w:adjustRightInd w:val="0"/>
                    <w:snapToGrid w:val="0"/>
                    <w:spacing w:line="440" w:lineRule="exact"/>
                    <w:jc w:val="center"/>
                    <w:rPr>
                      <w:rFonts w:hint="eastAsia" w:ascii="宋体" w:hAnsi="宋体" w:eastAsia="宋体" w:cs="宋体"/>
                      <w:snapToGrid w:val="0"/>
                      <w:color w:val="auto"/>
                      <w:kern w:val="0"/>
                      <w:sz w:val="21"/>
                      <w:szCs w:val="21"/>
                      <w:highlight w:val="none"/>
                      <w:shd w:val="clear" w:color="auto" w:fill="auto"/>
                    </w:rPr>
                  </w:pPr>
                  <w:r>
                    <w:rPr>
                      <w:rFonts w:hint="eastAsia" w:ascii="宋体" w:hAnsi="宋体" w:eastAsia="宋体" w:cs="宋体"/>
                      <w:snapToGrid w:val="0"/>
                      <w:color w:val="auto"/>
                      <w:kern w:val="0"/>
                      <w:sz w:val="21"/>
                      <w:szCs w:val="21"/>
                      <w:highlight w:val="none"/>
                      <w:shd w:val="clear" w:color="auto" w:fill="auto"/>
                    </w:rPr>
                    <w:t>拒绝原因</w:t>
                  </w:r>
                </w:p>
              </w:tc>
            </w:tr>
            <w:tr w14:paraId="238C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30" w:type="dxa"/>
                  <w:noWrap w:val="0"/>
                  <w:vAlign w:val="center"/>
                </w:tcPr>
                <w:p w14:paraId="3B9E9338">
                  <w:pPr>
                    <w:pStyle w:val="28"/>
                    <w:keepNext w:val="0"/>
                    <w:keepLines w:val="0"/>
                    <w:pageBreakBefore w:val="0"/>
                    <w:wordWrap w:val="0"/>
                    <w:overflowPunct/>
                    <w:topLinePunct w:val="0"/>
                    <w:bidi w:val="0"/>
                    <w:adjustRightInd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1</w:t>
                  </w:r>
                </w:p>
              </w:tc>
              <w:tc>
                <w:tcPr>
                  <w:tcW w:w="3197" w:type="dxa"/>
                  <w:noWrap w:val="0"/>
                  <w:vAlign w:val="center"/>
                </w:tcPr>
                <w:p w14:paraId="621CB36C">
                  <w:pPr>
                    <w:keepNext w:val="0"/>
                    <w:keepLines w:val="0"/>
                    <w:pageBreakBefore w:val="0"/>
                    <w:wordWrap w:val="0"/>
                    <w:overflowPunct/>
                    <w:topLinePunct w:val="0"/>
                    <w:bidi w:val="0"/>
                    <w:adjustRightInd w:val="0"/>
                    <w:snapToGrid w:val="0"/>
                    <w:spacing w:line="440" w:lineRule="exac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val="en-US" w:eastAsia="zh-CN"/>
                    </w:rPr>
                    <w:t>永建设计集团有限公司</w:t>
                  </w:r>
                </w:p>
              </w:tc>
              <w:tc>
                <w:tcPr>
                  <w:tcW w:w="3192" w:type="dxa"/>
                  <w:noWrap w:val="0"/>
                  <w:vAlign w:val="center"/>
                </w:tcPr>
                <w:p w14:paraId="5F0899C5">
                  <w:pPr>
                    <w:pStyle w:val="28"/>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kern w:val="0"/>
                      <w:sz w:val="21"/>
                      <w:szCs w:val="21"/>
                      <w:highlight w:val="none"/>
                      <w:shd w:val="clear" w:color="auto" w:fill="auto"/>
                    </w:rPr>
                  </w:pPr>
                  <w:r>
                    <w:rPr>
                      <w:rFonts w:hint="eastAsia" w:ascii="宋体" w:hAnsi="宋体" w:eastAsia="宋体" w:cs="宋体"/>
                      <w:iCs/>
                      <w:snapToGrid w:val="0"/>
                      <w:color w:val="auto"/>
                      <w:kern w:val="0"/>
                      <w:sz w:val="21"/>
                      <w:szCs w:val="21"/>
                      <w:highlight w:val="none"/>
                    </w:rPr>
                    <w:t>为本招标项目的</w:t>
                  </w:r>
                  <w:r>
                    <w:rPr>
                      <w:rFonts w:hint="eastAsia" w:ascii="宋体" w:hAnsi="宋体" w:eastAsia="宋体" w:cs="宋体"/>
                      <w:iCs/>
                      <w:snapToGrid w:val="0"/>
                      <w:color w:val="auto"/>
                      <w:kern w:val="0"/>
                      <w:sz w:val="21"/>
                      <w:szCs w:val="21"/>
                      <w:highlight w:val="none"/>
                      <w:lang w:eastAsia="zh-CN"/>
                    </w:rPr>
                    <w:t>设计单位</w:t>
                  </w:r>
                </w:p>
              </w:tc>
            </w:tr>
            <w:tr w14:paraId="5754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30" w:type="dxa"/>
                  <w:noWrap w:val="0"/>
                  <w:vAlign w:val="center"/>
                </w:tcPr>
                <w:p w14:paraId="04C53B47">
                  <w:pPr>
                    <w:pStyle w:val="28"/>
                    <w:keepNext w:val="0"/>
                    <w:keepLines w:val="0"/>
                    <w:pageBreakBefore w:val="0"/>
                    <w:wordWrap w:val="0"/>
                    <w:overflowPunct/>
                    <w:topLinePunct w:val="0"/>
                    <w:bidi w:val="0"/>
                    <w:adjustRightInd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2</w:t>
                  </w:r>
                </w:p>
              </w:tc>
              <w:tc>
                <w:tcPr>
                  <w:tcW w:w="3197" w:type="dxa"/>
                  <w:noWrap w:val="0"/>
                  <w:vAlign w:val="center"/>
                </w:tcPr>
                <w:p w14:paraId="3DE13B26">
                  <w:pPr>
                    <w:keepNext w:val="0"/>
                    <w:keepLines w:val="0"/>
                    <w:pageBreakBefore w:val="0"/>
                    <w:wordWrap w:val="0"/>
                    <w:overflowPunct/>
                    <w:topLinePunct w:val="0"/>
                    <w:bidi w:val="0"/>
                    <w:adjustRightInd w:val="0"/>
                    <w:snapToGrid w:val="0"/>
                    <w:spacing w:line="44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广东普慧能源技术服务有限公司</w:t>
                  </w:r>
                </w:p>
              </w:tc>
              <w:tc>
                <w:tcPr>
                  <w:tcW w:w="3192" w:type="dxa"/>
                  <w:noWrap w:val="0"/>
                  <w:vAlign w:val="center"/>
                </w:tcPr>
                <w:p w14:paraId="542DC311">
                  <w:pPr>
                    <w:pStyle w:val="28"/>
                    <w:keepNext w:val="0"/>
                    <w:keepLines w:val="0"/>
                    <w:pageBreakBefore w:val="0"/>
                    <w:wordWrap w:val="0"/>
                    <w:overflowPunct/>
                    <w:topLinePunct w:val="0"/>
                    <w:bidi w:val="0"/>
                    <w:adjustRightInd w:val="0"/>
                    <w:snapToGrid w:val="0"/>
                    <w:spacing w:line="44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iCs/>
                      <w:snapToGrid w:val="0"/>
                      <w:color w:val="auto"/>
                      <w:kern w:val="0"/>
                      <w:sz w:val="21"/>
                      <w:szCs w:val="21"/>
                      <w:highlight w:val="none"/>
                    </w:rPr>
                    <w:t>为本招标项目的</w:t>
                  </w:r>
                  <w:r>
                    <w:rPr>
                      <w:rFonts w:hint="eastAsia" w:ascii="宋体" w:hAnsi="宋体" w:eastAsia="宋体" w:cs="宋体"/>
                      <w:iCs/>
                      <w:snapToGrid w:val="0"/>
                      <w:color w:val="auto"/>
                      <w:kern w:val="0"/>
                      <w:sz w:val="21"/>
                      <w:szCs w:val="21"/>
                      <w:highlight w:val="none"/>
                      <w:lang w:val="en-US" w:eastAsia="zh-CN"/>
                    </w:rPr>
                    <w:t>可研编制</w:t>
                  </w:r>
                  <w:r>
                    <w:rPr>
                      <w:rFonts w:hint="eastAsia" w:ascii="宋体" w:hAnsi="宋体" w:eastAsia="宋体" w:cs="宋体"/>
                      <w:iCs/>
                      <w:snapToGrid w:val="0"/>
                      <w:color w:val="auto"/>
                      <w:kern w:val="0"/>
                      <w:sz w:val="21"/>
                      <w:szCs w:val="21"/>
                      <w:highlight w:val="none"/>
                    </w:rPr>
                    <w:t>单位</w:t>
                  </w:r>
                </w:p>
              </w:tc>
            </w:tr>
            <w:tr w14:paraId="5F24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30" w:type="dxa"/>
                  <w:noWrap w:val="0"/>
                  <w:vAlign w:val="center"/>
                </w:tcPr>
                <w:p w14:paraId="7B150FAA">
                  <w:pPr>
                    <w:pStyle w:val="28"/>
                    <w:keepNext w:val="0"/>
                    <w:keepLines w:val="0"/>
                    <w:pageBreakBefore w:val="0"/>
                    <w:wordWrap w:val="0"/>
                    <w:overflowPunct/>
                    <w:topLinePunct w:val="0"/>
                    <w:bidi w:val="0"/>
                    <w:adjustRightInd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3</w:t>
                  </w:r>
                </w:p>
              </w:tc>
              <w:tc>
                <w:tcPr>
                  <w:tcW w:w="3197" w:type="dxa"/>
                  <w:noWrap w:val="0"/>
                  <w:vAlign w:val="center"/>
                </w:tcPr>
                <w:p w14:paraId="5884DEE6">
                  <w:pPr>
                    <w:keepNext w:val="0"/>
                    <w:keepLines w:val="0"/>
                    <w:pageBreakBefore w:val="0"/>
                    <w:wordWrap w:val="0"/>
                    <w:overflowPunct/>
                    <w:topLinePunct w:val="0"/>
                    <w:bidi w:val="0"/>
                    <w:adjustRightInd w:val="0"/>
                    <w:snapToGrid w:val="0"/>
                    <w:spacing w:line="44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韶关中一工程造价咨询有限公司</w:t>
                  </w:r>
                </w:p>
              </w:tc>
              <w:tc>
                <w:tcPr>
                  <w:tcW w:w="3192" w:type="dxa"/>
                  <w:noWrap w:val="0"/>
                  <w:vAlign w:val="center"/>
                </w:tcPr>
                <w:p w14:paraId="307F6CE4">
                  <w:pPr>
                    <w:pStyle w:val="28"/>
                    <w:keepNext w:val="0"/>
                    <w:keepLines w:val="0"/>
                    <w:pageBreakBefore w:val="0"/>
                    <w:wordWrap w:val="0"/>
                    <w:overflowPunct/>
                    <w:topLinePunct w:val="0"/>
                    <w:bidi w:val="0"/>
                    <w:adjustRightInd w:val="0"/>
                    <w:snapToGrid w:val="0"/>
                    <w:spacing w:line="44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iCs/>
                      <w:snapToGrid w:val="0"/>
                      <w:color w:val="auto"/>
                      <w:kern w:val="0"/>
                      <w:sz w:val="21"/>
                      <w:szCs w:val="21"/>
                      <w:highlight w:val="none"/>
                    </w:rPr>
                    <w:t>为本招标项目的</w:t>
                  </w:r>
                  <w:r>
                    <w:rPr>
                      <w:rFonts w:hint="eastAsia" w:ascii="宋体" w:hAnsi="宋体" w:eastAsia="宋体" w:cs="宋体"/>
                      <w:iCs/>
                      <w:snapToGrid w:val="0"/>
                      <w:color w:val="auto"/>
                      <w:kern w:val="0"/>
                      <w:sz w:val="21"/>
                      <w:szCs w:val="21"/>
                      <w:highlight w:val="none"/>
                      <w:lang w:val="en-US" w:eastAsia="zh-CN"/>
                    </w:rPr>
                    <w:t>造价咨询单位</w:t>
                  </w:r>
                </w:p>
              </w:tc>
            </w:tr>
            <w:tr w14:paraId="5D91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30" w:type="dxa"/>
                  <w:noWrap w:val="0"/>
                  <w:vAlign w:val="center"/>
                </w:tcPr>
                <w:p w14:paraId="6994F19E">
                  <w:pPr>
                    <w:pStyle w:val="28"/>
                    <w:keepNext w:val="0"/>
                    <w:keepLines w:val="0"/>
                    <w:pageBreakBefore w:val="0"/>
                    <w:wordWrap w:val="0"/>
                    <w:overflowPunct/>
                    <w:topLinePunct w:val="0"/>
                    <w:bidi w:val="0"/>
                    <w:adjustRightInd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4</w:t>
                  </w:r>
                </w:p>
              </w:tc>
              <w:tc>
                <w:tcPr>
                  <w:tcW w:w="3197" w:type="dxa"/>
                  <w:noWrap w:val="0"/>
                  <w:vAlign w:val="center"/>
                </w:tcPr>
                <w:p w14:paraId="3CCDDA6C">
                  <w:pPr>
                    <w:keepNext w:val="0"/>
                    <w:keepLines w:val="0"/>
                    <w:pageBreakBefore w:val="0"/>
                    <w:wordWrap w:val="0"/>
                    <w:overflowPunct/>
                    <w:topLinePunct w:val="0"/>
                    <w:bidi w:val="0"/>
                    <w:adjustRightInd w:val="0"/>
                    <w:snapToGrid w:val="0"/>
                    <w:spacing w:line="44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中轩项目管理有限公司</w:t>
                  </w:r>
                </w:p>
              </w:tc>
              <w:tc>
                <w:tcPr>
                  <w:tcW w:w="3192" w:type="dxa"/>
                  <w:noWrap w:val="0"/>
                  <w:vAlign w:val="center"/>
                </w:tcPr>
                <w:p w14:paraId="69053684">
                  <w:pPr>
                    <w:pStyle w:val="28"/>
                    <w:keepNext w:val="0"/>
                    <w:keepLines w:val="0"/>
                    <w:pageBreakBefore w:val="0"/>
                    <w:wordWrap w:val="0"/>
                    <w:overflowPunct/>
                    <w:topLinePunct w:val="0"/>
                    <w:bidi w:val="0"/>
                    <w:adjustRightInd w:val="0"/>
                    <w:snapToGrid w:val="0"/>
                    <w:spacing w:line="44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iCs/>
                      <w:snapToGrid w:val="0"/>
                      <w:color w:val="auto"/>
                      <w:kern w:val="0"/>
                      <w:sz w:val="21"/>
                      <w:szCs w:val="21"/>
                      <w:highlight w:val="none"/>
                    </w:rPr>
                    <w:t>为本招标项目的招标代理</w:t>
                  </w:r>
                  <w:r>
                    <w:rPr>
                      <w:rFonts w:hint="eastAsia" w:ascii="宋体" w:hAnsi="宋体" w:eastAsia="宋体" w:cs="宋体"/>
                      <w:iCs/>
                      <w:snapToGrid w:val="0"/>
                      <w:color w:val="auto"/>
                      <w:kern w:val="0"/>
                      <w:sz w:val="21"/>
                      <w:szCs w:val="21"/>
                      <w:highlight w:val="none"/>
                      <w:lang w:val="en-US" w:eastAsia="zh-CN"/>
                    </w:rPr>
                    <w:t>单位</w:t>
                  </w:r>
                </w:p>
              </w:tc>
            </w:tr>
            <w:tr w14:paraId="3DC3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30" w:type="dxa"/>
                  <w:noWrap w:val="0"/>
                  <w:vAlign w:val="center"/>
                </w:tcPr>
                <w:p w14:paraId="7F97D3F9">
                  <w:pPr>
                    <w:pStyle w:val="28"/>
                    <w:keepNext w:val="0"/>
                    <w:keepLines w:val="0"/>
                    <w:pageBreakBefore w:val="0"/>
                    <w:wordWrap w:val="0"/>
                    <w:overflowPunct/>
                    <w:topLinePunct w:val="0"/>
                    <w:bidi w:val="0"/>
                    <w:adjustRightInd w:val="0"/>
                    <w:snapToGrid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5</w:t>
                  </w:r>
                </w:p>
              </w:tc>
              <w:tc>
                <w:tcPr>
                  <w:tcW w:w="3197" w:type="dxa"/>
                  <w:noWrap w:val="0"/>
                  <w:vAlign w:val="center"/>
                </w:tcPr>
                <w:p w14:paraId="710790D0">
                  <w:pPr>
                    <w:pStyle w:val="28"/>
                    <w:keepNext w:val="0"/>
                    <w:keepLines w:val="0"/>
                    <w:pageBreakBefore w:val="0"/>
                    <w:wordWrap w:val="0"/>
                    <w:overflowPunct/>
                    <w:topLinePunct w:val="0"/>
                    <w:bidi w:val="0"/>
                    <w:adjustRightInd w:val="0"/>
                    <w:snapToGrid w:val="0"/>
                    <w:spacing w:line="44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翁源县翁城镇人民政府</w:t>
                  </w:r>
                </w:p>
              </w:tc>
              <w:tc>
                <w:tcPr>
                  <w:tcW w:w="3192" w:type="dxa"/>
                  <w:noWrap w:val="0"/>
                  <w:vAlign w:val="center"/>
                </w:tcPr>
                <w:p w14:paraId="5B3283C5">
                  <w:pPr>
                    <w:pStyle w:val="28"/>
                    <w:keepNext w:val="0"/>
                    <w:keepLines w:val="0"/>
                    <w:pageBreakBefore w:val="0"/>
                    <w:wordWrap w:val="0"/>
                    <w:overflowPunct/>
                    <w:topLinePunct w:val="0"/>
                    <w:bidi w:val="0"/>
                    <w:adjustRightInd w:val="0"/>
                    <w:snapToGrid w:val="0"/>
                    <w:spacing w:line="440" w:lineRule="exac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iCs/>
                      <w:snapToGrid w:val="0"/>
                      <w:color w:val="auto"/>
                      <w:kern w:val="0"/>
                      <w:sz w:val="21"/>
                      <w:szCs w:val="21"/>
                      <w:highlight w:val="none"/>
                    </w:rPr>
                    <w:t>为本招标项目的业主</w:t>
                  </w:r>
                  <w:r>
                    <w:rPr>
                      <w:rFonts w:hint="eastAsia" w:ascii="宋体" w:hAnsi="宋体" w:eastAsia="宋体" w:cs="宋体"/>
                      <w:iCs/>
                      <w:snapToGrid w:val="0"/>
                      <w:color w:val="auto"/>
                      <w:kern w:val="0"/>
                      <w:sz w:val="21"/>
                      <w:szCs w:val="21"/>
                      <w:highlight w:val="none"/>
                      <w:lang w:val="en-US" w:eastAsia="zh-CN"/>
                    </w:rPr>
                    <w:t>及招标人</w:t>
                  </w:r>
                </w:p>
              </w:tc>
            </w:tr>
          </w:tbl>
          <w:p w14:paraId="54517215">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其他要求</w:t>
            </w:r>
          </w:p>
          <w:p w14:paraId="4412C53D">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401" w:firstLineChars="1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省外企业（包括组成联合体的所有成员单位）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C795553">
            <w:pPr>
              <w:keepNext w:val="0"/>
              <w:keepLines w:val="0"/>
              <w:pageBreakBefore w:val="0"/>
              <w:overflowPunct/>
              <w:topLinePunct w:val="0"/>
              <w:bidi w:val="0"/>
              <w:spacing w:before="19"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3"/>
                <w:sz w:val="21"/>
                <w:szCs w:val="21"/>
                <w:highlight w:val="none"/>
                <w:lang w:val="en-US" w:eastAsia="zh-CN"/>
              </w:rPr>
              <w:t>8</w:t>
            </w:r>
          </w:p>
        </w:tc>
        <w:tc>
          <w:tcPr>
            <w:tcW w:w="1860" w:type="dxa"/>
            <w:vAlign w:val="center"/>
          </w:tcPr>
          <w:p w14:paraId="315C6AC5">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投标有效期</w:t>
            </w:r>
          </w:p>
        </w:tc>
        <w:tc>
          <w:tcPr>
            <w:tcW w:w="7544" w:type="dxa"/>
            <w:vAlign w:val="center"/>
          </w:tcPr>
          <w:p w14:paraId="10AD7497">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本次招标的投标有效期为</w:t>
            </w:r>
            <w:r>
              <w:rPr>
                <w:rFonts w:hint="eastAsia" w:ascii="宋体" w:hAnsi="宋体" w:eastAsia="宋体" w:cs="宋体"/>
                <w:snapToGrid w:val="0"/>
                <w:color w:val="auto"/>
                <w:kern w:val="0"/>
                <w:sz w:val="21"/>
                <w:szCs w:val="21"/>
                <w:highlight w:val="none"/>
                <w:u w:val="single"/>
                <w:lang w:eastAsia="zh-CN"/>
              </w:rPr>
              <w:t>90</w:t>
            </w:r>
            <w:r>
              <w:rPr>
                <w:rFonts w:hint="eastAsia" w:ascii="宋体" w:hAnsi="宋体" w:eastAsia="宋体" w:cs="宋体"/>
                <w:snapToGrid w:val="0"/>
                <w:color w:val="auto"/>
                <w:kern w:val="0"/>
                <w:sz w:val="21"/>
                <w:szCs w:val="21"/>
                <w:highlight w:val="none"/>
                <w:lang w:eastAsia="zh-CN"/>
              </w:rPr>
              <w:t>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E0149C9">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
                <w:sz w:val="21"/>
                <w:szCs w:val="21"/>
                <w:highlight w:val="none"/>
                <w:lang w:val="en-US" w:eastAsia="zh-CN"/>
              </w:rPr>
              <w:t>29</w:t>
            </w:r>
          </w:p>
        </w:tc>
        <w:tc>
          <w:tcPr>
            <w:tcW w:w="1860" w:type="dxa"/>
            <w:vAlign w:val="center"/>
          </w:tcPr>
          <w:p w14:paraId="21626DA8">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投标文件组成</w:t>
            </w:r>
          </w:p>
        </w:tc>
        <w:tc>
          <w:tcPr>
            <w:tcW w:w="7544" w:type="dxa"/>
            <w:vAlign w:val="center"/>
          </w:tcPr>
          <w:p w14:paraId="0891F660">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投标文件包括商务标书、经济标书、施工组织设计</w:t>
            </w:r>
            <w:r>
              <w:rPr>
                <w:rFonts w:hint="eastAsia" w:ascii="宋体" w:hAnsi="宋体" w:eastAsia="宋体" w:cs="宋体"/>
                <w:snapToGrid w:val="0"/>
                <w:color w:val="auto"/>
                <w:kern w:val="0"/>
                <w:sz w:val="21"/>
                <w:szCs w:val="21"/>
                <w:highlight w:val="none"/>
                <w:lang w:val="en-US" w:eastAsia="zh-CN"/>
              </w:rPr>
              <w:t>和</w:t>
            </w:r>
            <w:r>
              <w:rPr>
                <w:rFonts w:hint="eastAsia" w:ascii="宋体" w:hAnsi="宋体" w:eastAsia="宋体" w:cs="宋体"/>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080D10B9">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
                <w:sz w:val="21"/>
                <w:szCs w:val="21"/>
                <w:highlight w:val="none"/>
                <w:lang w:val="en-US" w:eastAsia="zh-CN"/>
              </w:rPr>
              <w:t>30</w:t>
            </w:r>
          </w:p>
        </w:tc>
        <w:tc>
          <w:tcPr>
            <w:tcW w:w="1860" w:type="dxa"/>
            <w:vAlign w:val="center"/>
          </w:tcPr>
          <w:p w14:paraId="60E20252">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施工组织设计评审方式</w:t>
            </w:r>
          </w:p>
        </w:tc>
        <w:tc>
          <w:tcPr>
            <w:tcW w:w="7544" w:type="dxa"/>
            <w:vAlign w:val="center"/>
          </w:tcPr>
          <w:p w14:paraId="044BE8C7">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本次招标施工组织设计不采用“暗标”方式进行评审。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2A7F5E06">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val="en-US" w:eastAsia="zh-CN"/>
              </w:rPr>
              <w:t>1</w:t>
            </w:r>
          </w:p>
        </w:tc>
        <w:tc>
          <w:tcPr>
            <w:tcW w:w="1860" w:type="dxa"/>
            <w:vAlign w:val="center"/>
          </w:tcPr>
          <w:p w14:paraId="01061539">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评标委员会</w:t>
            </w:r>
          </w:p>
        </w:tc>
        <w:tc>
          <w:tcPr>
            <w:tcW w:w="7544" w:type="dxa"/>
            <w:vAlign w:val="top"/>
          </w:tcPr>
          <w:p w14:paraId="1DF9186C">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评标委员会由</w:t>
            </w:r>
            <w:r>
              <w:rPr>
                <w:rFonts w:hint="eastAsia" w:ascii="宋体" w:hAnsi="宋体" w:eastAsia="宋体" w:cs="宋体"/>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rPr>
              <w:t>人组成，其中招标人代表</w:t>
            </w:r>
            <w:r>
              <w:rPr>
                <w:rFonts w:hint="eastAsia" w:ascii="宋体" w:hAnsi="宋体" w:eastAsia="宋体" w:cs="宋体"/>
                <w:snapToGrid w:val="0"/>
                <w:color w:val="auto"/>
                <w:kern w:val="0"/>
                <w:sz w:val="21"/>
                <w:szCs w:val="21"/>
                <w:highlight w:val="none"/>
                <w:u w:val="single"/>
              </w:rPr>
              <w:t>0</w:t>
            </w:r>
            <w:r>
              <w:rPr>
                <w:rFonts w:hint="eastAsia" w:ascii="宋体" w:hAnsi="宋体" w:eastAsia="宋体" w:cs="宋体"/>
                <w:snapToGrid w:val="0"/>
                <w:color w:val="auto"/>
                <w:kern w:val="0"/>
                <w:sz w:val="21"/>
                <w:szCs w:val="21"/>
                <w:highlight w:val="none"/>
              </w:rPr>
              <w:t>人，专家</w:t>
            </w:r>
            <w:r>
              <w:rPr>
                <w:rFonts w:hint="eastAsia" w:ascii="宋体" w:hAnsi="宋体" w:eastAsia="宋体" w:cs="宋体"/>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rPr>
              <w:t>人。专家从</w:t>
            </w:r>
            <w:r>
              <w:rPr>
                <w:rFonts w:hint="eastAsia" w:ascii="宋体" w:hAnsi="宋体" w:eastAsia="宋体" w:cs="宋体"/>
                <w:snapToGrid w:val="0"/>
                <w:color w:val="auto"/>
                <w:kern w:val="0"/>
                <w:sz w:val="21"/>
                <w:szCs w:val="21"/>
                <w:highlight w:val="none"/>
                <w:u w:val="single"/>
              </w:rPr>
              <w:t>广东省综合评标评审专家库</w:t>
            </w:r>
            <w:r>
              <w:rPr>
                <w:rFonts w:hint="eastAsia" w:ascii="宋体" w:hAnsi="宋体" w:eastAsia="宋体" w:cs="宋体"/>
                <w:snapToGrid w:val="0"/>
                <w:color w:val="auto"/>
                <w:kern w:val="0"/>
                <w:sz w:val="21"/>
                <w:szCs w:val="21"/>
                <w:highlight w:val="none"/>
                <w:u w:val="single"/>
                <w:lang w:eastAsia="zh-CN"/>
              </w:rPr>
              <w:t>—</w:t>
            </w:r>
            <w:r>
              <w:rPr>
                <w:rFonts w:hint="eastAsia" w:ascii="宋体" w:hAnsi="宋体" w:eastAsia="宋体" w:cs="宋体"/>
                <w:snapToGrid w:val="0"/>
                <w:color w:val="auto"/>
                <w:kern w:val="0"/>
                <w:sz w:val="21"/>
                <w:szCs w:val="21"/>
                <w:highlight w:val="none"/>
                <w:u w:val="single"/>
                <w:lang w:val="en-US" w:eastAsia="zh-CN"/>
              </w:rPr>
              <w:t>韶关市区域</w:t>
            </w:r>
            <w:r>
              <w:rPr>
                <w:rFonts w:hint="eastAsia" w:ascii="宋体" w:hAnsi="宋体" w:eastAsia="宋体" w:cs="宋体"/>
                <w:snapToGrid w:val="0"/>
                <w:color w:val="auto"/>
                <w:kern w:val="0"/>
                <w:sz w:val="21"/>
                <w:szCs w:val="21"/>
                <w:highlight w:val="none"/>
              </w:rPr>
              <w:t>中随机抽取，其中技术类专家</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人，经济类专家</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2AD4F28B">
            <w:pPr>
              <w:keepNext w:val="0"/>
              <w:keepLines w:val="0"/>
              <w:pageBreakBefore w:val="0"/>
              <w:overflowPunct/>
              <w:topLinePunct w:val="0"/>
              <w:bidi w:val="0"/>
              <w:spacing w:before="69" w:line="440" w:lineRule="exact"/>
              <w:ind w:left="209"/>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40" w:lineRule="exact"/>
              <w:ind w:left="105" w:leftChars="50" w:right="105" w:rightChars="5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8D68E09">
            <w:pPr>
              <w:keepNext w:val="0"/>
              <w:keepLines w:val="0"/>
              <w:pageBreakBefore w:val="0"/>
              <w:overflowPunct/>
              <w:topLinePunct w:val="0"/>
              <w:bidi w:val="0"/>
              <w:spacing w:before="258"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33</w:t>
            </w:r>
          </w:p>
        </w:tc>
        <w:tc>
          <w:tcPr>
            <w:tcW w:w="1860" w:type="dxa"/>
            <w:vAlign w:val="center"/>
          </w:tcPr>
          <w:p w14:paraId="1729A2DF">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评标方法</w:t>
            </w:r>
          </w:p>
        </w:tc>
        <w:tc>
          <w:tcPr>
            <w:tcW w:w="7544" w:type="dxa"/>
            <w:vAlign w:val="center"/>
          </w:tcPr>
          <w:p w14:paraId="14FB030A">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综合评分法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06AF2062">
            <w:pPr>
              <w:keepNext w:val="0"/>
              <w:keepLines w:val="0"/>
              <w:pageBreakBefore w:val="0"/>
              <w:overflowPunct/>
              <w:topLinePunct w:val="0"/>
              <w:bidi w:val="0"/>
              <w:spacing w:before="258" w:line="440" w:lineRule="exact"/>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440" w:lineRule="exact"/>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440" w:lineRule="exact"/>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440" w:lineRule="exact"/>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440" w:lineRule="exact"/>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440" w:lineRule="exact"/>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440" w:lineRule="exact"/>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440" w:lineRule="exact"/>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440" w:lineRule="exact"/>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440" w:lineRule="exact"/>
              <w:ind w:left="105" w:leftChars="50" w:right="105" w:rightChars="50" w:firstLine="420" w:firstLineChars="20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两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2168BB35">
            <w:pPr>
              <w:keepNext w:val="0"/>
              <w:keepLines w:val="0"/>
              <w:pageBreakBefore w:val="0"/>
              <w:overflowPunct/>
              <w:topLinePunct w:val="0"/>
              <w:bidi w:val="0"/>
              <w:spacing w:before="258" w:line="440" w:lineRule="exact"/>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4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4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4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4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4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5A8F9F23">
            <w:pPr>
              <w:keepNext w:val="0"/>
              <w:keepLines w:val="0"/>
              <w:pageBreakBefore w:val="0"/>
              <w:overflowPunct/>
              <w:topLinePunct w:val="0"/>
              <w:bidi w:val="0"/>
              <w:spacing w:before="57"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p>
        </w:tc>
        <w:tc>
          <w:tcPr>
            <w:tcW w:w="1860" w:type="dxa"/>
            <w:vAlign w:val="center"/>
          </w:tcPr>
          <w:p w14:paraId="5E4B993F">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招标文件要求提交的用于评审的证书、证件、证明原件</w:t>
            </w:r>
          </w:p>
        </w:tc>
        <w:tc>
          <w:tcPr>
            <w:tcW w:w="7544" w:type="dxa"/>
            <w:vAlign w:val="top"/>
          </w:tcPr>
          <w:p w14:paraId="11169AFE">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投标人提交用于评审的证书、证件、证明原件的，投标人应自行将所需原件密封于文件袋（箱）中，并自行准备两张“原件一览表”（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E15237F">
            <w:pPr>
              <w:keepNext w:val="0"/>
              <w:keepLines w:val="0"/>
              <w:pageBreakBefore w:val="0"/>
              <w:overflowPunct/>
              <w:topLinePunct w:val="0"/>
              <w:bidi w:val="0"/>
              <w:spacing w:before="69" w:line="440" w:lineRule="exact"/>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37</w:t>
            </w:r>
          </w:p>
        </w:tc>
        <w:tc>
          <w:tcPr>
            <w:tcW w:w="1860" w:type="dxa"/>
            <w:vAlign w:val="center"/>
          </w:tcPr>
          <w:p w14:paraId="6186C359">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招标代理费和评标专家酬劳</w:t>
            </w:r>
          </w:p>
        </w:tc>
        <w:tc>
          <w:tcPr>
            <w:tcW w:w="7544" w:type="dxa"/>
            <w:shd w:val="clear" w:color="auto" w:fill="FFFFFF" w:themeFill="background1"/>
            <w:vAlign w:val="center"/>
          </w:tcPr>
          <w:p w14:paraId="7ABDDE22">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191" w:firstLineChars="91"/>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rPr>
              <w:t>本工程的招标代理服务费由中标人支付，该费用不再另行报价，由投标人在投标报价时综合考虑在内。本项目招标代理费收费以中标金额为计价基数，参照《招标代理服务收费管理暂行办法》（计价格[2002]1980号）相关规定</w:t>
            </w:r>
            <w:r>
              <w:rPr>
                <w:rFonts w:hint="eastAsia" w:ascii="宋体" w:hAnsi="宋体" w:eastAsia="宋体" w:cs="宋体"/>
                <w:color w:val="auto"/>
                <w:sz w:val="21"/>
                <w:szCs w:val="21"/>
                <w:highlight w:val="none"/>
                <w:lang w:val="en-US" w:eastAsia="zh-CN"/>
              </w:rPr>
              <w:t>计算招标代理服务费</w:t>
            </w:r>
            <w:r>
              <w:rPr>
                <w:rFonts w:hint="eastAsia" w:ascii="宋体" w:hAnsi="宋体" w:eastAsia="宋体" w:cs="宋体"/>
                <w:color w:val="auto"/>
                <w:sz w:val="21"/>
                <w:szCs w:val="21"/>
                <w:highlight w:val="none"/>
              </w:rPr>
              <w:t>。项目过程中所增加的任何工作内容不再支付任何费用。招标代理服务费由中标单位支付</w:t>
            </w:r>
            <w:r>
              <w:rPr>
                <w:rFonts w:hint="eastAsia" w:ascii="宋体" w:hAnsi="宋体" w:eastAsia="宋体" w:cs="宋体"/>
                <w:color w:val="auto"/>
                <w:sz w:val="21"/>
                <w:szCs w:val="21"/>
                <w:highlight w:val="none"/>
                <w:lang w:eastAsia="zh-CN"/>
              </w:rPr>
              <w:t>。</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37D7D386">
            <w:pPr>
              <w:keepNext w:val="0"/>
              <w:keepLines w:val="0"/>
              <w:pageBreakBefore w:val="0"/>
              <w:overflowPunct/>
              <w:topLinePunct w:val="0"/>
              <w:bidi w:val="0"/>
              <w:spacing w:before="69"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38</w:t>
            </w:r>
          </w:p>
        </w:tc>
        <w:tc>
          <w:tcPr>
            <w:tcW w:w="1860" w:type="dxa"/>
            <w:vAlign w:val="center"/>
          </w:tcPr>
          <w:p w14:paraId="5DBBB6F5">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招标人</w:t>
            </w:r>
          </w:p>
          <w:p w14:paraId="36239D21">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联系方式</w:t>
            </w:r>
          </w:p>
        </w:tc>
        <w:tc>
          <w:tcPr>
            <w:tcW w:w="7544" w:type="dxa"/>
            <w:vAlign w:val="center"/>
          </w:tcPr>
          <w:p w14:paraId="76E7F38A">
            <w:pPr>
              <w:keepNext w:val="0"/>
              <w:keepLines w:val="0"/>
              <w:pageBreakBefore w:val="0"/>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单位名称：翁源县翁城镇人民政府</w:t>
            </w:r>
          </w:p>
          <w:p w14:paraId="68C0CC4C">
            <w:pPr>
              <w:keepNext w:val="0"/>
              <w:keepLines w:val="0"/>
              <w:pageBreakBefore w:val="0"/>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办公地址：</w:t>
            </w:r>
            <w:r>
              <w:rPr>
                <w:rFonts w:hint="eastAsia" w:ascii="宋体" w:hAnsi="宋体" w:eastAsia="宋体" w:cs="宋体"/>
                <w:snapToGrid w:val="0"/>
                <w:color w:val="auto"/>
                <w:kern w:val="0"/>
                <w:sz w:val="21"/>
                <w:szCs w:val="21"/>
                <w:highlight w:val="none"/>
                <w:lang w:eastAsia="zh-CN"/>
              </w:rPr>
              <w:t>翁源县翁城镇</w:t>
            </w:r>
          </w:p>
          <w:p w14:paraId="561DC0DE">
            <w:pPr>
              <w:keepNext w:val="0"/>
              <w:keepLines w:val="0"/>
              <w:pageBreakBefore w:val="0"/>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联系人（部门）：</w:t>
            </w:r>
            <w:r>
              <w:rPr>
                <w:rFonts w:hint="eastAsia" w:ascii="宋体" w:hAnsi="宋体" w:eastAsia="宋体" w:cs="宋体"/>
                <w:snapToGrid w:val="0"/>
                <w:color w:val="auto"/>
                <w:kern w:val="0"/>
                <w:sz w:val="21"/>
                <w:szCs w:val="21"/>
                <w:highlight w:val="none"/>
                <w:lang w:eastAsia="zh-CN"/>
              </w:rPr>
              <w:t>刘工</w:t>
            </w:r>
          </w:p>
          <w:p w14:paraId="12F2771B">
            <w:pPr>
              <w:keepNext w:val="0"/>
              <w:keepLines w:val="0"/>
              <w:pageBreakBefore w:val="0"/>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联系电话：0751-2612301</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7AB56B55">
            <w:pPr>
              <w:keepNext w:val="0"/>
              <w:keepLines w:val="0"/>
              <w:pageBreakBefore w:val="0"/>
              <w:overflowPunct/>
              <w:topLinePunct w:val="0"/>
              <w:bidi w:val="0"/>
              <w:spacing w:before="69" w:line="440" w:lineRule="exact"/>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39</w:t>
            </w:r>
          </w:p>
        </w:tc>
        <w:tc>
          <w:tcPr>
            <w:tcW w:w="1860" w:type="dxa"/>
            <w:vAlign w:val="center"/>
          </w:tcPr>
          <w:p w14:paraId="57A132EA">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招标代理机构</w:t>
            </w:r>
          </w:p>
          <w:p w14:paraId="3F031D75">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联系方式</w:t>
            </w:r>
          </w:p>
        </w:tc>
        <w:tc>
          <w:tcPr>
            <w:tcW w:w="7544" w:type="dxa"/>
            <w:vAlign w:val="center"/>
          </w:tcPr>
          <w:p w14:paraId="771BF440">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单位名称： 中轩项目管理有限公司</w:t>
            </w:r>
          </w:p>
          <w:p w14:paraId="54AD24C5">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办公地址：</w:t>
            </w:r>
            <w:r>
              <w:rPr>
                <w:rFonts w:hint="eastAsia" w:ascii="宋体" w:hAnsi="宋体" w:eastAsia="宋体" w:cs="宋体"/>
                <w:i w:val="0"/>
                <w:iCs w:val="0"/>
                <w:caps w:val="0"/>
                <w:color w:val="auto"/>
                <w:spacing w:val="0"/>
                <w:sz w:val="21"/>
                <w:szCs w:val="21"/>
                <w:highlight w:val="none"/>
                <w:shd w:val="clear"/>
                <w:lang w:eastAsia="zh-CN"/>
              </w:rPr>
              <w:t>韶关市浈江区五里亭耕进商贸城G区11号一层</w:t>
            </w:r>
            <w:r>
              <w:rPr>
                <w:rFonts w:hint="eastAsia" w:ascii="宋体" w:hAnsi="宋体" w:eastAsia="宋体" w:cs="宋体"/>
                <w:snapToGrid w:val="0"/>
                <w:color w:val="auto"/>
                <w:kern w:val="0"/>
                <w:sz w:val="21"/>
                <w:szCs w:val="21"/>
                <w:highlight w:val="none"/>
                <w:lang w:val="en-US" w:eastAsia="zh-CN" w:bidi="ar-SA"/>
              </w:rPr>
              <w:t xml:space="preserve"> </w:t>
            </w:r>
          </w:p>
          <w:p w14:paraId="1FC2179E">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联 系 人：王工、刘工  </w:t>
            </w:r>
          </w:p>
          <w:p w14:paraId="367E96DE">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SA"/>
              </w:rPr>
              <w:t>电    话：</w:t>
            </w:r>
            <w:r>
              <w:rPr>
                <w:rFonts w:hint="eastAsia" w:ascii="宋体" w:hAnsi="宋体" w:eastAsia="宋体" w:cs="宋体"/>
                <w:color w:val="auto"/>
                <w:sz w:val="21"/>
                <w:szCs w:val="21"/>
                <w:highlight w:val="none"/>
                <w:lang w:eastAsia="zh-CN"/>
              </w:rPr>
              <w:t>18023684501</w:t>
            </w:r>
            <w:r>
              <w:rPr>
                <w:rFonts w:hint="eastAsia" w:ascii="宋体" w:hAnsi="宋体" w:eastAsia="宋体" w:cs="宋体"/>
                <w:snapToGrid w:val="0"/>
                <w:color w:val="auto"/>
                <w:kern w:val="0"/>
                <w:sz w:val="21"/>
                <w:szCs w:val="21"/>
                <w:highlight w:val="none"/>
                <w:lang w:val="en-US" w:eastAsia="zh-CN" w:bidi="ar-SA"/>
              </w:rPr>
              <w:t xml:space="preserve"> </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18F6589E">
            <w:pPr>
              <w:keepNext w:val="0"/>
              <w:keepLines w:val="0"/>
              <w:pageBreakBefore w:val="0"/>
              <w:overflowPunct/>
              <w:topLinePunct w:val="0"/>
              <w:bidi w:val="0"/>
              <w:spacing w:before="69" w:line="440" w:lineRule="exact"/>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40</w:t>
            </w:r>
          </w:p>
        </w:tc>
        <w:tc>
          <w:tcPr>
            <w:tcW w:w="1860" w:type="dxa"/>
            <w:vAlign w:val="center"/>
          </w:tcPr>
          <w:p w14:paraId="1AD5452F">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交易场所联系方式</w:t>
            </w:r>
          </w:p>
        </w:tc>
        <w:tc>
          <w:tcPr>
            <w:tcW w:w="7544" w:type="dxa"/>
            <w:vAlign w:val="center"/>
          </w:tcPr>
          <w:p w14:paraId="543991A9">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单位名称：韶关市公共资源交易中心</w:t>
            </w:r>
          </w:p>
          <w:p w14:paraId="6E3AA806">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办公地址：翁源县龙仙镇朝阳路63号韶关市公共资源交易中心翁源分中心</w:t>
            </w:r>
          </w:p>
          <w:p w14:paraId="24FED406">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联系人（部门）：工程交易股</w:t>
            </w:r>
          </w:p>
          <w:p w14:paraId="741B69F5">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bidi="ar-SA"/>
              </w:rPr>
              <w:t>联系电话：0751-2815819</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82" w:type="dxa"/>
            <w:vAlign w:val="center"/>
          </w:tcPr>
          <w:p w14:paraId="6CED66FD">
            <w:pPr>
              <w:keepNext w:val="0"/>
              <w:keepLines w:val="0"/>
              <w:pageBreakBefore w:val="0"/>
              <w:overflowPunct/>
              <w:topLinePunct w:val="0"/>
              <w:bidi w:val="0"/>
              <w:spacing w:before="69" w:line="440" w:lineRule="exact"/>
              <w:jc w:val="center"/>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41</w:t>
            </w:r>
          </w:p>
        </w:tc>
        <w:tc>
          <w:tcPr>
            <w:tcW w:w="1860" w:type="dxa"/>
            <w:vAlign w:val="center"/>
          </w:tcPr>
          <w:p w14:paraId="2B5659C0">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行政监督部</w:t>
            </w:r>
          </w:p>
          <w:p w14:paraId="205A3A6C">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门联系方式</w:t>
            </w:r>
          </w:p>
        </w:tc>
        <w:tc>
          <w:tcPr>
            <w:tcW w:w="7544" w:type="dxa"/>
            <w:vAlign w:val="center"/>
          </w:tcPr>
          <w:p w14:paraId="17BCCE2C">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单位名称：翁源县住房和城乡建设管理局</w:t>
            </w:r>
          </w:p>
          <w:p w14:paraId="54C78F0E">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办公地址：翁源县龙仙镇朝阳路186号</w:t>
            </w:r>
          </w:p>
          <w:p w14:paraId="68165516">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联系人（部门）：建管股</w:t>
            </w:r>
          </w:p>
          <w:p w14:paraId="41EA6226">
            <w:pPr>
              <w:keepNext w:val="0"/>
              <w:keepLines w:val="0"/>
              <w:pageBreakBefore w:val="0"/>
              <w:wordWrap w:val="0"/>
              <w:overflowPunct/>
              <w:topLinePunct w:val="0"/>
              <w:bidi w:val="0"/>
              <w:adjustRightInd w:val="0"/>
              <w:snapToGrid w:val="0"/>
              <w:spacing w:line="440" w:lineRule="exact"/>
              <w:ind w:firstLine="420" w:firstLineChars="20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bidi="ar-SA"/>
              </w:rPr>
              <w:t>联系电话：0751-2870501</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3868"/>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6"/>
        <w:rPr>
          <w:rFonts w:hint="eastAsia" w:ascii="宋体" w:hAnsi="宋体" w:eastAsia="宋体" w:cs="宋体"/>
          <w:color w:val="auto"/>
          <w:highlight w:val="none"/>
        </w:rPr>
      </w:pPr>
    </w:p>
    <w:tbl>
      <w:tblPr>
        <w:tblStyle w:val="17"/>
        <w:tblW w:w="977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5"/>
        <w:gridCol w:w="1578"/>
        <w:gridCol w:w="7776"/>
      </w:tblGrid>
      <w:tr w14:paraId="7D264A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0"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2240C2DC">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5AFE1716">
            <w:pPr>
              <w:pStyle w:val="28"/>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招标公告</w:t>
            </w:r>
          </w:p>
          <w:p w14:paraId="482D518E">
            <w:pPr>
              <w:pStyle w:val="28"/>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发布时间 </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6199FC18">
            <w:pPr>
              <w:pStyle w:val="28"/>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日</w:t>
            </w:r>
            <w:r>
              <w:rPr>
                <w:rFonts w:hint="eastAsia" w:ascii="宋体" w:hAnsi="宋体" w:cs="宋体"/>
                <w:snapToGrid w:val="0"/>
                <w:color w:val="auto"/>
                <w:kern w:val="0"/>
                <w:sz w:val="21"/>
                <w:szCs w:val="21"/>
                <w:highlight w:val="none"/>
                <w:u w:val="single"/>
                <w:lang w:val="en-US" w:eastAsia="zh-CN"/>
              </w:rPr>
              <w:t>18</w:t>
            </w:r>
            <w:r>
              <w:rPr>
                <w:rFonts w:hint="eastAsia" w:ascii="宋体" w:hAnsi="宋体" w:eastAsia="宋体" w:cs="宋体"/>
                <w:snapToGrid w:val="0"/>
                <w:color w:val="auto"/>
                <w:kern w:val="0"/>
                <w:sz w:val="21"/>
                <w:szCs w:val="21"/>
                <w:highlight w:val="none"/>
              </w:rPr>
              <w:t>时</w:t>
            </w:r>
            <w:r>
              <w:rPr>
                <w:rFonts w:hint="eastAsia" w:ascii="宋体" w:hAnsi="宋体" w:cs="宋体"/>
                <w:snapToGrid w:val="0"/>
                <w:color w:val="auto"/>
                <w:kern w:val="0"/>
                <w:sz w:val="21"/>
                <w:szCs w:val="21"/>
                <w:highlight w:val="none"/>
                <w:u w:val="single"/>
                <w:lang w:val="en-US" w:eastAsia="zh-CN"/>
              </w:rPr>
              <w:t>00</w:t>
            </w:r>
            <w:r>
              <w:rPr>
                <w:rFonts w:hint="eastAsia" w:ascii="宋体" w:hAnsi="宋体" w:eastAsia="宋体" w:cs="宋体"/>
                <w:snapToGrid w:val="0"/>
                <w:color w:val="auto"/>
                <w:kern w:val="0"/>
                <w:sz w:val="21"/>
                <w:szCs w:val="21"/>
                <w:highlight w:val="none"/>
              </w:rPr>
              <w:t>分</w:t>
            </w:r>
          </w:p>
        </w:tc>
      </w:tr>
      <w:tr w14:paraId="0F24B7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9"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71FB1A74">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02E7C326">
            <w:pPr>
              <w:pStyle w:val="28"/>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获取招标文件截止时间</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5B237BA5">
            <w:pPr>
              <w:pStyle w:val="28"/>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日</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时</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分</w:t>
            </w:r>
          </w:p>
        </w:tc>
      </w:tr>
      <w:tr w14:paraId="46EB22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1"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6B8E572B">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2719F345">
            <w:pPr>
              <w:pStyle w:val="28"/>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网上提问</w:t>
            </w:r>
          </w:p>
          <w:p w14:paraId="6C539589">
            <w:pPr>
              <w:pStyle w:val="28"/>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截止时间 </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6BEAEB4C">
            <w:pPr>
              <w:pStyle w:val="28"/>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20</w:t>
            </w:r>
            <w:r>
              <w:rPr>
                <w:rFonts w:hint="eastAsia" w:ascii="宋体" w:hAnsi="宋体" w:eastAsia="宋体" w:cs="宋体"/>
                <w:snapToGrid w:val="0"/>
                <w:color w:val="auto"/>
                <w:kern w:val="0"/>
                <w:sz w:val="21"/>
                <w:szCs w:val="21"/>
                <w:highlight w:val="none"/>
              </w:rPr>
              <w:t>日</w:t>
            </w:r>
            <w:r>
              <w:rPr>
                <w:rFonts w:hint="eastAsia" w:ascii="宋体" w:hAnsi="宋体" w:eastAsia="宋体" w:cs="宋体"/>
                <w:snapToGrid w:val="0"/>
                <w:color w:val="auto"/>
                <w:kern w:val="0"/>
                <w:sz w:val="21"/>
                <w:szCs w:val="21"/>
                <w:highlight w:val="none"/>
                <w:u w:val="single"/>
                <w:lang w:val="en-US" w:eastAsia="zh-CN"/>
              </w:rPr>
              <w:t>16</w:t>
            </w:r>
            <w:r>
              <w:rPr>
                <w:rFonts w:hint="eastAsia" w:ascii="宋体" w:hAnsi="宋体" w:eastAsia="宋体" w:cs="宋体"/>
                <w:snapToGrid w:val="0"/>
                <w:color w:val="auto"/>
                <w:kern w:val="0"/>
                <w:sz w:val="21"/>
                <w:szCs w:val="21"/>
                <w:highlight w:val="none"/>
              </w:rPr>
              <w:t>时</w:t>
            </w:r>
            <w:r>
              <w:rPr>
                <w:rFonts w:hint="eastAsia" w:ascii="宋体" w:hAnsi="宋体" w:eastAsia="宋体" w:cs="宋体"/>
                <w:snapToGrid w:val="0"/>
                <w:color w:val="auto"/>
                <w:kern w:val="0"/>
                <w:sz w:val="21"/>
                <w:szCs w:val="21"/>
                <w:highlight w:val="none"/>
                <w:u w:val="single"/>
                <w:lang w:val="en-US" w:eastAsia="zh-CN"/>
              </w:rPr>
              <w:t>00</w:t>
            </w:r>
            <w:r>
              <w:rPr>
                <w:rFonts w:hint="eastAsia" w:ascii="宋体" w:hAnsi="宋体" w:eastAsia="宋体" w:cs="宋体"/>
                <w:snapToGrid w:val="0"/>
                <w:color w:val="auto"/>
                <w:kern w:val="0"/>
                <w:sz w:val="21"/>
                <w:szCs w:val="21"/>
                <w:highlight w:val="none"/>
              </w:rPr>
              <w:t>分</w:t>
            </w:r>
          </w:p>
        </w:tc>
      </w:tr>
      <w:tr w14:paraId="448C94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65"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4A387652">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60716A04">
            <w:pPr>
              <w:pStyle w:val="28"/>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网上答疑</w:t>
            </w:r>
          </w:p>
          <w:p w14:paraId="27F003B2">
            <w:pPr>
              <w:pStyle w:val="28"/>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时间</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176A4F33">
            <w:pPr>
              <w:pStyle w:val="28"/>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20</w:t>
            </w:r>
            <w:r>
              <w:rPr>
                <w:rFonts w:hint="eastAsia" w:ascii="宋体" w:hAnsi="宋体" w:eastAsia="宋体" w:cs="宋体"/>
                <w:snapToGrid w:val="0"/>
                <w:color w:val="auto"/>
                <w:kern w:val="0"/>
                <w:sz w:val="21"/>
                <w:szCs w:val="21"/>
                <w:highlight w:val="none"/>
              </w:rPr>
              <w:t>日</w:t>
            </w:r>
            <w:r>
              <w:rPr>
                <w:rFonts w:hint="eastAsia" w:ascii="宋体" w:hAnsi="宋体" w:eastAsia="宋体" w:cs="宋体"/>
                <w:snapToGrid w:val="0"/>
                <w:color w:val="auto"/>
                <w:kern w:val="0"/>
                <w:sz w:val="21"/>
                <w:szCs w:val="21"/>
                <w:highlight w:val="none"/>
                <w:u w:val="single"/>
                <w:lang w:val="en-US" w:eastAsia="zh-CN"/>
              </w:rPr>
              <w:t>16</w:t>
            </w:r>
            <w:r>
              <w:rPr>
                <w:rFonts w:hint="eastAsia" w:ascii="宋体" w:hAnsi="宋体" w:eastAsia="宋体" w:cs="宋体"/>
                <w:snapToGrid w:val="0"/>
                <w:color w:val="auto"/>
                <w:kern w:val="0"/>
                <w:sz w:val="21"/>
                <w:szCs w:val="21"/>
                <w:highlight w:val="none"/>
              </w:rPr>
              <w:t>时</w:t>
            </w:r>
            <w:r>
              <w:rPr>
                <w:rFonts w:hint="eastAsia" w:ascii="宋体" w:hAnsi="宋体" w:eastAsia="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分至</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23</w:t>
            </w:r>
            <w:r>
              <w:rPr>
                <w:rFonts w:hint="eastAsia" w:ascii="宋体" w:hAnsi="宋体" w:eastAsia="宋体" w:cs="宋体"/>
                <w:snapToGrid w:val="0"/>
                <w:color w:val="auto"/>
                <w:kern w:val="0"/>
                <w:sz w:val="21"/>
                <w:szCs w:val="21"/>
                <w:highlight w:val="none"/>
              </w:rPr>
              <w:t>日</w:t>
            </w:r>
            <w:r>
              <w:rPr>
                <w:rFonts w:hint="eastAsia" w:ascii="宋体" w:hAnsi="宋体" w:eastAsia="宋体" w:cs="宋体"/>
                <w:snapToGrid w:val="0"/>
                <w:color w:val="auto"/>
                <w:kern w:val="0"/>
                <w:sz w:val="21"/>
                <w:szCs w:val="21"/>
                <w:highlight w:val="none"/>
                <w:u w:val="single"/>
                <w:lang w:val="en-US" w:eastAsia="zh-CN"/>
              </w:rPr>
              <w:t>16</w:t>
            </w:r>
            <w:r>
              <w:rPr>
                <w:rFonts w:hint="eastAsia" w:ascii="宋体" w:hAnsi="宋体" w:eastAsia="宋体" w:cs="宋体"/>
                <w:snapToGrid w:val="0"/>
                <w:color w:val="auto"/>
                <w:kern w:val="0"/>
                <w:sz w:val="21"/>
                <w:szCs w:val="21"/>
                <w:highlight w:val="none"/>
              </w:rPr>
              <w:t>时</w:t>
            </w:r>
            <w:r>
              <w:rPr>
                <w:rFonts w:hint="eastAsia" w:ascii="宋体" w:hAnsi="宋体" w:eastAsia="宋体" w:cs="宋体"/>
                <w:snapToGrid w:val="0"/>
                <w:color w:val="auto"/>
                <w:kern w:val="0"/>
                <w:sz w:val="21"/>
                <w:szCs w:val="21"/>
                <w:highlight w:val="none"/>
                <w:u w:val="single"/>
                <w:lang w:val="en-US" w:eastAsia="zh-CN"/>
              </w:rPr>
              <w:t>00</w:t>
            </w:r>
            <w:r>
              <w:rPr>
                <w:rFonts w:hint="eastAsia" w:ascii="宋体" w:hAnsi="宋体" w:eastAsia="宋体" w:cs="宋体"/>
                <w:snapToGrid w:val="0"/>
                <w:color w:val="auto"/>
                <w:kern w:val="0"/>
                <w:sz w:val="21"/>
                <w:szCs w:val="21"/>
                <w:highlight w:val="none"/>
              </w:rPr>
              <w:t>分</w:t>
            </w:r>
          </w:p>
        </w:tc>
      </w:tr>
      <w:tr w14:paraId="658339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50"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0E4B433C">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23CAE871">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投标保证缴</w:t>
            </w:r>
          </w:p>
          <w:p w14:paraId="22069B6D">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纳截止时间</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2E77641E">
            <w:pPr>
              <w:pStyle w:val="28"/>
              <w:wordWrap w:val="0"/>
              <w:adjustRightInd w:val="0"/>
              <w:snapToGrid w:val="0"/>
              <w:spacing w:line="360" w:lineRule="auto"/>
              <w:jc w:val="left"/>
              <w:rPr>
                <w:rFonts w:hint="eastAsia" w:ascii="宋体" w:hAnsi="宋体" w:eastAsia="宋体" w:cs="宋体"/>
                <w:snapToGrid w:val="0"/>
                <w:color w:val="auto"/>
                <w:kern w:val="0"/>
                <w:sz w:val="21"/>
                <w:szCs w:val="21"/>
                <w:highlight w:val="none"/>
                <w:u w:val="single"/>
              </w:rPr>
            </w:pPr>
            <w:r>
              <w:rPr>
                <w:rFonts w:hint="eastAsia" w:ascii="宋体" w:hAnsi="宋体" w:eastAsia="宋体" w:cs="宋体"/>
                <w:snapToGrid w:val="0"/>
                <w:color w:val="auto"/>
                <w:kern w:val="0"/>
                <w:sz w:val="21"/>
                <w:szCs w:val="21"/>
                <w:highlight w:val="none"/>
              </w:rPr>
              <w:t>投标保证金到账截止时间：</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29</w:t>
            </w:r>
            <w:r>
              <w:rPr>
                <w:rFonts w:hint="eastAsia" w:ascii="宋体" w:hAnsi="宋体" w:eastAsia="宋体" w:cs="宋体"/>
                <w:snapToGrid w:val="0"/>
                <w:color w:val="auto"/>
                <w:kern w:val="0"/>
                <w:sz w:val="21"/>
                <w:szCs w:val="21"/>
                <w:highlight w:val="none"/>
              </w:rPr>
              <w:t>日</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时</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分；</w:t>
            </w:r>
          </w:p>
          <w:p w14:paraId="114C8D79">
            <w:pPr>
              <w:pStyle w:val="28"/>
              <w:wordWrap w:val="0"/>
              <w:adjustRightInd w:val="0"/>
              <w:snapToGrid w:val="0"/>
              <w:spacing w:line="360" w:lineRule="auto"/>
              <w:jc w:val="left"/>
              <w:rPr>
                <w:rFonts w:hint="eastAsia" w:ascii="宋体" w:hAnsi="宋体" w:eastAsia="宋体" w:cs="宋体"/>
                <w:snapToGrid w:val="0"/>
                <w:color w:val="auto"/>
                <w:kern w:val="0"/>
                <w:sz w:val="21"/>
                <w:szCs w:val="21"/>
                <w:highlight w:val="none"/>
                <w:u w:val="single"/>
              </w:rPr>
            </w:pPr>
            <w:r>
              <w:rPr>
                <w:rFonts w:hint="eastAsia" w:ascii="宋体" w:hAnsi="宋体" w:eastAsia="宋体" w:cs="宋体"/>
                <w:snapToGrid w:val="0"/>
                <w:color w:val="auto"/>
                <w:kern w:val="0"/>
                <w:sz w:val="21"/>
                <w:szCs w:val="21"/>
                <w:highlight w:val="none"/>
              </w:rPr>
              <w:t>投标保证担保上传截止时间：</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29</w:t>
            </w:r>
            <w:r>
              <w:rPr>
                <w:rFonts w:hint="eastAsia" w:ascii="宋体" w:hAnsi="宋体" w:eastAsia="宋体" w:cs="宋体"/>
                <w:snapToGrid w:val="0"/>
                <w:color w:val="auto"/>
                <w:kern w:val="0"/>
                <w:sz w:val="21"/>
                <w:szCs w:val="21"/>
                <w:highlight w:val="none"/>
              </w:rPr>
              <w:t>日</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时</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分；</w:t>
            </w:r>
          </w:p>
          <w:p w14:paraId="6A854641">
            <w:pPr>
              <w:pStyle w:val="28"/>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投标保证保险投保截止时间：</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29</w:t>
            </w:r>
            <w:r>
              <w:rPr>
                <w:rFonts w:hint="eastAsia" w:ascii="宋体" w:hAnsi="宋体" w:eastAsia="宋体" w:cs="宋体"/>
                <w:snapToGrid w:val="0"/>
                <w:color w:val="auto"/>
                <w:kern w:val="0"/>
                <w:sz w:val="21"/>
                <w:szCs w:val="21"/>
                <w:highlight w:val="none"/>
              </w:rPr>
              <w:t>日</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时</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分；</w:t>
            </w:r>
          </w:p>
        </w:tc>
      </w:tr>
      <w:tr w14:paraId="48FB71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4"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648CC072">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170D637C">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电子投标</w:t>
            </w:r>
          </w:p>
          <w:p w14:paraId="142BC1A0">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截止时间 </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35953510">
            <w:pPr>
              <w:pStyle w:val="28"/>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日</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时</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分</w:t>
            </w:r>
          </w:p>
        </w:tc>
      </w:tr>
      <w:tr w14:paraId="69E3B3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0563A394">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0DDFCC43">
            <w:pPr>
              <w:pStyle w:val="14"/>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相关评审资料原件（如有）递交时间</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4E8670ED">
            <w:pPr>
              <w:pStyle w:val="28"/>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日</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时</w:t>
            </w:r>
            <w:r>
              <w:rPr>
                <w:rFonts w:hint="eastAsia" w:ascii="宋体" w:hAnsi="宋体" w:cs="宋体"/>
                <w:snapToGrid w:val="0"/>
                <w:color w:val="auto"/>
                <w:kern w:val="0"/>
                <w:sz w:val="21"/>
                <w:szCs w:val="21"/>
                <w:highlight w:val="none"/>
                <w:u w:val="single"/>
                <w:lang w:val="en-US" w:eastAsia="zh-CN"/>
              </w:rPr>
              <w:t>00</w:t>
            </w:r>
            <w:r>
              <w:rPr>
                <w:rFonts w:hint="eastAsia" w:ascii="宋体" w:hAnsi="宋体" w:eastAsia="宋体" w:cs="宋体"/>
                <w:snapToGrid w:val="0"/>
                <w:color w:val="auto"/>
                <w:kern w:val="0"/>
                <w:sz w:val="21"/>
                <w:szCs w:val="21"/>
                <w:highlight w:val="none"/>
              </w:rPr>
              <w:t>分至</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30</w:t>
            </w:r>
            <w:bookmarkStart w:id="281" w:name="_GoBack"/>
            <w:bookmarkEnd w:id="281"/>
            <w:r>
              <w:rPr>
                <w:rFonts w:hint="eastAsia" w:ascii="宋体" w:hAnsi="宋体" w:eastAsia="宋体" w:cs="宋体"/>
                <w:snapToGrid w:val="0"/>
                <w:color w:val="auto"/>
                <w:kern w:val="0"/>
                <w:sz w:val="21"/>
                <w:szCs w:val="21"/>
                <w:highlight w:val="none"/>
              </w:rPr>
              <w:t>日</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时</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分</w:t>
            </w:r>
          </w:p>
        </w:tc>
      </w:tr>
      <w:tr w14:paraId="30D898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43"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0791F4AA">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422AC1B2">
            <w:pPr>
              <w:pStyle w:val="14"/>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相关评审资料原件（如有）递交地点</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40144D00">
            <w:pPr>
              <w:pStyle w:val="14"/>
              <w:spacing w:before="0" w:beforeAutospacing="0" w:after="0" w:afterAutospacing="0"/>
              <w:ind w:left="0" w:leftChars="0" w:right="0" w:rightChars="0"/>
              <w:jc w:val="lef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递交场所：韶关市公共资源交易中心翁源分中心；</w:t>
            </w:r>
          </w:p>
          <w:p w14:paraId="2868D154">
            <w:pPr>
              <w:pStyle w:val="14"/>
              <w:spacing w:before="0" w:beforeAutospacing="0" w:after="0" w:afterAutospacing="0"/>
              <w:ind w:left="0" w:leftChars="0" w:right="0" w:rightChars="0"/>
              <w:jc w:val="lef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地址：翁源县龙仙镇朝阳路63号，具体递交场所以当日现场通知为准。</w:t>
            </w:r>
          </w:p>
        </w:tc>
      </w:tr>
      <w:tr w14:paraId="2FFFD5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5"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73716CA2">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03B99FE0">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开标时间 </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5D965399">
            <w:pPr>
              <w:pStyle w:val="28"/>
              <w:wordWrap w:val="0"/>
              <w:adjustRightInd w:val="0"/>
              <w:snapToGrid w:val="0"/>
              <w:spacing w:line="24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202</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日</w:t>
            </w:r>
            <w:r>
              <w:rPr>
                <w:rFonts w:hint="eastAsia" w:ascii="宋体" w:hAnsi="宋体" w:cs="宋体"/>
                <w:snapToGrid w:val="0"/>
                <w:color w:val="auto"/>
                <w:kern w:val="0"/>
                <w:sz w:val="21"/>
                <w:szCs w:val="21"/>
                <w:highlight w:val="none"/>
                <w:u w:val="single"/>
                <w:lang w:val="en-US" w:eastAsia="zh-CN"/>
              </w:rPr>
              <w:t>9</w:t>
            </w:r>
            <w:r>
              <w:rPr>
                <w:rFonts w:hint="eastAsia" w:ascii="宋体" w:hAnsi="宋体" w:eastAsia="宋体" w:cs="宋体"/>
                <w:snapToGrid w:val="0"/>
                <w:color w:val="auto"/>
                <w:kern w:val="0"/>
                <w:sz w:val="21"/>
                <w:szCs w:val="21"/>
                <w:highlight w:val="none"/>
              </w:rPr>
              <w:t>时</w:t>
            </w:r>
            <w:r>
              <w:rPr>
                <w:rFonts w:hint="eastAsia" w:ascii="宋体" w:hAnsi="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分</w:t>
            </w:r>
          </w:p>
        </w:tc>
      </w:tr>
      <w:tr w14:paraId="44497E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70" w:hRule="exact"/>
        </w:trPr>
        <w:tc>
          <w:tcPr>
            <w:tcW w:w="425" w:type="dxa"/>
            <w:tcBorders>
              <w:top w:val="single" w:color="080000" w:sz="4" w:space="0"/>
              <w:left w:val="single" w:color="080000" w:sz="4" w:space="0"/>
              <w:bottom w:val="single" w:color="080000" w:sz="4" w:space="0"/>
              <w:right w:val="single" w:color="080000" w:sz="4" w:space="0"/>
            </w:tcBorders>
            <w:noWrap w:val="0"/>
            <w:vAlign w:val="center"/>
          </w:tcPr>
          <w:p w14:paraId="2D0E7CF9">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1578" w:type="dxa"/>
            <w:tcBorders>
              <w:top w:val="single" w:color="080000" w:sz="4" w:space="0"/>
              <w:left w:val="single" w:color="080000" w:sz="4" w:space="0"/>
              <w:bottom w:val="single" w:color="080000" w:sz="4" w:space="0"/>
              <w:right w:val="single" w:color="080000" w:sz="4" w:space="0"/>
            </w:tcBorders>
            <w:noWrap w:val="0"/>
            <w:vAlign w:val="center"/>
          </w:tcPr>
          <w:p w14:paraId="5245B601">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开标地点 </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12220AA8">
            <w:pPr>
              <w:pStyle w:val="14"/>
              <w:spacing w:before="0" w:beforeAutospacing="0" w:after="0" w:afterAutospacing="0"/>
              <w:jc w:val="lef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开标场所：韶关市公共资源交易中心翁源分中心</w:t>
            </w:r>
            <w:r>
              <w:rPr>
                <w:rFonts w:hint="eastAsia" w:ascii="宋体" w:hAnsi="宋体" w:eastAsia="宋体" w:cs="宋体"/>
                <w:snapToGrid w:val="0"/>
                <w:color w:val="auto"/>
                <w:sz w:val="21"/>
                <w:szCs w:val="21"/>
                <w:highlight w:val="none"/>
                <w:lang w:eastAsia="zh-CN"/>
              </w:rPr>
              <w:t>；</w:t>
            </w:r>
          </w:p>
          <w:p w14:paraId="7F4AC9D6">
            <w:pPr>
              <w:pStyle w:val="14"/>
              <w:spacing w:before="0" w:beforeAutospacing="0" w:after="0" w:afterAutospacing="0"/>
              <w:jc w:val="lef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地址：翁源县龙仙镇朝阳路</w:t>
            </w:r>
            <w:r>
              <w:rPr>
                <w:rFonts w:hint="eastAsia" w:ascii="宋体" w:hAnsi="宋体" w:eastAsia="宋体" w:cs="宋体"/>
                <w:snapToGrid w:val="0"/>
                <w:color w:val="auto"/>
                <w:sz w:val="21"/>
                <w:szCs w:val="21"/>
                <w:highlight w:val="none"/>
                <w:lang w:val="en-US" w:eastAsia="zh-CN"/>
              </w:rPr>
              <w:t>63</w:t>
            </w:r>
            <w:r>
              <w:rPr>
                <w:rFonts w:hint="eastAsia" w:ascii="宋体" w:hAnsi="宋体" w:eastAsia="宋体" w:cs="宋体"/>
                <w:snapToGrid w:val="0"/>
                <w:color w:val="auto"/>
                <w:sz w:val="21"/>
                <w:szCs w:val="21"/>
                <w:highlight w:val="none"/>
              </w:rPr>
              <w:t>号，具体开标室以当日现场通知为准。</w:t>
            </w:r>
          </w:p>
        </w:tc>
      </w:tr>
      <w:tr w14:paraId="7F25D5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2" w:hRule="exact"/>
        </w:trPr>
        <w:tc>
          <w:tcPr>
            <w:tcW w:w="2003" w:type="dxa"/>
            <w:gridSpan w:val="2"/>
            <w:tcBorders>
              <w:top w:val="single" w:color="080000" w:sz="4" w:space="0"/>
              <w:left w:val="single" w:color="080000" w:sz="4" w:space="0"/>
              <w:bottom w:val="single" w:color="080000" w:sz="4" w:space="0"/>
              <w:right w:val="single" w:color="080000" w:sz="4" w:space="0"/>
            </w:tcBorders>
            <w:noWrap w:val="0"/>
            <w:vAlign w:val="center"/>
          </w:tcPr>
          <w:p w14:paraId="406A3C3D">
            <w:pPr>
              <w:pStyle w:val="28"/>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c>
          <w:tcPr>
            <w:tcW w:w="7776" w:type="dxa"/>
            <w:tcBorders>
              <w:top w:val="single" w:color="080000" w:sz="4" w:space="0"/>
              <w:left w:val="single" w:color="080000" w:sz="4" w:space="0"/>
              <w:bottom w:val="single" w:color="080000" w:sz="4" w:space="0"/>
              <w:right w:val="single" w:color="080000" w:sz="4" w:space="0"/>
            </w:tcBorders>
            <w:noWrap w:val="0"/>
            <w:vAlign w:val="center"/>
          </w:tcPr>
          <w:p w14:paraId="02ED6F42">
            <w:pPr>
              <w:pStyle w:val="28"/>
              <w:wordWrap w:val="0"/>
              <w:adjustRightInd w:val="0"/>
              <w:snapToGrid w:val="0"/>
              <w:spacing w:line="400" w:lineRule="exact"/>
              <w:ind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自行下载招标文件、资料文件及招标答疑书等。若由于投标人自身原因未能及时取得上述资料的，由此发生的任何责任由投标人自负。</w:t>
            </w:r>
          </w:p>
        </w:tc>
      </w:tr>
    </w:tbl>
    <w:p w14:paraId="52EF6030">
      <w:pPr>
        <w:tabs>
          <w:tab w:val="left" w:pos="8820"/>
        </w:tabs>
        <w:rPr>
          <w:rFonts w:hint="eastAsia" w:ascii="宋体" w:hAnsi="宋体" w:eastAsia="宋体" w:cs="宋体"/>
          <w:b w:val="0"/>
          <w:bCs w:val="0"/>
          <w:color w:val="auto"/>
          <w:sz w:val="24"/>
          <w:szCs w:val="24"/>
          <w:highlight w:val="none"/>
        </w:rPr>
        <w:sectPr>
          <w:headerReference r:id="rId4" w:type="default"/>
          <w:footerReference r:id="rId5" w:type="default"/>
          <w:pgSz w:w="11906" w:h="16839"/>
          <w:pgMar w:top="1440" w:right="1080" w:bottom="1440" w:left="1080" w:header="0" w:footer="1085" w:gutter="0"/>
          <w:pgBorders>
            <w:top w:val="none" w:sz="0" w:space="0"/>
            <w:left w:val="none" w:sz="0" w:space="0"/>
            <w:bottom w:val="none" w:sz="0" w:space="0"/>
            <w:right w:val="none" w:sz="0" w:space="0"/>
          </w:pgBorders>
          <w:pgNumType w:start="1"/>
          <w:cols w:space="720" w:num="1"/>
        </w:sectPr>
      </w:pPr>
    </w:p>
    <w:p w14:paraId="433C4EC2">
      <w:pPr>
        <w:jc w:val="center"/>
        <w:outlineLvl w:val="1"/>
        <w:rPr>
          <w:rFonts w:hint="eastAsia" w:ascii="宋体" w:hAnsi="宋体" w:eastAsia="宋体" w:cs="宋体"/>
          <w:color w:val="auto"/>
          <w:sz w:val="24"/>
          <w:szCs w:val="24"/>
          <w:highlight w:val="none"/>
        </w:rPr>
      </w:pPr>
      <w:bookmarkStart w:id="7" w:name="_Toc26480"/>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6"/>
        <w:spacing w:line="256" w:lineRule="auto"/>
        <w:rPr>
          <w:rFonts w:hint="eastAsia" w:ascii="宋体" w:hAnsi="宋体" w:eastAsia="宋体" w:cs="宋体"/>
          <w:color w:val="auto"/>
          <w:highlight w:val="none"/>
        </w:rPr>
      </w:pPr>
    </w:p>
    <w:p w14:paraId="6017DF82">
      <w:pPr>
        <w:pStyle w:val="6"/>
        <w:spacing w:line="257" w:lineRule="auto"/>
        <w:rPr>
          <w:rFonts w:hint="eastAsia" w:ascii="宋体" w:hAnsi="宋体" w:eastAsia="宋体" w:cs="宋体"/>
          <w:color w:val="auto"/>
          <w:highlight w:val="none"/>
        </w:rPr>
      </w:pPr>
    </w:p>
    <w:p w14:paraId="4B8F8667">
      <w:pPr>
        <w:keepNext w:val="0"/>
        <w:keepLines w:val="0"/>
        <w:pageBreakBefore w:val="0"/>
        <w:widowControl/>
        <w:suppressLineNumbers w:val="0"/>
        <w:kinsoku/>
        <w:wordWrap w:val="0"/>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napToGrid w:val="0"/>
          <w:color w:val="auto"/>
          <w:kern w:val="0"/>
          <w:sz w:val="21"/>
          <w:szCs w:val="21"/>
          <w:highlight w:val="none"/>
          <w:u w:val="none"/>
          <w:lang w:val="en-US" w:eastAsia="zh-CN"/>
        </w:rPr>
      </w:pPr>
      <w:bookmarkStart w:id="8" w:name="_Hlt109358474"/>
      <w:bookmarkEnd w:id="8"/>
      <w:bookmarkStart w:id="9" w:name="_Hlt87948285"/>
      <w:bookmarkEnd w:id="9"/>
      <w:bookmarkStart w:id="10" w:name="_Hlt74474735"/>
      <w:bookmarkEnd w:id="10"/>
      <w:bookmarkStart w:id="11" w:name="_Hlt78795222"/>
      <w:bookmarkEnd w:id="11"/>
      <w:bookmarkStart w:id="12" w:name="_Hlt119991399"/>
      <w:bookmarkEnd w:id="12"/>
      <w:r>
        <w:rPr>
          <w:rFonts w:hint="eastAsia" w:ascii="宋体" w:hAnsi="宋体" w:eastAsia="宋体" w:cs="宋体"/>
          <w:bCs/>
          <w:snapToGrid w:val="0"/>
          <w:color w:val="auto"/>
          <w:kern w:val="0"/>
          <w:sz w:val="21"/>
          <w:szCs w:val="21"/>
          <w:highlight w:val="none"/>
          <w:u w:val="single"/>
          <w:lang w:val="en-US" w:eastAsia="zh-CN"/>
        </w:rPr>
        <w:t>翁源县翁城镇路域整治及环境提升项目(翁源县翁城镇乡村振兴产业园路段沿线整治提升项目)</w:t>
      </w:r>
      <w:r>
        <w:rPr>
          <w:rFonts w:hint="eastAsia" w:ascii="宋体" w:hAnsi="宋体" w:eastAsia="宋体" w:cs="宋体"/>
          <w:snapToGrid w:val="0"/>
          <w:color w:val="auto"/>
          <w:kern w:val="0"/>
          <w:sz w:val="21"/>
          <w:szCs w:val="21"/>
          <w:highlight w:val="none"/>
          <w:u w:val="none"/>
          <w:lang w:val="en-US" w:eastAsia="zh-CN"/>
        </w:rPr>
        <w:t>经</w:t>
      </w:r>
      <w:r>
        <w:rPr>
          <w:rFonts w:hint="eastAsia" w:ascii="宋体" w:hAnsi="宋体" w:eastAsia="宋体" w:cs="宋体"/>
          <w:snapToGrid w:val="0"/>
          <w:color w:val="auto"/>
          <w:kern w:val="0"/>
          <w:sz w:val="21"/>
          <w:szCs w:val="21"/>
          <w:highlight w:val="none"/>
          <w:u w:val="single"/>
          <w:lang w:val="en-US" w:eastAsia="zh-CN"/>
        </w:rPr>
        <w:t>翁源县发展和改革局批准建设，由翁发改投审〔2026〕24号《翁源县发展和改革局关于翁源县翁城镇路域整治及环境提升项目可行性研究报告的批复》</w:t>
      </w:r>
      <w:r>
        <w:rPr>
          <w:rStyle w:val="26"/>
          <w:rFonts w:hint="eastAsia" w:ascii="宋体" w:hAnsi="宋体" w:eastAsia="宋体" w:cs="宋体"/>
          <w:b w:val="0"/>
          <w:bCs w:val="0"/>
          <w:color w:val="auto"/>
          <w:kern w:val="0"/>
          <w:sz w:val="21"/>
          <w:szCs w:val="21"/>
          <w:highlight w:val="none"/>
          <w:u w:val="single"/>
          <w:lang w:val="en-US" w:eastAsia="zh-CN"/>
        </w:rPr>
        <w:t>、</w:t>
      </w:r>
      <w:r>
        <w:rPr>
          <w:rFonts w:hint="eastAsia" w:ascii="宋体" w:hAnsi="宋体" w:eastAsia="宋体" w:cs="宋体"/>
          <w:snapToGrid w:val="0"/>
          <w:color w:val="auto"/>
          <w:kern w:val="0"/>
          <w:sz w:val="21"/>
          <w:szCs w:val="21"/>
          <w:highlight w:val="none"/>
          <w:u w:val="single"/>
          <w:lang w:val="en-US" w:eastAsia="zh-CN"/>
        </w:rPr>
        <w:t>翁发改投审〔2026〕43号《翁源县发展和改革局关于翁源县翁城镇路域整治及环境提升项目变更的复函》</w:t>
      </w:r>
      <w:r>
        <w:rPr>
          <w:rStyle w:val="26"/>
          <w:rFonts w:hint="eastAsia" w:ascii="宋体" w:hAnsi="宋体" w:eastAsia="宋体" w:cs="宋体"/>
          <w:b w:val="0"/>
          <w:bCs w:val="0"/>
          <w:color w:val="auto"/>
          <w:kern w:val="0"/>
          <w:sz w:val="21"/>
          <w:szCs w:val="21"/>
          <w:highlight w:val="none"/>
          <w:u w:val="single"/>
          <w:lang w:val="en-US" w:eastAsia="zh-CN"/>
        </w:rPr>
        <w:t>、翁发改投审〔2026〕49号《翁源县发展和改革局关于翁源县翁城镇路域整治及环境提升项目初步设计概算的批复》</w:t>
      </w:r>
      <w:r>
        <w:rPr>
          <w:rFonts w:hint="eastAsia" w:ascii="宋体" w:hAnsi="宋体" w:eastAsia="宋体" w:cs="宋体"/>
          <w:snapToGrid w:val="0"/>
          <w:color w:val="auto"/>
          <w:kern w:val="0"/>
          <w:sz w:val="21"/>
          <w:szCs w:val="21"/>
          <w:highlight w:val="none"/>
          <w:u w:val="single"/>
          <w:lang w:val="en-US" w:eastAsia="zh-CN"/>
        </w:rPr>
        <w:t>批准</w:t>
      </w:r>
      <w:r>
        <w:rPr>
          <w:rFonts w:hint="eastAsia" w:ascii="宋体" w:hAnsi="宋体" w:eastAsia="宋体" w:cs="宋体"/>
          <w:snapToGrid w:val="0"/>
          <w:color w:val="auto"/>
          <w:kern w:val="0"/>
          <w:sz w:val="21"/>
          <w:szCs w:val="21"/>
          <w:highlight w:val="none"/>
          <w:u w:val="none"/>
          <w:lang w:val="en-US" w:eastAsia="zh-CN"/>
        </w:rPr>
        <w:t>招标，项目代码为</w:t>
      </w:r>
      <w:r>
        <w:rPr>
          <w:rFonts w:hint="eastAsia" w:ascii="宋体" w:hAnsi="宋体" w:eastAsia="宋体" w:cs="宋体"/>
          <w:snapToGrid w:val="0"/>
          <w:color w:val="auto"/>
          <w:kern w:val="0"/>
          <w:sz w:val="21"/>
          <w:szCs w:val="21"/>
          <w:highlight w:val="none"/>
          <w:u w:val="single"/>
          <w:lang w:val="en-US" w:eastAsia="zh-CN"/>
        </w:rPr>
        <w:t>2510-440229-04-01-263175。</w:t>
      </w:r>
      <w:r>
        <w:rPr>
          <w:rFonts w:hint="eastAsia" w:ascii="宋体" w:hAnsi="宋体" w:eastAsia="宋体" w:cs="宋体"/>
          <w:snapToGrid w:val="0"/>
          <w:color w:val="auto"/>
          <w:kern w:val="0"/>
          <w:sz w:val="21"/>
          <w:szCs w:val="21"/>
          <w:highlight w:val="none"/>
          <w:u w:val="none"/>
          <w:lang w:val="en-US" w:eastAsia="zh-CN"/>
        </w:rPr>
        <w:t>本项目业主为</w:t>
      </w:r>
      <w:r>
        <w:rPr>
          <w:rFonts w:hint="eastAsia" w:ascii="宋体" w:hAnsi="宋体" w:eastAsia="宋体" w:cs="宋体"/>
          <w:snapToGrid w:val="0"/>
          <w:color w:val="auto"/>
          <w:kern w:val="0"/>
          <w:sz w:val="21"/>
          <w:szCs w:val="21"/>
          <w:highlight w:val="none"/>
          <w:u w:val="single"/>
          <w:lang w:val="en-US" w:eastAsia="zh-CN"/>
        </w:rPr>
        <w:t>翁源县翁城镇人民政府</w:t>
      </w:r>
      <w:r>
        <w:rPr>
          <w:rFonts w:hint="eastAsia" w:ascii="宋体" w:hAnsi="宋体" w:eastAsia="宋体" w:cs="宋体"/>
          <w:snapToGrid w:val="0"/>
          <w:color w:val="auto"/>
          <w:kern w:val="0"/>
          <w:sz w:val="21"/>
          <w:szCs w:val="21"/>
          <w:highlight w:val="none"/>
          <w:u w:val="none"/>
          <w:lang w:val="en-US" w:eastAsia="zh-CN"/>
        </w:rPr>
        <w:t>，建设资金为</w:t>
      </w:r>
      <w:r>
        <w:rPr>
          <w:rFonts w:hint="eastAsia" w:ascii="宋体" w:hAnsi="宋体" w:eastAsia="宋体" w:cs="宋体"/>
          <w:snapToGrid w:val="0"/>
          <w:color w:val="auto"/>
          <w:kern w:val="0"/>
          <w:sz w:val="21"/>
          <w:szCs w:val="21"/>
          <w:highlight w:val="none"/>
          <w:u w:val="single"/>
          <w:lang w:val="en-US" w:eastAsia="zh-CN"/>
        </w:rPr>
        <w:t>帮扶协作资金及小城市试点建设培育资金，不足部分由县级财政统筹解决，占比100%。</w:t>
      </w:r>
      <w:r>
        <w:rPr>
          <w:rFonts w:hint="eastAsia" w:ascii="宋体" w:hAnsi="宋体" w:eastAsia="宋体" w:cs="宋体"/>
          <w:snapToGrid w:val="0"/>
          <w:color w:val="auto"/>
          <w:kern w:val="0"/>
          <w:sz w:val="21"/>
          <w:szCs w:val="21"/>
          <w:highlight w:val="none"/>
          <w:u w:val="none"/>
          <w:lang w:val="en-US" w:eastAsia="zh-CN"/>
        </w:rPr>
        <w:t>招标人为</w:t>
      </w:r>
      <w:r>
        <w:rPr>
          <w:rFonts w:hint="eastAsia" w:ascii="宋体" w:hAnsi="宋体" w:eastAsia="宋体" w:cs="宋体"/>
          <w:snapToGrid w:val="0"/>
          <w:color w:val="auto"/>
          <w:kern w:val="0"/>
          <w:sz w:val="21"/>
          <w:szCs w:val="21"/>
          <w:highlight w:val="none"/>
          <w:u w:val="single"/>
          <w:lang w:val="en-US" w:eastAsia="zh-CN"/>
        </w:rPr>
        <w:t>翁源县翁城镇人民政府，</w:t>
      </w:r>
      <w:r>
        <w:rPr>
          <w:rFonts w:hint="eastAsia" w:ascii="宋体" w:hAnsi="宋体" w:eastAsia="宋体" w:cs="宋体"/>
          <w:snapToGrid w:val="0"/>
          <w:color w:val="auto"/>
          <w:kern w:val="0"/>
          <w:sz w:val="21"/>
          <w:szCs w:val="21"/>
          <w:highlight w:val="none"/>
          <w:u w:val="none"/>
          <w:lang w:val="en-US" w:eastAsia="zh-CN"/>
        </w:rPr>
        <w:t>招标代理机构为</w:t>
      </w:r>
      <w:r>
        <w:rPr>
          <w:rFonts w:hint="eastAsia" w:ascii="宋体" w:hAnsi="宋体" w:eastAsia="宋体" w:cs="宋体"/>
          <w:snapToGrid w:val="0"/>
          <w:color w:val="auto"/>
          <w:kern w:val="0"/>
          <w:sz w:val="21"/>
          <w:szCs w:val="21"/>
          <w:highlight w:val="none"/>
          <w:u w:val="single"/>
          <w:lang w:val="en-US" w:eastAsia="zh-CN"/>
        </w:rPr>
        <w:t>中轩项目管理有限公司。</w:t>
      </w:r>
      <w:r>
        <w:rPr>
          <w:rFonts w:hint="eastAsia" w:ascii="宋体" w:hAnsi="宋体" w:eastAsia="宋体" w:cs="宋体"/>
          <w:snapToGrid w:val="0"/>
          <w:color w:val="auto"/>
          <w:kern w:val="0"/>
          <w:sz w:val="21"/>
          <w:szCs w:val="21"/>
          <w:highlight w:val="none"/>
          <w:u w:val="none"/>
          <w:lang w:val="en-US" w:eastAsia="zh-CN"/>
        </w:rPr>
        <w:t>项目已具备招标条件，现对该项目的</w:t>
      </w:r>
      <w:r>
        <w:rPr>
          <w:rFonts w:hint="eastAsia" w:ascii="宋体" w:hAnsi="宋体" w:eastAsia="宋体" w:cs="宋体"/>
          <w:snapToGrid w:val="0"/>
          <w:color w:val="auto"/>
          <w:kern w:val="0"/>
          <w:sz w:val="21"/>
          <w:szCs w:val="21"/>
          <w:highlight w:val="none"/>
          <w:u w:val="single"/>
          <w:lang w:val="en-US" w:eastAsia="zh-CN"/>
        </w:rPr>
        <w:t>施工</w:t>
      </w:r>
      <w:r>
        <w:rPr>
          <w:rFonts w:hint="eastAsia" w:ascii="宋体" w:hAnsi="宋体" w:eastAsia="宋体" w:cs="宋体"/>
          <w:snapToGrid w:val="0"/>
          <w:color w:val="auto"/>
          <w:kern w:val="0"/>
          <w:sz w:val="21"/>
          <w:szCs w:val="21"/>
          <w:highlight w:val="none"/>
          <w:u w:val="none"/>
          <w:lang w:val="en-US" w:eastAsia="zh-CN"/>
        </w:rPr>
        <w:t>进行公开招标。</w:t>
      </w:r>
    </w:p>
    <w:p w14:paraId="58CD94D9">
      <w:pPr>
        <w:spacing w:before="78" w:line="360" w:lineRule="auto"/>
        <w:ind w:left="496"/>
        <w:outlineLvl w:val="2"/>
        <w:rPr>
          <w:rFonts w:hint="eastAsia" w:ascii="宋体" w:hAnsi="宋体" w:eastAsia="宋体" w:cs="宋体"/>
          <w:color w:val="auto"/>
          <w:sz w:val="21"/>
          <w:szCs w:val="21"/>
          <w:highlight w:val="none"/>
        </w:rPr>
      </w:pPr>
      <w:bookmarkStart w:id="13" w:name="bookmark52"/>
      <w:bookmarkEnd w:id="13"/>
      <w:bookmarkStart w:id="14" w:name="bookmark59"/>
      <w:bookmarkEnd w:id="14"/>
      <w:bookmarkStart w:id="15" w:name="bookmark73"/>
      <w:bookmarkEnd w:id="15"/>
      <w:bookmarkStart w:id="16" w:name="_Toc15993"/>
      <w:bookmarkStart w:id="17" w:name="_Toc10857"/>
      <w:r>
        <w:rPr>
          <w:rFonts w:hint="eastAsia" w:ascii="宋体" w:hAnsi="宋体" w:eastAsia="宋体" w:cs="宋体"/>
          <w:b/>
          <w:bCs/>
          <w:color w:val="auto"/>
          <w:spacing w:val="-4"/>
          <w:sz w:val="21"/>
          <w:szCs w:val="21"/>
          <w:highlight w:val="none"/>
        </w:rPr>
        <w:t>1</w:t>
      </w:r>
      <w:r>
        <w:rPr>
          <w:rFonts w:hint="eastAsia" w:ascii="宋体" w:hAnsi="宋体" w:eastAsia="宋体" w:cs="宋体"/>
          <w:b/>
          <w:bCs/>
          <w:color w:val="auto"/>
          <w:spacing w:val="-23"/>
          <w:sz w:val="21"/>
          <w:szCs w:val="21"/>
          <w:highlight w:val="none"/>
        </w:rPr>
        <w:t xml:space="preserve"> </w:t>
      </w:r>
      <w:r>
        <w:rPr>
          <w:rFonts w:hint="eastAsia" w:ascii="宋体" w:hAnsi="宋体" w:eastAsia="宋体" w:cs="宋体"/>
          <w:b/>
          <w:bCs/>
          <w:color w:val="auto"/>
          <w:spacing w:val="-4"/>
          <w:sz w:val="21"/>
          <w:szCs w:val="21"/>
          <w:highlight w:val="none"/>
        </w:rPr>
        <w:t>．项目概况、招标范围和标段划分、投标费用等</w:t>
      </w:r>
      <w:bookmarkEnd w:id="16"/>
      <w:bookmarkEnd w:id="17"/>
    </w:p>
    <w:p w14:paraId="37B86162">
      <w:pPr>
        <w:spacing w:before="153" w:line="360"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1.1</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color w:val="auto"/>
          <w:spacing w:val="-5"/>
          <w:sz w:val="21"/>
          <w:szCs w:val="21"/>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1"/>
          <w:szCs w:val="21"/>
          <w:highlight w:val="none"/>
          <w:u w:val="single"/>
          <w:lang w:val="en-US" w:eastAsia="zh-CN"/>
        </w:rPr>
      </w:pPr>
      <w:r>
        <w:rPr>
          <w:rFonts w:hint="eastAsia" w:ascii="宋体" w:hAnsi="宋体" w:eastAsia="宋体" w:cs="宋体"/>
          <w:b/>
          <w:bCs/>
          <w:color w:val="auto"/>
          <w:spacing w:val="-2"/>
          <w:sz w:val="21"/>
          <w:szCs w:val="21"/>
          <w:highlight w:val="none"/>
        </w:rPr>
        <w:t xml:space="preserve">1.1.1  </w:t>
      </w:r>
      <w:r>
        <w:rPr>
          <w:rFonts w:hint="eastAsia" w:ascii="宋体" w:hAnsi="宋体" w:eastAsia="宋体" w:cs="宋体"/>
          <w:color w:val="auto"/>
          <w:spacing w:val="-2"/>
          <w:sz w:val="21"/>
          <w:szCs w:val="21"/>
          <w:highlight w:val="none"/>
        </w:rPr>
        <w:t>建设地点：</w:t>
      </w:r>
      <w:r>
        <w:rPr>
          <w:rFonts w:hint="eastAsia" w:ascii="宋体" w:hAnsi="宋体" w:eastAsia="宋体" w:cs="宋体"/>
          <w:snapToGrid w:val="0"/>
          <w:color w:val="auto"/>
          <w:kern w:val="0"/>
          <w:sz w:val="21"/>
          <w:szCs w:val="21"/>
          <w:highlight w:val="none"/>
          <w:lang w:val="en-US" w:eastAsia="zh-CN"/>
        </w:rPr>
        <w:t>韶关市</w:t>
      </w:r>
      <w:r>
        <w:rPr>
          <w:rFonts w:hint="eastAsia" w:ascii="宋体" w:hAnsi="宋体" w:eastAsia="宋体" w:cs="宋体"/>
          <w:color w:val="auto"/>
          <w:spacing w:val="-2"/>
          <w:sz w:val="21"/>
          <w:szCs w:val="21"/>
          <w:highlight w:val="none"/>
          <w:u w:val="single"/>
        </w:rPr>
        <w:t>翁源县翁城镇</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1"/>
          <w:szCs w:val="21"/>
          <w:highlight w:val="none"/>
          <w:u w:val="single"/>
          <w:lang w:val="en-US" w:eastAsia="zh-CN"/>
        </w:rPr>
      </w:pPr>
      <w:r>
        <w:rPr>
          <w:rFonts w:hint="eastAsia" w:ascii="宋体" w:hAnsi="宋体" w:eastAsia="宋体" w:cs="宋体"/>
          <w:b/>
          <w:bCs/>
          <w:color w:val="auto"/>
          <w:spacing w:val="-2"/>
          <w:sz w:val="21"/>
          <w:szCs w:val="21"/>
          <w:highlight w:val="none"/>
        </w:rPr>
        <w:t xml:space="preserve">1.1.2  </w:t>
      </w:r>
      <w:r>
        <w:rPr>
          <w:rFonts w:hint="eastAsia" w:ascii="宋体" w:hAnsi="宋体" w:eastAsia="宋体" w:cs="宋体"/>
          <w:color w:val="auto"/>
          <w:spacing w:val="-2"/>
          <w:sz w:val="21"/>
          <w:szCs w:val="21"/>
          <w:highlight w:val="none"/>
        </w:rPr>
        <w:t>建设内容和规模：</w:t>
      </w:r>
      <w:r>
        <w:rPr>
          <w:rFonts w:hint="eastAsia" w:ascii="宋体" w:hAnsi="宋体" w:eastAsia="宋体" w:cs="宋体"/>
          <w:color w:val="auto"/>
          <w:spacing w:val="-2"/>
          <w:sz w:val="21"/>
          <w:szCs w:val="21"/>
          <w:highlight w:val="none"/>
          <w:u w:val="single"/>
          <w:lang w:eastAsia="zh-CN"/>
        </w:rPr>
        <w:t>新建混凝土路面与花岗岩人行道、栽植乔木204株，同步进行外立面真石漆改造、树脂瓦屋面及招牌建设</w:t>
      </w:r>
      <w:r>
        <w:rPr>
          <w:rFonts w:hint="eastAsia" w:ascii="宋体" w:hAnsi="宋体" w:eastAsia="宋体" w:cs="宋体"/>
          <w:color w:val="auto"/>
          <w:spacing w:val="-2"/>
          <w:sz w:val="21"/>
          <w:szCs w:val="21"/>
          <w:highlight w:val="none"/>
          <w:u w:val="single"/>
          <w:lang w:val="en-US" w:eastAsia="zh-CN"/>
        </w:rPr>
        <w:t>。</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1"/>
          <w:szCs w:val="21"/>
          <w:highlight w:val="none"/>
          <w:u w:val="single"/>
          <w:lang w:val="en-US" w:eastAsia="zh-CN"/>
        </w:rPr>
      </w:pPr>
      <w:r>
        <w:rPr>
          <w:rFonts w:hint="eastAsia" w:ascii="宋体" w:hAnsi="宋体" w:eastAsia="宋体" w:cs="宋体"/>
          <w:b/>
          <w:bCs/>
          <w:color w:val="auto"/>
          <w:spacing w:val="-2"/>
          <w:sz w:val="21"/>
          <w:szCs w:val="21"/>
          <w:highlight w:val="none"/>
        </w:rPr>
        <w:t xml:space="preserve">1.1.3  </w:t>
      </w:r>
      <w:r>
        <w:rPr>
          <w:rFonts w:hint="eastAsia" w:ascii="宋体" w:hAnsi="宋体" w:eastAsia="宋体" w:cs="宋体"/>
          <w:color w:val="auto"/>
          <w:spacing w:val="-2"/>
          <w:sz w:val="21"/>
          <w:szCs w:val="21"/>
          <w:highlight w:val="none"/>
        </w:rPr>
        <w:t>项目总投资</w:t>
      </w:r>
      <w:r>
        <w:rPr>
          <w:rStyle w:val="26"/>
          <w:rFonts w:hint="eastAsia" w:ascii="宋体" w:hAnsi="宋体" w:eastAsia="宋体" w:cs="宋体"/>
          <w:color w:val="auto"/>
          <w:kern w:val="0"/>
          <w:sz w:val="21"/>
          <w:szCs w:val="21"/>
          <w:highlight w:val="none"/>
        </w:rPr>
        <w:t>：</w:t>
      </w:r>
      <w:r>
        <w:rPr>
          <w:rStyle w:val="26"/>
          <w:rFonts w:hint="eastAsia" w:ascii="宋体" w:hAnsi="宋体" w:eastAsia="宋体" w:cs="宋体"/>
          <w:color w:val="auto"/>
          <w:kern w:val="0"/>
          <w:sz w:val="21"/>
          <w:szCs w:val="21"/>
          <w:highlight w:val="none"/>
          <w:u w:val="single"/>
        </w:rPr>
        <w:t>项目</w:t>
      </w:r>
      <w:r>
        <w:rPr>
          <w:rStyle w:val="26"/>
          <w:rFonts w:hint="eastAsia" w:ascii="宋体" w:hAnsi="宋体" w:eastAsia="宋体" w:cs="宋体"/>
          <w:color w:val="auto"/>
          <w:kern w:val="0"/>
          <w:sz w:val="21"/>
          <w:szCs w:val="21"/>
          <w:highlight w:val="none"/>
          <w:u w:val="single"/>
          <w:lang w:val="en-US" w:eastAsia="zh-CN"/>
        </w:rPr>
        <w:t>总</w:t>
      </w:r>
      <w:r>
        <w:rPr>
          <w:rStyle w:val="26"/>
          <w:rFonts w:hint="eastAsia" w:ascii="宋体" w:hAnsi="宋体" w:eastAsia="宋体" w:cs="宋体"/>
          <w:color w:val="auto"/>
          <w:kern w:val="0"/>
          <w:sz w:val="21"/>
          <w:szCs w:val="21"/>
          <w:highlight w:val="none"/>
          <w:u w:val="single"/>
        </w:rPr>
        <w:t>投资</w:t>
      </w:r>
      <w:r>
        <w:rPr>
          <w:rStyle w:val="26"/>
          <w:rFonts w:hint="eastAsia" w:ascii="宋体" w:hAnsi="宋体" w:eastAsia="宋体" w:cs="宋体"/>
          <w:color w:val="auto"/>
          <w:kern w:val="0"/>
          <w:sz w:val="21"/>
          <w:szCs w:val="21"/>
          <w:highlight w:val="none"/>
          <w:u w:val="single"/>
          <w:lang w:val="en-US" w:eastAsia="zh-CN"/>
        </w:rPr>
        <w:t>约587.17万元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1"/>
          <w:szCs w:val="21"/>
          <w:highlight w:val="none"/>
          <w:u w:val="single"/>
          <w:lang w:val="en-US" w:eastAsia="zh-CN"/>
        </w:rPr>
      </w:pPr>
      <w:r>
        <w:rPr>
          <w:rFonts w:hint="eastAsia" w:ascii="宋体" w:hAnsi="宋体" w:eastAsia="宋体" w:cs="宋体"/>
          <w:b/>
          <w:bCs/>
          <w:color w:val="auto"/>
          <w:sz w:val="21"/>
          <w:szCs w:val="21"/>
          <w:highlight w:val="none"/>
          <w:u w:val="none"/>
          <w:lang w:val="en-US" w:eastAsia="zh-CN"/>
        </w:rPr>
        <w:t>1</w:t>
      </w:r>
      <w:r>
        <w:rPr>
          <w:rFonts w:hint="eastAsia" w:ascii="宋体" w:hAnsi="宋体" w:eastAsia="宋体" w:cs="宋体"/>
          <w:b/>
          <w:bCs/>
          <w:color w:val="auto"/>
          <w:spacing w:val="-2"/>
          <w:sz w:val="21"/>
          <w:szCs w:val="21"/>
          <w:highlight w:val="none"/>
          <w:u w:val="none"/>
          <w:lang w:val="en-US" w:eastAsia="zh-CN"/>
        </w:rPr>
        <w:t xml:space="preserve">.2 </w:t>
      </w:r>
      <w:r>
        <w:rPr>
          <w:rFonts w:hint="eastAsia" w:ascii="宋体" w:hAnsi="宋体" w:eastAsia="宋体" w:cs="宋体"/>
          <w:color w:val="auto"/>
          <w:sz w:val="21"/>
          <w:szCs w:val="21"/>
          <w:highlight w:val="none"/>
          <w:u w:val="non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2"/>
          <w:sz w:val="21"/>
          <w:szCs w:val="21"/>
          <w:highlight w:val="none"/>
        </w:rPr>
        <w:t xml:space="preserve">1.2.1  </w:t>
      </w:r>
      <w:r>
        <w:rPr>
          <w:rFonts w:hint="eastAsia" w:ascii="宋体" w:hAnsi="宋体" w:eastAsia="宋体" w:cs="宋体"/>
          <w:color w:val="auto"/>
          <w:spacing w:val="-2"/>
          <w:sz w:val="21"/>
          <w:szCs w:val="21"/>
          <w:highlight w:val="none"/>
        </w:rPr>
        <w:t>招标范围：</w:t>
      </w:r>
      <w:r>
        <w:rPr>
          <w:rFonts w:hint="eastAsia" w:ascii="宋体" w:hAnsi="宋体" w:eastAsia="宋体" w:cs="宋体"/>
          <w:color w:val="auto"/>
          <w:spacing w:val="-1"/>
          <w:sz w:val="21"/>
          <w:szCs w:val="21"/>
          <w:highlight w:val="none"/>
        </w:rPr>
        <w:t>按审查合格的施工图纸及工程量清单内容施工</w:t>
      </w:r>
      <w:r>
        <w:rPr>
          <w:rFonts w:hint="eastAsia" w:ascii="宋体" w:hAnsi="宋体" w:eastAsia="宋体" w:cs="宋体"/>
          <w:color w:val="auto"/>
          <w:spacing w:val="-1"/>
          <w:sz w:val="21"/>
          <w:szCs w:val="21"/>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1"/>
          <w:szCs w:val="21"/>
          <w:highlight w:val="none"/>
        </w:rPr>
      </w:pPr>
      <w:bookmarkStart w:id="18" w:name="_Toc24593"/>
      <w:bookmarkStart w:id="19" w:name="_Toc28202"/>
      <w:bookmarkStart w:id="20" w:name="_Toc14190"/>
      <w:bookmarkStart w:id="21" w:name="_Toc20855"/>
      <w:r>
        <w:rPr>
          <w:rFonts w:hint="eastAsia" w:ascii="宋体" w:hAnsi="宋体" w:eastAsia="宋体" w:cs="宋体"/>
          <w:b/>
          <w:bCs/>
          <w:color w:val="auto"/>
          <w:spacing w:val="-2"/>
          <w:sz w:val="21"/>
          <w:szCs w:val="21"/>
          <w:highlight w:val="none"/>
        </w:rPr>
        <w:t xml:space="preserve">1.2.2  </w:t>
      </w:r>
      <w:r>
        <w:rPr>
          <w:rFonts w:hint="eastAsia" w:ascii="宋体" w:hAnsi="宋体" w:eastAsia="宋体" w:cs="宋体"/>
          <w:color w:val="auto"/>
          <w:spacing w:val="-2"/>
          <w:sz w:val="21"/>
          <w:szCs w:val="21"/>
          <w:highlight w:val="none"/>
        </w:rPr>
        <w:t>标段划分：本招标项目不划分标段。</w:t>
      </w:r>
      <w:bookmarkEnd w:id="18"/>
      <w:bookmarkEnd w:id="19"/>
      <w:bookmarkEnd w:id="20"/>
      <w:bookmarkEnd w:id="21"/>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1.3  </w:t>
      </w:r>
      <w:r>
        <w:rPr>
          <w:rFonts w:hint="eastAsia" w:ascii="宋体" w:hAnsi="宋体" w:eastAsia="宋体" w:cs="宋体"/>
          <w:color w:val="auto"/>
          <w:spacing w:val="-1"/>
          <w:sz w:val="21"/>
          <w:szCs w:val="21"/>
          <w:highlight w:val="none"/>
        </w:rPr>
        <w:t>投标费用：投标人应承担所有准备和参加投标的相关费用，不</w:t>
      </w:r>
      <w:r>
        <w:rPr>
          <w:rFonts w:hint="eastAsia" w:ascii="宋体" w:hAnsi="宋体" w:eastAsia="宋体" w:cs="宋体"/>
          <w:color w:val="auto"/>
          <w:spacing w:val="-2"/>
          <w:sz w:val="21"/>
          <w:szCs w:val="21"/>
          <w:highlight w:val="none"/>
        </w:rPr>
        <w:t>论投标结果如</w:t>
      </w:r>
      <w:r>
        <w:rPr>
          <w:rFonts w:hint="eastAsia" w:ascii="宋体" w:hAnsi="宋体" w:eastAsia="宋体" w:cs="宋体"/>
          <w:color w:val="auto"/>
          <w:spacing w:val="-1"/>
          <w:sz w:val="21"/>
          <w:szCs w:val="21"/>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 xml:space="preserve">1.4  </w:t>
      </w:r>
      <w:r>
        <w:rPr>
          <w:rFonts w:hint="eastAsia" w:ascii="宋体" w:hAnsi="宋体" w:eastAsia="宋体" w:cs="宋体"/>
          <w:color w:val="auto"/>
          <w:spacing w:val="-6"/>
          <w:sz w:val="21"/>
          <w:szCs w:val="21"/>
          <w:highlight w:val="none"/>
        </w:rPr>
        <w:t>招标代理费用：</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82"/>
          <w:sz w:val="21"/>
          <w:szCs w:val="21"/>
          <w:highlight w:val="none"/>
          <w:shd w:val="clear" w:color="auto" w:fill="FFFFFF"/>
        </w:rPr>
        <w:t xml:space="preserve"> </w:t>
      </w:r>
      <w:r>
        <w:rPr>
          <w:rFonts w:hint="eastAsia" w:ascii="宋体" w:hAnsi="宋体" w:eastAsia="宋体" w:cs="宋体"/>
          <w:color w:val="auto"/>
          <w:spacing w:val="-6"/>
          <w:sz w:val="21"/>
          <w:szCs w:val="21"/>
          <w:highlight w:val="none"/>
          <w:shd w:val="clear" w:color="auto" w:fill="FFFFFF"/>
        </w:rPr>
        <w:t>由</w:t>
      </w:r>
      <w:r>
        <w:rPr>
          <w:rFonts w:hint="eastAsia" w:ascii="宋体" w:hAnsi="宋体" w:eastAsia="宋体" w:cs="宋体"/>
          <w:color w:val="auto"/>
          <w:spacing w:val="6"/>
          <w:sz w:val="21"/>
          <w:szCs w:val="21"/>
          <w:highlight w:val="none"/>
        </w:rPr>
        <w:t>项目业主</w:t>
      </w:r>
      <w:r>
        <w:rPr>
          <w:rFonts w:hint="eastAsia" w:ascii="宋体" w:hAnsi="宋体" w:eastAsia="宋体" w:cs="宋体"/>
          <w:color w:val="auto"/>
          <w:spacing w:val="-6"/>
          <w:sz w:val="21"/>
          <w:szCs w:val="21"/>
          <w:highlight w:val="none"/>
          <w:shd w:val="clear" w:color="auto" w:fill="FFFFFF"/>
        </w:rPr>
        <w:t>支</w:t>
      </w:r>
      <w:r>
        <w:rPr>
          <w:rFonts w:hint="eastAsia" w:ascii="宋体" w:hAnsi="宋体" w:eastAsia="宋体" w:cs="宋体"/>
          <w:color w:val="auto"/>
          <w:spacing w:val="-6"/>
          <w:sz w:val="21"/>
          <w:szCs w:val="21"/>
          <w:highlight w:val="none"/>
        </w:rPr>
        <w:t>付</w:t>
      </w:r>
      <w:r>
        <w:rPr>
          <w:rFonts w:hint="eastAsia" w:ascii="宋体" w:hAnsi="宋体" w:eastAsia="宋体" w:cs="宋体"/>
          <w:color w:val="auto"/>
          <w:position w:val="-6"/>
          <w:sz w:val="21"/>
          <w:szCs w:val="21"/>
          <w:highlight w:val="none"/>
          <w:shd w:val="clear" w:color="auto" w:fill="FFFFFF"/>
          <w:lang w:eastAsia="zh-CN"/>
        </w:rPr>
        <w:t xml:space="preserve"> </w:t>
      </w:r>
      <w:r>
        <w:rPr>
          <w:rFonts w:hint="eastAsia" w:ascii="宋体" w:hAnsi="宋体" w:eastAsia="宋体" w:cs="宋体"/>
          <w:color w:val="auto"/>
          <w:spacing w:val="-6"/>
          <w:sz w:val="21"/>
          <w:szCs w:val="21"/>
          <w:highlight w:val="none"/>
          <w:shd w:val="clear" w:color="auto" w:fill="FFFFFF"/>
          <w:lang w:eastAsia="zh-CN"/>
        </w:rPr>
        <w:t>☑</w:t>
      </w:r>
      <w:r>
        <w:rPr>
          <w:rFonts w:hint="eastAsia" w:ascii="宋体" w:hAnsi="宋体" w:eastAsia="宋体" w:cs="宋体"/>
          <w:color w:val="auto"/>
          <w:spacing w:val="-81"/>
          <w:sz w:val="21"/>
          <w:szCs w:val="21"/>
          <w:highlight w:val="none"/>
          <w:shd w:val="clear" w:color="auto" w:fill="FFFFFF"/>
        </w:rPr>
        <w:t xml:space="preserve"> </w:t>
      </w:r>
      <w:r>
        <w:rPr>
          <w:rFonts w:hint="eastAsia" w:ascii="宋体" w:hAnsi="宋体" w:eastAsia="宋体" w:cs="宋体"/>
          <w:color w:val="auto"/>
          <w:spacing w:val="-6"/>
          <w:sz w:val="21"/>
          <w:szCs w:val="21"/>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2" w:firstLineChars="200"/>
        <w:jc w:val="left"/>
        <w:textAlignment w:val="baseline"/>
        <w:outlineLvl w:val="2"/>
        <w:rPr>
          <w:rFonts w:hint="eastAsia" w:ascii="宋体" w:hAnsi="宋体" w:eastAsia="宋体" w:cs="宋体"/>
          <w:b w:val="0"/>
          <w:bCs w:val="0"/>
          <w:color w:val="auto"/>
          <w:sz w:val="21"/>
          <w:szCs w:val="21"/>
          <w:highlight w:val="none"/>
        </w:rPr>
      </w:pPr>
      <w:bookmarkStart w:id="22" w:name="_Toc26576"/>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eastAsia="zh-CN"/>
        </w:rPr>
        <w:t>投标人</w:t>
      </w:r>
      <w:r>
        <w:rPr>
          <w:rFonts w:hint="eastAsia" w:ascii="宋体" w:hAnsi="宋体" w:eastAsia="宋体" w:cs="宋体"/>
          <w:b w:val="0"/>
          <w:bCs w:val="0"/>
          <w:color w:val="auto"/>
          <w:sz w:val="21"/>
          <w:szCs w:val="21"/>
          <w:highlight w:val="none"/>
        </w:rPr>
        <w:t>资质要求</w:t>
      </w:r>
      <w:bookmarkEnd w:id="22"/>
    </w:p>
    <w:p w14:paraId="2EDBA95A">
      <w:pPr>
        <w:wordWrap w:val="0"/>
        <w:adjustRightInd w:val="0"/>
        <w:snapToGrid w:val="0"/>
        <w:spacing w:line="360" w:lineRule="auto"/>
        <w:ind w:firstLine="422" w:firstLineChars="200"/>
        <w:rPr>
          <w:rFonts w:hint="eastAsia" w:ascii="宋体" w:hAnsi="宋体" w:eastAsia="宋体" w:cs="宋体"/>
          <w:color w:val="auto"/>
          <w:sz w:val="21"/>
          <w:szCs w:val="21"/>
          <w:highlight w:val="none"/>
        </w:rPr>
      </w:pPr>
      <w:r>
        <w:rPr>
          <w:rStyle w:val="26"/>
          <w:rFonts w:hint="eastAsia" w:ascii="宋体" w:hAnsi="宋体" w:eastAsia="宋体" w:cs="宋体"/>
          <w:b/>
          <w:bCs/>
          <w:color w:val="auto"/>
          <w:kern w:val="0"/>
          <w:sz w:val="21"/>
          <w:szCs w:val="21"/>
          <w:highlight w:val="none"/>
          <w:lang w:val="en-US" w:eastAsia="zh-CN"/>
        </w:rPr>
        <w:t>2.1</w:t>
      </w:r>
      <w:r>
        <w:rPr>
          <w:rStyle w:val="26"/>
          <w:rFonts w:hint="eastAsia" w:ascii="宋体" w:hAnsi="宋体" w:eastAsia="宋体" w:cs="宋体"/>
          <w:b w:val="0"/>
          <w:bCs w:val="0"/>
          <w:color w:val="auto"/>
          <w:kern w:val="0"/>
          <w:sz w:val="21"/>
          <w:szCs w:val="21"/>
          <w:highlight w:val="none"/>
          <w:lang w:val="en-US" w:eastAsia="zh-CN"/>
        </w:rPr>
        <w:t xml:space="preserve"> </w:t>
      </w:r>
      <w:r>
        <w:rPr>
          <w:rFonts w:hint="eastAsia" w:ascii="宋体" w:hAnsi="宋体" w:eastAsia="宋体" w:cs="宋体"/>
          <w:color w:val="auto"/>
          <w:sz w:val="21"/>
          <w:szCs w:val="21"/>
          <w:highlight w:val="none"/>
        </w:rPr>
        <w:t>本次招标</w:t>
      </w:r>
      <w:r>
        <w:rPr>
          <w:rFonts w:hint="eastAsia" w:ascii="宋体" w:hAnsi="宋体" w:eastAsia="宋体" w:cs="宋体"/>
          <w:color w:val="auto"/>
          <w:sz w:val="21"/>
          <w:szCs w:val="21"/>
          <w:highlight w:val="none"/>
          <w:u w:val="single"/>
        </w:rPr>
        <w:t>接受</w:t>
      </w:r>
      <w:r>
        <w:rPr>
          <w:rFonts w:hint="eastAsia" w:ascii="宋体" w:hAnsi="宋体" w:eastAsia="宋体" w:cs="宋体"/>
          <w:color w:val="auto"/>
          <w:sz w:val="21"/>
          <w:szCs w:val="21"/>
          <w:highlight w:val="none"/>
        </w:rPr>
        <w:t>联合体投标，联合体以一个投标人的身份共同投标。</w:t>
      </w:r>
    </w:p>
    <w:p w14:paraId="6950B4A6">
      <w:pPr>
        <w:wordWrap w:val="0"/>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 xml:space="preserve">1.1 </w:t>
      </w:r>
      <w:r>
        <w:rPr>
          <w:rFonts w:hint="eastAsia" w:ascii="宋体" w:hAnsi="宋体" w:eastAsia="宋体" w:cs="宋体"/>
          <w:color w:val="auto"/>
          <w:sz w:val="21"/>
          <w:szCs w:val="21"/>
          <w:highlight w:val="none"/>
        </w:rPr>
        <w:t>联合体成员数量不超过2个。</w:t>
      </w:r>
    </w:p>
    <w:p w14:paraId="17D26289">
      <w:pPr>
        <w:wordWrap w:val="0"/>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 xml:space="preserve">1.2 </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23060124">
      <w:pPr>
        <w:wordWrap w:val="0"/>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 xml:space="preserve">1.3 </w:t>
      </w:r>
      <w:r>
        <w:rPr>
          <w:rFonts w:hint="eastAsia" w:ascii="宋体" w:hAnsi="宋体" w:eastAsia="宋体" w:cs="宋体"/>
          <w:color w:val="auto"/>
          <w:sz w:val="21"/>
          <w:szCs w:val="21"/>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6822DD32">
      <w:pPr>
        <w:pStyle w:val="5"/>
        <w:ind w:firstLine="42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
          <w:bCs/>
          <w:snapToGrid w:val="0"/>
          <w:color w:val="auto"/>
          <w:kern w:val="0"/>
          <w:sz w:val="21"/>
          <w:szCs w:val="21"/>
          <w:highlight w:val="none"/>
          <w:lang w:val="en-US" w:eastAsia="zh-CN" w:bidi="ar-SA"/>
        </w:rPr>
        <w:t xml:space="preserve">2.1.4 </w:t>
      </w:r>
      <w:r>
        <w:rPr>
          <w:rFonts w:hint="eastAsia" w:ascii="宋体" w:hAnsi="宋体" w:eastAsia="宋体" w:cs="宋体"/>
          <w:snapToGrid w:val="0"/>
          <w:color w:val="auto"/>
          <w:kern w:val="0"/>
          <w:sz w:val="21"/>
          <w:szCs w:val="21"/>
          <w:highlight w:val="none"/>
          <w:lang w:val="en-US" w:eastAsia="zh-CN" w:bidi="ar-SA"/>
        </w:rPr>
        <w:t>联合体各方不得再以自己名义单独或参加其他联合体在本招标项目中投标，否则各相关投标均无效。</w:t>
      </w:r>
    </w:p>
    <w:p w14:paraId="35E5AE8D">
      <w:pPr>
        <w:wordWrap w:val="0"/>
        <w:adjustRightInd w:val="0"/>
        <w:snapToGrid w:val="0"/>
        <w:spacing w:line="360" w:lineRule="auto"/>
        <w:ind w:firstLine="422"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 xml:space="preserve">2.2 </w:t>
      </w:r>
      <w:r>
        <w:rPr>
          <w:rStyle w:val="26"/>
          <w:rFonts w:hint="eastAsia" w:ascii="宋体" w:hAnsi="宋体" w:eastAsia="宋体" w:cs="宋体"/>
          <w:b w:val="0"/>
          <w:bCs w:val="0"/>
          <w:color w:val="auto"/>
          <w:kern w:val="0"/>
          <w:sz w:val="21"/>
          <w:szCs w:val="21"/>
          <w:highlight w:val="none"/>
          <w:lang w:val="en-US" w:eastAsia="zh-CN"/>
        </w:rPr>
        <w:t>资格资质要求</w:t>
      </w:r>
    </w:p>
    <w:p w14:paraId="62376B47">
      <w:pPr>
        <w:wordWrap w:val="0"/>
        <w:adjustRightInd w:val="0"/>
        <w:snapToGrid w:val="0"/>
        <w:spacing w:line="360" w:lineRule="auto"/>
        <w:ind w:firstLine="422" w:firstLineChars="200"/>
        <w:rPr>
          <w:rFonts w:hint="eastAsia" w:ascii="宋体" w:hAnsi="宋体" w:eastAsia="宋体" w:cs="宋体"/>
          <w:b w:val="0"/>
          <w:bCs w:val="0"/>
          <w:color w:val="auto"/>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 xml:space="preserve">2.2.1 </w:t>
      </w:r>
      <w:r>
        <w:rPr>
          <w:rFonts w:hint="eastAsia" w:ascii="宋体" w:hAnsi="宋体" w:eastAsia="宋体" w:cs="宋体"/>
          <w:b w:val="0"/>
          <w:bCs w:val="0"/>
          <w:color w:val="auto"/>
          <w:sz w:val="21"/>
          <w:szCs w:val="21"/>
          <w:highlight w:val="none"/>
          <w:lang w:val="en-US" w:eastAsia="zh-CN"/>
        </w:rPr>
        <w:t>投标人须具备独立法人资格，按国家法律经营。</w:t>
      </w:r>
    </w:p>
    <w:p w14:paraId="6CD5160B">
      <w:pPr>
        <w:wordWrap w:val="0"/>
        <w:adjustRightInd w:val="0"/>
        <w:snapToGrid w:val="0"/>
        <w:spacing w:line="360" w:lineRule="auto"/>
        <w:ind w:firstLine="422" w:firstLineChars="200"/>
        <w:rPr>
          <w:rFonts w:hint="eastAsia" w:ascii="宋体" w:hAnsi="宋体" w:eastAsia="宋体" w:cs="宋体"/>
          <w:b w:val="0"/>
          <w:bCs w:val="0"/>
          <w:color w:val="auto"/>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 xml:space="preserve">2.2.2 </w:t>
      </w:r>
      <w:r>
        <w:rPr>
          <w:rStyle w:val="26"/>
          <w:rFonts w:hint="eastAsia" w:ascii="宋体" w:hAnsi="宋体" w:eastAsia="宋体" w:cs="宋体"/>
          <w:b w:val="0"/>
          <w:bCs w:val="0"/>
          <w:color w:val="auto"/>
          <w:kern w:val="0"/>
          <w:sz w:val="21"/>
          <w:szCs w:val="21"/>
          <w:highlight w:val="none"/>
          <w:lang w:val="en-US" w:eastAsia="zh-CN"/>
        </w:rPr>
        <w:t>投标人须持有建设行政主管部门颁发的企业资质证书及安全生产许可证。</w:t>
      </w:r>
    </w:p>
    <w:p w14:paraId="40975173">
      <w:pPr>
        <w:wordWrap w:val="0"/>
        <w:adjustRightInd w:val="0"/>
        <w:snapToGrid w:val="0"/>
        <w:spacing w:line="360" w:lineRule="auto"/>
        <w:ind w:firstLine="422"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 xml:space="preserve">2.2.3 </w:t>
      </w:r>
      <w:r>
        <w:rPr>
          <w:rStyle w:val="26"/>
          <w:rFonts w:hint="eastAsia" w:ascii="宋体" w:hAnsi="宋体" w:eastAsia="宋体" w:cs="宋体"/>
          <w:b w:val="0"/>
          <w:bCs w:val="0"/>
          <w:color w:val="auto"/>
          <w:kern w:val="0"/>
          <w:sz w:val="21"/>
          <w:szCs w:val="21"/>
          <w:highlight w:val="none"/>
          <w:lang w:val="en-US" w:eastAsia="zh-CN"/>
        </w:rPr>
        <w:t>参加投标的投标人可以是单一独立法人或由不超过两家独立法人组成的联合体（必须注明其中一家为牵头人），联合体各方不得再以自己的名义单独申请，也不得同时参加两个或两个以上的联合体进行本项目的投标。单一独立法人必须至少同时具备以下①和②资质，组成联合体投标的，联合后必须至少具备以下①和②资质：</w:t>
      </w:r>
    </w:p>
    <w:p w14:paraId="1D6EC168">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u w:val="single"/>
          <w:lang w:val="en-US" w:eastAsia="zh-CN"/>
        </w:rPr>
      </w:pPr>
      <w:r>
        <w:rPr>
          <w:rStyle w:val="26"/>
          <w:rFonts w:hint="eastAsia" w:ascii="宋体" w:hAnsi="宋体" w:eastAsia="宋体" w:cs="宋体"/>
          <w:b w:val="0"/>
          <w:bCs w:val="0"/>
          <w:color w:val="auto"/>
          <w:kern w:val="0"/>
          <w:sz w:val="21"/>
          <w:szCs w:val="21"/>
          <w:highlight w:val="none"/>
          <w:u w:val="single"/>
          <w:lang w:val="en-US" w:eastAsia="zh-CN"/>
        </w:rPr>
        <w:t>①市政公用工程施工总承包三级以上（含三级）资质。</w:t>
      </w:r>
    </w:p>
    <w:p w14:paraId="02B90E6D">
      <w:pPr>
        <w:wordWrap w:val="0"/>
        <w:adjustRightInd w:val="0"/>
        <w:snapToGrid w:val="0"/>
        <w:spacing w:line="360" w:lineRule="auto"/>
        <w:ind w:firstLine="420" w:firstLineChars="200"/>
        <w:rPr>
          <w:rFonts w:hint="eastAsia" w:ascii="宋体" w:hAnsi="宋体" w:eastAsia="宋体" w:cs="宋体"/>
          <w:b w:val="0"/>
          <w:bCs w:val="0"/>
          <w:color w:val="auto"/>
          <w:sz w:val="21"/>
          <w:szCs w:val="21"/>
          <w:highlight w:val="none"/>
          <w:u w:val="single"/>
          <w:lang w:val="en-US" w:eastAsia="zh-CN"/>
        </w:rPr>
      </w:pPr>
      <w:r>
        <w:rPr>
          <w:rStyle w:val="26"/>
          <w:rFonts w:hint="eastAsia" w:ascii="宋体" w:hAnsi="宋体" w:eastAsia="宋体" w:cs="宋体"/>
          <w:b w:val="0"/>
          <w:bCs w:val="0"/>
          <w:color w:val="auto"/>
          <w:kern w:val="0"/>
          <w:sz w:val="21"/>
          <w:szCs w:val="21"/>
          <w:highlight w:val="none"/>
          <w:u w:val="single"/>
          <w:lang w:val="en-US" w:eastAsia="zh-CN"/>
        </w:rPr>
        <w:t>②建筑工程施工总承包三级以上（含三级）资质。</w:t>
      </w:r>
    </w:p>
    <w:p w14:paraId="3535B174">
      <w:pPr>
        <w:wordWrap w:val="0"/>
        <w:adjustRightInd w:val="0"/>
        <w:snapToGrid w:val="0"/>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2.2.4 投标人的企业相关证书到期的，均按该证书的发证机构相关行业主管部门最新文件执行（如自动顺延或资质延续有关事项的通知），投标人必须将相关文件附在该证书后面中，证明在开标日继续有效。</w:t>
      </w:r>
    </w:p>
    <w:p w14:paraId="1B37663C">
      <w:pPr>
        <w:wordWrap w:val="0"/>
        <w:adjustRightInd w:val="0"/>
        <w:snapToGrid w:val="0"/>
        <w:spacing w:line="360" w:lineRule="auto"/>
        <w:ind w:firstLine="422" w:firstLineChars="200"/>
        <w:rPr>
          <w:rFonts w:hint="eastAsia" w:ascii="宋体" w:hAnsi="宋体" w:eastAsia="宋体" w:cs="宋体"/>
          <w:b w:val="0"/>
          <w:bCs w:val="0"/>
          <w:color w:val="auto"/>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 xml:space="preserve">2.3 </w:t>
      </w:r>
      <w:r>
        <w:rPr>
          <w:rFonts w:hint="eastAsia" w:ascii="宋体" w:hAnsi="宋体" w:eastAsia="宋体" w:cs="宋体"/>
          <w:b w:val="0"/>
          <w:bCs w:val="0"/>
          <w:color w:val="auto"/>
          <w:sz w:val="21"/>
          <w:szCs w:val="21"/>
          <w:highlight w:val="none"/>
          <w:lang w:val="en-US" w:eastAsia="zh-CN"/>
        </w:rPr>
        <w:t>相关人员要求</w:t>
      </w:r>
    </w:p>
    <w:p w14:paraId="76FF0288">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Style w:val="26"/>
          <w:rFonts w:hint="eastAsia" w:ascii="宋体" w:hAnsi="宋体" w:eastAsia="宋体" w:cs="宋体"/>
          <w:b/>
          <w:bCs/>
          <w:color w:val="auto"/>
          <w:kern w:val="0"/>
          <w:sz w:val="21"/>
          <w:szCs w:val="21"/>
          <w:highlight w:val="none"/>
          <w:lang w:val="en-US" w:eastAsia="zh-CN"/>
        </w:rPr>
        <w:t>2.3.1</w:t>
      </w:r>
      <w:r>
        <w:rPr>
          <w:rStyle w:val="26"/>
          <w:rFonts w:hint="eastAsia" w:ascii="宋体" w:hAnsi="宋体" w:eastAsia="宋体" w:cs="宋体"/>
          <w:b w:val="0"/>
          <w:bCs w:val="0"/>
          <w:color w:val="auto"/>
          <w:kern w:val="0"/>
          <w:sz w:val="21"/>
          <w:szCs w:val="21"/>
          <w:highlight w:val="none"/>
          <w:lang w:val="en-US" w:eastAsia="zh-CN"/>
        </w:rPr>
        <w:t xml:space="preserve"> </w:t>
      </w:r>
      <w:r>
        <w:rPr>
          <w:rStyle w:val="26"/>
          <w:rFonts w:hint="eastAsia" w:ascii="宋体" w:hAnsi="宋体" w:eastAsia="宋体" w:cs="宋体"/>
          <w:b w:val="0"/>
          <w:bCs w:val="0"/>
          <w:color w:val="auto"/>
          <w:kern w:val="0"/>
          <w:sz w:val="21"/>
          <w:szCs w:val="21"/>
          <w:highlight w:val="none"/>
          <w:u w:val="none"/>
          <w:lang w:val="en-US" w:eastAsia="zh-CN"/>
        </w:rPr>
        <w:t>拟派项目经理须具备</w:t>
      </w:r>
      <w:r>
        <w:rPr>
          <w:rStyle w:val="26"/>
          <w:rFonts w:hint="eastAsia" w:ascii="宋体" w:hAnsi="宋体" w:eastAsia="宋体" w:cs="宋体"/>
          <w:b w:val="0"/>
          <w:bCs w:val="0"/>
          <w:color w:val="auto"/>
          <w:kern w:val="0"/>
          <w:sz w:val="21"/>
          <w:szCs w:val="21"/>
          <w:highlight w:val="none"/>
          <w:u w:val="single"/>
          <w:lang w:val="en-US" w:eastAsia="zh-CN"/>
        </w:rPr>
        <w:t>市政公用工程或建筑工程</w:t>
      </w:r>
      <w:r>
        <w:rPr>
          <w:rStyle w:val="26"/>
          <w:rFonts w:hint="eastAsia" w:ascii="宋体" w:hAnsi="宋体" w:eastAsia="宋体" w:cs="宋体"/>
          <w:b w:val="0"/>
          <w:bCs w:val="0"/>
          <w:color w:val="auto"/>
          <w:kern w:val="0"/>
          <w:sz w:val="21"/>
          <w:szCs w:val="21"/>
          <w:highlight w:val="none"/>
          <w:u w:val="none"/>
          <w:lang w:val="en-US" w:eastAsia="zh-CN"/>
        </w:rPr>
        <w:t>专业二级及以上注册建造师</w:t>
      </w:r>
      <w:r>
        <w:rPr>
          <w:rStyle w:val="26"/>
          <w:rFonts w:hint="eastAsia" w:ascii="宋体" w:hAnsi="宋体" w:eastAsia="宋体" w:cs="宋体"/>
          <w:b w:val="0"/>
          <w:bCs w:val="0"/>
          <w:color w:val="auto"/>
          <w:kern w:val="0"/>
          <w:sz w:val="21"/>
          <w:szCs w:val="21"/>
          <w:highlight w:val="none"/>
          <w:lang w:val="en-US" w:eastAsia="zh-CN"/>
        </w:rPr>
        <w:t>，应持有住建部门印发的在使用有效期内的有效电子注册证书（根据广东省住房和城乡建设厅（粤建市函〔2023〕469号）文件精神，二级注册建造师可随注册企业在全国范围内执业）；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736A2627">
      <w:pPr>
        <w:wordWrap w:val="0"/>
        <w:adjustRightInd w:val="0"/>
        <w:snapToGrid w:val="0"/>
        <w:spacing w:line="360" w:lineRule="auto"/>
        <w:ind w:firstLine="422" w:firstLineChars="200"/>
        <w:rPr>
          <w:rFonts w:hint="eastAsia" w:ascii="宋体" w:hAnsi="宋体" w:eastAsia="宋体" w:cs="宋体"/>
          <w:b w:val="0"/>
          <w:bCs w:val="0"/>
          <w:color w:val="auto"/>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 xml:space="preserve">2.3.2 </w:t>
      </w:r>
      <w:r>
        <w:rPr>
          <w:rStyle w:val="26"/>
          <w:rFonts w:hint="eastAsia" w:ascii="宋体" w:hAnsi="宋体" w:eastAsia="宋体" w:cs="宋体"/>
          <w:b w:val="0"/>
          <w:bCs w:val="0"/>
          <w:color w:val="auto"/>
          <w:kern w:val="0"/>
          <w:sz w:val="21"/>
          <w:szCs w:val="21"/>
          <w:highlight w:val="none"/>
          <w:lang w:val="en-US" w:eastAsia="zh-CN"/>
        </w:rPr>
        <w:t>拟派项目技术负责人须具备</w:t>
      </w:r>
      <w:r>
        <w:rPr>
          <w:rStyle w:val="26"/>
          <w:rFonts w:hint="eastAsia" w:ascii="宋体" w:hAnsi="宋体" w:eastAsia="宋体" w:cs="宋体"/>
          <w:b w:val="0"/>
          <w:bCs w:val="0"/>
          <w:color w:val="auto"/>
          <w:kern w:val="0"/>
          <w:sz w:val="21"/>
          <w:szCs w:val="21"/>
          <w:highlight w:val="none"/>
          <w:u w:val="single"/>
          <w:lang w:val="en-US" w:eastAsia="zh-CN"/>
        </w:rPr>
        <w:t xml:space="preserve"> 市政公用工程或建筑工程 </w:t>
      </w:r>
      <w:r>
        <w:rPr>
          <w:rStyle w:val="26"/>
          <w:rFonts w:hint="eastAsia" w:ascii="宋体" w:hAnsi="宋体" w:eastAsia="宋体" w:cs="宋体"/>
          <w:b w:val="0"/>
          <w:bCs w:val="0"/>
          <w:color w:val="auto"/>
          <w:kern w:val="0"/>
          <w:sz w:val="21"/>
          <w:szCs w:val="21"/>
          <w:highlight w:val="none"/>
          <w:lang w:val="en-US" w:eastAsia="zh-CN"/>
        </w:rPr>
        <w:t>相关专业中级或以上技术职称。</w:t>
      </w:r>
    </w:p>
    <w:p w14:paraId="3C9096CE">
      <w:pPr>
        <w:wordWrap w:val="0"/>
        <w:adjustRightInd w:val="0"/>
        <w:snapToGrid w:val="0"/>
        <w:spacing w:line="360" w:lineRule="auto"/>
        <w:ind w:firstLine="422" w:firstLineChars="200"/>
        <w:rPr>
          <w:rStyle w:val="26"/>
          <w:rFonts w:hint="eastAsia" w:ascii="宋体" w:hAnsi="宋体" w:eastAsia="宋体" w:cs="宋体"/>
          <w:b/>
          <w:bCs/>
          <w:color w:val="auto"/>
          <w:kern w:val="0"/>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 xml:space="preserve">2.3.3 </w:t>
      </w:r>
      <w:r>
        <w:rPr>
          <w:rFonts w:hint="eastAsia" w:ascii="宋体" w:hAnsi="宋体" w:eastAsia="宋体" w:cs="宋体"/>
          <w:b w:val="0"/>
          <w:bCs w:val="0"/>
          <w:color w:val="auto"/>
          <w:sz w:val="21"/>
          <w:szCs w:val="21"/>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F04C34D">
      <w:pPr>
        <w:keepNext w:val="0"/>
        <w:keepLines w:val="0"/>
        <w:pageBreakBefore w:val="0"/>
        <w:kinsoku/>
        <w:wordWrap w:val="0"/>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val="0"/>
          <w:bCs w:val="0"/>
          <w:color w:val="auto"/>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 xml:space="preserve">2.3.4 </w:t>
      </w:r>
      <w:r>
        <w:rPr>
          <w:rFonts w:hint="eastAsia" w:ascii="宋体" w:hAnsi="宋体" w:eastAsia="宋体" w:cs="宋体"/>
          <w:color w:val="auto"/>
          <w:kern w:val="0"/>
          <w:sz w:val="21"/>
          <w:szCs w:val="21"/>
          <w:highlight w:val="none"/>
        </w:rPr>
        <w:t>投标人（包括组成联合体的所有成员单位）与其拟派往本项目所有人员之间必须具备合法的劳动聘用关系，需提供缴纳社保的证明</w:t>
      </w:r>
      <w:r>
        <w:rPr>
          <w:rFonts w:hint="eastAsia" w:ascii="宋体" w:hAnsi="宋体" w:eastAsia="宋体" w:cs="宋体"/>
          <w:snapToGrid w:val="0"/>
          <w:color w:val="auto"/>
          <w:kern w:val="0"/>
          <w:sz w:val="21"/>
          <w:szCs w:val="21"/>
          <w:highlight w:val="none"/>
        </w:rPr>
        <w:t>或退休证(附返聘</w:t>
      </w:r>
      <w:r>
        <w:rPr>
          <w:rFonts w:hint="eastAsia" w:ascii="宋体" w:hAnsi="宋体" w:eastAsia="宋体" w:cs="宋体"/>
          <w:snapToGrid w:val="0"/>
          <w:color w:val="auto"/>
          <w:kern w:val="0"/>
          <w:sz w:val="21"/>
          <w:szCs w:val="21"/>
          <w:highlight w:val="none"/>
          <w:lang w:val="en-US" w:eastAsia="zh-CN"/>
        </w:rPr>
        <w:t>协议</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kern w:val="0"/>
          <w:sz w:val="21"/>
          <w:szCs w:val="21"/>
          <w:highlight w:val="none"/>
        </w:rPr>
        <w:t>扫描件（由非独立法人分支机构出具的社保证明，予以认可）。拟派人员中具备注册执业资格的，其注册单位须与投标人保持一致。</w:t>
      </w:r>
    </w:p>
    <w:p w14:paraId="6B0DD0FC">
      <w:pPr>
        <w:spacing w:before="78" w:line="360" w:lineRule="auto"/>
        <w:ind w:left="489"/>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2.4  </w:t>
      </w:r>
      <w:r>
        <w:rPr>
          <w:rFonts w:hint="eastAsia" w:ascii="宋体" w:hAnsi="宋体" w:eastAsia="宋体" w:cs="宋体"/>
          <w:color w:val="auto"/>
          <w:spacing w:val="-1"/>
          <w:sz w:val="21"/>
          <w:szCs w:val="21"/>
          <w:highlight w:val="none"/>
        </w:rPr>
        <w:t>禁止投标条款</w:t>
      </w:r>
    </w:p>
    <w:p w14:paraId="198E7E83">
      <w:pPr>
        <w:spacing w:before="153" w:line="360" w:lineRule="auto"/>
        <w:ind w:left="489"/>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2.4.1  </w:t>
      </w:r>
      <w:r>
        <w:rPr>
          <w:rFonts w:hint="eastAsia" w:ascii="宋体" w:hAnsi="宋体" w:eastAsia="宋体" w:cs="宋体"/>
          <w:color w:val="auto"/>
          <w:spacing w:val="-1"/>
          <w:sz w:val="21"/>
          <w:szCs w:val="21"/>
          <w:highlight w:val="none"/>
        </w:rPr>
        <w:t>投标人不得存在下列情形之一：</w:t>
      </w:r>
    </w:p>
    <w:p w14:paraId="6C5CBCD6">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（1）为招标人不具有独立法人资格的附属机构（单位）；</w:t>
      </w:r>
    </w:p>
    <w:p w14:paraId="00645A12">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（2）为本招标项目前期准备提供设计或咨询服务的；</w:t>
      </w:r>
    </w:p>
    <w:p w14:paraId="466E2120">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（3）与本招标项目的其他投标人为同一个单位负责人；</w:t>
      </w:r>
    </w:p>
    <w:p w14:paraId="358EB851">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（4）与本招标项目的其他投标人存在控股、管理关系；</w:t>
      </w:r>
    </w:p>
    <w:p w14:paraId="6D365ADF">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（5）为本招标项目的监理人；</w:t>
      </w:r>
    </w:p>
    <w:p w14:paraId="661267E9">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（6）为本招标项目的代建人；</w:t>
      </w:r>
    </w:p>
    <w:p w14:paraId="6248B25F">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（7）为本招标项目的招标代理机构；</w:t>
      </w:r>
    </w:p>
    <w:p w14:paraId="199345F5">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（8）与本招标项目的监理人或代建人或招标代理机构同为一个法定代表人；</w:t>
      </w:r>
    </w:p>
    <w:p w14:paraId="42A9F078">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（9）与本招标项目的监理人或代建人或招标代理机构存在控股或参股关系；</w:t>
      </w:r>
    </w:p>
    <w:p w14:paraId="3ED798D0">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（10）与本招标项目的监理人或代建人或招标代理机构存在相互任职或工作关系；</w:t>
      </w:r>
    </w:p>
    <w:p w14:paraId="3D5B3F7C">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（11）被依法暂停或者取消投标资格；</w:t>
      </w:r>
    </w:p>
    <w:p w14:paraId="649343BB">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（12）被责令停产停业、暂扣或者吊销许可证、暂扣或者吊销执照；</w:t>
      </w:r>
    </w:p>
    <w:p w14:paraId="73DFCEAC">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（13）进入清算程序，或被宣告破产，或其他丧失履约能力的情形（此类情况以处罚决定或司法机关出具的有关法律文书为准）；</w:t>
      </w:r>
      <w:bookmarkStart w:id="23" w:name="bookmark116"/>
      <w:bookmarkEnd w:id="23"/>
    </w:p>
    <w:p w14:paraId="39E50891">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（14）在最近三年内发生重大工程质量或安全问题（以相关行业主管部门的行政处罚决定或司法机关出具的有关法律文书为准）；</w:t>
      </w:r>
    </w:p>
    <w:p w14:paraId="40B021B1">
      <w:pPr>
        <w:wordWrap w:val="0"/>
        <w:adjustRightInd w:val="0"/>
        <w:snapToGrid w:val="0"/>
        <w:spacing w:line="360" w:lineRule="auto"/>
        <w:ind w:firstLine="420" w:firstLineChars="200"/>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（15）被“信用中国”网站（https://www.creditchina.gov.cn）发布的《法人和非法人组织公共信用信息报告》列为严重失信主体名单的。</w:t>
      </w:r>
    </w:p>
    <w:p w14:paraId="26B8C09D">
      <w:pPr>
        <w:spacing w:before="155" w:line="360" w:lineRule="auto"/>
        <w:ind w:left="706"/>
        <w:rPr>
          <w:rFonts w:hint="eastAsia" w:ascii="宋体" w:hAnsi="宋体" w:eastAsia="宋体" w:cs="宋体"/>
          <w:color w:val="auto"/>
          <w:spacing w:val="-1"/>
          <w:sz w:val="21"/>
          <w:szCs w:val="21"/>
          <w:highlight w:val="none"/>
        </w:rPr>
      </w:pPr>
      <w:r>
        <w:rPr>
          <w:rFonts w:hint="eastAsia" w:ascii="宋体" w:hAnsi="宋体" w:eastAsia="宋体" w:cs="宋体"/>
          <w:b/>
          <w:bCs/>
          <w:color w:val="auto"/>
          <w:sz w:val="21"/>
          <w:szCs w:val="21"/>
          <w:highlight w:val="none"/>
        </w:rPr>
        <w:t xml:space="preserve">2.4.2  </w:t>
      </w:r>
      <w:r>
        <w:rPr>
          <w:rFonts w:hint="eastAsia" w:ascii="宋体" w:hAnsi="宋体" w:eastAsia="宋体" w:cs="宋体"/>
          <w:color w:val="auto"/>
          <w:sz w:val="21"/>
          <w:szCs w:val="21"/>
          <w:highlight w:val="none"/>
        </w:rPr>
        <w:t>招标人拒绝以下名单中的单位</w:t>
      </w:r>
      <w:r>
        <w:rPr>
          <w:rFonts w:hint="eastAsia" w:ascii="宋体" w:hAnsi="宋体" w:eastAsia="宋体" w:cs="宋体"/>
          <w:color w:val="auto"/>
          <w:spacing w:val="-1"/>
          <w:sz w:val="21"/>
          <w:szCs w:val="21"/>
          <w:highlight w:val="none"/>
        </w:rPr>
        <w:t>参加本次投标：</w:t>
      </w:r>
    </w:p>
    <w:tbl>
      <w:tblPr>
        <w:tblStyle w:val="17"/>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4752"/>
        <w:gridCol w:w="3620"/>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694A6BC8">
            <w:pPr>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序号</w:t>
            </w:r>
          </w:p>
        </w:tc>
        <w:tc>
          <w:tcPr>
            <w:tcW w:w="4752" w:type="dxa"/>
            <w:vAlign w:val="center"/>
          </w:tcPr>
          <w:p w14:paraId="04B025F1">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单位名称</w:t>
            </w:r>
          </w:p>
        </w:tc>
        <w:tc>
          <w:tcPr>
            <w:tcW w:w="3620" w:type="dxa"/>
            <w:vAlign w:val="center"/>
          </w:tcPr>
          <w:p w14:paraId="35E4854C">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2AE2E34">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iCs/>
                <w:snapToGrid w:val="0"/>
                <w:color w:val="auto"/>
                <w:kern w:val="0"/>
                <w:sz w:val="21"/>
                <w:szCs w:val="21"/>
                <w:highlight w:val="none"/>
                <w:lang w:val="en-US" w:eastAsia="zh-CN"/>
              </w:rPr>
              <w:t>1</w:t>
            </w:r>
          </w:p>
        </w:tc>
        <w:tc>
          <w:tcPr>
            <w:tcW w:w="4752" w:type="dxa"/>
            <w:vAlign w:val="center"/>
          </w:tcPr>
          <w:p w14:paraId="65193855">
            <w:pPr>
              <w:pStyle w:val="28"/>
              <w:wordWrap w:val="0"/>
              <w:adjustRightInd w:val="0"/>
              <w:snapToGrid w:val="0"/>
              <w:spacing w:line="360" w:lineRule="auto"/>
              <w:jc w:val="left"/>
              <w:rPr>
                <w:rFonts w:hint="eastAsia" w:ascii="宋体" w:hAnsi="宋体" w:eastAsia="宋体" w:cs="宋体"/>
                <w:iCs/>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永建设计集团有限公司</w:t>
            </w:r>
          </w:p>
        </w:tc>
        <w:tc>
          <w:tcPr>
            <w:tcW w:w="3620" w:type="dxa"/>
            <w:vAlign w:val="center"/>
          </w:tcPr>
          <w:p w14:paraId="74874F27">
            <w:pPr>
              <w:pStyle w:val="28"/>
              <w:wordWrap w:val="0"/>
              <w:adjustRightInd w:val="0"/>
              <w:snapToGrid w:val="0"/>
              <w:spacing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rPr>
              <w:t>为本招标项目的</w:t>
            </w:r>
            <w:r>
              <w:rPr>
                <w:rFonts w:hint="eastAsia" w:ascii="宋体" w:hAnsi="宋体" w:eastAsia="宋体" w:cs="宋体"/>
                <w:iCs/>
                <w:snapToGrid w:val="0"/>
                <w:color w:val="auto"/>
                <w:kern w:val="0"/>
                <w:sz w:val="21"/>
                <w:szCs w:val="21"/>
                <w:highlight w:val="none"/>
                <w:lang w:eastAsia="zh-CN"/>
              </w:rPr>
              <w:t>设计单位</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3866D64">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2</w:t>
            </w:r>
          </w:p>
        </w:tc>
        <w:tc>
          <w:tcPr>
            <w:tcW w:w="4752" w:type="dxa"/>
            <w:vAlign w:val="center"/>
          </w:tcPr>
          <w:p w14:paraId="62B0D81F">
            <w:pPr>
              <w:pStyle w:val="28"/>
              <w:wordWrap w:val="0"/>
              <w:adjustRightInd w:val="0"/>
              <w:snapToGrid w:val="0"/>
              <w:spacing w:line="360" w:lineRule="auto"/>
              <w:jc w:val="left"/>
              <w:rPr>
                <w:rFonts w:hint="eastAsia" w:ascii="宋体" w:hAnsi="宋体" w:eastAsia="宋体" w:cs="宋体"/>
                <w:iCs/>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广东普慧能源技术服务有限公司</w:t>
            </w:r>
          </w:p>
        </w:tc>
        <w:tc>
          <w:tcPr>
            <w:tcW w:w="3620" w:type="dxa"/>
            <w:vAlign w:val="center"/>
          </w:tcPr>
          <w:p w14:paraId="2D7AE2F8">
            <w:pPr>
              <w:pStyle w:val="28"/>
              <w:wordWrap w:val="0"/>
              <w:adjustRightInd w:val="0"/>
              <w:snapToGrid w:val="0"/>
              <w:spacing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rPr>
              <w:t>为本招标项目的</w:t>
            </w:r>
            <w:r>
              <w:rPr>
                <w:rFonts w:hint="eastAsia" w:ascii="宋体" w:hAnsi="宋体" w:eastAsia="宋体" w:cs="宋体"/>
                <w:iCs/>
                <w:snapToGrid w:val="0"/>
                <w:color w:val="auto"/>
                <w:kern w:val="0"/>
                <w:sz w:val="21"/>
                <w:szCs w:val="21"/>
                <w:highlight w:val="none"/>
                <w:lang w:val="en-US" w:eastAsia="zh-CN"/>
              </w:rPr>
              <w:t>可研编制</w:t>
            </w:r>
            <w:r>
              <w:rPr>
                <w:rFonts w:hint="eastAsia" w:ascii="宋体" w:hAnsi="宋体" w:eastAsia="宋体" w:cs="宋体"/>
                <w:iCs/>
                <w:snapToGrid w:val="0"/>
                <w:color w:val="auto"/>
                <w:kern w:val="0"/>
                <w:sz w:val="21"/>
                <w:szCs w:val="21"/>
                <w:highlight w:val="none"/>
              </w:rPr>
              <w:t>单位</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7B69EA9B">
            <w:pPr>
              <w:pStyle w:val="28"/>
              <w:wordWrap w:val="0"/>
              <w:adjustRightInd w:val="0"/>
              <w:snapToGrid w:val="0"/>
              <w:spacing w:line="36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3</w:t>
            </w:r>
          </w:p>
        </w:tc>
        <w:tc>
          <w:tcPr>
            <w:tcW w:w="4752" w:type="dxa"/>
            <w:vAlign w:val="center"/>
          </w:tcPr>
          <w:p w14:paraId="1D9C1895">
            <w:pPr>
              <w:pStyle w:val="28"/>
              <w:wordWrap w:val="0"/>
              <w:adjustRightInd w:val="0"/>
              <w:snapToGrid w:val="0"/>
              <w:spacing w:line="360" w:lineRule="auto"/>
              <w:jc w:val="left"/>
              <w:rPr>
                <w:rFonts w:hint="eastAsia" w:ascii="宋体" w:hAnsi="宋体" w:eastAsia="宋体" w:cs="宋体"/>
                <w:iCs/>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韶关中一工程造价咨询有限公司</w:t>
            </w:r>
          </w:p>
        </w:tc>
        <w:tc>
          <w:tcPr>
            <w:tcW w:w="3620" w:type="dxa"/>
            <w:vAlign w:val="center"/>
          </w:tcPr>
          <w:p w14:paraId="0FEDB35A">
            <w:pPr>
              <w:pStyle w:val="28"/>
              <w:wordWrap w:val="0"/>
              <w:adjustRightInd w:val="0"/>
              <w:snapToGrid w:val="0"/>
              <w:spacing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rPr>
              <w:t>为本招标项目的</w:t>
            </w:r>
            <w:r>
              <w:rPr>
                <w:rFonts w:hint="eastAsia" w:ascii="宋体" w:hAnsi="宋体" w:eastAsia="宋体" w:cs="宋体"/>
                <w:iCs/>
                <w:snapToGrid w:val="0"/>
                <w:color w:val="auto"/>
                <w:kern w:val="0"/>
                <w:sz w:val="21"/>
                <w:szCs w:val="21"/>
                <w:highlight w:val="none"/>
                <w:lang w:val="en-US" w:eastAsia="zh-CN"/>
              </w:rPr>
              <w:t>造价咨询单位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3F58E3F6">
            <w:pPr>
              <w:pStyle w:val="28"/>
              <w:wordWrap w:val="0"/>
              <w:adjustRightInd w:val="0"/>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4</w:t>
            </w:r>
          </w:p>
        </w:tc>
        <w:tc>
          <w:tcPr>
            <w:tcW w:w="4752" w:type="dxa"/>
            <w:vAlign w:val="center"/>
          </w:tcPr>
          <w:p w14:paraId="4241CE45">
            <w:pPr>
              <w:pStyle w:val="28"/>
              <w:wordWrap w:val="0"/>
              <w:adjustRightInd w:val="0"/>
              <w:snapToGrid w:val="0"/>
              <w:spacing w:line="360" w:lineRule="auto"/>
              <w:jc w:val="left"/>
              <w:rPr>
                <w:rFonts w:hint="eastAsia" w:ascii="宋体" w:hAnsi="宋体" w:eastAsia="宋体" w:cs="宋体"/>
                <w:iCs/>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中轩项目管理有限公司</w:t>
            </w:r>
          </w:p>
        </w:tc>
        <w:tc>
          <w:tcPr>
            <w:tcW w:w="3620" w:type="dxa"/>
            <w:vAlign w:val="center"/>
          </w:tcPr>
          <w:p w14:paraId="40CA11E2">
            <w:pPr>
              <w:pStyle w:val="28"/>
              <w:wordWrap w:val="0"/>
              <w:adjustRightInd w:val="0"/>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iCs/>
                <w:snapToGrid w:val="0"/>
                <w:color w:val="auto"/>
                <w:kern w:val="0"/>
                <w:sz w:val="21"/>
                <w:szCs w:val="21"/>
                <w:highlight w:val="none"/>
              </w:rPr>
              <w:t>为本招标项目的招标代理</w:t>
            </w:r>
            <w:r>
              <w:rPr>
                <w:rFonts w:hint="eastAsia" w:ascii="宋体" w:hAnsi="宋体" w:eastAsia="宋体" w:cs="宋体"/>
                <w:iCs/>
                <w:snapToGrid w:val="0"/>
                <w:color w:val="auto"/>
                <w:kern w:val="0"/>
                <w:sz w:val="21"/>
                <w:szCs w:val="21"/>
                <w:highlight w:val="none"/>
                <w:lang w:val="en-US" w:eastAsia="zh-CN"/>
              </w:rPr>
              <w:t>单位</w:t>
            </w:r>
          </w:p>
        </w:tc>
      </w:tr>
      <w:tr w14:paraId="1DDA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5EF07AF2">
            <w:pPr>
              <w:pStyle w:val="28"/>
              <w:wordWrap w:val="0"/>
              <w:adjustRightInd w:val="0"/>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5</w:t>
            </w:r>
          </w:p>
        </w:tc>
        <w:tc>
          <w:tcPr>
            <w:tcW w:w="4752" w:type="dxa"/>
            <w:vAlign w:val="center"/>
          </w:tcPr>
          <w:p w14:paraId="269CE39D">
            <w:pPr>
              <w:pStyle w:val="28"/>
              <w:wordWrap w:val="0"/>
              <w:adjustRightInd w:val="0"/>
              <w:snapToGrid w:val="0"/>
              <w:spacing w:line="360" w:lineRule="auto"/>
              <w:jc w:val="left"/>
              <w:rPr>
                <w:rFonts w:hint="eastAsia" w:ascii="宋体" w:hAnsi="宋体" w:eastAsia="宋体" w:cs="宋体"/>
                <w:iCs/>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翁源县翁城镇人民政府</w:t>
            </w:r>
          </w:p>
        </w:tc>
        <w:tc>
          <w:tcPr>
            <w:tcW w:w="3620" w:type="dxa"/>
            <w:vAlign w:val="center"/>
          </w:tcPr>
          <w:p w14:paraId="02199665">
            <w:pPr>
              <w:pStyle w:val="28"/>
              <w:wordWrap w:val="0"/>
              <w:adjustRightInd w:val="0"/>
              <w:snapToGrid w:val="0"/>
              <w:spacing w:line="36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iCs/>
                <w:snapToGrid w:val="0"/>
                <w:color w:val="auto"/>
                <w:kern w:val="0"/>
                <w:sz w:val="21"/>
                <w:szCs w:val="21"/>
                <w:highlight w:val="none"/>
              </w:rPr>
              <w:t>为本招标项目的业主及招标人</w:t>
            </w:r>
          </w:p>
        </w:tc>
      </w:tr>
    </w:tbl>
    <w:p w14:paraId="44FD298A">
      <w:pPr>
        <w:spacing w:before="153" w:line="360" w:lineRule="auto"/>
        <w:ind w:left="70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2.5  </w:t>
      </w:r>
      <w:r>
        <w:rPr>
          <w:rFonts w:hint="eastAsia" w:ascii="宋体" w:hAnsi="宋体" w:eastAsia="宋体" w:cs="宋体"/>
          <w:color w:val="auto"/>
          <w:spacing w:val="-1"/>
          <w:sz w:val="21"/>
          <w:szCs w:val="21"/>
          <w:highlight w:val="none"/>
        </w:rPr>
        <w:t>其他要求</w:t>
      </w:r>
    </w:p>
    <w:p w14:paraId="329532D5">
      <w:pPr>
        <w:spacing w:before="150" w:line="360" w:lineRule="auto"/>
        <w:ind w:left="232" w:right="99" w:firstLine="481"/>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省外企业</w:t>
      </w:r>
      <w:r>
        <w:rPr>
          <w:rFonts w:hint="eastAsia" w:ascii="宋体" w:hAnsi="宋体" w:eastAsia="宋体" w:cs="宋体"/>
          <w:color w:val="auto"/>
          <w:kern w:val="0"/>
          <w:sz w:val="21"/>
          <w:szCs w:val="21"/>
          <w:highlight w:val="none"/>
        </w:rPr>
        <w:t>（包括组成联合体的所有成员单位）</w:t>
      </w:r>
      <w:r>
        <w:rPr>
          <w:rFonts w:hint="eastAsia" w:ascii="宋体" w:hAnsi="宋体" w:eastAsia="宋体" w:cs="宋体"/>
          <w:snapToGrid w:val="0"/>
          <w:color w:val="auto"/>
          <w:kern w:val="0"/>
          <w:sz w:val="21"/>
          <w:szCs w:val="21"/>
          <w:highlight w:val="none"/>
        </w:rPr>
        <w:t>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r>
        <w:rPr>
          <w:rFonts w:hint="eastAsia" w:ascii="宋体" w:hAnsi="宋体" w:eastAsia="宋体" w:cs="宋体"/>
          <w:color w:val="auto"/>
          <w:spacing w:val="-6"/>
          <w:sz w:val="21"/>
          <w:szCs w:val="21"/>
          <w:highlight w:val="none"/>
        </w:rPr>
        <w:t>。</w:t>
      </w:r>
    </w:p>
    <w:p w14:paraId="0063DCBD">
      <w:pPr>
        <w:numPr>
          <w:ilvl w:val="0"/>
          <w:numId w:val="1"/>
        </w:numPr>
        <w:spacing w:before="79" w:line="360" w:lineRule="auto"/>
        <w:ind w:left="715"/>
        <w:outlineLvl w:val="2"/>
        <w:rPr>
          <w:rFonts w:hint="eastAsia" w:ascii="宋体" w:hAnsi="宋体" w:eastAsia="宋体" w:cs="宋体"/>
          <w:color w:val="auto"/>
          <w:sz w:val="21"/>
          <w:szCs w:val="21"/>
          <w:highlight w:val="none"/>
        </w:rPr>
      </w:pPr>
      <w:bookmarkStart w:id="24" w:name="_Toc7702"/>
      <w:bookmarkStart w:id="25" w:name="_Toc23243"/>
      <w:r>
        <w:rPr>
          <w:rFonts w:hint="eastAsia" w:ascii="宋体" w:hAnsi="宋体" w:eastAsia="宋体" w:cs="宋体"/>
          <w:b/>
          <w:bCs/>
          <w:color w:val="auto"/>
          <w:spacing w:val="-4"/>
          <w:sz w:val="21"/>
          <w:szCs w:val="21"/>
          <w:highlight w:val="none"/>
        </w:rPr>
        <w:t>招标文件的获取</w:t>
      </w:r>
      <w:bookmarkEnd w:id="24"/>
      <w:bookmarkEnd w:id="25"/>
    </w:p>
    <w:p w14:paraId="6F47DB12">
      <w:pPr>
        <w:spacing w:before="182" w:line="360" w:lineRule="auto"/>
        <w:ind w:left="704"/>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3.1  </w:t>
      </w:r>
      <w:r>
        <w:rPr>
          <w:rFonts w:hint="eastAsia" w:ascii="宋体" w:hAnsi="宋体" w:eastAsia="宋体" w:cs="宋体"/>
          <w:color w:val="auto"/>
          <w:spacing w:val="-1"/>
          <w:sz w:val="21"/>
          <w:szCs w:val="21"/>
          <w:highlight w:val="none"/>
        </w:rPr>
        <w:t>本次招标实行电子投标。</w:t>
      </w:r>
    </w:p>
    <w:p w14:paraId="6EFCD790">
      <w:pPr>
        <w:spacing w:before="142" w:line="360" w:lineRule="auto"/>
        <w:ind w:left="11" w:right="105" w:firstLine="473"/>
        <w:jc w:val="both"/>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本次招标实行电子投标。本项目招标文件随招标公</w:t>
      </w:r>
      <w:r>
        <w:rPr>
          <w:rFonts w:hint="eastAsia" w:ascii="宋体" w:hAnsi="宋体" w:eastAsia="宋体" w:cs="宋体"/>
          <w:color w:val="auto"/>
          <w:spacing w:val="-2"/>
          <w:sz w:val="21"/>
          <w:szCs w:val="21"/>
          <w:highlight w:val="none"/>
        </w:rPr>
        <w:t>告一并在全国公共资源交易平台（广东省·韶关市</w:t>
      </w:r>
      <w:r>
        <w:rPr>
          <w:rFonts w:hint="eastAsia" w:ascii="宋体" w:hAnsi="宋体" w:eastAsia="宋体" w:cs="宋体"/>
          <w:color w:val="auto"/>
          <w:spacing w:val="-56"/>
          <w:sz w:val="21"/>
          <w:szCs w:val="21"/>
          <w:highlight w:val="none"/>
        </w:rPr>
        <w:t>）（</w:t>
      </w:r>
      <w:r>
        <w:rPr>
          <w:rFonts w:hint="eastAsia" w:ascii="宋体" w:hAnsi="宋体" w:eastAsia="宋体" w:cs="宋体"/>
          <w:color w:val="auto"/>
          <w:spacing w:val="-56"/>
          <w:sz w:val="21"/>
          <w:szCs w:val="21"/>
          <w:highlight w:val="none"/>
          <w:lang w:val="en-US" w:eastAsia="zh-CN"/>
        </w:rPr>
        <w:t xml:space="preserve">              </w:t>
      </w:r>
      <w:r>
        <w:rPr>
          <w:rFonts w:hint="eastAsia" w:ascii="宋体" w:hAnsi="宋体" w:eastAsia="宋体" w:cs="宋体"/>
          <w:color w:val="auto"/>
          <w:spacing w:val="-2"/>
          <w:sz w:val="21"/>
          <w:szCs w:val="21"/>
          <w:highlight w:val="none"/>
        </w:rPr>
        <w:t>https://yg</w:t>
      </w:r>
      <w:r>
        <w:rPr>
          <w:rFonts w:hint="eastAsia" w:ascii="宋体" w:hAnsi="宋体" w:eastAsia="宋体" w:cs="宋体"/>
          <w:color w:val="auto"/>
          <w:spacing w:val="-3"/>
          <w:sz w:val="21"/>
          <w:szCs w:val="21"/>
          <w:highlight w:val="none"/>
        </w:rPr>
        <w:t>p.gdzwfw.gov.cn/ggzy-portal/#/440200/index）</w:t>
      </w:r>
      <w:r>
        <w:rPr>
          <w:rFonts w:hint="eastAsia" w:ascii="宋体" w:hAnsi="宋体" w:eastAsia="宋体" w:cs="宋体"/>
          <w:color w:val="auto"/>
          <w:spacing w:val="-1"/>
          <w:sz w:val="21"/>
          <w:szCs w:val="21"/>
          <w:highlight w:val="none"/>
        </w:rPr>
        <w:t>网站发布。招标文件一经发布，视为发送投标人，招标文件及相</w:t>
      </w:r>
      <w:r>
        <w:rPr>
          <w:rFonts w:hint="eastAsia" w:ascii="宋体" w:hAnsi="宋体" w:eastAsia="宋体" w:cs="宋体"/>
          <w:color w:val="auto"/>
          <w:spacing w:val="-2"/>
          <w:sz w:val="21"/>
          <w:szCs w:val="21"/>
          <w:highlight w:val="none"/>
        </w:rPr>
        <w:t>关附件由投标人自行</w:t>
      </w:r>
      <w:r>
        <w:rPr>
          <w:rFonts w:hint="eastAsia" w:ascii="宋体" w:hAnsi="宋体" w:eastAsia="宋体" w:cs="宋体"/>
          <w:color w:val="auto"/>
          <w:spacing w:val="-7"/>
          <w:sz w:val="21"/>
          <w:szCs w:val="21"/>
          <w:highlight w:val="none"/>
        </w:rPr>
        <w:t>在全国公共资源交易平台（广东省·韶关市）网站下载。请于招标文件获取期间（见</w:t>
      </w:r>
      <w:r>
        <w:rPr>
          <w:rFonts w:hint="eastAsia" w:ascii="宋体" w:hAnsi="宋体" w:eastAsia="宋体" w:cs="宋体"/>
          <w:color w:val="auto"/>
          <w:spacing w:val="-2"/>
          <w:sz w:val="21"/>
          <w:szCs w:val="21"/>
          <w:highlight w:val="none"/>
        </w:rPr>
        <w:t>本章第二节“重要事项时间地点一览表”）</w:t>
      </w:r>
      <w:r>
        <w:rPr>
          <w:rFonts w:hint="eastAsia" w:ascii="宋体" w:hAnsi="宋体" w:eastAsia="宋体" w:cs="宋体"/>
          <w:color w:val="auto"/>
          <w:spacing w:val="-2"/>
          <w:sz w:val="21"/>
          <w:szCs w:val="21"/>
          <w:highlight w:val="none"/>
          <w:lang w:eastAsia="zh-CN"/>
        </w:rPr>
        <w:t>招标</w:t>
      </w:r>
      <w:r>
        <w:rPr>
          <w:rFonts w:hint="eastAsia" w:ascii="宋体" w:hAnsi="宋体" w:eastAsia="宋体" w:cs="宋体"/>
          <w:color w:val="auto"/>
          <w:spacing w:val="-2"/>
          <w:sz w:val="21"/>
          <w:szCs w:val="21"/>
          <w:highlight w:val="none"/>
        </w:rPr>
        <w:t>文件获取期间与招标公告发</w:t>
      </w:r>
      <w:r>
        <w:rPr>
          <w:rFonts w:hint="eastAsia" w:ascii="宋体" w:hAnsi="宋体" w:eastAsia="宋体" w:cs="宋体"/>
          <w:color w:val="auto"/>
          <w:spacing w:val="-3"/>
          <w:sz w:val="21"/>
          <w:szCs w:val="21"/>
          <w:highlight w:val="none"/>
        </w:rPr>
        <w:t>布时间</w:t>
      </w:r>
      <w:r>
        <w:rPr>
          <w:rFonts w:hint="eastAsia" w:ascii="宋体" w:hAnsi="宋体" w:eastAsia="宋体" w:cs="宋体"/>
          <w:color w:val="auto"/>
          <w:spacing w:val="-3"/>
          <w:sz w:val="21"/>
          <w:szCs w:val="21"/>
          <w:highlight w:val="none"/>
          <w:lang w:eastAsia="zh-CN"/>
        </w:rPr>
        <w:t>一致</w:t>
      </w:r>
      <w:r>
        <w:rPr>
          <w:rFonts w:hint="eastAsia" w:ascii="宋体" w:hAnsi="宋体" w:eastAsia="宋体" w:cs="宋体"/>
          <w:color w:val="auto"/>
          <w:spacing w:val="-4"/>
          <w:sz w:val="21"/>
          <w:szCs w:val="21"/>
          <w:highlight w:val="none"/>
        </w:rPr>
        <w:t>，投标人须登录全国公共资源交易平台（广东省·韶关市</w:t>
      </w:r>
      <w:r>
        <w:rPr>
          <w:rFonts w:hint="eastAsia" w:ascii="宋体" w:hAnsi="宋体" w:eastAsia="宋体" w:cs="宋体"/>
          <w:color w:val="auto"/>
          <w:spacing w:val="-40"/>
          <w:sz w:val="21"/>
          <w:szCs w:val="21"/>
          <w:highlight w:val="none"/>
        </w:rPr>
        <w:t>）（</w:t>
      </w:r>
      <w:r>
        <w:rPr>
          <w:rFonts w:hint="eastAsia" w:ascii="宋体" w:hAnsi="宋体" w:eastAsia="宋体" w:cs="宋体"/>
          <w:color w:val="auto"/>
          <w:spacing w:val="-40"/>
          <w:sz w:val="21"/>
          <w:szCs w:val="21"/>
          <w:highlight w:val="none"/>
          <w:lang w:val="en-US" w:eastAsia="zh-CN"/>
        </w:rPr>
        <w:t xml:space="preserve">   </w:t>
      </w:r>
      <w:r>
        <w:rPr>
          <w:rFonts w:hint="eastAsia" w:ascii="宋体" w:hAnsi="宋体" w:eastAsia="宋体" w:cs="宋体"/>
          <w:color w:val="auto"/>
          <w:spacing w:val="-4"/>
          <w:sz w:val="21"/>
          <w:szCs w:val="21"/>
          <w:highlight w:val="none"/>
        </w:rPr>
        <w:t>https://ygp.gdzwfw.</w:t>
      </w:r>
      <w:r>
        <w:rPr>
          <w:rFonts w:hint="eastAsia" w:ascii="宋体" w:hAnsi="宋体" w:eastAsia="宋体" w:cs="宋体"/>
          <w:color w:val="auto"/>
          <w:sz w:val="21"/>
          <w:szCs w:val="21"/>
          <w:highlight w:val="none"/>
        </w:rPr>
        <w:t>gov</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ggzy</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portal</w:t>
      </w:r>
      <w:r>
        <w:rPr>
          <w:rFonts w:hint="eastAsia" w:ascii="宋体" w:hAnsi="宋体" w:eastAsia="宋体" w:cs="宋体"/>
          <w:color w:val="auto"/>
          <w:spacing w:val="2"/>
          <w:sz w:val="21"/>
          <w:szCs w:val="21"/>
          <w:highlight w:val="none"/>
        </w:rPr>
        <w:t>/#/440200/</w:t>
      </w:r>
      <w:r>
        <w:rPr>
          <w:rFonts w:hint="eastAsia" w:ascii="宋体" w:hAnsi="宋体" w:eastAsia="宋体" w:cs="宋体"/>
          <w:color w:val="auto"/>
          <w:sz w:val="21"/>
          <w:szCs w:val="21"/>
          <w:highlight w:val="none"/>
        </w:rPr>
        <w:t>index</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7"/>
          <w:sz w:val="21"/>
          <w:szCs w:val="21"/>
          <w:highlight w:val="none"/>
          <w:lang w:eastAsia="zh-CN"/>
        </w:rPr>
        <w:t>使用</w:t>
      </w:r>
      <w:r>
        <w:rPr>
          <w:rFonts w:hint="eastAsia" w:ascii="宋体" w:hAnsi="宋体" w:eastAsia="宋体" w:cs="宋体"/>
          <w:color w:val="auto"/>
          <w:spacing w:val="7"/>
          <w:sz w:val="21"/>
          <w:szCs w:val="21"/>
          <w:highlight w:val="none"/>
          <w:lang w:val="en-US" w:eastAsia="zh-CN"/>
        </w:rPr>
        <w:t>新</w:t>
      </w:r>
      <w:r>
        <w:rPr>
          <w:rFonts w:hint="eastAsia" w:ascii="宋体" w:hAnsi="宋体" w:eastAsia="宋体" w:cs="宋体"/>
          <w:color w:val="auto"/>
          <w:spacing w:val="2"/>
          <w:sz w:val="21"/>
          <w:szCs w:val="21"/>
          <w:highlight w:val="none"/>
        </w:rPr>
        <w:t>建设工程交易系统进行下载</w:t>
      </w:r>
      <w:r>
        <w:rPr>
          <w:rFonts w:hint="eastAsia" w:ascii="宋体" w:hAnsi="宋体" w:eastAsia="宋体" w:cs="宋体"/>
          <w:color w:val="auto"/>
          <w:spacing w:val="1"/>
          <w:sz w:val="21"/>
          <w:szCs w:val="21"/>
          <w:highlight w:val="none"/>
        </w:rPr>
        <w:t>招标文</w:t>
      </w:r>
      <w:r>
        <w:rPr>
          <w:rFonts w:hint="eastAsia" w:ascii="宋体" w:hAnsi="宋体" w:eastAsia="宋体" w:cs="宋体"/>
          <w:color w:val="auto"/>
          <w:spacing w:val="-6"/>
          <w:sz w:val="21"/>
          <w:szCs w:val="21"/>
          <w:highlight w:val="none"/>
        </w:rPr>
        <w:t>件及相关附件，并于电子投标截止时间（见本章第二节“重要事项时间地点一览表”）</w:t>
      </w:r>
      <w:r>
        <w:rPr>
          <w:rFonts w:hint="eastAsia" w:ascii="宋体" w:hAnsi="宋体" w:eastAsia="宋体" w:cs="宋体"/>
          <w:color w:val="auto"/>
          <w:spacing w:val="-2"/>
          <w:sz w:val="21"/>
          <w:szCs w:val="21"/>
          <w:highlight w:val="none"/>
        </w:rPr>
        <w:t>前完成电子投标。投标人可登录全国公共资源交易平</w:t>
      </w:r>
      <w:r>
        <w:rPr>
          <w:rFonts w:hint="eastAsia" w:ascii="宋体" w:hAnsi="宋体" w:eastAsia="宋体" w:cs="宋体"/>
          <w:color w:val="auto"/>
          <w:spacing w:val="-3"/>
          <w:sz w:val="21"/>
          <w:szCs w:val="21"/>
          <w:highlight w:val="none"/>
        </w:rPr>
        <w:t>台（广东省·韶关市</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25"/>
          <w:sz w:val="21"/>
          <w:szCs w:val="21"/>
          <w:highlight w:val="none"/>
          <w:lang w:val="en-US" w:eastAsia="zh-CN"/>
        </w:rPr>
        <w:t xml:space="preserve">   </w:t>
      </w:r>
      <w:r>
        <w:rPr>
          <w:rFonts w:hint="eastAsia" w:ascii="宋体" w:hAnsi="宋体" w:eastAsia="宋体" w:cs="宋体"/>
          <w:color w:val="auto"/>
          <w:spacing w:val="-3"/>
          <w:sz w:val="21"/>
          <w:szCs w:val="21"/>
          <w:highlight w:val="none"/>
        </w:rPr>
        <w:t>https:</w:t>
      </w:r>
      <w:r>
        <w:rPr>
          <w:rFonts w:hint="eastAsia" w:ascii="宋体" w:hAnsi="宋体" w:eastAsia="宋体" w:cs="宋体"/>
          <w:color w:val="auto"/>
          <w:sz w:val="21"/>
          <w:szCs w:val="21"/>
          <w:highlight w:val="none"/>
        </w:rPr>
        <w:t>//ygp.gdzwfw.gov.cn/ggz</w:t>
      </w:r>
      <w:r>
        <w:rPr>
          <w:rFonts w:hint="eastAsia" w:ascii="宋体" w:hAnsi="宋体" w:eastAsia="宋体" w:cs="宋体"/>
          <w:color w:val="auto"/>
          <w:spacing w:val="-1"/>
          <w:sz w:val="21"/>
          <w:szCs w:val="21"/>
          <w:highlight w:val="none"/>
        </w:rPr>
        <w:t>y-portal/#/440200/index</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在【服务指南】栏目中</w:t>
      </w:r>
      <w:r>
        <w:rPr>
          <w:rFonts w:hint="eastAsia" w:ascii="宋体" w:hAnsi="宋体" w:eastAsia="宋体" w:cs="宋体"/>
          <w:color w:val="auto"/>
          <w:spacing w:val="-1"/>
          <w:sz w:val="21"/>
          <w:szCs w:val="21"/>
          <w:highlight w:val="none"/>
          <w:lang w:eastAsia="zh-CN"/>
        </w:rPr>
        <w:t>的建设工程</w:t>
      </w:r>
      <w:r>
        <w:rPr>
          <w:rFonts w:hint="eastAsia" w:ascii="宋体" w:hAnsi="宋体" w:eastAsia="宋体" w:cs="宋体"/>
          <w:color w:val="auto"/>
          <w:spacing w:val="-2"/>
          <w:sz w:val="21"/>
          <w:szCs w:val="21"/>
          <w:highlight w:val="none"/>
        </w:rPr>
        <w:t>交易中下载《韶关市公共资源建设工程交易系统-投</w:t>
      </w:r>
      <w:r>
        <w:rPr>
          <w:rFonts w:hint="eastAsia" w:ascii="宋体" w:hAnsi="宋体" w:eastAsia="宋体" w:cs="宋体"/>
          <w:color w:val="auto"/>
          <w:spacing w:val="-1"/>
          <w:sz w:val="21"/>
          <w:szCs w:val="21"/>
          <w:highlight w:val="none"/>
        </w:rPr>
        <w:t>标人操作指南（电子评标）》（附件 2），了解网上获取招标文件操作流程。技术咨询电话：18819797080</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0751-8379671</w:t>
      </w:r>
      <w:r>
        <w:rPr>
          <w:rFonts w:hint="eastAsia" w:ascii="宋体" w:hAnsi="宋体" w:eastAsia="宋体" w:cs="宋体"/>
          <w:color w:val="auto"/>
          <w:spacing w:val="-1"/>
          <w:sz w:val="21"/>
          <w:szCs w:val="21"/>
          <w:highlight w:val="none"/>
          <w:lang w:eastAsia="zh-CN"/>
        </w:rPr>
        <w:t>（伍先生）</w:t>
      </w:r>
      <w:r>
        <w:rPr>
          <w:rFonts w:hint="eastAsia" w:ascii="宋体" w:hAnsi="宋体" w:eastAsia="宋体" w:cs="宋体"/>
          <w:color w:val="auto"/>
          <w:spacing w:val="-1"/>
          <w:sz w:val="21"/>
          <w:szCs w:val="21"/>
          <w:highlight w:val="none"/>
        </w:rPr>
        <w:t>，业务咨询电话：0751-8633211、8633071。</w:t>
      </w:r>
    </w:p>
    <w:p w14:paraId="68899B1C">
      <w:pPr>
        <w:keepNext w:val="0"/>
        <w:keepLines w:val="0"/>
        <w:pageBreakBefore w:val="0"/>
        <w:widowControl/>
        <w:kinsoku w:val="0"/>
        <w:wordWrap w:val="0"/>
        <w:overflowPunct/>
        <w:topLinePunct w:val="0"/>
        <w:autoSpaceDE w:val="0"/>
        <w:autoSpaceDN w:val="0"/>
        <w:bidi w:val="0"/>
        <w:adjustRightInd w:val="0"/>
        <w:snapToGrid w:val="0"/>
        <w:spacing w:before="142" w:line="360" w:lineRule="auto"/>
        <w:ind w:left="11" w:right="105" w:firstLine="473"/>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3.2  </w:t>
      </w:r>
      <w:r>
        <w:rPr>
          <w:rFonts w:hint="eastAsia" w:ascii="宋体" w:hAnsi="宋体" w:eastAsia="宋体" w:cs="宋体"/>
          <w:color w:val="auto"/>
          <w:spacing w:val="-1"/>
          <w:sz w:val="21"/>
          <w:szCs w:val="21"/>
          <w:highlight w:val="none"/>
        </w:rPr>
        <w:t>只有申领了数字证书（CA）、“粤企签”或</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GDCA/SZCA/NETCA</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等符合法律法规规定的电子印章，并在交易系统中完成企业信息数据入库</w:t>
      </w:r>
      <w:r>
        <w:rPr>
          <w:rFonts w:hint="eastAsia" w:ascii="宋体" w:hAnsi="宋体" w:eastAsia="宋体" w:cs="宋体"/>
          <w:color w:val="auto"/>
          <w:spacing w:val="-2"/>
          <w:sz w:val="21"/>
          <w:szCs w:val="21"/>
          <w:highlight w:val="none"/>
        </w:rPr>
        <w:t>的投标人，方可使用建设</w:t>
      </w:r>
      <w:r>
        <w:rPr>
          <w:rFonts w:hint="eastAsia" w:ascii="宋体" w:hAnsi="宋体" w:eastAsia="宋体" w:cs="宋体"/>
          <w:color w:val="auto"/>
          <w:spacing w:val="-1"/>
          <w:sz w:val="21"/>
          <w:szCs w:val="21"/>
          <w:highlight w:val="none"/>
        </w:rPr>
        <w:t>工程交易系统进行招标文件及附件获取和电子投标。</w:t>
      </w:r>
    </w:p>
    <w:p w14:paraId="66BF8C88">
      <w:pPr>
        <w:keepNext w:val="0"/>
        <w:keepLines w:val="0"/>
        <w:pageBreakBefore w:val="0"/>
        <w:widowControl/>
        <w:kinsoku w:val="0"/>
        <w:wordWrap w:val="0"/>
        <w:overflowPunct/>
        <w:topLinePunct w:val="0"/>
        <w:autoSpaceDE w:val="0"/>
        <w:autoSpaceDN w:val="0"/>
        <w:bidi w:val="0"/>
        <w:adjustRightInd w:val="0"/>
        <w:snapToGrid w:val="0"/>
        <w:spacing w:before="32" w:line="360" w:lineRule="auto"/>
        <w:ind w:left="10" w:right="90" w:firstLine="48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首次在韶关市参与建设工程招标投标活动的</w:t>
      </w:r>
      <w:r>
        <w:rPr>
          <w:rFonts w:hint="eastAsia" w:ascii="宋体" w:hAnsi="宋体" w:eastAsia="宋体" w:cs="宋体"/>
          <w:color w:val="auto"/>
          <w:spacing w:val="-2"/>
          <w:sz w:val="21"/>
          <w:szCs w:val="21"/>
          <w:highlight w:val="none"/>
        </w:rPr>
        <w:t>投标人，必须在平台系统上传企业相</w:t>
      </w:r>
      <w:r>
        <w:rPr>
          <w:rFonts w:hint="eastAsia" w:ascii="宋体" w:hAnsi="宋体" w:eastAsia="宋体" w:cs="宋体"/>
          <w:color w:val="auto"/>
          <w:spacing w:val="-3"/>
          <w:sz w:val="21"/>
          <w:szCs w:val="21"/>
          <w:highlight w:val="none"/>
        </w:rPr>
        <w:t>关资料办理企业入库事宜。投标人可登录全国公共资源</w:t>
      </w:r>
      <w:r>
        <w:rPr>
          <w:rFonts w:hint="eastAsia" w:ascii="宋体" w:hAnsi="宋体" w:eastAsia="宋体" w:cs="宋体"/>
          <w:color w:val="auto"/>
          <w:spacing w:val="-4"/>
          <w:sz w:val="21"/>
          <w:szCs w:val="21"/>
          <w:highlight w:val="none"/>
        </w:rPr>
        <w:t>交易平台（广东省·韶关市）</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"https://ygp.gdzwfw.gov.cn/ggzy-portal/#/440200/index"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1"/>
          <w:sz w:val="21"/>
          <w:szCs w:val="21"/>
          <w:highlight w:val="none"/>
        </w:rPr>
        <w:t>https://ygp.gdzwfw.gov.cn/ggzy-portal/#/440200/index</w:t>
      </w:r>
      <w:r>
        <w:rPr>
          <w:rFonts w:hint="eastAsia" w:ascii="宋体" w:hAnsi="宋体" w:eastAsia="宋体" w:cs="宋体"/>
          <w:color w:val="auto"/>
          <w:spacing w:val="-1"/>
          <w:sz w:val="21"/>
          <w:szCs w:val="21"/>
          <w:highlight w:val="none"/>
        </w:rPr>
        <w:fldChar w:fldCharType="end"/>
      </w:r>
      <w:r>
        <w:rPr>
          <w:rFonts w:hint="eastAsia" w:ascii="宋体" w:hAnsi="宋体" w:eastAsia="宋体" w:cs="宋体"/>
          <w:color w:val="auto"/>
          <w:spacing w:val="-1"/>
          <w:sz w:val="21"/>
          <w:szCs w:val="21"/>
          <w:highlight w:val="none"/>
        </w:rPr>
        <w:t>）办理企业入库、数字证书及电子印章事宜，具体请在平台查阅相应的交易指引。</w:t>
      </w:r>
    </w:p>
    <w:p w14:paraId="2BFC4BF1">
      <w:pPr>
        <w:spacing w:before="37" w:line="360" w:lineRule="auto"/>
        <w:ind w:left="9" w:right="105" w:firstLine="507"/>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已入库企业有关信息（如单位名称、基本账号、资质、人员等）发生变化</w:t>
      </w:r>
      <w:r>
        <w:rPr>
          <w:rFonts w:hint="eastAsia" w:ascii="宋体" w:hAnsi="宋体" w:eastAsia="宋体" w:cs="宋体"/>
          <w:color w:val="auto"/>
          <w:spacing w:val="-3"/>
          <w:sz w:val="21"/>
          <w:szCs w:val="21"/>
          <w:highlight w:val="none"/>
        </w:rPr>
        <w:t>的，须</w:t>
      </w:r>
      <w:r>
        <w:rPr>
          <w:rFonts w:hint="eastAsia" w:ascii="宋体" w:hAnsi="宋体" w:eastAsia="宋体" w:cs="宋体"/>
          <w:color w:val="auto"/>
          <w:spacing w:val="-1"/>
          <w:sz w:val="21"/>
          <w:szCs w:val="21"/>
          <w:highlight w:val="none"/>
        </w:rPr>
        <w:t>及时在交易系统进行相应变更。投标人未及时变更信息而造成的</w:t>
      </w:r>
      <w:r>
        <w:rPr>
          <w:rFonts w:hint="eastAsia" w:ascii="宋体" w:hAnsi="宋体" w:eastAsia="宋体" w:cs="宋体"/>
          <w:color w:val="auto"/>
          <w:spacing w:val="-2"/>
          <w:sz w:val="21"/>
          <w:szCs w:val="21"/>
          <w:highlight w:val="none"/>
        </w:rPr>
        <w:t>损失和后果，由</w:t>
      </w:r>
      <w:r>
        <w:rPr>
          <w:rFonts w:hint="eastAsia" w:ascii="宋体" w:hAnsi="宋体" w:eastAsia="宋体" w:cs="宋体"/>
          <w:color w:val="auto"/>
          <w:spacing w:val="-2"/>
          <w:sz w:val="21"/>
          <w:szCs w:val="21"/>
          <w:highlight w:val="none"/>
          <w:lang w:eastAsia="zh-CN"/>
        </w:rPr>
        <w:t>投标人</w:t>
      </w:r>
      <w:r>
        <w:rPr>
          <w:rFonts w:hint="eastAsia" w:ascii="宋体" w:hAnsi="宋体" w:eastAsia="宋体" w:cs="宋体"/>
          <w:color w:val="auto"/>
          <w:spacing w:val="-2"/>
          <w:sz w:val="21"/>
          <w:szCs w:val="21"/>
          <w:highlight w:val="none"/>
        </w:rPr>
        <w:t>自行承担。</w:t>
      </w:r>
    </w:p>
    <w:p w14:paraId="3B9F37C6">
      <w:pPr>
        <w:spacing w:before="33" w:line="360" w:lineRule="auto"/>
        <w:ind w:left="10" w:right="105" w:firstLine="508"/>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电子印章：是指获得</w:t>
      </w:r>
      <w:r>
        <w:rPr>
          <w:rFonts w:hint="eastAsia" w:ascii="宋体" w:hAnsi="宋体" w:eastAsia="宋体" w:cs="宋体"/>
          <w:color w:val="auto"/>
          <w:spacing w:val="-2"/>
          <w:sz w:val="21"/>
          <w:szCs w:val="21"/>
          <w:highlight w:val="none"/>
          <w:lang w:eastAsia="zh-CN"/>
        </w:rPr>
        <w:t>工业和信息化部</w:t>
      </w:r>
      <w:r>
        <w:rPr>
          <w:rFonts w:hint="eastAsia" w:ascii="宋体" w:hAnsi="宋体" w:eastAsia="宋体" w:cs="宋体"/>
          <w:color w:val="auto"/>
          <w:spacing w:val="-2"/>
          <w:sz w:val="21"/>
          <w:szCs w:val="21"/>
          <w:highlight w:val="none"/>
        </w:rPr>
        <w:t>颁发的《电子认证服务许可</w:t>
      </w:r>
      <w:r>
        <w:rPr>
          <w:rFonts w:hint="eastAsia" w:ascii="宋体" w:hAnsi="宋体" w:eastAsia="宋体" w:cs="宋体"/>
          <w:color w:val="auto"/>
          <w:spacing w:val="-3"/>
          <w:sz w:val="21"/>
          <w:szCs w:val="21"/>
          <w:highlight w:val="none"/>
        </w:rPr>
        <w:t>证》、国家</w:t>
      </w:r>
      <w:r>
        <w:rPr>
          <w:rFonts w:hint="eastAsia" w:ascii="宋体" w:hAnsi="宋体" w:eastAsia="宋体" w:cs="宋体"/>
          <w:color w:val="auto"/>
          <w:spacing w:val="-1"/>
          <w:sz w:val="21"/>
          <w:szCs w:val="21"/>
          <w:highlight w:val="none"/>
        </w:rPr>
        <w:t>密码管理局颁发的《电子认证服务使用密码许可证》等资质，</w:t>
      </w:r>
      <w:r>
        <w:rPr>
          <w:rFonts w:hint="eastAsia" w:ascii="宋体" w:hAnsi="宋体" w:eastAsia="宋体" w:cs="宋体"/>
          <w:color w:val="auto"/>
          <w:spacing w:val="-2"/>
          <w:sz w:val="21"/>
          <w:szCs w:val="21"/>
          <w:highlight w:val="none"/>
        </w:rPr>
        <w:t>具备承担因数字证书原</w:t>
      </w:r>
      <w:r>
        <w:rPr>
          <w:rFonts w:hint="eastAsia" w:ascii="宋体" w:hAnsi="宋体" w:eastAsia="宋体" w:cs="宋体"/>
          <w:color w:val="auto"/>
          <w:spacing w:val="-1"/>
          <w:sz w:val="21"/>
          <w:szCs w:val="21"/>
          <w:highlight w:val="none"/>
        </w:rPr>
        <w:t>因产生纠纷的相关责任的能力，且在广东省内具有数量基础和</w:t>
      </w:r>
      <w:r>
        <w:rPr>
          <w:rFonts w:hint="eastAsia" w:ascii="宋体" w:hAnsi="宋体" w:eastAsia="宋体" w:cs="宋体"/>
          <w:color w:val="auto"/>
          <w:spacing w:val="-2"/>
          <w:sz w:val="21"/>
          <w:szCs w:val="21"/>
          <w:highlight w:val="none"/>
        </w:rPr>
        <w:t>服务能力的依法设立的</w:t>
      </w:r>
      <w:r>
        <w:rPr>
          <w:rFonts w:hint="eastAsia" w:ascii="宋体" w:hAnsi="宋体" w:eastAsia="宋体" w:cs="宋体"/>
          <w:color w:val="auto"/>
          <w:spacing w:val="3"/>
          <w:sz w:val="21"/>
          <w:szCs w:val="21"/>
          <w:highlight w:val="none"/>
        </w:rPr>
        <w:t>电子认证服务机构签发的电子签章认证证书（即</w:t>
      </w:r>
      <w:r>
        <w:rPr>
          <w:rFonts w:hint="eastAsia" w:ascii="宋体" w:hAnsi="宋体" w:eastAsia="宋体" w:cs="宋体"/>
          <w:color w:val="auto"/>
          <w:sz w:val="21"/>
          <w:szCs w:val="21"/>
          <w:highlight w:val="none"/>
        </w:rPr>
        <w:t>CA</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数字证书）。投标人应当到相关</w:t>
      </w:r>
      <w:r>
        <w:rPr>
          <w:rFonts w:hint="eastAsia" w:ascii="宋体" w:hAnsi="宋体" w:eastAsia="宋体" w:cs="宋体"/>
          <w:color w:val="auto"/>
          <w:spacing w:val="-1"/>
          <w:sz w:val="21"/>
          <w:szCs w:val="21"/>
          <w:highlight w:val="none"/>
        </w:rPr>
        <w:t>服务机构办理并取得数字证书介质和应用。电子印章包括机构</w:t>
      </w:r>
      <w:r>
        <w:rPr>
          <w:rFonts w:hint="eastAsia" w:ascii="宋体" w:hAnsi="宋体" w:eastAsia="宋体" w:cs="宋体"/>
          <w:color w:val="auto"/>
          <w:spacing w:val="-2"/>
          <w:sz w:val="21"/>
          <w:szCs w:val="21"/>
          <w:highlight w:val="none"/>
        </w:rPr>
        <w:t>法人电子形式印章，单</w:t>
      </w:r>
      <w:r>
        <w:rPr>
          <w:rFonts w:hint="eastAsia" w:ascii="宋体" w:hAnsi="宋体" w:eastAsia="宋体" w:cs="宋体"/>
          <w:color w:val="auto"/>
          <w:spacing w:val="-1"/>
          <w:sz w:val="21"/>
          <w:szCs w:val="21"/>
          <w:highlight w:val="none"/>
        </w:rPr>
        <w:t>位法定代表人、被委托人及其他个人的电子形式印章。电子印</w:t>
      </w:r>
      <w:r>
        <w:rPr>
          <w:rFonts w:hint="eastAsia" w:ascii="宋体" w:hAnsi="宋体" w:eastAsia="宋体" w:cs="宋体"/>
          <w:color w:val="auto"/>
          <w:spacing w:val="-2"/>
          <w:sz w:val="21"/>
          <w:szCs w:val="21"/>
          <w:highlight w:val="none"/>
        </w:rPr>
        <w:t>章与手写签名或者盖章</w:t>
      </w:r>
      <w:r>
        <w:rPr>
          <w:rFonts w:hint="eastAsia" w:ascii="宋体" w:hAnsi="宋体" w:eastAsia="宋体" w:cs="宋体"/>
          <w:color w:val="auto"/>
          <w:spacing w:val="-1"/>
          <w:sz w:val="21"/>
          <w:szCs w:val="21"/>
          <w:highlight w:val="none"/>
        </w:rPr>
        <w:t>具有同等的法律效力。</w:t>
      </w:r>
    </w:p>
    <w:p w14:paraId="05AB0BB7">
      <w:pPr>
        <w:spacing w:before="33" w:line="360" w:lineRule="auto"/>
        <w:ind w:left="484"/>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3.3</w:t>
      </w:r>
      <w:r>
        <w:rPr>
          <w:rFonts w:hint="eastAsia" w:ascii="宋体" w:hAnsi="宋体" w:eastAsia="宋体" w:cs="宋体"/>
          <w:b/>
          <w:bCs/>
          <w:color w:val="auto"/>
          <w:spacing w:val="8"/>
          <w:sz w:val="21"/>
          <w:szCs w:val="21"/>
          <w:highlight w:val="none"/>
        </w:rPr>
        <w:t xml:space="preserve">  </w:t>
      </w:r>
      <w:r>
        <w:rPr>
          <w:rFonts w:hint="eastAsia" w:ascii="宋体" w:hAnsi="宋体" w:eastAsia="宋体" w:cs="宋体"/>
          <w:color w:val="auto"/>
          <w:spacing w:val="-3"/>
          <w:sz w:val="21"/>
          <w:szCs w:val="21"/>
          <w:highlight w:val="none"/>
        </w:rPr>
        <w:t>投标保证</w:t>
      </w:r>
    </w:p>
    <w:p w14:paraId="050F418D">
      <w:pPr>
        <w:spacing w:before="152" w:line="360" w:lineRule="auto"/>
        <w:ind w:left="8" w:right="105" w:firstLine="47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3.3.1 </w:t>
      </w:r>
      <w:r>
        <w:rPr>
          <w:rFonts w:hint="eastAsia" w:ascii="宋体" w:hAnsi="宋体" w:eastAsia="宋体" w:cs="宋体"/>
          <w:color w:val="auto"/>
          <w:spacing w:val="-1"/>
          <w:sz w:val="21"/>
          <w:szCs w:val="21"/>
          <w:highlight w:val="none"/>
        </w:rPr>
        <w:t>投标人须缴纳金额为</w:t>
      </w:r>
      <w:r>
        <w:rPr>
          <w:rFonts w:hint="eastAsia" w:ascii="宋体" w:hAnsi="宋体" w:eastAsia="宋体" w:cs="宋体"/>
          <w:color w:val="auto"/>
          <w:spacing w:val="-1"/>
          <w:sz w:val="21"/>
          <w:szCs w:val="21"/>
          <w:highlight w:val="none"/>
          <w:lang w:eastAsia="zh-CN"/>
        </w:rPr>
        <w:t>人民币</w:t>
      </w:r>
      <w:r>
        <w:rPr>
          <w:rFonts w:hint="eastAsia" w:ascii="宋体" w:hAnsi="宋体" w:eastAsia="宋体" w:cs="宋体"/>
          <w:color w:val="auto"/>
          <w:spacing w:val="-1"/>
          <w:sz w:val="21"/>
          <w:szCs w:val="21"/>
          <w:highlight w:val="none"/>
          <w:u w:val="single"/>
          <w:lang w:val="en-US" w:eastAsia="zh-CN"/>
        </w:rPr>
        <w:t>伍</w:t>
      </w:r>
      <w:r>
        <w:rPr>
          <w:rFonts w:hint="eastAsia" w:ascii="宋体" w:hAnsi="宋体" w:eastAsia="宋体" w:cs="宋体"/>
          <w:color w:val="auto"/>
          <w:spacing w:val="-1"/>
          <w:sz w:val="21"/>
          <w:szCs w:val="21"/>
          <w:highlight w:val="none"/>
          <w:u w:val="single"/>
          <w:lang w:eastAsia="zh-CN"/>
        </w:rPr>
        <w:t>万元整（￥</w:t>
      </w:r>
      <w:r>
        <w:rPr>
          <w:rFonts w:hint="eastAsia" w:ascii="宋体" w:hAnsi="宋体" w:eastAsia="宋体" w:cs="宋体"/>
          <w:color w:val="auto"/>
          <w:spacing w:val="-1"/>
          <w:sz w:val="21"/>
          <w:szCs w:val="21"/>
          <w:highlight w:val="none"/>
          <w:u w:val="single"/>
          <w:lang w:val="en-US" w:eastAsia="zh-CN"/>
        </w:rPr>
        <w:t>5</w:t>
      </w:r>
      <w:r>
        <w:rPr>
          <w:rFonts w:hint="eastAsia" w:ascii="宋体" w:hAnsi="宋体" w:eastAsia="宋体" w:cs="宋体"/>
          <w:color w:val="auto"/>
          <w:spacing w:val="-1"/>
          <w:sz w:val="21"/>
          <w:szCs w:val="21"/>
          <w:highlight w:val="none"/>
          <w:u w:val="single"/>
          <w:lang w:eastAsia="zh-CN"/>
        </w:rPr>
        <w:t>0000.00）</w:t>
      </w:r>
      <w:r>
        <w:rPr>
          <w:rFonts w:hint="eastAsia" w:ascii="宋体" w:hAnsi="宋体" w:eastAsia="宋体" w:cs="宋体"/>
          <w:color w:val="auto"/>
          <w:spacing w:val="-1"/>
          <w:sz w:val="21"/>
          <w:szCs w:val="21"/>
          <w:highlight w:val="none"/>
        </w:rPr>
        <w:t>的投标保</w:t>
      </w:r>
      <w:r>
        <w:rPr>
          <w:rFonts w:hint="eastAsia" w:ascii="宋体" w:hAnsi="宋体" w:eastAsia="宋体" w:cs="宋体"/>
          <w:color w:val="auto"/>
          <w:spacing w:val="-1"/>
          <w:sz w:val="21"/>
          <w:szCs w:val="21"/>
          <w:highlight w:val="none"/>
          <w:lang w:eastAsia="zh-CN"/>
        </w:rPr>
        <w:t>证，</w:t>
      </w:r>
      <w:r>
        <w:rPr>
          <w:rFonts w:hint="eastAsia" w:ascii="宋体" w:hAnsi="宋体" w:eastAsia="宋体" w:cs="宋体"/>
          <w:snapToGrid w:val="0"/>
          <w:color w:val="auto"/>
          <w:kern w:val="0"/>
          <w:sz w:val="21"/>
          <w:szCs w:val="21"/>
          <w:highlight w:val="none"/>
        </w:rPr>
        <w:t>联合体投标的，由联合体牵头人缴纳</w:t>
      </w:r>
      <w:r>
        <w:rPr>
          <w:rFonts w:hint="eastAsia" w:ascii="宋体" w:hAnsi="宋体" w:eastAsia="宋体" w:cs="宋体"/>
          <w:color w:val="auto"/>
          <w:spacing w:val="-1"/>
          <w:sz w:val="21"/>
          <w:szCs w:val="21"/>
          <w:highlight w:val="none"/>
        </w:rPr>
        <w:t xml:space="preserve">。 </w:t>
      </w:r>
    </w:p>
    <w:p w14:paraId="28067BD7">
      <w:pPr>
        <w:spacing w:before="35" w:line="360" w:lineRule="auto"/>
        <w:ind w:left="12" w:right="108" w:firstLine="471"/>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3.3.2  </w:t>
      </w:r>
      <w:r>
        <w:rPr>
          <w:rFonts w:hint="eastAsia" w:ascii="宋体" w:hAnsi="宋体" w:eastAsia="宋体" w:cs="宋体"/>
          <w:color w:val="auto"/>
          <w:spacing w:val="2"/>
          <w:sz w:val="21"/>
          <w:szCs w:val="21"/>
          <w:highlight w:val="none"/>
        </w:rPr>
        <w:t>投标保证的形式包括投标保证金、投标保证担保、投标保证保险三种</w:t>
      </w:r>
      <w:r>
        <w:rPr>
          <w:rFonts w:hint="eastAsia" w:ascii="宋体" w:hAnsi="宋体" w:eastAsia="宋体" w:cs="宋体"/>
          <w:color w:val="auto"/>
          <w:spacing w:val="1"/>
          <w:sz w:val="21"/>
          <w:szCs w:val="21"/>
          <w:highlight w:val="none"/>
        </w:rPr>
        <w:t>，由</w:t>
      </w:r>
      <w:r>
        <w:rPr>
          <w:rFonts w:hint="eastAsia" w:ascii="宋体" w:hAnsi="宋体" w:eastAsia="宋体" w:cs="宋体"/>
          <w:color w:val="auto"/>
          <w:spacing w:val="-2"/>
          <w:sz w:val="21"/>
          <w:szCs w:val="21"/>
          <w:highlight w:val="none"/>
        </w:rPr>
        <w:t>投标人自主选择。</w:t>
      </w:r>
    </w:p>
    <w:p w14:paraId="353E08E8">
      <w:pPr>
        <w:spacing w:before="78" w:line="360" w:lineRule="auto"/>
        <w:ind w:left="12" w:right="2" w:firstLine="490"/>
        <w:jc w:val="both"/>
        <w:rPr>
          <w:rFonts w:hint="eastAsia" w:ascii="宋体" w:hAnsi="宋体" w:eastAsia="宋体" w:cs="宋体"/>
          <w:color w:val="auto"/>
          <w:spacing w:val="-1"/>
          <w:sz w:val="21"/>
          <w:szCs w:val="21"/>
          <w:highlight w:val="none"/>
        </w:rPr>
      </w:pPr>
      <w:bookmarkStart w:id="26" w:name="bookmark117"/>
      <w:bookmarkEnd w:id="26"/>
      <w:r>
        <w:rPr>
          <w:rFonts w:hint="eastAsia" w:ascii="宋体" w:hAnsi="宋体" w:eastAsia="宋体" w:cs="宋体"/>
          <w:color w:val="auto"/>
          <w:spacing w:val="2"/>
          <w:sz w:val="21"/>
          <w:szCs w:val="21"/>
          <w:highlight w:val="none"/>
        </w:rPr>
        <w:t>（1）采用投标保证金的，投标人在建设工程交易系统获取招</w:t>
      </w:r>
      <w:r>
        <w:rPr>
          <w:rFonts w:hint="eastAsia" w:ascii="宋体" w:hAnsi="宋体" w:eastAsia="宋体" w:cs="宋体"/>
          <w:color w:val="auto"/>
          <w:spacing w:val="1"/>
          <w:sz w:val="21"/>
          <w:szCs w:val="21"/>
          <w:highlight w:val="none"/>
        </w:rPr>
        <w:t>标文件完毕后，即</w:t>
      </w:r>
      <w:r>
        <w:rPr>
          <w:rFonts w:hint="eastAsia" w:ascii="宋体" w:hAnsi="宋体" w:eastAsia="宋体" w:cs="宋体"/>
          <w:color w:val="auto"/>
          <w:spacing w:val="-1"/>
          <w:sz w:val="21"/>
          <w:szCs w:val="21"/>
          <w:highlight w:val="none"/>
        </w:rPr>
        <w:t>可在系统申请缴纳投标保证金，获取本次招标投标保证金缴</w:t>
      </w:r>
      <w:r>
        <w:rPr>
          <w:rFonts w:hint="eastAsia" w:ascii="宋体" w:hAnsi="宋体" w:eastAsia="宋体" w:cs="宋体"/>
          <w:color w:val="auto"/>
          <w:spacing w:val="-2"/>
          <w:sz w:val="21"/>
          <w:szCs w:val="21"/>
          <w:highlight w:val="none"/>
        </w:rPr>
        <w:t>纳账号。投标人必须于投标保证金到账截</w:t>
      </w:r>
      <w:r>
        <w:rPr>
          <w:rFonts w:hint="eastAsia" w:ascii="宋体" w:hAnsi="宋体" w:eastAsia="宋体" w:cs="宋体"/>
          <w:color w:val="auto"/>
          <w:spacing w:val="-1"/>
          <w:sz w:val="21"/>
          <w:szCs w:val="21"/>
          <w:highlight w:val="none"/>
        </w:rPr>
        <w:t>止时间（见本招标文件“重要事项时间地点一览表”）前，从其基本账户将投标保证金转账到指定的缴纳账号。逾期到账的、从非投标人基本账户转出的，其投标无效。</w:t>
      </w:r>
    </w:p>
    <w:p w14:paraId="2D0F206B">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12" w:right="2" w:firstLine="490"/>
        <w:jc w:val="both"/>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（2）采用投标保证担保的，投标人应提交有效的电子保函或保证保险，电子保函或保证保险的有效期不得短于投标有效期。投标人必须在投标保证担保截止时间（详见“重要事项时间地点一览表”）前，使用</w:t>
      </w:r>
      <w:r>
        <w:rPr>
          <w:rFonts w:hint="eastAsia" w:ascii="宋体" w:hAnsi="宋体" w:eastAsia="宋体" w:cs="宋体"/>
          <w:color w:val="auto"/>
          <w:spacing w:val="-1"/>
          <w:sz w:val="21"/>
          <w:szCs w:val="21"/>
          <w:highlight w:val="none"/>
          <w:lang w:eastAsia="zh-CN"/>
        </w:rPr>
        <w:t>建设工程</w:t>
      </w:r>
      <w:r>
        <w:rPr>
          <w:rFonts w:hint="eastAsia" w:ascii="宋体" w:hAnsi="宋体" w:eastAsia="宋体" w:cs="宋体"/>
          <w:color w:val="auto"/>
          <w:spacing w:val="-1"/>
          <w:sz w:val="21"/>
          <w:szCs w:val="21"/>
          <w:highlight w:val="none"/>
        </w:rPr>
        <w:t>交易系统完成网上办理电子保函或保证保险。</w:t>
      </w:r>
    </w:p>
    <w:p w14:paraId="66F9AA94">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12" w:right="2" w:firstLine="490"/>
        <w:jc w:val="both"/>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rPr>
        <w:t>（3）采用投标保证保险的，投标人须在投标保证保险投保截止时间（见本招标文件“重要事项时间地点一览表”）前，使用建设工程交易系统完成网上投保</w:t>
      </w:r>
      <w:r>
        <w:rPr>
          <w:rFonts w:hint="eastAsia" w:ascii="宋体" w:hAnsi="宋体" w:eastAsia="宋体" w:cs="宋体"/>
          <w:color w:val="auto"/>
          <w:spacing w:val="-1"/>
          <w:sz w:val="21"/>
          <w:szCs w:val="21"/>
          <w:highlight w:val="none"/>
          <w:lang w:eastAsia="zh-CN"/>
        </w:rPr>
        <w:t>业务。</w:t>
      </w:r>
      <w:r>
        <w:rPr>
          <w:rFonts w:hint="eastAsia" w:ascii="宋体" w:hAnsi="宋体" w:eastAsia="宋体" w:cs="宋体"/>
          <w:color w:val="auto"/>
          <w:spacing w:val="-1"/>
          <w:sz w:val="21"/>
          <w:szCs w:val="21"/>
          <w:highlight w:val="none"/>
        </w:rPr>
        <w:t>投标人可在系统选择保险机构、录入投保信息、支付保费、打印</w:t>
      </w:r>
      <w:r>
        <w:rPr>
          <w:rFonts w:hint="eastAsia" w:ascii="宋体" w:hAnsi="宋体" w:eastAsia="宋体" w:cs="宋体"/>
          <w:color w:val="auto"/>
          <w:spacing w:val="-2"/>
          <w:sz w:val="21"/>
          <w:szCs w:val="21"/>
          <w:highlight w:val="none"/>
        </w:rPr>
        <w:t>电子保单</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电子保单的有</w:t>
      </w:r>
      <w:r>
        <w:rPr>
          <w:rFonts w:hint="eastAsia" w:ascii="宋体" w:hAnsi="宋体" w:eastAsia="宋体" w:cs="宋体"/>
          <w:color w:val="auto"/>
          <w:spacing w:val="-3"/>
          <w:sz w:val="21"/>
          <w:szCs w:val="21"/>
          <w:highlight w:val="none"/>
        </w:rPr>
        <w:t>效期不得短于投标有效期。投标人可登录全国公共资源交易平台（广东省·韶关市）（</w:t>
      </w:r>
      <w:r>
        <w:rPr>
          <w:rFonts w:hint="eastAsia" w:ascii="宋体" w:hAnsi="宋体" w:eastAsia="宋体" w:cs="宋体"/>
          <w:color w:val="auto"/>
          <w:spacing w:val="-3"/>
          <w:sz w:val="21"/>
          <w:szCs w:val="21"/>
          <w:highlight w:val="none"/>
        </w:rPr>
        <w:fldChar w:fldCharType="begin"/>
      </w:r>
      <w:r>
        <w:rPr>
          <w:rFonts w:hint="eastAsia" w:ascii="宋体" w:hAnsi="宋体" w:eastAsia="宋体" w:cs="宋体"/>
          <w:color w:val="auto"/>
          <w:spacing w:val="-3"/>
          <w:sz w:val="21"/>
          <w:szCs w:val="21"/>
          <w:highlight w:val="none"/>
        </w:rPr>
        <w:instrText xml:space="preserve"> HYPERLINK "https://ygp.gdzwfw.gov.cn/ggzy-portal/#/440200/index" </w:instrText>
      </w:r>
      <w:r>
        <w:rPr>
          <w:rFonts w:hint="eastAsia" w:ascii="宋体" w:hAnsi="宋体" w:eastAsia="宋体" w:cs="宋体"/>
          <w:color w:val="auto"/>
          <w:spacing w:val="-3"/>
          <w:sz w:val="21"/>
          <w:szCs w:val="21"/>
          <w:highlight w:val="none"/>
        </w:rPr>
        <w:fldChar w:fldCharType="separate"/>
      </w:r>
      <w:r>
        <w:rPr>
          <w:rFonts w:hint="eastAsia" w:ascii="宋体" w:hAnsi="宋体" w:eastAsia="宋体" w:cs="宋体"/>
          <w:color w:val="auto"/>
          <w:spacing w:val="-3"/>
          <w:sz w:val="21"/>
          <w:szCs w:val="21"/>
          <w:highlight w:val="none"/>
        </w:rPr>
        <w:t>https://ygp.gdzwfw.gov.cn/ggzy-portal/#/440200/index</w:t>
      </w:r>
      <w:r>
        <w:rPr>
          <w:rFonts w:hint="eastAsia" w:ascii="宋体" w:hAnsi="宋体" w:eastAsia="宋体" w:cs="宋体"/>
          <w:color w:val="auto"/>
          <w:spacing w:val="-3"/>
          <w:sz w:val="21"/>
          <w:szCs w:val="21"/>
          <w:highlight w:val="none"/>
        </w:rPr>
        <w:fldChar w:fldCharType="end"/>
      </w:r>
      <w:r>
        <w:rPr>
          <w:rFonts w:hint="eastAsia" w:ascii="宋体" w:hAnsi="宋体" w:eastAsia="宋体" w:cs="宋体"/>
          <w:color w:val="auto"/>
          <w:spacing w:val="-3"/>
          <w:sz w:val="21"/>
          <w:szCs w:val="21"/>
          <w:highlight w:val="none"/>
        </w:rPr>
        <w:t>），在【服务指南】</w:t>
      </w:r>
      <w:r>
        <w:rPr>
          <w:rFonts w:hint="eastAsia" w:ascii="宋体" w:hAnsi="宋体" w:eastAsia="宋体" w:cs="宋体"/>
          <w:color w:val="auto"/>
          <w:spacing w:val="-3"/>
          <w:sz w:val="21"/>
          <w:szCs w:val="21"/>
          <w:highlight w:val="none"/>
          <w:lang w:eastAsia="zh-CN"/>
        </w:rPr>
        <w:t>栏目</w:t>
      </w:r>
      <w:r>
        <w:rPr>
          <w:rFonts w:hint="eastAsia" w:ascii="宋体" w:hAnsi="宋体" w:eastAsia="宋体" w:cs="宋体"/>
          <w:color w:val="auto"/>
          <w:spacing w:val="-3"/>
          <w:sz w:val="21"/>
          <w:szCs w:val="21"/>
          <w:highlight w:val="none"/>
        </w:rPr>
        <w:t>中下载《建设工程网上交易系统保险保证金缴纳操作指南》，了解网上投保</w:t>
      </w:r>
      <w:r>
        <w:rPr>
          <w:rFonts w:hint="eastAsia" w:ascii="宋体" w:hAnsi="宋体" w:eastAsia="宋体" w:cs="宋体"/>
          <w:color w:val="auto"/>
          <w:spacing w:val="-3"/>
          <w:sz w:val="21"/>
          <w:szCs w:val="21"/>
          <w:highlight w:val="none"/>
          <w:lang w:eastAsia="zh-CN"/>
        </w:rPr>
        <w:t>具体操作</w:t>
      </w:r>
      <w:r>
        <w:rPr>
          <w:rFonts w:hint="eastAsia" w:ascii="宋体" w:hAnsi="宋体" w:eastAsia="宋体" w:cs="宋体"/>
          <w:color w:val="auto"/>
          <w:spacing w:val="-3"/>
          <w:sz w:val="21"/>
          <w:szCs w:val="21"/>
          <w:highlight w:val="none"/>
        </w:rPr>
        <w:t>流程。逾期投保的，其投标无效。</w:t>
      </w:r>
    </w:p>
    <w:p w14:paraId="6CFA3F60">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12" w:right="2" w:firstLine="490"/>
        <w:jc w:val="both"/>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06BEDC68">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12" w:right="2" w:firstLine="49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3.4 </w:t>
      </w:r>
      <w:r>
        <w:rPr>
          <w:rFonts w:hint="eastAsia" w:ascii="宋体" w:hAnsi="宋体" w:eastAsia="宋体" w:cs="宋体"/>
          <w:color w:val="auto"/>
          <w:spacing w:val="-3"/>
          <w:sz w:val="21"/>
          <w:szCs w:val="21"/>
          <w:highlight w:val="none"/>
        </w:rPr>
        <w:t xml:space="preserve"> 若投标人因自身原因未能正确完成获取招标文件</w:t>
      </w:r>
      <w:r>
        <w:rPr>
          <w:rFonts w:hint="eastAsia" w:ascii="宋体" w:hAnsi="宋体" w:eastAsia="宋体" w:cs="宋体"/>
          <w:color w:val="auto"/>
          <w:sz w:val="21"/>
          <w:szCs w:val="21"/>
          <w:highlight w:val="none"/>
        </w:rPr>
        <w:t>、电子投标、缴纳投标保</w:t>
      </w:r>
      <w:r>
        <w:rPr>
          <w:rFonts w:hint="eastAsia" w:ascii="宋体" w:hAnsi="宋体" w:eastAsia="宋体" w:cs="宋体"/>
          <w:color w:val="auto"/>
          <w:sz w:val="21"/>
          <w:szCs w:val="21"/>
          <w:highlight w:val="none"/>
          <w:lang w:eastAsia="zh-CN"/>
        </w:rPr>
        <w:t>证</w:t>
      </w:r>
      <w:r>
        <w:rPr>
          <w:rFonts w:hint="eastAsia" w:ascii="宋体" w:hAnsi="宋体" w:eastAsia="宋体" w:cs="宋体"/>
          <w:color w:val="auto"/>
          <w:spacing w:val="-4"/>
          <w:sz w:val="21"/>
          <w:szCs w:val="21"/>
          <w:highlight w:val="none"/>
        </w:rPr>
        <w:t>的，其投标无效。</w:t>
      </w:r>
    </w:p>
    <w:p w14:paraId="31109792">
      <w:pPr>
        <w:keepNext w:val="0"/>
        <w:keepLines w:val="0"/>
        <w:pageBreakBefore w:val="0"/>
        <w:widowControl/>
        <w:kinsoku w:val="0"/>
        <w:wordWrap w:val="0"/>
        <w:overflowPunct/>
        <w:topLinePunct w:val="0"/>
        <w:autoSpaceDE w:val="0"/>
        <w:autoSpaceDN w:val="0"/>
        <w:bidi w:val="0"/>
        <w:adjustRightInd w:val="0"/>
        <w:snapToGrid w:val="0"/>
        <w:spacing w:before="79" w:line="360" w:lineRule="auto"/>
        <w:ind w:left="487"/>
        <w:textAlignment w:val="baseline"/>
        <w:outlineLvl w:val="2"/>
        <w:rPr>
          <w:rFonts w:hint="eastAsia" w:ascii="宋体" w:hAnsi="宋体" w:eastAsia="宋体" w:cs="宋体"/>
          <w:color w:val="auto"/>
          <w:sz w:val="21"/>
          <w:szCs w:val="21"/>
          <w:highlight w:val="none"/>
        </w:rPr>
      </w:pPr>
      <w:bookmarkStart w:id="27" w:name="bookmark64"/>
      <w:bookmarkEnd w:id="27"/>
      <w:bookmarkStart w:id="28" w:name="bookmark78"/>
      <w:bookmarkEnd w:id="28"/>
      <w:bookmarkStart w:id="29" w:name="_Toc27523"/>
      <w:bookmarkStart w:id="30" w:name="_Toc15498"/>
      <w:r>
        <w:rPr>
          <w:rFonts w:hint="eastAsia" w:ascii="宋体" w:hAnsi="宋体" w:eastAsia="宋体" w:cs="宋体"/>
          <w:b/>
          <w:bCs/>
          <w:color w:val="auto"/>
          <w:spacing w:val="-8"/>
          <w:sz w:val="21"/>
          <w:szCs w:val="21"/>
          <w:highlight w:val="none"/>
        </w:rPr>
        <w:t>4</w:t>
      </w:r>
      <w:r>
        <w:rPr>
          <w:rFonts w:hint="eastAsia" w:ascii="宋体" w:hAnsi="宋体" w:eastAsia="宋体" w:cs="宋体"/>
          <w:b/>
          <w:bCs/>
          <w:color w:val="auto"/>
          <w:spacing w:val="-8"/>
          <w:sz w:val="21"/>
          <w:szCs w:val="21"/>
          <w:highlight w:val="none"/>
          <w:lang w:eastAsia="zh-CN"/>
        </w:rPr>
        <w:t xml:space="preserve">. </w:t>
      </w:r>
      <w:r>
        <w:rPr>
          <w:rFonts w:hint="eastAsia" w:ascii="宋体" w:hAnsi="宋体" w:eastAsia="宋体" w:cs="宋体"/>
          <w:b/>
          <w:bCs/>
          <w:color w:val="auto"/>
          <w:spacing w:val="-8"/>
          <w:sz w:val="21"/>
          <w:szCs w:val="21"/>
          <w:highlight w:val="none"/>
        </w:rPr>
        <w:t>工期要求</w:t>
      </w:r>
      <w:bookmarkEnd w:id="29"/>
      <w:bookmarkEnd w:id="30"/>
    </w:p>
    <w:p w14:paraId="492DB599">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30" w:right="65" w:firstLine="46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本招标项目施工工期为</w:t>
      </w:r>
      <w:r>
        <w:rPr>
          <w:rFonts w:hint="eastAsia" w:ascii="宋体" w:hAnsi="宋体" w:eastAsia="宋体" w:cs="宋体"/>
          <w:color w:val="auto"/>
          <w:spacing w:val="-5"/>
          <w:sz w:val="21"/>
          <w:szCs w:val="21"/>
          <w:highlight w:val="none"/>
          <w:u w:val="single"/>
          <w:lang w:val="en-US" w:eastAsia="zh-CN"/>
        </w:rPr>
        <w:t>120</w:t>
      </w:r>
      <w:r>
        <w:rPr>
          <w:rFonts w:hint="eastAsia" w:ascii="宋体" w:hAnsi="宋体" w:eastAsia="宋体" w:cs="宋体"/>
          <w:color w:val="auto"/>
          <w:spacing w:val="-5"/>
          <w:sz w:val="21"/>
          <w:szCs w:val="21"/>
          <w:highlight w:val="none"/>
          <w:lang w:val="en-US" w:eastAsia="zh-CN"/>
        </w:rPr>
        <w:t>个日历天</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lang w:val="en-US" w:eastAsia="zh-CN"/>
        </w:rPr>
        <w:t>注：监理单位签发开工令之日起计，至工程竣工验收合格之日止），中标人</w:t>
      </w:r>
      <w:r>
        <w:rPr>
          <w:rFonts w:hint="eastAsia" w:ascii="宋体" w:hAnsi="宋体" w:eastAsia="宋体" w:cs="宋体"/>
          <w:color w:val="auto"/>
          <w:spacing w:val="-5"/>
          <w:sz w:val="21"/>
          <w:szCs w:val="21"/>
          <w:highlight w:val="none"/>
        </w:rPr>
        <w:t>必须在招标工期内完成招标范围内的全部内容。</w:t>
      </w:r>
    </w:p>
    <w:p w14:paraId="6CEF653C">
      <w:pPr>
        <w:spacing w:before="78" w:line="360" w:lineRule="auto"/>
        <w:ind w:left="488"/>
        <w:outlineLvl w:val="2"/>
        <w:rPr>
          <w:rFonts w:hint="eastAsia" w:ascii="宋体" w:hAnsi="宋体" w:eastAsia="宋体" w:cs="宋体"/>
          <w:color w:val="auto"/>
          <w:sz w:val="21"/>
          <w:szCs w:val="21"/>
          <w:highlight w:val="none"/>
        </w:rPr>
      </w:pPr>
      <w:bookmarkStart w:id="31" w:name="_Toc4154"/>
      <w:bookmarkStart w:id="32" w:name="_Toc16239"/>
      <w:r>
        <w:rPr>
          <w:rFonts w:hint="eastAsia" w:ascii="宋体" w:hAnsi="宋体" w:eastAsia="宋体" w:cs="宋体"/>
          <w:b/>
          <w:bCs/>
          <w:color w:val="auto"/>
          <w:spacing w:val="-5"/>
          <w:sz w:val="21"/>
          <w:szCs w:val="21"/>
          <w:highlight w:val="none"/>
        </w:rPr>
        <w:t>5</w:t>
      </w:r>
      <w:r>
        <w:rPr>
          <w:rFonts w:hint="eastAsia" w:ascii="宋体" w:hAnsi="宋体" w:eastAsia="宋体" w:cs="宋体"/>
          <w:b/>
          <w:bCs/>
          <w:color w:val="auto"/>
          <w:spacing w:val="-5"/>
          <w:sz w:val="21"/>
          <w:szCs w:val="21"/>
          <w:highlight w:val="none"/>
          <w:lang w:eastAsia="zh-CN"/>
        </w:rPr>
        <w:t xml:space="preserve">. </w:t>
      </w:r>
      <w:r>
        <w:rPr>
          <w:rFonts w:hint="eastAsia" w:ascii="宋体" w:hAnsi="宋体" w:eastAsia="宋体" w:cs="宋体"/>
          <w:b/>
          <w:bCs/>
          <w:color w:val="auto"/>
          <w:spacing w:val="-5"/>
          <w:sz w:val="21"/>
          <w:szCs w:val="21"/>
          <w:highlight w:val="none"/>
        </w:rPr>
        <w:t>质量标准和材料、机械要求</w:t>
      </w:r>
      <w:bookmarkEnd w:id="31"/>
      <w:bookmarkEnd w:id="32"/>
    </w:p>
    <w:p w14:paraId="6580E484">
      <w:pPr>
        <w:spacing w:before="154" w:line="360" w:lineRule="auto"/>
        <w:ind w:left="11" w:right="99" w:firstLine="477"/>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5.1  </w:t>
      </w:r>
      <w:r>
        <w:rPr>
          <w:rFonts w:hint="eastAsia" w:ascii="宋体" w:hAnsi="宋体" w:eastAsia="宋体" w:cs="宋体"/>
          <w:color w:val="auto"/>
          <w:sz w:val="21"/>
          <w:szCs w:val="21"/>
          <w:highlight w:val="none"/>
        </w:rPr>
        <w:t>施工工艺严格按照国家和广东省的有关现行施工技术规范及标准执行，工程</w:t>
      </w:r>
      <w:r>
        <w:rPr>
          <w:rFonts w:hint="eastAsia" w:ascii="宋体" w:hAnsi="宋体" w:eastAsia="宋体" w:cs="宋体"/>
          <w:color w:val="auto"/>
          <w:spacing w:val="-1"/>
          <w:sz w:val="21"/>
          <w:szCs w:val="21"/>
          <w:highlight w:val="none"/>
        </w:rPr>
        <w:t>质量标准须</w:t>
      </w:r>
      <w:r>
        <w:rPr>
          <w:rFonts w:hint="eastAsia" w:ascii="宋体" w:hAnsi="宋体" w:eastAsia="宋体" w:cs="宋体"/>
          <w:color w:val="auto"/>
          <w:spacing w:val="-1"/>
          <w:sz w:val="21"/>
          <w:szCs w:val="21"/>
          <w:highlight w:val="none"/>
          <w:lang w:eastAsia="zh-CN"/>
        </w:rPr>
        <w:t>达到</w:t>
      </w:r>
      <w:r>
        <w:rPr>
          <w:rFonts w:hint="eastAsia" w:ascii="宋体" w:hAnsi="宋体" w:eastAsia="宋体" w:cs="宋体"/>
          <w:color w:val="auto"/>
          <w:kern w:val="0"/>
          <w:sz w:val="21"/>
          <w:szCs w:val="21"/>
          <w:highlight w:val="none"/>
          <w:u w:val="single"/>
          <w:lang w:val="en-US" w:eastAsia="zh-CN" w:bidi="ar"/>
        </w:rPr>
        <w:t>现行国家有关工程施工质量验收规范和标准的要求</w:t>
      </w:r>
      <w:r>
        <w:rPr>
          <w:rFonts w:hint="eastAsia" w:ascii="宋体" w:hAnsi="宋体" w:eastAsia="宋体" w:cs="宋体"/>
          <w:color w:val="auto"/>
          <w:spacing w:val="-1"/>
          <w:sz w:val="21"/>
          <w:szCs w:val="21"/>
          <w:highlight w:val="none"/>
        </w:rPr>
        <w:t>。</w:t>
      </w:r>
    </w:p>
    <w:p w14:paraId="549FF2FB">
      <w:pPr>
        <w:spacing w:before="154" w:line="360" w:lineRule="auto"/>
        <w:ind w:left="10" w:right="99" w:firstLine="558"/>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5.2</w:t>
      </w:r>
      <w:r>
        <w:rPr>
          <w:rFonts w:hint="eastAsia" w:ascii="宋体" w:hAnsi="宋体" w:eastAsia="宋体" w:cs="宋体"/>
          <w:b/>
          <w:bCs/>
          <w:color w:val="auto"/>
          <w:spacing w:val="21"/>
          <w:w w:val="101"/>
          <w:sz w:val="21"/>
          <w:szCs w:val="21"/>
          <w:highlight w:val="none"/>
        </w:rPr>
        <w:t xml:space="preserve"> </w:t>
      </w:r>
      <w:r>
        <w:rPr>
          <w:rFonts w:hint="eastAsia" w:ascii="宋体" w:hAnsi="宋体" w:eastAsia="宋体" w:cs="宋体"/>
          <w:color w:val="auto"/>
          <w:spacing w:val="-3"/>
          <w:sz w:val="21"/>
          <w:szCs w:val="21"/>
          <w:highlight w:val="none"/>
        </w:rPr>
        <w:t>中标人在施工中如果工程质量不符合设计要求和有关规定，招标人或监理单</w:t>
      </w:r>
      <w:r>
        <w:rPr>
          <w:rFonts w:hint="eastAsia" w:ascii="宋体" w:hAnsi="宋体" w:eastAsia="宋体" w:cs="宋体"/>
          <w:color w:val="auto"/>
          <w:sz w:val="21"/>
          <w:szCs w:val="21"/>
          <w:highlight w:val="none"/>
        </w:rPr>
        <w:t>位要求停工和返工的必须立即执行，并承担由此产生的各</w:t>
      </w:r>
      <w:r>
        <w:rPr>
          <w:rFonts w:hint="eastAsia" w:ascii="宋体" w:hAnsi="宋体" w:eastAsia="宋体" w:cs="宋体"/>
          <w:color w:val="auto"/>
          <w:spacing w:val="-1"/>
          <w:sz w:val="21"/>
          <w:szCs w:val="21"/>
          <w:highlight w:val="none"/>
        </w:rPr>
        <w:t>种费用，工期不予顺延。</w:t>
      </w:r>
    </w:p>
    <w:p w14:paraId="1B48C340">
      <w:pPr>
        <w:spacing w:before="152" w:line="360" w:lineRule="auto"/>
        <w:ind w:left="9" w:firstLine="568"/>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6"/>
          <w:sz w:val="21"/>
          <w:szCs w:val="21"/>
          <w:highlight w:val="none"/>
        </w:rPr>
        <w:t xml:space="preserve">5.3  </w:t>
      </w:r>
      <w:r>
        <w:rPr>
          <w:rFonts w:hint="eastAsia" w:ascii="宋体" w:hAnsi="宋体" w:eastAsia="宋体" w:cs="宋体"/>
          <w:color w:val="auto"/>
          <w:spacing w:val="-6"/>
          <w:sz w:val="21"/>
          <w:szCs w:val="21"/>
          <w:highlight w:val="none"/>
        </w:rPr>
        <w:t>保修期限按《建设工程质量管理条例》（中华人民共和国国务院令第</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6"/>
          <w:sz w:val="21"/>
          <w:szCs w:val="21"/>
          <w:highlight w:val="none"/>
        </w:rPr>
        <w:t>279</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6"/>
          <w:sz w:val="21"/>
          <w:szCs w:val="21"/>
          <w:highlight w:val="none"/>
        </w:rPr>
        <w:t>号）</w:t>
      </w:r>
      <w:r>
        <w:rPr>
          <w:rFonts w:hint="eastAsia" w:ascii="宋体" w:hAnsi="宋体" w:eastAsia="宋体" w:cs="宋体"/>
          <w:color w:val="auto"/>
          <w:spacing w:val="-1"/>
          <w:sz w:val="21"/>
          <w:szCs w:val="21"/>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60" w:lineRule="auto"/>
        <w:ind w:left="9" w:firstLine="568"/>
        <w:rPr>
          <w:rFonts w:hint="eastAsia" w:ascii="宋体" w:hAnsi="宋体" w:eastAsia="宋体" w:cs="宋体"/>
          <w:color w:val="auto"/>
          <w:spacing w:val="-6"/>
          <w:sz w:val="21"/>
          <w:szCs w:val="21"/>
          <w:highlight w:val="none"/>
        </w:rPr>
      </w:pPr>
      <w:r>
        <w:rPr>
          <w:rFonts w:hint="eastAsia" w:ascii="宋体" w:hAnsi="宋体" w:eastAsia="宋体" w:cs="宋体"/>
          <w:b/>
          <w:bCs/>
          <w:color w:val="auto"/>
          <w:spacing w:val="-1"/>
          <w:sz w:val="21"/>
          <w:szCs w:val="21"/>
          <w:highlight w:val="none"/>
        </w:rPr>
        <w:t>5.4</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6"/>
          <w:sz w:val="21"/>
          <w:szCs w:val="21"/>
          <w:highlight w:val="none"/>
          <w:lang w:val="en-US" w:eastAsia="zh-CN"/>
        </w:rPr>
        <w:t>根据韶关市人民政府《关于加快推进全市绿色建筑发展工作的通知》（韶府办明电〔2013〕277 号）有关规定，结合《韶关市住建管理局关于贯彻落实〈广东省绿色建筑条例〉有关工作的通知》（韶市建字〔2021〕85 号）等有关规定，</w:t>
      </w:r>
      <w:r>
        <w:rPr>
          <w:rFonts w:hint="eastAsia" w:ascii="宋体" w:hAnsi="宋体" w:eastAsia="宋体" w:cs="宋体"/>
          <w:color w:val="auto"/>
          <w:spacing w:val="-6"/>
          <w:sz w:val="21"/>
          <w:szCs w:val="21"/>
          <w:highlight w:val="none"/>
        </w:rPr>
        <w:t>本招标项目</w:t>
      </w:r>
      <w:r>
        <w:rPr>
          <w:rFonts w:hint="eastAsia" w:ascii="宋体" w:hAnsi="宋体" w:eastAsia="宋体" w:cs="宋体"/>
          <w:color w:val="auto"/>
          <w:spacing w:val="-6"/>
          <w:sz w:val="21"/>
          <w:szCs w:val="21"/>
          <w:highlight w:val="none"/>
          <w:lang w:val="en-US" w:eastAsia="zh-CN"/>
        </w:rPr>
        <w:t>不</w:t>
      </w:r>
      <w:r>
        <w:rPr>
          <w:rFonts w:hint="eastAsia" w:ascii="宋体" w:hAnsi="宋体" w:eastAsia="宋体" w:cs="宋体"/>
          <w:color w:val="auto"/>
          <w:spacing w:val="-6"/>
          <w:sz w:val="21"/>
          <w:szCs w:val="21"/>
          <w:highlight w:val="none"/>
        </w:rPr>
        <w:t>纳入绿色建设实施范围</w:t>
      </w:r>
      <w:r>
        <w:rPr>
          <w:rFonts w:hint="eastAsia" w:ascii="宋体" w:hAnsi="宋体" w:eastAsia="宋体" w:cs="宋体"/>
          <w:color w:val="auto"/>
          <w:spacing w:val="-6"/>
          <w:sz w:val="21"/>
          <w:szCs w:val="21"/>
          <w:highlight w:val="none"/>
          <w:lang w:eastAsia="zh-CN"/>
        </w:rPr>
        <w:t>。</w:t>
      </w:r>
    </w:p>
    <w:p w14:paraId="3EA8CECA">
      <w:pPr>
        <w:spacing w:before="152" w:line="360" w:lineRule="auto"/>
        <w:ind w:left="9" w:firstLine="568"/>
        <w:rPr>
          <w:rFonts w:hint="eastAsia" w:ascii="宋体" w:hAnsi="宋体" w:eastAsia="宋体" w:cs="宋体"/>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rPr>
        <w:t>5.5</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lang w:eastAsia="zh-CN"/>
        </w:rPr>
        <w:t>其他</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lang w:eastAsia="zh-CN"/>
        </w:rPr>
        <w:t>本招标项目</w:t>
      </w:r>
      <w:r>
        <w:rPr>
          <w:rFonts w:hint="eastAsia" w:ascii="宋体" w:hAnsi="宋体" w:eastAsia="宋体" w:cs="宋体"/>
          <w:color w:val="auto"/>
          <w:spacing w:val="-1"/>
          <w:sz w:val="21"/>
          <w:szCs w:val="21"/>
          <w:highlight w:val="none"/>
          <w:lang w:val="en-US" w:eastAsia="zh-CN"/>
        </w:rPr>
        <w:t>不</w:t>
      </w:r>
      <w:r>
        <w:rPr>
          <w:rFonts w:hint="eastAsia" w:ascii="宋体" w:hAnsi="宋体" w:eastAsia="宋体" w:cs="宋体"/>
          <w:color w:val="auto"/>
          <w:spacing w:val="-1"/>
          <w:sz w:val="21"/>
          <w:szCs w:val="21"/>
          <w:highlight w:val="none"/>
          <w:lang w:eastAsia="zh-CN"/>
        </w:rPr>
        <w:t>纳入装配式建造实施范围。</w:t>
      </w:r>
    </w:p>
    <w:p w14:paraId="529B9570">
      <w:pPr>
        <w:spacing w:before="152" w:line="360" w:lineRule="auto"/>
        <w:ind w:left="9" w:firstLine="568"/>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1"/>
          <w:sz w:val="21"/>
          <w:szCs w:val="21"/>
          <w:highlight w:val="none"/>
        </w:rPr>
        <w:t>5.6</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lang w:eastAsia="zh-CN"/>
        </w:rPr>
        <w:t>其他</w:t>
      </w:r>
      <w:r>
        <w:rPr>
          <w:rFonts w:hint="eastAsia" w:ascii="宋体" w:hAnsi="宋体" w:eastAsia="宋体" w:cs="宋体"/>
          <w:color w:val="auto"/>
          <w:spacing w:val="-1"/>
          <w:sz w:val="21"/>
          <w:szCs w:val="21"/>
          <w:highlight w:val="none"/>
        </w:rPr>
        <w:t>：本招标文件（包括答疑纪要、补充及修改文件）中招标人对材料或设备有明确要求的，投标人必须响应招标人要求</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如投标人在投标文</w:t>
      </w:r>
      <w:r>
        <w:rPr>
          <w:rFonts w:hint="eastAsia" w:ascii="宋体" w:hAnsi="宋体" w:eastAsia="宋体" w:cs="宋体"/>
          <w:color w:val="auto"/>
          <w:spacing w:val="-1"/>
          <w:sz w:val="21"/>
          <w:szCs w:val="21"/>
          <w:highlight w:val="none"/>
          <w:lang w:eastAsia="zh-CN"/>
        </w:rPr>
        <w:t>件中未</w:t>
      </w:r>
      <w:r>
        <w:rPr>
          <w:rFonts w:hint="eastAsia" w:ascii="宋体" w:hAnsi="宋体" w:eastAsia="宋体" w:cs="宋体"/>
          <w:color w:val="auto"/>
          <w:spacing w:val="-1"/>
          <w:sz w:val="21"/>
          <w:szCs w:val="21"/>
          <w:highlight w:val="none"/>
        </w:rPr>
        <w:t>明确</w:t>
      </w:r>
      <w:r>
        <w:rPr>
          <w:rFonts w:hint="eastAsia" w:ascii="宋体" w:hAnsi="宋体" w:eastAsia="宋体" w:cs="宋体"/>
          <w:color w:val="auto"/>
          <w:spacing w:val="-1"/>
          <w:sz w:val="21"/>
          <w:szCs w:val="21"/>
          <w:highlight w:val="none"/>
          <w:lang w:eastAsia="zh-CN"/>
        </w:rPr>
        <w:t>响应，视为</w:t>
      </w:r>
      <w:r>
        <w:rPr>
          <w:rFonts w:hint="eastAsia" w:ascii="宋体" w:hAnsi="宋体" w:eastAsia="宋体" w:cs="宋体"/>
          <w:color w:val="auto"/>
          <w:spacing w:val="-1"/>
          <w:sz w:val="21"/>
          <w:szCs w:val="21"/>
          <w:highlight w:val="none"/>
        </w:rPr>
        <w:t>默认；或投标人在投标文件</w:t>
      </w:r>
      <w:r>
        <w:rPr>
          <w:rFonts w:hint="eastAsia" w:ascii="宋体" w:hAnsi="宋体" w:eastAsia="宋体" w:cs="宋体"/>
          <w:color w:val="auto"/>
          <w:spacing w:val="-1"/>
          <w:sz w:val="21"/>
          <w:szCs w:val="21"/>
          <w:highlight w:val="none"/>
          <w:lang w:eastAsia="zh-CN"/>
        </w:rPr>
        <w:t>中</w:t>
      </w:r>
      <w:r>
        <w:rPr>
          <w:rFonts w:hint="eastAsia" w:ascii="宋体" w:hAnsi="宋体" w:eastAsia="宋体" w:cs="宋体"/>
          <w:color w:val="auto"/>
          <w:spacing w:val="-1"/>
          <w:sz w:val="21"/>
          <w:szCs w:val="21"/>
          <w:highlight w:val="none"/>
        </w:rPr>
        <w:t>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则中标人必须使用合格材料或设备。</w:t>
      </w:r>
    </w:p>
    <w:p w14:paraId="37A216BB">
      <w:pPr>
        <w:spacing w:before="152" w:line="360" w:lineRule="auto"/>
        <w:ind w:left="9" w:firstLine="568"/>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1"/>
          <w:sz w:val="21"/>
          <w:szCs w:val="21"/>
          <w:highlight w:val="none"/>
        </w:rPr>
        <w:t>5.</w:t>
      </w:r>
      <w:r>
        <w:rPr>
          <w:rFonts w:hint="eastAsia" w:ascii="宋体" w:hAnsi="宋体" w:eastAsia="宋体" w:cs="宋体"/>
          <w:b/>
          <w:bCs/>
          <w:color w:val="auto"/>
          <w:spacing w:val="-1"/>
          <w:sz w:val="21"/>
          <w:szCs w:val="21"/>
          <w:highlight w:val="none"/>
          <w:lang w:eastAsia="zh-CN"/>
        </w:rPr>
        <w:t>7</w:t>
      </w:r>
      <w:r>
        <w:rPr>
          <w:rFonts w:hint="eastAsia" w:ascii="宋体" w:hAnsi="宋体" w:eastAsia="宋体" w:cs="宋体"/>
          <w:color w:val="auto"/>
          <w:spacing w:val="-1"/>
          <w:sz w:val="21"/>
          <w:szCs w:val="21"/>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bookmarkStart w:id="33" w:name="_Toc10302"/>
      <w:bookmarkStart w:id="34" w:name="_Toc7763"/>
    </w:p>
    <w:p w14:paraId="0A919352">
      <w:pPr>
        <w:spacing w:before="152" w:line="360" w:lineRule="auto"/>
        <w:ind w:left="9" w:firstLine="568"/>
        <w:rPr>
          <w:rFonts w:hint="eastAsia" w:ascii="宋体" w:hAnsi="宋体" w:eastAsia="宋体" w:cs="宋体"/>
          <w:b/>
          <w:bCs/>
          <w:color w:val="auto"/>
          <w:spacing w:val="-6"/>
          <w:sz w:val="21"/>
          <w:szCs w:val="21"/>
          <w:highlight w:val="none"/>
        </w:rPr>
      </w:pPr>
    </w:p>
    <w:p w14:paraId="6DC237AB">
      <w:pPr>
        <w:spacing w:before="152" w:line="360" w:lineRule="auto"/>
        <w:ind w:left="9" w:firstLine="568"/>
        <w:rPr>
          <w:rFonts w:hint="eastAsia" w:ascii="宋体" w:hAnsi="宋体" w:eastAsia="宋体" w:cs="宋体"/>
          <w:b/>
          <w:bCs/>
          <w:color w:val="auto"/>
          <w:spacing w:val="-6"/>
          <w:sz w:val="21"/>
          <w:szCs w:val="21"/>
          <w:highlight w:val="none"/>
        </w:rPr>
      </w:pPr>
    </w:p>
    <w:p w14:paraId="4A8A6FE1">
      <w:pPr>
        <w:spacing w:before="152" w:line="360" w:lineRule="auto"/>
        <w:ind w:left="9" w:firstLine="568"/>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6</w:t>
      </w:r>
      <w:r>
        <w:rPr>
          <w:rFonts w:hint="eastAsia" w:ascii="宋体" w:hAnsi="宋体" w:eastAsia="宋体" w:cs="宋体"/>
          <w:b/>
          <w:bCs/>
          <w:color w:val="auto"/>
          <w:spacing w:val="-6"/>
          <w:sz w:val="21"/>
          <w:szCs w:val="21"/>
          <w:highlight w:val="none"/>
          <w:lang w:eastAsia="zh-CN"/>
        </w:rPr>
        <w:t xml:space="preserve">. </w:t>
      </w:r>
      <w:r>
        <w:rPr>
          <w:rFonts w:hint="eastAsia" w:ascii="宋体" w:hAnsi="宋体" w:eastAsia="宋体" w:cs="宋体"/>
          <w:b/>
          <w:bCs/>
          <w:color w:val="auto"/>
          <w:spacing w:val="-6"/>
          <w:sz w:val="21"/>
          <w:szCs w:val="21"/>
          <w:highlight w:val="none"/>
        </w:rPr>
        <w:t>施工条件及现场踏勘</w:t>
      </w:r>
      <w:bookmarkEnd w:id="33"/>
      <w:bookmarkEnd w:id="34"/>
    </w:p>
    <w:p w14:paraId="4C828FEF">
      <w:pPr>
        <w:spacing w:before="155" w:line="360" w:lineRule="auto"/>
        <w:ind w:left="12" w:right="99" w:firstLine="556"/>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 xml:space="preserve">6.1  </w:t>
      </w:r>
      <w:r>
        <w:rPr>
          <w:rFonts w:hint="eastAsia" w:ascii="宋体" w:hAnsi="宋体" w:eastAsia="宋体" w:cs="宋体"/>
          <w:color w:val="auto"/>
          <w:spacing w:val="-2"/>
          <w:sz w:val="21"/>
          <w:szCs w:val="21"/>
          <w:highlight w:val="none"/>
        </w:rPr>
        <w:t>招标人仅在本招标项目征地红线范围内提供场地，其他一切场地费用由中标人自行负责（含临时道路）。</w:t>
      </w:r>
    </w:p>
    <w:p w14:paraId="2BD082AA">
      <w:pPr>
        <w:spacing w:before="155" w:line="360" w:lineRule="auto"/>
        <w:ind w:left="12" w:right="99" w:firstLine="556"/>
        <w:rPr>
          <w:rFonts w:hint="eastAsia" w:ascii="宋体" w:hAnsi="宋体" w:eastAsia="宋体" w:cs="宋体"/>
          <w:color w:val="auto"/>
          <w:spacing w:val="-2"/>
          <w:sz w:val="21"/>
          <w:szCs w:val="21"/>
          <w:highlight w:val="none"/>
        </w:rPr>
      </w:pPr>
      <w:bookmarkStart w:id="35" w:name="bookmark118"/>
      <w:bookmarkEnd w:id="35"/>
      <w:r>
        <w:rPr>
          <w:rFonts w:hint="eastAsia" w:ascii="宋体" w:hAnsi="宋体" w:eastAsia="宋体" w:cs="宋体"/>
          <w:b/>
          <w:bCs/>
          <w:color w:val="auto"/>
          <w:spacing w:val="-2"/>
          <w:sz w:val="21"/>
          <w:szCs w:val="21"/>
          <w:highlight w:val="none"/>
        </w:rPr>
        <w:t>6.2</w:t>
      </w:r>
      <w:r>
        <w:rPr>
          <w:rFonts w:hint="eastAsia" w:ascii="宋体" w:hAnsi="宋体" w:eastAsia="宋体" w:cs="宋体"/>
          <w:color w:val="auto"/>
          <w:spacing w:val="-2"/>
          <w:sz w:val="21"/>
          <w:szCs w:val="21"/>
          <w:highlight w:val="none"/>
        </w:rPr>
        <w:t xml:space="preserve">  施工用水：</w:t>
      </w:r>
      <w:r>
        <w:rPr>
          <w:rFonts w:hint="eastAsia" w:ascii="宋体" w:hAnsi="宋体" w:eastAsia="宋体" w:cs="宋体"/>
          <w:color w:val="auto"/>
          <w:spacing w:val="-2"/>
          <w:sz w:val="21"/>
          <w:szCs w:val="21"/>
          <w:highlight w:val="none"/>
          <w:u w:val="single"/>
        </w:rPr>
        <w:t>由中标人自行解决，费用考虑在投标报价中</w:t>
      </w:r>
      <w:r>
        <w:rPr>
          <w:rFonts w:hint="eastAsia" w:ascii="宋体" w:hAnsi="宋体" w:eastAsia="宋体" w:cs="宋体"/>
          <w:color w:val="auto"/>
          <w:spacing w:val="-2"/>
          <w:sz w:val="21"/>
          <w:szCs w:val="21"/>
          <w:highlight w:val="none"/>
        </w:rPr>
        <w:t>。</w:t>
      </w:r>
    </w:p>
    <w:p w14:paraId="1C5809E9">
      <w:pPr>
        <w:spacing w:before="155" w:line="360" w:lineRule="auto"/>
        <w:ind w:left="12" w:right="99" w:firstLine="556"/>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6.3</w:t>
      </w:r>
      <w:r>
        <w:rPr>
          <w:rFonts w:hint="eastAsia" w:ascii="宋体" w:hAnsi="宋体" w:eastAsia="宋体" w:cs="宋体"/>
          <w:color w:val="auto"/>
          <w:spacing w:val="-2"/>
          <w:sz w:val="21"/>
          <w:szCs w:val="21"/>
          <w:highlight w:val="none"/>
        </w:rPr>
        <w:t xml:space="preserve">  施工用电：</w:t>
      </w:r>
      <w:r>
        <w:rPr>
          <w:rFonts w:hint="eastAsia" w:ascii="宋体" w:hAnsi="宋体" w:eastAsia="宋体" w:cs="宋体"/>
          <w:color w:val="auto"/>
          <w:spacing w:val="-2"/>
          <w:sz w:val="21"/>
          <w:szCs w:val="21"/>
          <w:highlight w:val="none"/>
          <w:u w:val="single"/>
        </w:rPr>
        <w:t xml:space="preserve"> 由中标人自行解决，费用考虑在投标报价中</w:t>
      </w:r>
      <w:r>
        <w:rPr>
          <w:rFonts w:hint="eastAsia" w:ascii="宋体" w:hAnsi="宋体" w:eastAsia="宋体" w:cs="宋体"/>
          <w:color w:val="auto"/>
          <w:spacing w:val="-2"/>
          <w:sz w:val="21"/>
          <w:szCs w:val="21"/>
          <w:highlight w:val="none"/>
        </w:rPr>
        <w:t>。</w:t>
      </w:r>
    </w:p>
    <w:p w14:paraId="189BF34C">
      <w:pPr>
        <w:spacing w:before="154" w:line="360" w:lineRule="auto"/>
        <w:ind w:left="9" w:right="16" w:firstLine="558"/>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w:t>
      </w:r>
      <w:r>
        <w:rPr>
          <w:rFonts w:hint="eastAsia" w:ascii="宋体" w:hAnsi="宋体" w:eastAsia="宋体" w:cs="宋体"/>
          <w:b/>
          <w:bCs/>
          <w:color w:val="auto"/>
          <w:spacing w:val="-2"/>
          <w:sz w:val="21"/>
          <w:szCs w:val="21"/>
          <w:highlight w:val="none"/>
          <w:lang w:val="en-US" w:eastAsia="zh-CN"/>
        </w:rPr>
        <w:t>4</w:t>
      </w:r>
      <w:r>
        <w:rPr>
          <w:rFonts w:hint="eastAsia" w:ascii="宋体" w:hAnsi="宋体" w:eastAsia="宋体" w:cs="宋体"/>
          <w:b/>
          <w:bCs/>
          <w:color w:val="auto"/>
          <w:spacing w:val="-2"/>
          <w:sz w:val="21"/>
          <w:szCs w:val="21"/>
          <w:highlight w:val="none"/>
        </w:rPr>
        <w:t xml:space="preserve">  </w:t>
      </w:r>
      <w:r>
        <w:rPr>
          <w:rFonts w:hint="eastAsia" w:ascii="宋体" w:hAnsi="宋体" w:eastAsia="宋体" w:cs="宋体"/>
          <w:color w:val="auto"/>
          <w:spacing w:val="-2"/>
          <w:sz w:val="21"/>
          <w:szCs w:val="21"/>
          <w:highlight w:val="none"/>
        </w:rPr>
        <w:t>招标人不组织现场踏勘，</w:t>
      </w:r>
      <w:r>
        <w:rPr>
          <w:rFonts w:hint="eastAsia" w:ascii="宋体" w:hAnsi="宋体" w:eastAsia="宋体" w:cs="宋体"/>
          <w:color w:val="auto"/>
          <w:sz w:val="21"/>
          <w:szCs w:val="21"/>
          <w:highlight w:val="none"/>
        </w:rPr>
        <w:t>投标人需要了解现场情况的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1"/>
          <w:sz w:val="21"/>
          <w:szCs w:val="21"/>
          <w:highlight w:val="none"/>
        </w:rPr>
        <w:t>可自行进行现场踏勘。</w:t>
      </w:r>
    </w:p>
    <w:p w14:paraId="29077E9E">
      <w:pPr>
        <w:spacing w:before="153" w:line="360" w:lineRule="auto"/>
        <w:ind w:left="9" w:right="16" w:firstLine="558"/>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 xml:space="preserve">  </w:t>
      </w:r>
      <w:r>
        <w:rPr>
          <w:rFonts w:hint="eastAsia" w:ascii="宋体" w:hAnsi="宋体" w:eastAsia="宋体" w:cs="宋体"/>
          <w:color w:val="auto"/>
          <w:spacing w:val="-2"/>
          <w:sz w:val="21"/>
          <w:szCs w:val="21"/>
          <w:highlight w:val="none"/>
        </w:rPr>
        <w:t>在现场踏勘过程中，投标人应确保自身安全，投标人如果发生人身伤亡、财</w:t>
      </w:r>
      <w:r>
        <w:rPr>
          <w:rFonts w:hint="eastAsia" w:ascii="宋体" w:hAnsi="宋体" w:eastAsia="宋体" w:cs="宋体"/>
          <w:color w:val="auto"/>
          <w:spacing w:val="-1"/>
          <w:sz w:val="21"/>
          <w:szCs w:val="21"/>
          <w:highlight w:val="none"/>
        </w:rPr>
        <w:t>物或其他损失，法律法规有规定的按有关规定处理，没有规定</w:t>
      </w:r>
      <w:r>
        <w:rPr>
          <w:rFonts w:hint="eastAsia" w:ascii="宋体" w:hAnsi="宋体" w:eastAsia="宋体" w:cs="宋体"/>
          <w:color w:val="auto"/>
          <w:spacing w:val="-2"/>
          <w:sz w:val="21"/>
          <w:szCs w:val="21"/>
          <w:highlight w:val="none"/>
        </w:rPr>
        <w:t>的由投标人自行负责。</w:t>
      </w:r>
    </w:p>
    <w:p w14:paraId="1B002D65">
      <w:pPr>
        <w:spacing w:before="153" w:line="360" w:lineRule="auto"/>
        <w:ind w:left="568"/>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6.</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 xml:space="preserve">  </w:t>
      </w:r>
      <w:r>
        <w:rPr>
          <w:rFonts w:hint="eastAsia" w:ascii="宋体" w:hAnsi="宋体" w:eastAsia="宋体" w:cs="宋体"/>
          <w:color w:val="auto"/>
          <w:sz w:val="21"/>
          <w:szCs w:val="21"/>
          <w:highlight w:val="none"/>
        </w:rPr>
        <w:t>现场踏勘期间的交通、食宿由投标人</w:t>
      </w:r>
      <w:r>
        <w:rPr>
          <w:rFonts w:hint="eastAsia" w:ascii="宋体" w:hAnsi="宋体" w:eastAsia="宋体" w:cs="宋体"/>
          <w:color w:val="auto"/>
          <w:spacing w:val="-1"/>
          <w:sz w:val="21"/>
          <w:szCs w:val="21"/>
          <w:highlight w:val="none"/>
        </w:rPr>
        <w:t>自行安排，费用自理。</w:t>
      </w:r>
    </w:p>
    <w:p w14:paraId="35DD5CF7">
      <w:pPr>
        <w:spacing w:before="78" w:line="360" w:lineRule="auto"/>
        <w:ind w:left="488"/>
        <w:outlineLvl w:val="2"/>
        <w:rPr>
          <w:rFonts w:hint="eastAsia" w:ascii="宋体" w:hAnsi="宋体" w:eastAsia="宋体" w:cs="宋体"/>
          <w:color w:val="auto"/>
          <w:sz w:val="21"/>
          <w:szCs w:val="21"/>
          <w:highlight w:val="none"/>
        </w:rPr>
      </w:pPr>
      <w:bookmarkStart w:id="36" w:name="bookmark67"/>
      <w:bookmarkEnd w:id="36"/>
      <w:bookmarkStart w:id="37" w:name="bookmark81"/>
      <w:bookmarkEnd w:id="37"/>
      <w:bookmarkStart w:id="38" w:name="bookmark69"/>
      <w:bookmarkEnd w:id="38"/>
      <w:bookmarkStart w:id="39" w:name="_Toc13451"/>
      <w:bookmarkStart w:id="40" w:name="_Toc15543"/>
      <w:r>
        <w:rPr>
          <w:rFonts w:hint="eastAsia" w:ascii="宋体" w:hAnsi="宋体" w:eastAsia="宋体" w:cs="宋体"/>
          <w:b/>
          <w:bCs/>
          <w:color w:val="auto"/>
          <w:spacing w:val="-5"/>
          <w:sz w:val="21"/>
          <w:szCs w:val="21"/>
          <w:highlight w:val="none"/>
        </w:rPr>
        <w:t>7</w:t>
      </w:r>
      <w:r>
        <w:rPr>
          <w:rFonts w:hint="eastAsia" w:ascii="宋体" w:hAnsi="宋体" w:eastAsia="宋体" w:cs="宋体"/>
          <w:b/>
          <w:bCs/>
          <w:color w:val="auto"/>
          <w:spacing w:val="-5"/>
          <w:sz w:val="21"/>
          <w:szCs w:val="21"/>
          <w:highlight w:val="none"/>
          <w:lang w:eastAsia="zh-CN"/>
        </w:rPr>
        <w:t xml:space="preserve">. </w:t>
      </w:r>
      <w:r>
        <w:rPr>
          <w:rFonts w:hint="eastAsia" w:ascii="宋体" w:hAnsi="宋体" w:eastAsia="宋体" w:cs="宋体"/>
          <w:b/>
          <w:bCs/>
          <w:color w:val="auto"/>
          <w:spacing w:val="-5"/>
          <w:sz w:val="21"/>
          <w:szCs w:val="21"/>
          <w:highlight w:val="none"/>
        </w:rPr>
        <w:t>招标文件的提问和答疑</w:t>
      </w:r>
      <w:bookmarkEnd w:id="39"/>
      <w:bookmarkEnd w:id="40"/>
    </w:p>
    <w:p w14:paraId="318A4AA7">
      <w:pPr>
        <w:spacing w:before="153" w:line="360" w:lineRule="auto"/>
        <w:ind w:left="9" w:right="16" w:firstLine="478"/>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7.1  </w:t>
      </w:r>
      <w:r>
        <w:rPr>
          <w:rFonts w:hint="eastAsia" w:ascii="宋体" w:hAnsi="宋体" w:eastAsia="宋体" w:cs="宋体"/>
          <w:color w:val="auto"/>
          <w:sz w:val="21"/>
          <w:szCs w:val="21"/>
          <w:highlight w:val="none"/>
        </w:rPr>
        <w:t>投标人若对招标文件（含施工图、招标工程量清单）有疑问，应在提问截止</w:t>
      </w:r>
      <w:r>
        <w:rPr>
          <w:rFonts w:hint="eastAsia" w:ascii="宋体" w:hAnsi="宋体" w:eastAsia="宋体" w:cs="宋体"/>
          <w:color w:val="auto"/>
          <w:spacing w:val="-2"/>
          <w:sz w:val="21"/>
          <w:szCs w:val="21"/>
          <w:highlight w:val="none"/>
        </w:rPr>
        <w:t>时间（见本章第二节“重要事项时间地点一览表”）前使用建设工程交易</w:t>
      </w:r>
      <w:r>
        <w:rPr>
          <w:rFonts w:hint="eastAsia" w:ascii="宋体" w:hAnsi="宋体" w:eastAsia="宋体" w:cs="宋体"/>
          <w:color w:val="auto"/>
          <w:spacing w:val="-3"/>
          <w:sz w:val="21"/>
          <w:szCs w:val="21"/>
          <w:highlight w:val="none"/>
        </w:rPr>
        <w:t>系统提出问</w:t>
      </w:r>
      <w:r>
        <w:rPr>
          <w:rFonts w:hint="eastAsia" w:ascii="宋体" w:hAnsi="宋体" w:eastAsia="宋体" w:cs="宋体"/>
          <w:color w:val="auto"/>
          <w:spacing w:val="-1"/>
          <w:sz w:val="21"/>
          <w:szCs w:val="21"/>
          <w:highlight w:val="none"/>
        </w:rPr>
        <w:t>题。未在指定时间前、未采用指定方式提出的，招标人不予受理。</w:t>
      </w:r>
    </w:p>
    <w:p w14:paraId="0C4E75E3">
      <w:pPr>
        <w:spacing w:before="154" w:line="360" w:lineRule="auto"/>
        <w:ind w:left="9" w:right="16" w:firstLine="558"/>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7.2  </w:t>
      </w:r>
      <w:r>
        <w:rPr>
          <w:rFonts w:hint="eastAsia" w:ascii="宋体" w:hAnsi="宋体" w:eastAsia="宋体" w:cs="宋体"/>
          <w:color w:val="auto"/>
          <w:spacing w:val="-1"/>
          <w:sz w:val="21"/>
          <w:szCs w:val="21"/>
          <w:highlight w:val="none"/>
        </w:rPr>
        <w:t>招标人在提问截止时间（见本章第二节“重要</w:t>
      </w:r>
      <w:r>
        <w:rPr>
          <w:rFonts w:hint="eastAsia" w:ascii="宋体" w:hAnsi="宋体" w:eastAsia="宋体" w:cs="宋体"/>
          <w:color w:val="auto"/>
          <w:spacing w:val="-2"/>
          <w:sz w:val="21"/>
          <w:szCs w:val="21"/>
          <w:highlight w:val="none"/>
        </w:rPr>
        <w:t>事项时间地点一览表”）后3</w:t>
      </w:r>
      <w:r>
        <w:rPr>
          <w:rFonts w:hint="eastAsia" w:ascii="宋体" w:hAnsi="宋体" w:eastAsia="宋体" w:cs="宋体"/>
          <w:color w:val="auto"/>
          <w:spacing w:val="-1"/>
          <w:sz w:val="21"/>
          <w:szCs w:val="21"/>
          <w:highlight w:val="none"/>
        </w:rPr>
        <w:t>日内，一次性对收到的所有问题作出答复，并形成答疑（或修</w:t>
      </w:r>
      <w:r>
        <w:rPr>
          <w:rFonts w:hint="eastAsia" w:ascii="宋体" w:hAnsi="宋体" w:eastAsia="宋体" w:cs="宋体"/>
          <w:color w:val="auto"/>
          <w:spacing w:val="-2"/>
          <w:sz w:val="21"/>
          <w:szCs w:val="21"/>
          <w:highlight w:val="none"/>
        </w:rPr>
        <w:t>改）公告在发布招标公</w:t>
      </w:r>
      <w:r>
        <w:rPr>
          <w:rFonts w:hint="eastAsia" w:ascii="宋体" w:hAnsi="宋体" w:eastAsia="宋体" w:cs="宋体"/>
          <w:color w:val="auto"/>
          <w:spacing w:val="-1"/>
          <w:sz w:val="21"/>
          <w:szCs w:val="21"/>
          <w:highlight w:val="none"/>
        </w:rPr>
        <w:t>告的媒介上公开发布。答疑（或修改）公告一旦发布，即</w:t>
      </w:r>
      <w:r>
        <w:rPr>
          <w:rFonts w:hint="eastAsia" w:ascii="宋体" w:hAnsi="宋体" w:eastAsia="宋体" w:cs="宋体"/>
          <w:color w:val="auto"/>
          <w:spacing w:val="-1"/>
          <w:sz w:val="21"/>
          <w:szCs w:val="21"/>
          <w:highlight w:val="none"/>
          <w:lang w:eastAsia="zh-CN"/>
        </w:rPr>
        <w:t>视为</w:t>
      </w:r>
      <w:r>
        <w:rPr>
          <w:rFonts w:hint="eastAsia" w:ascii="宋体" w:hAnsi="宋体" w:eastAsia="宋体" w:cs="宋体"/>
          <w:color w:val="auto"/>
          <w:spacing w:val="-1"/>
          <w:sz w:val="21"/>
          <w:szCs w:val="21"/>
          <w:highlight w:val="none"/>
        </w:rPr>
        <w:t>所</w:t>
      </w:r>
      <w:r>
        <w:rPr>
          <w:rFonts w:hint="eastAsia" w:ascii="宋体" w:hAnsi="宋体" w:eastAsia="宋体" w:cs="宋体"/>
          <w:color w:val="auto"/>
          <w:spacing w:val="-2"/>
          <w:sz w:val="21"/>
          <w:szCs w:val="21"/>
          <w:highlight w:val="none"/>
        </w:rPr>
        <w:t>有潜在投标人已经知悉</w:t>
      </w:r>
      <w:r>
        <w:rPr>
          <w:rFonts w:hint="eastAsia" w:ascii="宋体" w:hAnsi="宋体" w:eastAsia="宋体" w:cs="宋体"/>
          <w:color w:val="auto"/>
          <w:spacing w:val="-1"/>
          <w:sz w:val="21"/>
          <w:szCs w:val="21"/>
          <w:highlight w:val="none"/>
        </w:rPr>
        <w:t>答疑（或修改）内容，投标人未及时关注而造成的损失和后果</w:t>
      </w:r>
      <w:r>
        <w:rPr>
          <w:rFonts w:hint="eastAsia" w:ascii="宋体" w:hAnsi="宋体" w:eastAsia="宋体" w:cs="宋体"/>
          <w:color w:val="auto"/>
          <w:spacing w:val="-2"/>
          <w:sz w:val="21"/>
          <w:szCs w:val="21"/>
          <w:highlight w:val="none"/>
        </w:rPr>
        <w:t>，由投标人自行承担。</w:t>
      </w:r>
    </w:p>
    <w:p w14:paraId="3207CA6F">
      <w:pPr>
        <w:spacing w:before="152" w:line="360" w:lineRule="auto"/>
        <w:ind w:firstLine="418"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7.3  </w:t>
      </w:r>
      <w:r>
        <w:rPr>
          <w:rFonts w:hint="eastAsia" w:ascii="宋体" w:hAnsi="宋体" w:eastAsia="宋体" w:cs="宋体"/>
          <w:color w:val="auto"/>
          <w:spacing w:val="-1"/>
          <w:sz w:val="21"/>
          <w:szCs w:val="21"/>
          <w:highlight w:val="none"/>
        </w:rPr>
        <w:t>招标人对招标文件所作的答疑（或修改）公告，构成</w:t>
      </w:r>
      <w:r>
        <w:rPr>
          <w:rFonts w:hint="eastAsia" w:ascii="宋体" w:hAnsi="宋体" w:eastAsia="宋体" w:cs="宋体"/>
          <w:color w:val="auto"/>
          <w:spacing w:val="-2"/>
          <w:sz w:val="21"/>
          <w:szCs w:val="21"/>
          <w:highlight w:val="none"/>
        </w:rPr>
        <w:t>招标文件的组成部分。</w:t>
      </w:r>
    </w:p>
    <w:p w14:paraId="1728F14D">
      <w:pPr>
        <w:spacing w:before="79" w:line="360" w:lineRule="auto"/>
        <w:ind w:left="488"/>
        <w:outlineLvl w:val="2"/>
        <w:rPr>
          <w:rFonts w:hint="eastAsia" w:ascii="宋体" w:hAnsi="宋体" w:eastAsia="宋体" w:cs="宋体"/>
          <w:color w:val="auto"/>
          <w:sz w:val="21"/>
          <w:szCs w:val="21"/>
          <w:highlight w:val="none"/>
          <w:lang w:eastAsia="zh-CN"/>
        </w:rPr>
      </w:pPr>
      <w:bookmarkStart w:id="41" w:name="_Toc6897"/>
      <w:bookmarkStart w:id="42" w:name="_Toc7721"/>
      <w:r>
        <w:rPr>
          <w:rFonts w:hint="eastAsia" w:ascii="宋体" w:hAnsi="宋体" w:eastAsia="宋体" w:cs="宋体"/>
          <w:b/>
          <w:bCs/>
          <w:color w:val="auto"/>
          <w:spacing w:val="-5"/>
          <w:sz w:val="21"/>
          <w:szCs w:val="21"/>
          <w:highlight w:val="none"/>
        </w:rPr>
        <w:t>8</w:t>
      </w:r>
      <w:r>
        <w:rPr>
          <w:rFonts w:hint="eastAsia" w:ascii="宋体" w:hAnsi="宋体" w:eastAsia="宋体" w:cs="宋体"/>
          <w:b/>
          <w:bCs/>
          <w:color w:val="auto"/>
          <w:spacing w:val="-5"/>
          <w:sz w:val="21"/>
          <w:szCs w:val="21"/>
          <w:highlight w:val="none"/>
          <w:lang w:eastAsia="zh-CN"/>
        </w:rPr>
        <w:t xml:space="preserve">. </w:t>
      </w:r>
      <w:r>
        <w:rPr>
          <w:rFonts w:hint="eastAsia" w:ascii="宋体" w:hAnsi="宋体" w:eastAsia="宋体" w:cs="宋体"/>
          <w:b/>
          <w:bCs/>
          <w:color w:val="auto"/>
          <w:spacing w:val="-1"/>
          <w:sz w:val="21"/>
          <w:szCs w:val="21"/>
          <w:highlight w:val="none"/>
          <w:lang w:eastAsia="zh-CN"/>
        </w:rPr>
        <w:t>最高投标限价</w:t>
      </w:r>
      <w:bookmarkEnd w:id="41"/>
      <w:bookmarkEnd w:id="42"/>
    </w:p>
    <w:p w14:paraId="483B6E50">
      <w:pPr>
        <w:spacing w:before="155" w:line="360" w:lineRule="auto"/>
        <w:ind w:left="488"/>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8.1  </w:t>
      </w:r>
      <w:r>
        <w:rPr>
          <w:rFonts w:hint="eastAsia" w:ascii="宋体" w:hAnsi="宋体" w:eastAsia="宋体" w:cs="宋体"/>
          <w:color w:val="auto"/>
          <w:spacing w:val="-1"/>
          <w:sz w:val="21"/>
          <w:szCs w:val="21"/>
          <w:highlight w:val="none"/>
        </w:rPr>
        <w:t>本招标项目按照以下依据编制</w:t>
      </w:r>
      <w:r>
        <w:rPr>
          <w:rFonts w:hint="eastAsia" w:ascii="宋体" w:hAnsi="宋体" w:eastAsia="宋体" w:cs="宋体"/>
          <w:b/>
          <w:bCs/>
          <w:color w:val="auto"/>
          <w:spacing w:val="-1"/>
          <w:sz w:val="21"/>
          <w:szCs w:val="21"/>
          <w:highlight w:val="none"/>
          <w:lang w:eastAsia="zh-CN"/>
        </w:rPr>
        <w:t>最高投标限价</w:t>
      </w:r>
      <w:r>
        <w:rPr>
          <w:rFonts w:hint="eastAsia" w:ascii="宋体" w:hAnsi="宋体" w:eastAsia="宋体" w:cs="宋体"/>
          <w:color w:val="auto"/>
          <w:spacing w:val="-1"/>
          <w:sz w:val="21"/>
          <w:szCs w:val="21"/>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（1）《建设工程工程量清单计价</w:t>
      </w:r>
      <w:r>
        <w:rPr>
          <w:rFonts w:hint="eastAsia" w:ascii="宋体" w:hAnsi="宋体" w:eastAsia="宋体" w:cs="宋体"/>
          <w:color w:val="auto"/>
          <w:spacing w:val="-1"/>
          <w:sz w:val="21"/>
          <w:szCs w:val="21"/>
          <w:highlight w:val="none"/>
          <w:lang w:val="en-US" w:eastAsia="zh-CN"/>
        </w:rPr>
        <w:t>标准</w:t>
      </w:r>
      <w:r>
        <w:rPr>
          <w:rFonts w:hint="eastAsia" w:ascii="宋体" w:hAnsi="宋体" w:eastAsia="宋体" w:cs="宋体"/>
          <w:color w:val="auto"/>
          <w:spacing w:val="-1"/>
          <w:sz w:val="21"/>
          <w:szCs w:val="21"/>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（2）《市政工程工程量计算标准》</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GB/</w:t>
      </w:r>
      <w:r>
        <w:rPr>
          <w:rFonts w:hint="eastAsia" w:ascii="宋体" w:hAnsi="宋体" w:eastAsia="宋体" w:cs="宋体"/>
          <w:color w:val="auto"/>
          <w:spacing w:val="2"/>
          <w:sz w:val="21"/>
          <w:szCs w:val="21"/>
          <w:highlight w:val="none"/>
          <w:lang w:eastAsia="zh-CN"/>
        </w:rPr>
        <w:t>T 50857</w:t>
      </w:r>
      <w:r>
        <w:rPr>
          <w:rFonts w:hint="eastAsia" w:ascii="宋体" w:hAnsi="宋体" w:eastAsia="宋体" w:cs="宋体"/>
          <w:color w:val="auto"/>
          <w:spacing w:val="2"/>
          <w:sz w:val="21"/>
          <w:szCs w:val="21"/>
          <w:highlight w:val="none"/>
        </w:rPr>
        <w:t>-2024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highlight w:val="none"/>
        </w:rPr>
        <w:t>《房屋建筑与装饰工程工程量计算标准》（GB/T50854-2024）</w:t>
      </w: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sz w:val="21"/>
          <w:szCs w:val="21"/>
          <w:highlight w:val="none"/>
        </w:rPr>
        <w:t>《园林绿化工程工程量计算标准》</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GB/</w:t>
      </w:r>
      <w:r>
        <w:rPr>
          <w:rFonts w:hint="eastAsia" w:ascii="宋体" w:hAnsi="宋体" w:eastAsia="宋体" w:cs="宋体"/>
          <w:color w:val="auto"/>
          <w:spacing w:val="2"/>
          <w:sz w:val="21"/>
          <w:szCs w:val="21"/>
          <w:highlight w:val="none"/>
          <w:lang w:eastAsia="zh-CN"/>
        </w:rPr>
        <w:t>T 50858</w:t>
      </w:r>
      <w:r>
        <w:rPr>
          <w:rFonts w:hint="eastAsia" w:ascii="宋体" w:hAnsi="宋体" w:eastAsia="宋体" w:cs="宋体"/>
          <w:color w:val="auto"/>
          <w:spacing w:val="2"/>
          <w:sz w:val="21"/>
          <w:szCs w:val="21"/>
          <w:highlight w:val="none"/>
        </w:rPr>
        <w:t>-2024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、2018年《广东省市政工程综合定额》、2018年《广东省园林绿化工程综合定额</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广东省建设</w:t>
      </w:r>
      <w:r>
        <w:rPr>
          <w:rFonts w:hint="eastAsia" w:ascii="宋体" w:hAnsi="宋体" w:eastAsia="宋体" w:cs="宋体"/>
          <w:color w:val="auto"/>
          <w:spacing w:val="-1"/>
          <w:sz w:val="21"/>
          <w:szCs w:val="21"/>
          <w:highlight w:val="none"/>
        </w:rPr>
        <w:t>工程施工机具台班费用编制规则（2018）</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2"/>
          <w:sz w:val="21"/>
          <w:szCs w:val="21"/>
          <w:highlight w:val="none"/>
        </w:rPr>
        <w:t>广东省通用安</w:t>
      </w:r>
      <w:r>
        <w:rPr>
          <w:rFonts w:hint="eastAsia" w:ascii="宋体" w:hAnsi="宋体" w:eastAsia="宋体" w:cs="宋体"/>
          <w:color w:val="auto"/>
          <w:spacing w:val="-1"/>
          <w:sz w:val="21"/>
          <w:szCs w:val="21"/>
          <w:highlight w:val="none"/>
        </w:rPr>
        <w:t>装工程综合定额（2018）》</w:t>
      </w:r>
      <w:r>
        <w:rPr>
          <w:rFonts w:hint="eastAsia" w:ascii="宋体" w:hAnsi="宋体" w:eastAsia="宋体" w:cs="宋体"/>
          <w:color w:val="auto"/>
          <w:spacing w:val="2"/>
          <w:sz w:val="21"/>
          <w:szCs w:val="21"/>
          <w:highlight w:val="none"/>
        </w:rPr>
        <w:t>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1"/>
          <w:szCs w:val="21"/>
          <w:highlight w:val="none"/>
        </w:rPr>
      </w:pPr>
      <w:bookmarkStart w:id="43" w:name="bookmark119"/>
      <w:bookmarkEnd w:id="43"/>
      <w:r>
        <w:rPr>
          <w:rFonts w:hint="eastAsia" w:ascii="宋体" w:hAnsi="宋体" w:eastAsia="宋体" w:cs="宋体"/>
          <w:color w:val="auto"/>
          <w:spacing w:val="-2"/>
          <w:sz w:val="21"/>
          <w:szCs w:val="21"/>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（6）项目所在地工程造价管理机构发布的工程造价信息，工程造</w:t>
      </w:r>
      <w:r>
        <w:rPr>
          <w:rFonts w:hint="eastAsia" w:ascii="宋体" w:hAnsi="宋体" w:eastAsia="宋体" w:cs="宋体"/>
          <w:color w:val="auto"/>
          <w:spacing w:val="-4"/>
          <w:sz w:val="21"/>
          <w:szCs w:val="21"/>
          <w:highlight w:val="none"/>
        </w:rPr>
        <w:t>价信息缺项的，</w:t>
      </w:r>
      <w:r>
        <w:rPr>
          <w:rFonts w:hint="eastAsia" w:ascii="宋体" w:hAnsi="宋体" w:eastAsia="宋体" w:cs="宋体"/>
          <w:color w:val="auto"/>
          <w:spacing w:val="-2"/>
          <w:sz w:val="21"/>
          <w:szCs w:val="21"/>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（7）与建设项目相关的标准、规范、技术资料。</w:t>
      </w:r>
    </w:p>
    <w:p w14:paraId="74CD6E43">
      <w:pPr>
        <w:spacing w:before="79" w:line="360" w:lineRule="auto"/>
        <w:ind w:firstLine="422" w:firstLineChars="200"/>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color w:val="auto"/>
          <w:sz w:val="21"/>
          <w:szCs w:val="21"/>
          <w:highlight w:val="none"/>
        </w:rPr>
        <w:t>8.2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lang w:val="en-US" w:eastAsia="zh-CN"/>
        </w:rPr>
        <w:t>本项目最高投标限价、招标工程量清单、施工图纸在投标截止时间15天前以补充通知的形式在广东省招标投标监管网（http://zbtb.gd.gov.cn）、全国公共资源交易平台（广东省·韶关市）（https://ygp.gdzwfw.gov.cn/ggzy-portal/#/440200/index）公布，各投标人应自行下载</w:t>
      </w:r>
    </w:p>
    <w:p w14:paraId="37A2572C">
      <w:pPr>
        <w:spacing w:before="79" w:line="360" w:lineRule="auto"/>
        <w:ind w:firstLine="42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color w:val="auto"/>
          <w:sz w:val="21"/>
          <w:szCs w:val="21"/>
          <w:highlight w:val="none"/>
        </w:rPr>
        <w:t>暂估价指招标工程量清单中提供的用于支付必然发生但暂时不能确定价格的</w:t>
      </w:r>
      <w:r>
        <w:rPr>
          <w:rFonts w:hint="eastAsia" w:ascii="宋体" w:hAnsi="宋体" w:eastAsia="宋体" w:cs="宋体"/>
          <w:color w:val="auto"/>
          <w:spacing w:val="-1"/>
          <w:sz w:val="21"/>
          <w:szCs w:val="21"/>
          <w:highlight w:val="none"/>
        </w:rPr>
        <w:t>材料、工程设备的单价以及专业工程的金额；暂列金额指招标</w:t>
      </w:r>
      <w:r>
        <w:rPr>
          <w:rFonts w:hint="eastAsia" w:ascii="宋体" w:hAnsi="宋体" w:eastAsia="宋体" w:cs="宋体"/>
          <w:color w:val="auto"/>
          <w:spacing w:val="-2"/>
          <w:sz w:val="21"/>
          <w:szCs w:val="21"/>
          <w:highlight w:val="none"/>
        </w:rPr>
        <w:t>工程量清单中暂定并包括在合同价款中的一笔款项，用于工程合同签订时尚未确定或</w:t>
      </w:r>
      <w:r>
        <w:rPr>
          <w:rFonts w:hint="eastAsia" w:ascii="宋体" w:hAnsi="宋体" w:eastAsia="宋体" w:cs="宋体"/>
          <w:color w:val="auto"/>
          <w:spacing w:val="-3"/>
          <w:sz w:val="21"/>
          <w:szCs w:val="21"/>
          <w:highlight w:val="none"/>
        </w:rPr>
        <w:t>者不可预见的所需材料、</w:t>
      </w:r>
      <w:r>
        <w:rPr>
          <w:rFonts w:hint="eastAsia" w:ascii="宋体" w:hAnsi="宋体" w:eastAsia="宋体" w:cs="宋体"/>
          <w:color w:val="auto"/>
          <w:spacing w:val="-1"/>
          <w:sz w:val="21"/>
          <w:szCs w:val="21"/>
          <w:highlight w:val="none"/>
        </w:rPr>
        <w:t>工程设备、服务的采购，施工中可能发生的工程变更、合同约</w:t>
      </w:r>
      <w:r>
        <w:rPr>
          <w:rFonts w:hint="eastAsia" w:ascii="宋体" w:hAnsi="宋体" w:eastAsia="宋体" w:cs="宋体"/>
          <w:color w:val="auto"/>
          <w:spacing w:val="-2"/>
          <w:sz w:val="21"/>
          <w:szCs w:val="21"/>
          <w:highlight w:val="none"/>
        </w:rPr>
        <w:t>定调整因素出现时的合</w:t>
      </w:r>
      <w:r>
        <w:rPr>
          <w:rFonts w:hint="eastAsia" w:ascii="宋体" w:hAnsi="宋体" w:eastAsia="宋体" w:cs="宋体"/>
          <w:color w:val="auto"/>
          <w:spacing w:val="-1"/>
          <w:sz w:val="21"/>
          <w:szCs w:val="21"/>
          <w:highlight w:val="none"/>
        </w:rPr>
        <w:t>同价款调整以及发生的索赔、现场签证确认等的费用。</w:t>
      </w:r>
    </w:p>
    <w:p w14:paraId="1F29C3EF">
      <w:pPr>
        <w:spacing w:before="36" w:line="360" w:lineRule="auto"/>
        <w:ind w:left="10" w:right="200" w:firstLine="48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rPr>
        <w:t xml:space="preserve"> </w:t>
      </w:r>
      <w:r>
        <w:rPr>
          <w:rFonts w:hint="eastAsia" w:ascii="宋体" w:hAnsi="宋体" w:eastAsia="宋体" w:cs="宋体"/>
          <w:color w:val="auto"/>
          <w:sz w:val="21"/>
          <w:szCs w:val="21"/>
          <w:highlight w:val="none"/>
        </w:rPr>
        <w:t>本招标项目以暂估价形式列入招标工程量清单中的材料、工程设备、专业工</w:t>
      </w:r>
      <w:r>
        <w:rPr>
          <w:rFonts w:hint="eastAsia" w:ascii="宋体" w:hAnsi="宋体" w:eastAsia="宋体" w:cs="宋体"/>
          <w:color w:val="auto"/>
          <w:spacing w:val="-2"/>
          <w:sz w:val="21"/>
          <w:szCs w:val="21"/>
          <w:highlight w:val="none"/>
        </w:rPr>
        <w:t>程（以下统称“暂估价项目”）包括：</w:t>
      </w:r>
      <w:r>
        <w:rPr>
          <w:rFonts w:hint="eastAsia" w:ascii="宋体" w:hAnsi="宋体" w:eastAsia="宋体" w:cs="宋体"/>
          <w:color w:val="auto"/>
          <w:sz w:val="21"/>
          <w:szCs w:val="21"/>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360" w:lineRule="auto"/>
        <w:ind w:left="12" w:right="200" w:firstLine="477"/>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rPr>
        <w:t xml:space="preserve">  </w:t>
      </w:r>
      <w:r>
        <w:rPr>
          <w:rFonts w:hint="eastAsia" w:ascii="宋体" w:hAnsi="宋体" w:eastAsia="宋体" w:cs="宋体"/>
          <w:color w:val="auto"/>
          <w:sz w:val="21"/>
          <w:szCs w:val="21"/>
          <w:highlight w:val="none"/>
        </w:rPr>
        <w:t>当暂估价项目的内容、标准、要求在项目实施过程中得以深化、明确、固定</w:t>
      </w:r>
      <w:r>
        <w:rPr>
          <w:rFonts w:hint="eastAsia" w:ascii="宋体" w:hAnsi="宋体" w:eastAsia="宋体" w:cs="宋体"/>
          <w:color w:val="auto"/>
          <w:spacing w:val="-2"/>
          <w:sz w:val="21"/>
          <w:szCs w:val="21"/>
          <w:highlight w:val="none"/>
        </w:rPr>
        <w:t>后，按以下原则发包：</w:t>
      </w:r>
    </w:p>
    <w:p w14:paraId="0DB4AC8D">
      <w:pPr>
        <w:spacing w:before="153" w:line="360" w:lineRule="auto"/>
        <w:ind w:left="-3" w:leftChars="0" w:firstLine="42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（1）暂估价项目按工程、货物（指材料或工程设备，下同）的类别分类汇总的金额，达到必须</w:t>
      </w:r>
      <w:r>
        <w:rPr>
          <w:rFonts w:hint="eastAsia" w:ascii="宋体" w:hAnsi="宋体" w:eastAsia="宋体" w:cs="宋体"/>
          <w:color w:val="auto"/>
          <w:spacing w:val="-3"/>
          <w:sz w:val="21"/>
          <w:szCs w:val="21"/>
          <w:highlight w:val="none"/>
        </w:rPr>
        <w:t>招标规模标准的，由</w:t>
      </w:r>
      <w:r>
        <w:rPr>
          <w:rFonts w:hint="eastAsia" w:ascii="宋体" w:hAnsi="宋体" w:eastAsia="宋体" w:cs="宋体"/>
          <w:bCs/>
          <w:color w:val="auto"/>
          <w:spacing w:val="-1"/>
          <w:sz w:val="21"/>
          <w:szCs w:val="21"/>
          <w:highlight w:val="none"/>
          <w:u w:val="single"/>
        </w:rPr>
        <w:t>中标人招标，招标人参与管理</w:t>
      </w:r>
      <w:r>
        <w:rPr>
          <w:rFonts w:hint="eastAsia" w:ascii="宋体" w:hAnsi="宋体" w:eastAsia="宋体" w:cs="宋体"/>
          <w:bCs/>
          <w:color w:val="auto"/>
          <w:spacing w:val="-1"/>
          <w:sz w:val="21"/>
          <w:szCs w:val="21"/>
          <w:highlight w:val="none"/>
        </w:rPr>
        <w:t>，</w:t>
      </w:r>
      <w:r>
        <w:rPr>
          <w:rFonts w:hint="eastAsia" w:ascii="宋体" w:hAnsi="宋体" w:eastAsia="宋体" w:cs="宋体"/>
          <w:color w:val="auto"/>
          <w:spacing w:val="-1"/>
          <w:sz w:val="21"/>
          <w:szCs w:val="21"/>
          <w:highlight w:val="none"/>
        </w:rPr>
        <w:t>确定专业工程承包人（或材料、工程设备供应商）和合同价格。</w:t>
      </w:r>
    </w:p>
    <w:p w14:paraId="5F60C25D">
      <w:pPr>
        <w:spacing w:before="30" w:line="360" w:lineRule="auto"/>
        <w:ind w:left="11" w:right="65" w:firstLine="48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（2）暂估价项目按工程、货物的类别分类汇总的金额，未</w:t>
      </w:r>
      <w:r>
        <w:rPr>
          <w:rFonts w:hint="eastAsia" w:ascii="宋体" w:hAnsi="宋体" w:eastAsia="宋体" w:cs="宋体"/>
          <w:color w:val="auto"/>
          <w:spacing w:val="1"/>
          <w:sz w:val="21"/>
          <w:szCs w:val="21"/>
          <w:highlight w:val="none"/>
        </w:rPr>
        <w:t>达到必须招标规模标</w:t>
      </w:r>
      <w:r>
        <w:rPr>
          <w:rFonts w:hint="eastAsia" w:ascii="宋体" w:hAnsi="宋体" w:eastAsia="宋体" w:cs="宋体"/>
          <w:color w:val="auto"/>
          <w:spacing w:val="-1"/>
          <w:sz w:val="21"/>
          <w:szCs w:val="21"/>
          <w:highlight w:val="none"/>
        </w:rPr>
        <w:t>准但适用政府采购规定的，按照政府采购规定确定专业工</w:t>
      </w:r>
      <w:r>
        <w:rPr>
          <w:rFonts w:hint="eastAsia" w:ascii="宋体" w:hAnsi="宋体" w:eastAsia="宋体" w:cs="宋体"/>
          <w:color w:val="auto"/>
          <w:spacing w:val="-2"/>
          <w:sz w:val="21"/>
          <w:szCs w:val="21"/>
          <w:highlight w:val="none"/>
        </w:rPr>
        <w:t>程承包人（或材料、工程设备供应商）和合同价格。</w:t>
      </w:r>
    </w:p>
    <w:p w14:paraId="02BF48BB">
      <w:pPr>
        <w:spacing w:before="154" w:line="360" w:lineRule="auto"/>
        <w:ind w:left="11" w:right="65" w:firstLine="48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（3）暂估价项目按工程、货物的类别分类汇总的金额，未</w:t>
      </w:r>
      <w:r>
        <w:rPr>
          <w:rFonts w:hint="eastAsia" w:ascii="宋体" w:hAnsi="宋体" w:eastAsia="宋体" w:cs="宋体"/>
          <w:color w:val="auto"/>
          <w:spacing w:val="1"/>
          <w:sz w:val="21"/>
          <w:szCs w:val="21"/>
          <w:highlight w:val="none"/>
        </w:rPr>
        <w:t>达到必须招标规模标</w:t>
      </w:r>
      <w:r>
        <w:rPr>
          <w:rFonts w:hint="eastAsia" w:ascii="宋体" w:hAnsi="宋体" w:eastAsia="宋体" w:cs="宋体"/>
          <w:color w:val="auto"/>
          <w:spacing w:val="-1"/>
          <w:sz w:val="21"/>
          <w:szCs w:val="21"/>
          <w:highlight w:val="none"/>
        </w:rPr>
        <w:t>准</w:t>
      </w:r>
      <w:r>
        <w:rPr>
          <w:rFonts w:hint="eastAsia" w:ascii="宋体" w:hAnsi="宋体" w:eastAsia="宋体" w:cs="宋体"/>
          <w:color w:val="auto"/>
          <w:spacing w:val="-1"/>
          <w:sz w:val="21"/>
          <w:szCs w:val="21"/>
          <w:highlight w:val="none"/>
          <w:lang w:eastAsia="zh-CN"/>
        </w:rPr>
        <w:t>，也</w:t>
      </w:r>
      <w:r>
        <w:rPr>
          <w:rFonts w:hint="eastAsia" w:ascii="宋体" w:hAnsi="宋体" w:eastAsia="宋体" w:cs="宋体"/>
          <w:color w:val="auto"/>
          <w:spacing w:val="-1"/>
          <w:sz w:val="21"/>
          <w:szCs w:val="21"/>
          <w:highlight w:val="none"/>
        </w:rPr>
        <w:t>不适用政府采购规定</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中标人具备相应资格条件的，</w:t>
      </w:r>
      <w:r>
        <w:rPr>
          <w:rFonts w:hint="eastAsia" w:ascii="宋体" w:hAnsi="宋体" w:eastAsia="宋体" w:cs="宋体"/>
          <w:color w:val="auto"/>
          <w:spacing w:val="-2"/>
          <w:sz w:val="21"/>
          <w:szCs w:val="21"/>
          <w:highlight w:val="none"/>
        </w:rPr>
        <w:t>由中标人承包；中标人不具</w:t>
      </w:r>
      <w:r>
        <w:rPr>
          <w:rFonts w:hint="eastAsia" w:ascii="宋体" w:hAnsi="宋体" w:eastAsia="宋体" w:cs="宋体"/>
          <w:color w:val="auto"/>
          <w:spacing w:val="-1"/>
          <w:sz w:val="21"/>
          <w:szCs w:val="21"/>
          <w:highlight w:val="none"/>
        </w:rPr>
        <w:t>备相应资格条件但具备分包权的，由中标人分包，招标人</w:t>
      </w:r>
      <w:r>
        <w:rPr>
          <w:rFonts w:hint="eastAsia" w:ascii="宋体" w:hAnsi="宋体" w:eastAsia="宋体" w:cs="宋体"/>
          <w:color w:val="auto"/>
          <w:spacing w:val="-1"/>
          <w:sz w:val="21"/>
          <w:szCs w:val="21"/>
          <w:highlight w:val="none"/>
          <w:lang w:eastAsia="zh-CN"/>
        </w:rPr>
        <w:t>与</w:t>
      </w:r>
      <w:r>
        <w:rPr>
          <w:rFonts w:hint="eastAsia" w:ascii="宋体" w:hAnsi="宋体" w:eastAsia="宋体" w:cs="宋体"/>
          <w:color w:val="auto"/>
          <w:spacing w:val="-2"/>
          <w:sz w:val="21"/>
          <w:szCs w:val="21"/>
          <w:highlight w:val="none"/>
        </w:rPr>
        <w:t>中标人结算原则按本招标文件相关条款执行。</w:t>
      </w:r>
    </w:p>
    <w:p w14:paraId="3698C443">
      <w:pPr>
        <w:spacing w:before="154" w:line="360" w:lineRule="auto"/>
        <w:ind w:left="11" w:right="65" w:firstLine="48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（4）暂估价项目按工程、货物的类别分类汇总的金额，未</w:t>
      </w:r>
      <w:r>
        <w:rPr>
          <w:rFonts w:hint="eastAsia" w:ascii="宋体" w:hAnsi="宋体" w:eastAsia="宋体" w:cs="宋体"/>
          <w:color w:val="auto"/>
          <w:spacing w:val="1"/>
          <w:sz w:val="21"/>
          <w:szCs w:val="21"/>
          <w:highlight w:val="none"/>
        </w:rPr>
        <w:t>达到必须招标规模标</w:t>
      </w:r>
      <w:r>
        <w:rPr>
          <w:rFonts w:hint="eastAsia" w:ascii="宋体" w:hAnsi="宋体" w:eastAsia="宋体" w:cs="宋体"/>
          <w:color w:val="auto"/>
          <w:spacing w:val="-1"/>
          <w:sz w:val="21"/>
          <w:szCs w:val="21"/>
          <w:highlight w:val="none"/>
        </w:rPr>
        <w:t>准</w:t>
      </w:r>
      <w:r>
        <w:rPr>
          <w:rFonts w:hint="eastAsia" w:ascii="宋体" w:hAnsi="宋体" w:eastAsia="宋体" w:cs="宋体"/>
          <w:color w:val="auto"/>
          <w:spacing w:val="-1"/>
          <w:sz w:val="21"/>
          <w:szCs w:val="21"/>
          <w:highlight w:val="none"/>
          <w:lang w:eastAsia="zh-CN"/>
        </w:rPr>
        <w:t>，也</w:t>
      </w:r>
      <w:r>
        <w:rPr>
          <w:rFonts w:hint="eastAsia" w:ascii="宋体" w:hAnsi="宋体" w:eastAsia="宋体" w:cs="宋体"/>
          <w:color w:val="auto"/>
          <w:spacing w:val="-1"/>
          <w:sz w:val="21"/>
          <w:szCs w:val="21"/>
          <w:highlight w:val="none"/>
        </w:rPr>
        <w:t>不适用政府采购规定</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中标人既不具备相应资格条件</w:t>
      </w:r>
      <w:r>
        <w:rPr>
          <w:rFonts w:hint="eastAsia" w:ascii="宋体" w:hAnsi="宋体" w:eastAsia="宋体" w:cs="宋体"/>
          <w:color w:val="auto"/>
          <w:spacing w:val="-2"/>
          <w:sz w:val="21"/>
          <w:szCs w:val="21"/>
          <w:highlight w:val="none"/>
        </w:rPr>
        <w:t>又不具备分包权的，由招标人另行发包。</w:t>
      </w:r>
    </w:p>
    <w:p w14:paraId="475FBF4C">
      <w:pPr>
        <w:spacing w:before="155" w:line="360" w:lineRule="auto"/>
        <w:ind w:left="9" w:right="66" w:firstLine="49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（5）暂估价项目由其他承包人承包的，纳入中标人的管理</w:t>
      </w:r>
      <w:r>
        <w:rPr>
          <w:rFonts w:hint="eastAsia" w:ascii="宋体" w:hAnsi="宋体" w:eastAsia="宋体" w:cs="宋体"/>
          <w:color w:val="auto"/>
          <w:spacing w:val="1"/>
          <w:sz w:val="21"/>
          <w:szCs w:val="21"/>
          <w:highlight w:val="none"/>
        </w:rPr>
        <w:t>和协调范围，由其他</w:t>
      </w:r>
      <w:r>
        <w:rPr>
          <w:rFonts w:hint="eastAsia" w:ascii="宋体" w:hAnsi="宋体" w:eastAsia="宋体" w:cs="宋体"/>
          <w:color w:val="auto"/>
          <w:spacing w:val="-1"/>
          <w:sz w:val="21"/>
          <w:szCs w:val="21"/>
          <w:highlight w:val="none"/>
        </w:rPr>
        <w:t>承包人向中标人承担质量、安全、文明施工、工期责任，中标</w:t>
      </w:r>
      <w:r>
        <w:rPr>
          <w:rFonts w:hint="eastAsia" w:ascii="宋体" w:hAnsi="宋体" w:eastAsia="宋体" w:cs="宋体"/>
          <w:color w:val="auto"/>
          <w:spacing w:val="-2"/>
          <w:sz w:val="21"/>
          <w:szCs w:val="21"/>
          <w:highlight w:val="none"/>
        </w:rPr>
        <w:t>人向招标人承担责任。</w:t>
      </w:r>
    </w:p>
    <w:p w14:paraId="34DBC168">
      <w:pPr>
        <w:spacing w:before="155" w:line="360" w:lineRule="auto"/>
        <w:ind w:left="10" w:right="65" w:firstLine="478"/>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 xml:space="preserve"> </w:t>
      </w:r>
      <w:r>
        <w:rPr>
          <w:rFonts w:hint="eastAsia" w:ascii="宋体" w:hAnsi="宋体" w:eastAsia="宋体" w:cs="宋体"/>
          <w:color w:val="auto"/>
          <w:sz w:val="21"/>
          <w:szCs w:val="21"/>
          <w:highlight w:val="none"/>
        </w:rPr>
        <w:t>本招标项目以暂列金额形式列入招标工程量清单中的所需货物和服务的采购</w:t>
      </w:r>
      <w:r>
        <w:rPr>
          <w:rFonts w:hint="eastAsia" w:ascii="宋体" w:hAnsi="宋体" w:eastAsia="宋体" w:cs="宋体"/>
          <w:color w:val="auto"/>
          <w:spacing w:val="-1"/>
          <w:sz w:val="21"/>
          <w:szCs w:val="21"/>
          <w:highlight w:val="none"/>
        </w:rPr>
        <w:t>（以下统称“暂列金额项目”）若有发生，按照本节第</w:t>
      </w:r>
      <w:r>
        <w:rPr>
          <w:rFonts w:hint="eastAsia" w:ascii="宋体" w:hAnsi="宋体" w:eastAsia="宋体" w:cs="宋体"/>
          <w:color w:val="auto"/>
          <w:spacing w:val="-52"/>
          <w:sz w:val="21"/>
          <w:szCs w:val="21"/>
          <w:highlight w:val="none"/>
        </w:rPr>
        <w:t xml:space="preserve"> </w:t>
      </w:r>
      <w:r>
        <w:rPr>
          <w:rFonts w:hint="eastAsia" w:ascii="宋体" w:hAnsi="宋体" w:eastAsia="宋体" w:cs="宋体"/>
          <w:b/>
          <w:bCs/>
          <w:color w:val="auto"/>
          <w:spacing w:val="-1"/>
          <w:sz w:val="21"/>
          <w:szCs w:val="21"/>
          <w:highlight w:val="none"/>
        </w:rPr>
        <w:t xml:space="preserve">8.5 </w:t>
      </w:r>
      <w:r>
        <w:rPr>
          <w:rFonts w:hint="eastAsia" w:ascii="宋体" w:hAnsi="宋体" w:eastAsia="宋体" w:cs="宋体"/>
          <w:color w:val="auto"/>
          <w:spacing w:val="-1"/>
          <w:sz w:val="21"/>
          <w:szCs w:val="21"/>
          <w:highlight w:val="none"/>
        </w:rPr>
        <w:t>条的规定确定货物（或服务）供应商和合同价格。暂列金额项目由其他承包人承包的</w:t>
      </w:r>
      <w:r>
        <w:rPr>
          <w:rFonts w:hint="eastAsia" w:ascii="宋体" w:hAnsi="宋体" w:eastAsia="宋体" w:cs="宋体"/>
          <w:color w:val="auto"/>
          <w:spacing w:val="-2"/>
          <w:sz w:val="21"/>
          <w:szCs w:val="21"/>
          <w:highlight w:val="none"/>
        </w:rPr>
        <w:t>，纳入中标人的管理和协</w:t>
      </w:r>
      <w:r>
        <w:rPr>
          <w:rFonts w:hint="eastAsia" w:ascii="宋体" w:hAnsi="宋体" w:eastAsia="宋体" w:cs="宋体"/>
          <w:color w:val="auto"/>
          <w:spacing w:val="-1"/>
          <w:sz w:val="21"/>
          <w:szCs w:val="21"/>
          <w:highlight w:val="none"/>
        </w:rPr>
        <w:t>调范围</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由其他承包人向中标人承担质量、安全、文明</w:t>
      </w:r>
      <w:r>
        <w:rPr>
          <w:rFonts w:hint="eastAsia" w:ascii="宋体" w:hAnsi="宋体" w:eastAsia="宋体" w:cs="宋体"/>
          <w:color w:val="auto"/>
          <w:spacing w:val="-2"/>
          <w:sz w:val="21"/>
          <w:szCs w:val="21"/>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1"/>
          <w:szCs w:val="21"/>
          <w:highlight w:val="none"/>
        </w:rPr>
      </w:pPr>
      <w:bookmarkStart w:id="44" w:name="_Toc19887"/>
      <w:bookmarkStart w:id="45" w:name="_Toc22978"/>
      <w:r>
        <w:rPr>
          <w:rFonts w:hint="eastAsia" w:ascii="宋体" w:hAnsi="宋体" w:eastAsia="宋体" w:cs="宋体"/>
          <w:b/>
          <w:bCs/>
          <w:color w:val="auto"/>
          <w:spacing w:val="-8"/>
          <w:sz w:val="21"/>
          <w:szCs w:val="21"/>
          <w:highlight w:val="none"/>
        </w:rPr>
        <w:t>9</w:t>
      </w:r>
      <w:r>
        <w:rPr>
          <w:rFonts w:hint="eastAsia" w:ascii="宋体" w:hAnsi="宋体" w:eastAsia="宋体" w:cs="宋体"/>
          <w:b/>
          <w:bCs/>
          <w:color w:val="auto"/>
          <w:spacing w:val="-8"/>
          <w:sz w:val="21"/>
          <w:szCs w:val="21"/>
          <w:highlight w:val="none"/>
          <w:lang w:eastAsia="zh-CN"/>
        </w:rPr>
        <w:t xml:space="preserve">. </w:t>
      </w:r>
      <w:r>
        <w:rPr>
          <w:rFonts w:hint="eastAsia" w:ascii="宋体" w:hAnsi="宋体" w:eastAsia="宋体" w:cs="宋体"/>
          <w:b/>
          <w:bCs/>
          <w:color w:val="auto"/>
          <w:spacing w:val="-8"/>
          <w:sz w:val="21"/>
          <w:szCs w:val="21"/>
          <w:highlight w:val="none"/>
        </w:rPr>
        <w:t>投标报价</w:t>
      </w:r>
      <w:bookmarkEnd w:id="44"/>
      <w:bookmarkEnd w:id="45"/>
    </w:p>
    <w:p w14:paraId="0CB59245">
      <w:pPr>
        <w:spacing w:before="157" w:line="219" w:lineRule="auto"/>
        <w:ind w:left="487"/>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9.1  </w:t>
      </w:r>
      <w:r>
        <w:rPr>
          <w:rFonts w:hint="eastAsia" w:ascii="宋体" w:hAnsi="宋体" w:eastAsia="宋体" w:cs="宋体"/>
          <w:color w:val="auto"/>
          <w:spacing w:val="-1"/>
          <w:sz w:val="21"/>
          <w:szCs w:val="21"/>
          <w:highlight w:val="none"/>
        </w:rPr>
        <w:t>投标人应按照以下依据编制投标报价：</w:t>
      </w:r>
    </w:p>
    <w:p w14:paraId="324CCCE9">
      <w:pPr>
        <w:spacing w:before="155" w:line="219"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（1）《建设工程工程量清单计价标准》（GB/T 50500-2024）</w:t>
      </w:r>
      <w:r>
        <w:rPr>
          <w:rFonts w:hint="eastAsia" w:ascii="宋体" w:hAnsi="宋体" w:eastAsia="宋体" w:cs="宋体"/>
          <w:color w:val="auto"/>
          <w:spacing w:val="4"/>
          <w:sz w:val="21"/>
          <w:szCs w:val="21"/>
          <w:highlight w:val="none"/>
        </w:rPr>
        <w:t>；</w:t>
      </w:r>
    </w:p>
    <w:p w14:paraId="1F123386">
      <w:pPr>
        <w:spacing w:before="153" w:line="309" w:lineRule="auto"/>
        <w:ind w:left="9" w:right="65" w:firstLine="49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市政工程工程量计算标准》</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GB/</w:t>
      </w:r>
      <w:r>
        <w:rPr>
          <w:rFonts w:hint="eastAsia" w:ascii="宋体" w:hAnsi="宋体" w:eastAsia="宋体" w:cs="宋体"/>
          <w:color w:val="auto"/>
          <w:spacing w:val="2"/>
          <w:sz w:val="21"/>
          <w:szCs w:val="21"/>
          <w:highlight w:val="none"/>
          <w:lang w:eastAsia="zh-CN"/>
        </w:rPr>
        <w:t>T 50857</w:t>
      </w:r>
      <w:r>
        <w:rPr>
          <w:rFonts w:hint="eastAsia" w:ascii="宋体" w:hAnsi="宋体" w:eastAsia="宋体" w:cs="宋体"/>
          <w:color w:val="auto"/>
          <w:spacing w:val="2"/>
          <w:sz w:val="21"/>
          <w:szCs w:val="21"/>
          <w:highlight w:val="none"/>
        </w:rPr>
        <w:t>-2024）、</w:t>
      </w:r>
      <w:r>
        <w:rPr>
          <w:rFonts w:hint="eastAsia" w:ascii="宋体" w:hAnsi="宋体" w:eastAsia="宋体" w:cs="宋体"/>
          <w:color w:val="auto"/>
          <w:spacing w:val="2"/>
          <w:highlight w:val="none"/>
        </w:rPr>
        <w:t>《房屋建筑与装饰工程工程量计算标准》（GB/T50854-2024）</w:t>
      </w: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sz w:val="21"/>
          <w:szCs w:val="21"/>
          <w:highlight w:val="none"/>
        </w:rPr>
        <w:t>《园林绿化工程工程量计算标准》</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GB/</w:t>
      </w:r>
      <w:r>
        <w:rPr>
          <w:rFonts w:hint="eastAsia" w:ascii="宋体" w:hAnsi="宋体" w:eastAsia="宋体" w:cs="宋体"/>
          <w:color w:val="auto"/>
          <w:spacing w:val="2"/>
          <w:sz w:val="21"/>
          <w:szCs w:val="21"/>
          <w:highlight w:val="none"/>
          <w:lang w:eastAsia="zh-CN"/>
        </w:rPr>
        <w:t>T 50858</w:t>
      </w:r>
      <w:r>
        <w:rPr>
          <w:rFonts w:hint="eastAsia" w:ascii="宋体" w:hAnsi="宋体" w:eastAsia="宋体" w:cs="宋体"/>
          <w:color w:val="auto"/>
          <w:spacing w:val="2"/>
          <w:sz w:val="21"/>
          <w:szCs w:val="21"/>
          <w:highlight w:val="none"/>
        </w:rPr>
        <w:t>-2024）、2018年《广东省市政工程综合定额》、2018年《广东省园林绿化工程综合定额</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广东省建设工程施工机具台班费用编制规则（2018）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广东省通用安装工程综合定额（2018）》及现行的建筑施工规范和省市有关文件、规定为编制依据进行编制</w:t>
      </w:r>
      <w:r>
        <w:rPr>
          <w:rFonts w:hint="eastAsia" w:ascii="宋体" w:hAnsi="宋体" w:eastAsia="宋体" w:cs="宋体"/>
          <w:color w:val="auto"/>
          <w:spacing w:val="-1"/>
          <w:sz w:val="21"/>
          <w:szCs w:val="21"/>
          <w:highlight w:val="none"/>
        </w:rPr>
        <w:t>；</w:t>
      </w:r>
    </w:p>
    <w:p w14:paraId="4CCDAD2F">
      <w:pPr>
        <w:spacing w:before="78" w:line="220" w:lineRule="auto"/>
        <w:ind w:left="501"/>
        <w:rPr>
          <w:rFonts w:hint="eastAsia" w:ascii="宋体" w:hAnsi="宋体" w:eastAsia="宋体" w:cs="宋体"/>
          <w:color w:val="auto"/>
          <w:sz w:val="21"/>
          <w:szCs w:val="21"/>
          <w:highlight w:val="none"/>
        </w:rPr>
      </w:pPr>
      <w:bookmarkStart w:id="46" w:name="bookmark120"/>
      <w:bookmarkEnd w:id="46"/>
      <w:r>
        <w:rPr>
          <w:rFonts w:hint="eastAsia" w:ascii="宋体" w:hAnsi="宋体" w:eastAsia="宋体" w:cs="宋体"/>
          <w:color w:val="auto"/>
          <w:spacing w:val="-3"/>
          <w:sz w:val="21"/>
          <w:szCs w:val="21"/>
          <w:highlight w:val="none"/>
        </w:rPr>
        <w:t>（3）企业定额；</w:t>
      </w:r>
    </w:p>
    <w:p w14:paraId="44753B79">
      <w:pPr>
        <w:spacing w:before="155" w:line="219"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（5）施工图及相关资料；</w:t>
      </w:r>
    </w:p>
    <w:p w14:paraId="3970D688">
      <w:pPr>
        <w:spacing w:before="152" w:line="219"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9.2  </w:t>
      </w:r>
      <w:r>
        <w:rPr>
          <w:rFonts w:hint="eastAsia" w:ascii="宋体" w:hAnsi="宋体" w:eastAsia="宋体" w:cs="宋体"/>
          <w:color w:val="auto"/>
          <w:spacing w:val="-2"/>
          <w:sz w:val="21"/>
          <w:szCs w:val="21"/>
          <w:highlight w:val="none"/>
        </w:rPr>
        <w:t>投标人应根据招标工程量清单、工程量清单计价规范中的工作内容、设计文</w:t>
      </w:r>
      <w:r>
        <w:rPr>
          <w:rFonts w:hint="eastAsia" w:ascii="宋体" w:hAnsi="宋体" w:eastAsia="宋体" w:cs="宋体"/>
          <w:color w:val="auto"/>
          <w:spacing w:val="-1"/>
          <w:sz w:val="21"/>
          <w:szCs w:val="21"/>
          <w:highlight w:val="none"/>
        </w:rPr>
        <w:t>件和有关要求、施工现场实际情况、投标人拟定的施工组织设计</w:t>
      </w:r>
      <w:r>
        <w:rPr>
          <w:rFonts w:hint="eastAsia" w:ascii="宋体" w:hAnsi="宋体" w:eastAsia="宋体" w:cs="宋体"/>
          <w:color w:val="auto"/>
          <w:spacing w:val="-2"/>
          <w:sz w:val="21"/>
          <w:szCs w:val="21"/>
          <w:highlight w:val="none"/>
        </w:rPr>
        <w:t>、本单位的企业定额</w:t>
      </w:r>
      <w:r>
        <w:rPr>
          <w:rFonts w:hint="eastAsia" w:ascii="宋体" w:hAnsi="宋体" w:eastAsia="宋体" w:cs="宋体"/>
          <w:color w:val="auto"/>
          <w:spacing w:val="-1"/>
          <w:sz w:val="21"/>
          <w:szCs w:val="21"/>
          <w:highlight w:val="none"/>
        </w:rPr>
        <w:t>和市场价格进行编制，自行报价，并承担一定范围内的风险费用</w:t>
      </w:r>
      <w:r>
        <w:rPr>
          <w:rFonts w:hint="eastAsia" w:ascii="宋体" w:hAnsi="宋体" w:eastAsia="宋体" w:cs="宋体"/>
          <w:color w:val="auto"/>
          <w:spacing w:val="-2"/>
          <w:sz w:val="21"/>
          <w:szCs w:val="21"/>
          <w:highlight w:val="none"/>
        </w:rPr>
        <w:t>。所谓“一定范围内</w:t>
      </w:r>
      <w:r>
        <w:rPr>
          <w:rFonts w:hint="eastAsia" w:ascii="宋体" w:hAnsi="宋体" w:eastAsia="宋体" w:cs="宋体"/>
          <w:color w:val="auto"/>
          <w:spacing w:val="-3"/>
          <w:sz w:val="21"/>
          <w:szCs w:val="21"/>
          <w:highlight w:val="none"/>
        </w:rPr>
        <w:t>的风险</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”是指合同约定的风险。</w:t>
      </w:r>
    </w:p>
    <w:p w14:paraId="6F48F6C5">
      <w:pPr>
        <w:spacing w:before="152" w:line="309" w:lineRule="auto"/>
        <w:ind w:left="9" w:right="150" w:firstLine="557"/>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9.3  </w:t>
      </w:r>
      <w:r>
        <w:rPr>
          <w:rFonts w:hint="eastAsia" w:ascii="宋体" w:hAnsi="宋体" w:eastAsia="宋体" w:cs="宋体"/>
          <w:color w:val="auto"/>
          <w:spacing w:val="-2"/>
          <w:sz w:val="21"/>
          <w:szCs w:val="21"/>
          <w:highlight w:val="none"/>
        </w:rPr>
        <w:t>招标人及招标代理机构不集中组织现场踏勘，投标人需要了解现场情况的，</w:t>
      </w:r>
      <w:r>
        <w:rPr>
          <w:rFonts w:hint="eastAsia" w:ascii="宋体" w:hAnsi="宋体" w:eastAsia="宋体" w:cs="宋体"/>
          <w:color w:val="auto"/>
          <w:spacing w:val="-1"/>
          <w:sz w:val="21"/>
          <w:szCs w:val="21"/>
          <w:highlight w:val="none"/>
        </w:rPr>
        <w:t>可自行进行现场踏勘。各投标人应勘察施工现场及周围环</w:t>
      </w:r>
      <w:r>
        <w:rPr>
          <w:rFonts w:hint="eastAsia" w:ascii="宋体" w:hAnsi="宋体" w:eastAsia="宋体" w:cs="宋体"/>
          <w:color w:val="auto"/>
          <w:spacing w:val="-2"/>
          <w:sz w:val="21"/>
          <w:szCs w:val="21"/>
          <w:highlight w:val="none"/>
        </w:rPr>
        <w:t>境、地形、地貌、水文、交</w:t>
      </w:r>
      <w:r>
        <w:rPr>
          <w:rFonts w:hint="eastAsia" w:ascii="宋体" w:hAnsi="宋体" w:eastAsia="宋体" w:cs="宋体"/>
          <w:color w:val="auto"/>
          <w:spacing w:val="-1"/>
          <w:sz w:val="21"/>
          <w:szCs w:val="21"/>
          <w:highlight w:val="none"/>
        </w:rPr>
        <w:t>通等情况</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以获得一切可能影响到投标的直接资料。投标人应</w:t>
      </w:r>
      <w:r>
        <w:rPr>
          <w:rFonts w:hint="eastAsia" w:ascii="宋体" w:hAnsi="宋体" w:eastAsia="宋体" w:cs="宋体"/>
          <w:color w:val="auto"/>
          <w:spacing w:val="-2"/>
          <w:sz w:val="21"/>
          <w:szCs w:val="21"/>
          <w:highlight w:val="none"/>
        </w:rPr>
        <w:t>针对现场情况编制施工</w:t>
      </w:r>
      <w:r>
        <w:rPr>
          <w:rFonts w:hint="eastAsia" w:ascii="宋体" w:hAnsi="宋体" w:eastAsia="宋体" w:cs="宋体"/>
          <w:color w:val="auto"/>
          <w:spacing w:val="-1"/>
          <w:sz w:val="21"/>
          <w:szCs w:val="21"/>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9.4  </w:t>
      </w:r>
      <w:r>
        <w:rPr>
          <w:rFonts w:hint="eastAsia" w:ascii="宋体" w:hAnsi="宋体" w:eastAsia="宋体" w:cs="宋体"/>
          <w:color w:val="auto"/>
          <w:spacing w:val="-2"/>
          <w:sz w:val="21"/>
          <w:szCs w:val="21"/>
          <w:highlight w:val="none"/>
        </w:rPr>
        <w:t>招标人向投标人提供的有关现场的数据和资料，是招标人现有的能被投标人</w:t>
      </w:r>
      <w:r>
        <w:rPr>
          <w:rFonts w:hint="eastAsia" w:ascii="宋体" w:hAnsi="宋体" w:eastAsia="宋体" w:cs="宋体"/>
          <w:color w:val="auto"/>
          <w:sz w:val="21"/>
          <w:szCs w:val="21"/>
          <w:highlight w:val="none"/>
        </w:rPr>
        <w:t>利用的资料，招标人对投标人做出的任何推论</w:t>
      </w:r>
      <w:r>
        <w:rPr>
          <w:rFonts w:hint="eastAsia" w:ascii="宋体" w:hAnsi="宋体" w:eastAsia="宋体" w:cs="宋体"/>
          <w:color w:val="auto"/>
          <w:spacing w:val="-1"/>
          <w:sz w:val="21"/>
          <w:szCs w:val="21"/>
          <w:highlight w:val="none"/>
        </w:rPr>
        <w:t>、理解和结论均不负责任。</w:t>
      </w:r>
    </w:p>
    <w:p w14:paraId="58AFE0B2">
      <w:pPr>
        <w:spacing w:before="154" w:line="299" w:lineRule="auto"/>
        <w:ind w:left="12" w:firstLine="554"/>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9.5  </w:t>
      </w:r>
      <w:r>
        <w:rPr>
          <w:rFonts w:hint="eastAsia" w:ascii="宋体" w:hAnsi="宋体" w:eastAsia="宋体" w:cs="宋体"/>
          <w:color w:val="auto"/>
          <w:spacing w:val="-2"/>
          <w:sz w:val="21"/>
          <w:szCs w:val="21"/>
          <w:highlight w:val="none"/>
        </w:rPr>
        <w:t>投标人必须按照招标工程量清单及表格填报价格。项目编码、项目名称、项</w:t>
      </w:r>
      <w:r>
        <w:rPr>
          <w:rFonts w:hint="eastAsia" w:ascii="宋体" w:hAnsi="宋体" w:eastAsia="宋体" w:cs="宋体"/>
          <w:color w:val="auto"/>
          <w:spacing w:val="2"/>
          <w:sz w:val="21"/>
          <w:szCs w:val="21"/>
          <w:highlight w:val="none"/>
        </w:rPr>
        <w:t>目特征、计量单位、工程量必须与招标工程量清单一致。所有报价均以人</w:t>
      </w:r>
      <w:r>
        <w:rPr>
          <w:rFonts w:hint="eastAsia" w:ascii="宋体" w:hAnsi="宋体" w:eastAsia="宋体" w:cs="宋体"/>
          <w:color w:val="auto"/>
          <w:spacing w:val="1"/>
          <w:sz w:val="21"/>
          <w:szCs w:val="21"/>
          <w:highlight w:val="none"/>
        </w:rPr>
        <w:t>民币“元”</w:t>
      </w:r>
      <w:r>
        <w:rPr>
          <w:rFonts w:hint="eastAsia" w:ascii="宋体" w:hAnsi="宋体" w:eastAsia="宋体" w:cs="宋体"/>
          <w:color w:val="auto"/>
          <w:spacing w:val="-1"/>
          <w:sz w:val="21"/>
          <w:szCs w:val="21"/>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9.6  </w:t>
      </w:r>
      <w:r>
        <w:rPr>
          <w:rFonts w:hint="eastAsia" w:ascii="宋体" w:hAnsi="宋体" w:eastAsia="宋体" w:cs="宋体"/>
          <w:color w:val="auto"/>
          <w:spacing w:val="-2"/>
          <w:sz w:val="21"/>
          <w:szCs w:val="21"/>
          <w:highlight w:val="none"/>
        </w:rPr>
        <w:t>投标人只允许有一个投标总价。投标总价必须同时用大、小写表示，大、小</w:t>
      </w:r>
      <w:r>
        <w:rPr>
          <w:rFonts w:hint="eastAsia" w:ascii="宋体" w:hAnsi="宋体" w:eastAsia="宋体" w:cs="宋体"/>
          <w:color w:val="auto"/>
          <w:spacing w:val="-1"/>
          <w:sz w:val="21"/>
          <w:szCs w:val="21"/>
          <w:highlight w:val="none"/>
        </w:rPr>
        <w:t>写报价应保持一致，若不一致，以大写报价为准。招标工程量</w:t>
      </w:r>
      <w:r>
        <w:rPr>
          <w:rFonts w:hint="eastAsia" w:ascii="宋体" w:hAnsi="宋体" w:eastAsia="宋体" w:cs="宋体"/>
          <w:color w:val="auto"/>
          <w:spacing w:val="-2"/>
          <w:sz w:val="21"/>
          <w:szCs w:val="21"/>
          <w:highlight w:val="none"/>
        </w:rPr>
        <w:t>清单与计价表中列明的</w:t>
      </w:r>
      <w:r>
        <w:rPr>
          <w:rFonts w:hint="eastAsia" w:ascii="宋体" w:hAnsi="宋体" w:eastAsia="宋体" w:cs="宋体"/>
          <w:color w:val="auto"/>
          <w:spacing w:val="-1"/>
          <w:sz w:val="21"/>
          <w:szCs w:val="21"/>
          <w:highlight w:val="none"/>
        </w:rPr>
        <w:t>所有需要填写单价和合价的项目，投标人均应填写且只允许有</w:t>
      </w:r>
      <w:r>
        <w:rPr>
          <w:rFonts w:hint="eastAsia" w:ascii="宋体" w:hAnsi="宋体" w:eastAsia="宋体" w:cs="宋体"/>
          <w:color w:val="auto"/>
          <w:spacing w:val="-2"/>
          <w:sz w:val="21"/>
          <w:szCs w:val="21"/>
          <w:highlight w:val="none"/>
        </w:rPr>
        <w:t>一个报价。未填写单价</w:t>
      </w:r>
      <w:r>
        <w:rPr>
          <w:rFonts w:hint="eastAsia" w:ascii="宋体" w:hAnsi="宋体" w:eastAsia="宋体" w:cs="宋体"/>
          <w:color w:val="auto"/>
          <w:spacing w:val="-1"/>
          <w:sz w:val="21"/>
          <w:szCs w:val="21"/>
          <w:highlight w:val="none"/>
        </w:rPr>
        <w:t>和合价的项目，视为此项费用已包含在已标价工程量清单其他</w:t>
      </w:r>
      <w:r>
        <w:rPr>
          <w:rFonts w:hint="eastAsia" w:ascii="宋体" w:hAnsi="宋体" w:eastAsia="宋体" w:cs="宋体"/>
          <w:color w:val="auto"/>
          <w:spacing w:val="-2"/>
          <w:sz w:val="21"/>
          <w:szCs w:val="21"/>
          <w:highlight w:val="none"/>
        </w:rPr>
        <w:t>项目的单价和合价中，</w:t>
      </w:r>
      <w:r>
        <w:rPr>
          <w:rFonts w:hint="eastAsia" w:ascii="宋体" w:hAnsi="宋体" w:eastAsia="宋体" w:cs="宋体"/>
          <w:color w:val="auto"/>
          <w:spacing w:val="-1"/>
          <w:sz w:val="21"/>
          <w:szCs w:val="21"/>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z w:val="21"/>
          <w:szCs w:val="21"/>
          <w:highlight w:val="none"/>
        </w:rPr>
        <w:t xml:space="preserve">9.7  </w:t>
      </w:r>
      <w:r>
        <w:rPr>
          <w:rFonts w:hint="eastAsia" w:ascii="宋体" w:hAnsi="宋体" w:eastAsia="宋体" w:cs="宋体"/>
          <w:color w:val="auto"/>
          <w:sz w:val="21"/>
          <w:szCs w:val="21"/>
          <w:highlight w:val="none"/>
        </w:rPr>
        <w:t>投标人的投标总价不得高于</w:t>
      </w:r>
      <w:r>
        <w:rPr>
          <w:rFonts w:hint="eastAsia" w:ascii="宋体" w:hAnsi="宋体" w:eastAsia="宋体" w:cs="宋体"/>
          <w:b/>
          <w:bCs/>
          <w:color w:val="auto"/>
          <w:sz w:val="21"/>
          <w:szCs w:val="21"/>
          <w:highlight w:val="none"/>
          <w:lang w:val="en-US" w:eastAsia="zh-CN"/>
        </w:rPr>
        <w:t>最高投标限价</w:t>
      </w:r>
      <w:r>
        <w:rPr>
          <w:rFonts w:hint="eastAsia" w:ascii="宋体" w:hAnsi="宋体" w:eastAsia="宋体" w:cs="宋体"/>
          <w:color w:val="auto"/>
          <w:sz w:val="21"/>
          <w:szCs w:val="21"/>
          <w:highlight w:val="none"/>
        </w:rPr>
        <w:t>，也不得低于工程成本。投标人对</w:t>
      </w:r>
      <w:r>
        <w:rPr>
          <w:rFonts w:hint="eastAsia" w:ascii="宋体" w:hAnsi="宋体" w:eastAsia="宋体" w:cs="宋体"/>
          <w:color w:val="auto"/>
          <w:spacing w:val="-1"/>
          <w:sz w:val="21"/>
          <w:szCs w:val="21"/>
          <w:highlight w:val="none"/>
        </w:rPr>
        <w:t>投标总价的所有优惠（降价、让利等</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1"/>
          <w:sz w:val="21"/>
          <w:szCs w:val="21"/>
          <w:highlight w:val="none"/>
        </w:rPr>
        <w:t>均应当反映在具体清单项目或其综合</w:t>
      </w:r>
      <w:r>
        <w:rPr>
          <w:rFonts w:hint="eastAsia" w:ascii="宋体" w:hAnsi="宋体" w:eastAsia="宋体" w:cs="宋体"/>
          <w:color w:val="auto"/>
          <w:spacing w:val="-2"/>
          <w:sz w:val="21"/>
          <w:szCs w:val="21"/>
          <w:highlight w:val="none"/>
        </w:rPr>
        <w:t>单价的</w:t>
      </w:r>
      <w:r>
        <w:rPr>
          <w:rFonts w:hint="eastAsia" w:ascii="宋体" w:hAnsi="宋体" w:eastAsia="宋体" w:cs="宋体"/>
          <w:color w:val="auto"/>
          <w:spacing w:val="1"/>
          <w:sz w:val="21"/>
          <w:szCs w:val="21"/>
          <w:highlight w:val="none"/>
        </w:rPr>
        <w:t>报价上。</w:t>
      </w:r>
      <w:r>
        <w:rPr>
          <w:rFonts w:hint="eastAsia" w:ascii="宋体" w:hAnsi="宋体" w:eastAsia="宋体" w:cs="宋体"/>
          <w:b/>
          <w:bCs/>
          <w:color w:val="auto"/>
          <w:spacing w:val="1"/>
          <w:sz w:val="21"/>
          <w:szCs w:val="21"/>
          <w:highlight w:val="none"/>
        </w:rPr>
        <w:t>如果投标人的投标总价下浮率高于15%时，投标人必须在投标文件中专项</w:t>
      </w:r>
      <w:r>
        <w:rPr>
          <w:rFonts w:hint="eastAsia" w:ascii="宋体" w:hAnsi="宋体" w:eastAsia="宋体" w:cs="宋体"/>
          <w:b/>
          <w:bCs/>
          <w:color w:val="auto"/>
          <w:spacing w:val="-3"/>
          <w:sz w:val="21"/>
          <w:szCs w:val="21"/>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投标总价下浮率=（1-投标总价</w:t>
      </w:r>
      <w:r>
        <w:rPr>
          <w:rFonts w:hint="eastAsia" w:ascii="宋体" w:hAnsi="宋体" w:eastAsia="宋体" w:cs="宋体"/>
          <w:b/>
          <w:bCs/>
          <w:color w:val="auto"/>
          <w:spacing w:val="-1"/>
          <w:sz w:val="21"/>
          <w:szCs w:val="21"/>
          <w:highlight w:val="none"/>
        </w:rPr>
        <w:t>÷</w:t>
      </w:r>
      <w:r>
        <w:rPr>
          <w:rFonts w:hint="eastAsia" w:ascii="宋体" w:hAnsi="宋体" w:eastAsia="宋体" w:cs="宋体"/>
          <w:b/>
          <w:bCs/>
          <w:color w:val="auto"/>
          <w:spacing w:val="-1"/>
          <w:sz w:val="21"/>
          <w:szCs w:val="21"/>
          <w:highlight w:val="none"/>
          <w:lang w:eastAsia="zh-CN"/>
        </w:rPr>
        <w:t>最高投标限价）</w:t>
      </w:r>
      <w:r>
        <w:rPr>
          <w:rFonts w:hint="eastAsia" w:ascii="宋体" w:hAnsi="宋体" w:eastAsia="宋体" w:cs="宋体"/>
          <w:b/>
          <w:bCs/>
          <w:color w:val="auto"/>
          <w:spacing w:val="-1"/>
          <w:sz w:val="21"/>
          <w:szCs w:val="21"/>
          <w:highlight w:val="none"/>
        </w:rPr>
        <w:t>×</w:t>
      </w:r>
      <w:r>
        <w:rPr>
          <w:rFonts w:hint="eastAsia" w:ascii="宋体" w:hAnsi="宋体" w:eastAsia="宋体" w:cs="宋体"/>
          <w:b/>
          <w:bCs/>
          <w:color w:val="auto"/>
          <w:spacing w:val="-1"/>
          <w:sz w:val="21"/>
          <w:szCs w:val="21"/>
          <w:highlight w:val="none"/>
          <w:lang w:eastAsia="zh-CN"/>
        </w:rPr>
        <w:t>100%</w:t>
      </w:r>
    </w:p>
    <w:p w14:paraId="5ABB7F86">
      <w:pPr>
        <w:spacing w:before="146" w:line="325" w:lineRule="auto"/>
        <w:ind w:left="29" w:right="153" w:firstLine="45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9.8  投标人的安全生产措施费报价必须达到或超过</w:t>
      </w:r>
      <w:r>
        <w:rPr>
          <w:rFonts w:hint="eastAsia" w:ascii="宋体" w:hAnsi="宋体" w:eastAsia="宋体" w:cs="宋体"/>
          <w:b/>
          <w:bCs/>
          <w:color w:val="auto"/>
          <w:sz w:val="21"/>
          <w:szCs w:val="21"/>
          <w:highlight w:val="none"/>
          <w:lang w:val="en-US" w:eastAsia="zh-CN"/>
        </w:rPr>
        <w:t>最高投标限价</w:t>
      </w:r>
      <w:r>
        <w:rPr>
          <w:rFonts w:hint="eastAsia" w:ascii="宋体" w:hAnsi="宋体" w:eastAsia="宋体" w:cs="宋体"/>
          <w:b/>
          <w:bCs/>
          <w:color w:val="auto"/>
          <w:sz w:val="21"/>
          <w:szCs w:val="21"/>
          <w:highlight w:val="none"/>
        </w:rPr>
        <w:t>中</w:t>
      </w:r>
      <w:r>
        <w:rPr>
          <w:rFonts w:hint="eastAsia" w:ascii="宋体" w:hAnsi="宋体" w:eastAsia="宋体" w:cs="宋体"/>
          <w:b/>
          <w:bCs/>
          <w:color w:val="auto"/>
          <w:spacing w:val="-1"/>
          <w:sz w:val="21"/>
          <w:szCs w:val="21"/>
          <w:highlight w:val="none"/>
        </w:rPr>
        <w:t>提供</w:t>
      </w:r>
      <w:r>
        <w:rPr>
          <w:rFonts w:hint="eastAsia" w:ascii="宋体" w:hAnsi="宋体" w:eastAsia="宋体" w:cs="宋体"/>
          <w:b/>
          <w:bCs/>
          <w:color w:val="auto"/>
          <w:spacing w:val="-3"/>
          <w:sz w:val="21"/>
          <w:szCs w:val="21"/>
          <w:highlight w:val="none"/>
        </w:rPr>
        <w:t>的安全生产措施费。</w:t>
      </w:r>
    </w:p>
    <w:p w14:paraId="235C1669">
      <w:pPr>
        <w:spacing w:before="78" w:line="309" w:lineRule="auto"/>
        <w:ind w:right="99"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9.9  </w:t>
      </w:r>
      <w:r>
        <w:rPr>
          <w:rFonts w:hint="eastAsia" w:ascii="宋体" w:hAnsi="宋体" w:eastAsia="宋体" w:cs="宋体"/>
          <w:color w:val="auto"/>
          <w:sz w:val="21"/>
          <w:szCs w:val="21"/>
          <w:highlight w:val="none"/>
        </w:rPr>
        <w:t>投标人必须按照招标工程量清单中提供的暂列金额和暂估价统一报价。投标</w:t>
      </w:r>
      <w:r>
        <w:rPr>
          <w:rFonts w:hint="eastAsia" w:ascii="宋体" w:hAnsi="宋体" w:eastAsia="宋体" w:cs="宋体"/>
          <w:color w:val="auto"/>
          <w:spacing w:val="-1"/>
          <w:sz w:val="21"/>
          <w:szCs w:val="21"/>
          <w:highlight w:val="none"/>
        </w:rPr>
        <w:t>人应充分考虑暂估价项目（或暂列金额项目）的管理和协调所发</w:t>
      </w:r>
      <w:r>
        <w:rPr>
          <w:rFonts w:hint="eastAsia" w:ascii="宋体" w:hAnsi="宋体" w:eastAsia="宋体" w:cs="宋体"/>
          <w:color w:val="auto"/>
          <w:spacing w:val="-2"/>
          <w:sz w:val="21"/>
          <w:szCs w:val="21"/>
          <w:highlight w:val="none"/>
        </w:rPr>
        <w:t>生的费用，并将其纳</w:t>
      </w:r>
      <w:r>
        <w:rPr>
          <w:rFonts w:hint="eastAsia" w:ascii="宋体" w:hAnsi="宋体" w:eastAsia="宋体" w:cs="宋体"/>
          <w:color w:val="auto"/>
          <w:spacing w:val="-1"/>
          <w:sz w:val="21"/>
          <w:szCs w:val="21"/>
          <w:highlight w:val="none"/>
        </w:rPr>
        <w:t>入已标价工程量清单中的适当项目。招标人视该项管理和协调所</w:t>
      </w:r>
      <w:r>
        <w:rPr>
          <w:rFonts w:hint="eastAsia" w:ascii="宋体" w:hAnsi="宋体" w:eastAsia="宋体" w:cs="宋体"/>
          <w:color w:val="auto"/>
          <w:spacing w:val="-2"/>
          <w:sz w:val="21"/>
          <w:szCs w:val="21"/>
          <w:highlight w:val="none"/>
        </w:rPr>
        <w:t>发生的费用已包含在</w:t>
      </w:r>
      <w:r>
        <w:rPr>
          <w:rFonts w:hint="eastAsia" w:ascii="宋体" w:hAnsi="宋体" w:eastAsia="宋体" w:cs="宋体"/>
          <w:color w:val="auto"/>
          <w:spacing w:val="-2"/>
          <w:sz w:val="21"/>
          <w:szCs w:val="21"/>
          <w:highlight w:val="none"/>
          <w:lang w:eastAsia="zh-CN"/>
        </w:rPr>
        <w:t>其他</w:t>
      </w:r>
      <w:r>
        <w:rPr>
          <w:rFonts w:hint="eastAsia" w:ascii="宋体" w:hAnsi="宋体" w:eastAsia="宋体" w:cs="宋体"/>
          <w:color w:val="auto"/>
          <w:spacing w:val="-1"/>
          <w:sz w:val="21"/>
          <w:szCs w:val="21"/>
          <w:highlight w:val="none"/>
        </w:rPr>
        <w:t>有价款的竞争性报价内，不再另行支付。</w:t>
      </w:r>
    </w:p>
    <w:p w14:paraId="105B0490">
      <w:pPr>
        <w:spacing w:before="78" w:line="220" w:lineRule="auto"/>
        <w:ind w:left="496"/>
        <w:outlineLvl w:val="2"/>
        <w:rPr>
          <w:rFonts w:hint="eastAsia" w:ascii="宋体" w:hAnsi="宋体" w:eastAsia="宋体" w:cs="宋体"/>
          <w:color w:val="auto"/>
          <w:sz w:val="21"/>
          <w:szCs w:val="21"/>
          <w:highlight w:val="none"/>
        </w:rPr>
      </w:pPr>
      <w:bookmarkStart w:id="47" w:name="_Toc29228"/>
      <w:bookmarkStart w:id="48" w:name="_Toc16322"/>
      <w:r>
        <w:rPr>
          <w:rFonts w:hint="eastAsia" w:ascii="宋体" w:hAnsi="宋体" w:eastAsia="宋体" w:cs="宋体"/>
          <w:b/>
          <w:bCs/>
          <w:color w:val="auto"/>
          <w:spacing w:val="-6"/>
          <w:sz w:val="21"/>
          <w:szCs w:val="21"/>
          <w:highlight w:val="none"/>
        </w:rPr>
        <w:t>10</w:t>
      </w:r>
      <w:r>
        <w:rPr>
          <w:rFonts w:hint="eastAsia" w:ascii="宋体" w:hAnsi="宋体" w:eastAsia="宋体" w:cs="宋体"/>
          <w:b/>
          <w:bCs/>
          <w:color w:val="auto"/>
          <w:spacing w:val="-6"/>
          <w:sz w:val="21"/>
          <w:szCs w:val="21"/>
          <w:highlight w:val="none"/>
          <w:lang w:eastAsia="zh-CN"/>
        </w:rPr>
        <w:t xml:space="preserve">. </w:t>
      </w:r>
      <w:r>
        <w:rPr>
          <w:rFonts w:hint="eastAsia" w:ascii="宋体" w:hAnsi="宋体" w:eastAsia="宋体" w:cs="宋体"/>
          <w:b/>
          <w:bCs/>
          <w:color w:val="auto"/>
          <w:spacing w:val="-6"/>
          <w:sz w:val="21"/>
          <w:szCs w:val="21"/>
          <w:highlight w:val="none"/>
        </w:rPr>
        <w:t>投标文件的编制要求</w:t>
      </w:r>
      <w:bookmarkEnd w:id="47"/>
      <w:bookmarkEnd w:id="48"/>
    </w:p>
    <w:p w14:paraId="717359E1">
      <w:pPr>
        <w:spacing w:before="152" w:line="222" w:lineRule="auto"/>
        <w:ind w:left="496"/>
        <w:outlineLvl w:val="3"/>
        <w:rPr>
          <w:rFonts w:hint="eastAsia" w:ascii="宋体" w:hAnsi="宋体" w:eastAsia="宋体" w:cs="宋体"/>
          <w:color w:val="auto"/>
          <w:sz w:val="21"/>
          <w:szCs w:val="21"/>
          <w:highlight w:val="none"/>
        </w:rPr>
      </w:pPr>
      <w:bookmarkStart w:id="49" w:name="_Toc22937"/>
      <w:bookmarkStart w:id="50" w:name="_Toc20590"/>
      <w:r>
        <w:rPr>
          <w:rFonts w:hint="eastAsia" w:ascii="宋体" w:hAnsi="宋体" w:eastAsia="宋体" w:cs="宋体"/>
          <w:b/>
          <w:bCs/>
          <w:color w:val="auto"/>
          <w:spacing w:val="-4"/>
          <w:sz w:val="21"/>
          <w:szCs w:val="21"/>
          <w:highlight w:val="none"/>
        </w:rPr>
        <w:t>10.1</w:t>
      </w:r>
      <w:r>
        <w:rPr>
          <w:rFonts w:hint="eastAsia" w:ascii="宋体" w:hAnsi="宋体" w:eastAsia="宋体" w:cs="宋体"/>
          <w:b/>
          <w:bCs/>
          <w:color w:val="auto"/>
          <w:spacing w:val="7"/>
          <w:sz w:val="21"/>
          <w:szCs w:val="21"/>
          <w:highlight w:val="none"/>
        </w:rPr>
        <w:t xml:space="preserve">  </w:t>
      </w:r>
      <w:r>
        <w:rPr>
          <w:rFonts w:hint="eastAsia" w:ascii="宋体" w:hAnsi="宋体" w:eastAsia="宋体" w:cs="宋体"/>
          <w:color w:val="auto"/>
          <w:spacing w:val="-4"/>
          <w:sz w:val="21"/>
          <w:szCs w:val="21"/>
          <w:highlight w:val="none"/>
        </w:rPr>
        <w:t>一般要求</w:t>
      </w:r>
      <w:bookmarkEnd w:id="49"/>
      <w:bookmarkEnd w:id="50"/>
    </w:p>
    <w:p w14:paraId="4800233A">
      <w:pPr>
        <w:spacing w:before="118" w:line="295" w:lineRule="auto"/>
        <w:ind w:left="11" w:right="99" w:firstLine="48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投标文件应按第六章投标文件格式规定的内容，投标人提交的投标文件应当使</w:t>
      </w:r>
      <w:r>
        <w:rPr>
          <w:rFonts w:hint="eastAsia" w:ascii="宋体" w:hAnsi="宋体" w:eastAsia="宋体" w:cs="宋体"/>
          <w:color w:val="auto"/>
          <w:spacing w:val="-1"/>
          <w:sz w:val="21"/>
          <w:szCs w:val="21"/>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10.1.1  </w:t>
      </w:r>
      <w:r>
        <w:rPr>
          <w:rFonts w:hint="eastAsia" w:ascii="宋体" w:hAnsi="宋体" w:eastAsia="宋体" w:cs="宋体"/>
          <w:color w:val="auto"/>
          <w:spacing w:val="-3"/>
          <w:sz w:val="21"/>
          <w:szCs w:val="21"/>
          <w:highlight w:val="none"/>
        </w:rPr>
        <w:t>投标人必须响应招标文件，并在充分理解招</w:t>
      </w:r>
      <w:r>
        <w:rPr>
          <w:rFonts w:hint="eastAsia" w:ascii="宋体" w:hAnsi="宋体" w:eastAsia="宋体" w:cs="宋体"/>
          <w:color w:val="auto"/>
          <w:spacing w:val="-4"/>
          <w:sz w:val="21"/>
          <w:szCs w:val="21"/>
          <w:highlight w:val="none"/>
        </w:rPr>
        <w:t>标人提供的全部文件、设计图</w:t>
      </w:r>
      <w:r>
        <w:rPr>
          <w:rFonts w:hint="eastAsia" w:ascii="宋体" w:hAnsi="宋体" w:eastAsia="宋体" w:cs="宋体"/>
          <w:color w:val="auto"/>
          <w:spacing w:val="-1"/>
          <w:sz w:val="21"/>
          <w:szCs w:val="21"/>
          <w:highlight w:val="none"/>
        </w:rPr>
        <w:t>纸、资料及现场条件的基础上编制投标文件。因投标文件</w:t>
      </w:r>
      <w:r>
        <w:rPr>
          <w:rFonts w:hint="eastAsia" w:ascii="宋体" w:hAnsi="宋体" w:eastAsia="宋体" w:cs="宋体"/>
          <w:color w:val="auto"/>
          <w:spacing w:val="-2"/>
          <w:sz w:val="21"/>
          <w:szCs w:val="21"/>
          <w:highlight w:val="none"/>
        </w:rPr>
        <w:t>不符合招标文件的要求而造</w:t>
      </w:r>
      <w:r>
        <w:rPr>
          <w:rFonts w:hint="eastAsia" w:ascii="宋体" w:hAnsi="宋体" w:eastAsia="宋体" w:cs="宋体"/>
          <w:color w:val="auto"/>
          <w:spacing w:val="-1"/>
          <w:sz w:val="21"/>
          <w:szCs w:val="21"/>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10.1.2  投标文件包括商务标书、经济标书、施工组织设计和定标文件四个分册，</w:t>
      </w:r>
      <w:r>
        <w:rPr>
          <w:rFonts w:hint="eastAsia" w:ascii="宋体" w:hAnsi="宋体" w:eastAsia="宋体" w:cs="宋体"/>
          <w:color w:val="auto"/>
          <w:spacing w:val="-3"/>
          <w:sz w:val="21"/>
          <w:szCs w:val="21"/>
          <w:highlight w:val="none"/>
        </w:rPr>
        <w:t>投标文件全部采用电子文档，投标文件所附</w:t>
      </w:r>
      <w:r>
        <w:rPr>
          <w:rFonts w:hint="eastAsia" w:ascii="宋体" w:hAnsi="宋体" w:eastAsia="宋体" w:cs="宋体"/>
          <w:color w:val="auto"/>
          <w:spacing w:val="-4"/>
          <w:sz w:val="21"/>
          <w:szCs w:val="21"/>
          <w:highlight w:val="none"/>
        </w:rPr>
        <w:t>证书证件均为原件扫描件，并</w:t>
      </w:r>
      <w:r>
        <w:rPr>
          <w:rFonts w:hint="eastAsia" w:ascii="宋体" w:hAnsi="宋体" w:eastAsia="宋体" w:cs="宋体"/>
          <w:color w:val="auto"/>
          <w:spacing w:val="-1"/>
          <w:sz w:val="21"/>
          <w:szCs w:val="21"/>
          <w:highlight w:val="none"/>
        </w:rPr>
        <w:t>采用单位数字证书，按招标文件要求在相应位置加盖电子印章。</w:t>
      </w:r>
      <w:r>
        <w:rPr>
          <w:rFonts w:hint="eastAsia" w:ascii="宋体" w:hAnsi="宋体" w:eastAsia="宋体" w:cs="宋体"/>
          <w:color w:val="auto"/>
          <w:spacing w:val="-2"/>
          <w:sz w:val="21"/>
          <w:szCs w:val="21"/>
          <w:highlight w:val="none"/>
        </w:rPr>
        <w:t>投标文件中需个人签</w:t>
      </w:r>
      <w:r>
        <w:rPr>
          <w:rFonts w:hint="eastAsia" w:ascii="宋体" w:hAnsi="宋体" w:eastAsia="宋体" w:cs="宋体"/>
          <w:color w:val="auto"/>
          <w:spacing w:val="-1"/>
          <w:sz w:val="21"/>
          <w:szCs w:val="21"/>
          <w:highlight w:val="none"/>
        </w:rPr>
        <w:t>字或盖章的，应加盖个人电子印章或在线下完成后扫描上传。按</w:t>
      </w:r>
      <w:r>
        <w:rPr>
          <w:rFonts w:hint="eastAsia" w:ascii="宋体" w:hAnsi="宋体" w:eastAsia="宋体" w:cs="宋体"/>
          <w:color w:val="auto"/>
          <w:spacing w:val="-2"/>
          <w:sz w:val="21"/>
          <w:szCs w:val="21"/>
          <w:highlight w:val="none"/>
        </w:rPr>
        <w:t>照交易平台关于全流</w:t>
      </w:r>
      <w:r>
        <w:rPr>
          <w:rFonts w:hint="eastAsia" w:ascii="宋体" w:hAnsi="宋体" w:eastAsia="宋体" w:cs="宋体"/>
          <w:color w:val="auto"/>
          <w:spacing w:val="-7"/>
          <w:sz w:val="21"/>
          <w:szCs w:val="21"/>
          <w:highlight w:val="none"/>
        </w:rPr>
        <w:t>程电子化项目的相关指南进行操作。详见：全国公共资源</w:t>
      </w:r>
      <w:r>
        <w:rPr>
          <w:rFonts w:hint="eastAsia" w:ascii="宋体" w:hAnsi="宋体" w:eastAsia="宋体" w:cs="宋体"/>
          <w:color w:val="auto"/>
          <w:spacing w:val="-8"/>
          <w:sz w:val="21"/>
          <w:szCs w:val="21"/>
          <w:highlight w:val="none"/>
        </w:rPr>
        <w:t>交易平台（广东省</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8"/>
          <w:sz w:val="21"/>
          <w:szCs w:val="21"/>
          <w:highlight w:val="none"/>
        </w:rPr>
        <w:t>·韶关市）</w:t>
      </w:r>
      <w:r>
        <w:rPr>
          <w:rFonts w:hint="eastAsia" w:ascii="宋体" w:hAnsi="宋体" w:eastAsia="宋体" w:cs="宋体"/>
          <w:color w:val="auto"/>
          <w:spacing w:val="-2"/>
          <w:sz w:val="21"/>
          <w:szCs w:val="21"/>
          <w:highlight w:val="none"/>
        </w:rPr>
        <w:t>交易指引。</w:t>
      </w:r>
    </w:p>
    <w:p w14:paraId="217CF466">
      <w:pPr>
        <w:spacing w:before="1" w:line="219" w:lineRule="auto"/>
        <w:ind w:left="579"/>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10.1.3  </w:t>
      </w:r>
      <w:r>
        <w:rPr>
          <w:rFonts w:hint="eastAsia" w:ascii="宋体" w:hAnsi="宋体" w:eastAsia="宋体" w:cs="宋体"/>
          <w:color w:val="auto"/>
          <w:spacing w:val="-1"/>
          <w:sz w:val="21"/>
          <w:szCs w:val="21"/>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"10.1.3.1" </w:instrText>
      </w:r>
      <w:r>
        <w:rPr>
          <w:rFonts w:hint="eastAsia" w:ascii="宋体" w:hAnsi="宋体" w:eastAsia="宋体" w:cs="宋体"/>
          <w:color w:val="auto"/>
          <w:sz w:val="21"/>
          <w:szCs w:val="21"/>
          <w:highlight w:val="none"/>
        </w:rPr>
        <w:fldChar w:fldCharType="separate"/>
      </w:r>
      <w:r>
        <w:rPr>
          <w:rFonts w:hint="eastAsia" w:ascii="宋体" w:hAnsi="宋体" w:eastAsia="宋体" w:cs="宋体"/>
          <w:b/>
          <w:bCs/>
          <w:color w:val="auto"/>
          <w:spacing w:val="-2"/>
          <w:sz w:val="21"/>
          <w:szCs w:val="21"/>
          <w:highlight w:val="none"/>
        </w:rPr>
        <w:t>10.1.3.1</w:t>
      </w:r>
      <w:r>
        <w:rPr>
          <w:rFonts w:hint="eastAsia" w:ascii="宋体" w:hAnsi="宋体" w:eastAsia="宋体" w:cs="宋体"/>
          <w:b/>
          <w:bCs/>
          <w:color w:val="auto"/>
          <w:spacing w:val="-2"/>
          <w:sz w:val="21"/>
          <w:szCs w:val="21"/>
          <w:highlight w:val="none"/>
        </w:rPr>
        <w:fldChar w:fldCharType="end"/>
      </w:r>
      <w:r>
        <w:rPr>
          <w:rFonts w:hint="eastAsia" w:ascii="宋体" w:hAnsi="宋体" w:eastAsia="宋体" w:cs="宋体"/>
          <w:b/>
          <w:bCs/>
          <w:color w:val="auto"/>
          <w:spacing w:val="-2"/>
          <w:sz w:val="21"/>
          <w:szCs w:val="21"/>
          <w:highlight w:val="none"/>
        </w:rPr>
        <w:t xml:space="preserve">  </w:t>
      </w:r>
      <w:r>
        <w:rPr>
          <w:rFonts w:hint="eastAsia" w:ascii="宋体" w:hAnsi="宋体" w:eastAsia="宋体" w:cs="宋体"/>
          <w:color w:val="auto"/>
          <w:spacing w:val="-2"/>
          <w:sz w:val="21"/>
          <w:szCs w:val="21"/>
          <w:highlight w:val="none"/>
        </w:rPr>
        <w:t>投标文件封面、组成</w:t>
      </w:r>
      <w:r>
        <w:rPr>
          <w:rFonts w:hint="eastAsia" w:ascii="宋体" w:hAnsi="宋体" w:eastAsia="宋体" w:cs="宋体"/>
          <w:color w:val="auto"/>
          <w:spacing w:val="-3"/>
          <w:sz w:val="21"/>
          <w:szCs w:val="21"/>
          <w:highlight w:val="none"/>
        </w:rPr>
        <w:t>内容中凡注明“签字”处由要求的人员签字或电子</w:t>
      </w:r>
      <w:r>
        <w:rPr>
          <w:rFonts w:hint="eastAsia" w:ascii="宋体" w:hAnsi="宋体" w:eastAsia="宋体" w:cs="宋体"/>
          <w:color w:val="auto"/>
          <w:spacing w:val="-2"/>
          <w:sz w:val="21"/>
          <w:szCs w:val="21"/>
          <w:highlight w:val="none"/>
        </w:rPr>
        <w:t>签章；凡注明“签字或盖章”处由要求的人员签字或盖其私章（</w:t>
      </w:r>
      <w:r>
        <w:rPr>
          <w:rFonts w:hint="eastAsia" w:ascii="宋体" w:hAnsi="宋体" w:eastAsia="宋体" w:cs="宋体"/>
          <w:color w:val="auto"/>
          <w:spacing w:val="-2"/>
          <w:sz w:val="21"/>
          <w:szCs w:val="21"/>
          <w:highlight w:val="none"/>
          <w:lang w:val="en-US" w:eastAsia="zh-CN"/>
        </w:rPr>
        <w:t>含</w:t>
      </w:r>
      <w:r>
        <w:rPr>
          <w:rFonts w:hint="eastAsia" w:ascii="宋体" w:hAnsi="宋体" w:eastAsia="宋体" w:cs="宋体"/>
          <w:color w:val="auto"/>
          <w:spacing w:val="-2"/>
          <w:sz w:val="21"/>
          <w:szCs w:val="21"/>
          <w:highlight w:val="none"/>
        </w:rPr>
        <w:t>电子印章</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rPr>
        <w:t>凡注明</w:t>
      </w:r>
      <w:r>
        <w:rPr>
          <w:rFonts w:hint="eastAsia" w:ascii="宋体" w:hAnsi="宋体" w:eastAsia="宋体" w:cs="宋体"/>
          <w:color w:val="auto"/>
          <w:spacing w:val="-1"/>
          <w:sz w:val="21"/>
          <w:szCs w:val="21"/>
          <w:highlight w:val="none"/>
        </w:rPr>
        <w:t>“签字并盖执业印章”处由要求的人员签字并盖其执业印</w:t>
      </w:r>
      <w:r>
        <w:rPr>
          <w:rFonts w:hint="eastAsia" w:ascii="宋体" w:hAnsi="宋体" w:eastAsia="宋体" w:cs="宋体"/>
          <w:color w:val="auto"/>
          <w:spacing w:val="-2"/>
          <w:sz w:val="21"/>
          <w:szCs w:val="21"/>
          <w:highlight w:val="none"/>
        </w:rPr>
        <w:t>章。</w:t>
      </w:r>
    </w:p>
    <w:p w14:paraId="0B072D3C">
      <w:pPr>
        <w:spacing w:before="112" w:line="264" w:lineRule="auto"/>
        <w:ind w:left="13" w:right="133" w:firstLine="5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"10.1.3.2"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b/>
          <w:bCs/>
          <w:color w:val="auto"/>
          <w:spacing w:val="-2"/>
          <w:sz w:val="21"/>
          <w:szCs w:val="21"/>
          <w:highlight w:val="none"/>
        </w:rPr>
        <w:t>10.1.3.2</w:t>
      </w:r>
      <w:r>
        <w:rPr>
          <w:rFonts w:hint="eastAsia" w:ascii="宋体" w:hAnsi="宋体" w:eastAsia="宋体" w:cs="宋体"/>
          <w:b/>
          <w:bCs/>
          <w:color w:val="auto"/>
          <w:spacing w:val="-2"/>
          <w:sz w:val="21"/>
          <w:szCs w:val="21"/>
          <w:highlight w:val="none"/>
        </w:rPr>
        <w:fldChar w:fldCharType="end"/>
      </w:r>
      <w:r>
        <w:rPr>
          <w:rFonts w:hint="eastAsia" w:ascii="宋体" w:hAnsi="宋体" w:eastAsia="宋体" w:cs="宋体"/>
          <w:b/>
          <w:bCs/>
          <w:color w:val="auto"/>
          <w:spacing w:val="-2"/>
          <w:sz w:val="21"/>
          <w:szCs w:val="21"/>
          <w:highlight w:val="none"/>
        </w:rPr>
        <w:t xml:space="preserve">  </w:t>
      </w:r>
      <w:r>
        <w:rPr>
          <w:rFonts w:hint="eastAsia" w:ascii="宋体" w:hAnsi="宋体" w:eastAsia="宋体" w:cs="宋体"/>
          <w:color w:val="auto"/>
          <w:spacing w:val="-2"/>
          <w:sz w:val="21"/>
          <w:szCs w:val="21"/>
          <w:highlight w:val="none"/>
        </w:rPr>
        <w:t>投标文件封面、组成内容中凡要求录入投标人名称且注明“盖单</w:t>
      </w:r>
      <w:r>
        <w:rPr>
          <w:rFonts w:hint="eastAsia" w:ascii="宋体" w:hAnsi="宋体" w:eastAsia="宋体" w:cs="宋体"/>
          <w:color w:val="auto"/>
          <w:spacing w:val="-3"/>
          <w:sz w:val="21"/>
          <w:szCs w:val="21"/>
          <w:highlight w:val="none"/>
        </w:rPr>
        <w:t>位章”处盖单位法人公章（</w:t>
      </w:r>
      <w:r>
        <w:rPr>
          <w:rFonts w:hint="eastAsia" w:ascii="宋体" w:hAnsi="宋体" w:eastAsia="宋体" w:cs="宋体"/>
          <w:color w:val="auto"/>
          <w:spacing w:val="-3"/>
          <w:sz w:val="21"/>
          <w:szCs w:val="21"/>
          <w:highlight w:val="none"/>
          <w:lang w:val="en-US" w:eastAsia="zh-CN"/>
        </w:rPr>
        <w:t>含</w:t>
      </w:r>
      <w:r>
        <w:rPr>
          <w:rFonts w:hint="eastAsia" w:ascii="宋体" w:hAnsi="宋体" w:eastAsia="宋体" w:cs="宋体"/>
          <w:color w:val="auto"/>
          <w:spacing w:val="-3"/>
          <w:sz w:val="21"/>
          <w:szCs w:val="21"/>
          <w:highlight w:val="none"/>
        </w:rPr>
        <w:t>电子印章）。</w:t>
      </w:r>
    </w:p>
    <w:p w14:paraId="0CBE0BD0">
      <w:pPr>
        <w:spacing w:before="146" w:line="279" w:lineRule="auto"/>
        <w:ind w:left="16" w:right="135" w:firstLine="56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"10.1.3.3" </w:instrText>
      </w:r>
      <w:r>
        <w:rPr>
          <w:rFonts w:hint="eastAsia" w:ascii="宋体" w:hAnsi="宋体" w:eastAsia="宋体" w:cs="宋体"/>
          <w:color w:val="auto"/>
          <w:sz w:val="21"/>
          <w:szCs w:val="21"/>
          <w:highlight w:val="none"/>
        </w:rPr>
        <w:fldChar w:fldCharType="separate"/>
      </w:r>
      <w:r>
        <w:rPr>
          <w:rFonts w:hint="eastAsia" w:ascii="宋体" w:hAnsi="宋体" w:eastAsia="宋体" w:cs="宋体"/>
          <w:b/>
          <w:bCs/>
          <w:color w:val="auto"/>
          <w:spacing w:val="-1"/>
          <w:sz w:val="21"/>
          <w:szCs w:val="21"/>
          <w:highlight w:val="none"/>
        </w:rPr>
        <w:t>10.1.3.3</w:t>
      </w:r>
      <w:r>
        <w:rPr>
          <w:rFonts w:hint="eastAsia" w:ascii="宋体" w:hAnsi="宋体" w:eastAsia="宋体" w:cs="宋体"/>
          <w:b/>
          <w:bCs/>
          <w:color w:val="auto"/>
          <w:spacing w:val="-1"/>
          <w:sz w:val="21"/>
          <w:szCs w:val="21"/>
          <w:highlight w:val="none"/>
        </w:rPr>
        <w:fldChar w:fldCharType="end"/>
      </w:r>
      <w:r>
        <w:rPr>
          <w:rFonts w:hint="eastAsia" w:ascii="宋体" w:hAnsi="宋体" w:eastAsia="宋体" w:cs="宋体"/>
          <w:b/>
          <w:bCs/>
          <w:color w:val="auto"/>
          <w:spacing w:val="-1"/>
          <w:sz w:val="21"/>
          <w:szCs w:val="21"/>
          <w:highlight w:val="none"/>
        </w:rPr>
        <w:t xml:space="preserve">  </w:t>
      </w:r>
      <w:r>
        <w:rPr>
          <w:rFonts w:hint="eastAsia" w:ascii="宋体" w:hAnsi="宋体" w:eastAsia="宋体" w:cs="宋体"/>
          <w:color w:val="auto"/>
          <w:spacing w:val="-1"/>
          <w:sz w:val="21"/>
          <w:szCs w:val="21"/>
          <w:highlight w:val="none"/>
        </w:rPr>
        <w:t>投标文件的签字均为签字人本人亲笔署名或签章</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3"/>
          <w:sz w:val="21"/>
          <w:szCs w:val="21"/>
          <w:highlight w:val="none"/>
          <w:lang w:val="en-US" w:eastAsia="zh-CN"/>
        </w:rPr>
        <w:t>含</w:t>
      </w:r>
      <w:r>
        <w:rPr>
          <w:rFonts w:hint="eastAsia" w:ascii="宋体" w:hAnsi="宋体" w:eastAsia="宋体" w:cs="宋体"/>
          <w:color w:val="auto"/>
          <w:spacing w:val="-2"/>
          <w:sz w:val="21"/>
          <w:szCs w:val="21"/>
          <w:highlight w:val="none"/>
        </w:rPr>
        <w:t>电子印章</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2"/>
          <w:sz w:val="21"/>
          <w:szCs w:val="21"/>
          <w:highlight w:val="none"/>
        </w:rPr>
        <w:t>其余部</w:t>
      </w:r>
      <w:r>
        <w:rPr>
          <w:rFonts w:hint="eastAsia" w:ascii="宋体" w:hAnsi="宋体" w:eastAsia="宋体" w:cs="宋体"/>
          <w:color w:val="auto"/>
          <w:spacing w:val="-1"/>
          <w:sz w:val="21"/>
          <w:szCs w:val="21"/>
          <w:highlight w:val="none"/>
        </w:rPr>
        <w:t>分的复印件无须另行签字、盖章。</w:t>
      </w:r>
    </w:p>
    <w:p w14:paraId="35B67328">
      <w:pPr>
        <w:spacing w:before="155" w:line="219" w:lineRule="auto"/>
        <w:ind w:left="0" w:leftChars="0" w:firstLine="414" w:firstLineChars="200"/>
        <w:outlineLvl w:val="3"/>
        <w:rPr>
          <w:rFonts w:hint="eastAsia" w:ascii="宋体" w:hAnsi="宋体" w:eastAsia="宋体" w:cs="宋体"/>
          <w:b w:val="0"/>
          <w:bCs w:val="0"/>
          <w:color w:val="auto"/>
          <w:spacing w:val="-2"/>
          <w:sz w:val="21"/>
          <w:szCs w:val="21"/>
          <w:highlight w:val="none"/>
        </w:rPr>
      </w:pPr>
      <w:bookmarkStart w:id="51" w:name="_Toc20223"/>
      <w:bookmarkStart w:id="52" w:name="_Toc21271"/>
      <w:r>
        <w:rPr>
          <w:rFonts w:hint="eastAsia" w:ascii="宋体" w:hAnsi="宋体" w:eastAsia="宋体" w:cs="宋体"/>
          <w:b/>
          <w:bCs/>
          <w:color w:val="auto"/>
          <w:spacing w:val="-2"/>
          <w:sz w:val="21"/>
          <w:szCs w:val="21"/>
          <w:highlight w:val="none"/>
        </w:rPr>
        <w:t xml:space="preserve">10.1.3.4 </w:t>
      </w:r>
      <w:r>
        <w:rPr>
          <w:rFonts w:hint="eastAsia" w:ascii="宋体" w:hAnsi="宋体" w:eastAsia="宋体" w:cs="宋体"/>
          <w:color w:val="auto"/>
          <w:spacing w:val="-3"/>
          <w:sz w:val="21"/>
          <w:szCs w:val="21"/>
          <w:highlight w:val="none"/>
        </w:rPr>
        <w:t>联合体投标的，除《联合体协议书》外，由联合体牵头人按以上要求签亲笔署名或签章（</w:t>
      </w:r>
      <w:r>
        <w:rPr>
          <w:rFonts w:hint="eastAsia" w:ascii="宋体" w:hAnsi="宋体" w:eastAsia="宋体" w:cs="宋体"/>
          <w:color w:val="auto"/>
          <w:spacing w:val="-3"/>
          <w:sz w:val="21"/>
          <w:szCs w:val="21"/>
          <w:highlight w:val="none"/>
          <w:lang w:val="en-US" w:eastAsia="zh-CN"/>
        </w:rPr>
        <w:t>含</w:t>
      </w:r>
      <w:r>
        <w:rPr>
          <w:rFonts w:hint="eastAsia" w:ascii="宋体" w:hAnsi="宋体" w:eastAsia="宋体" w:cs="宋体"/>
          <w:color w:val="auto"/>
          <w:spacing w:val="-3"/>
          <w:sz w:val="21"/>
          <w:szCs w:val="21"/>
          <w:highlight w:val="none"/>
        </w:rPr>
        <w:t>电子印章）即可。</w:t>
      </w:r>
    </w:p>
    <w:p w14:paraId="149EA5DD">
      <w:pPr>
        <w:spacing w:before="155" w:line="219" w:lineRule="auto"/>
        <w:ind w:left="500"/>
        <w:outlineLvl w:val="3"/>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10.2  商务标书的编制要求</w:t>
      </w:r>
      <w:bookmarkEnd w:id="51"/>
      <w:bookmarkEnd w:id="52"/>
    </w:p>
    <w:p w14:paraId="09D418EF">
      <w:pPr>
        <w:spacing w:before="157" w:line="219" w:lineRule="auto"/>
        <w:ind w:left="581"/>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10.2.1 </w:t>
      </w:r>
      <w:r>
        <w:rPr>
          <w:rFonts w:hint="eastAsia" w:ascii="宋体" w:hAnsi="宋体" w:eastAsia="宋体" w:cs="宋体"/>
          <w:color w:val="auto"/>
          <w:spacing w:val="-1"/>
          <w:sz w:val="21"/>
          <w:szCs w:val="21"/>
          <w:highlight w:val="none"/>
        </w:rPr>
        <w:t>商务标书包括但不限于以下内容：</w:t>
      </w:r>
    </w:p>
    <w:p w14:paraId="7A133846">
      <w:pPr>
        <w:spacing w:before="154" w:line="220"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（1）封面（格式一</w:t>
      </w:r>
      <w:r>
        <w:rPr>
          <w:rFonts w:hint="eastAsia" w:ascii="宋体" w:hAnsi="宋体" w:eastAsia="宋体" w:cs="宋体"/>
          <w:color w:val="auto"/>
          <w:spacing w:val="2"/>
          <w:sz w:val="21"/>
          <w:szCs w:val="21"/>
          <w:highlight w:val="none"/>
        </w:rPr>
        <w:t>）；</w:t>
      </w:r>
    </w:p>
    <w:p w14:paraId="2ADBEC65">
      <w:pPr>
        <w:spacing w:before="153" w:line="222"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（2）</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13"/>
          <w:sz w:val="21"/>
          <w:szCs w:val="21"/>
          <w:highlight w:val="none"/>
        </w:rPr>
        <w:t>目录；</w:t>
      </w:r>
    </w:p>
    <w:p w14:paraId="796DB9CA">
      <w:pPr>
        <w:spacing w:before="153" w:line="220"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（3）《投标函》（格式二</w:t>
      </w:r>
      <w:r>
        <w:rPr>
          <w:rFonts w:hint="eastAsia" w:ascii="宋体" w:hAnsi="宋体" w:eastAsia="宋体" w:cs="宋体"/>
          <w:color w:val="auto"/>
          <w:spacing w:val="1"/>
          <w:sz w:val="21"/>
          <w:szCs w:val="21"/>
          <w:highlight w:val="none"/>
        </w:rPr>
        <w:t>）；</w:t>
      </w:r>
    </w:p>
    <w:p w14:paraId="5EEB9573">
      <w:pPr>
        <w:spacing w:before="153" w:line="220"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（4）《各项承诺一览表》（格式三</w:t>
      </w:r>
      <w:r>
        <w:rPr>
          <w:rFonts w:hint="eastAsia" w:ascii="宋体" w:hAnsi="宋体" w:eastAsia="宋体" w:cs="宋体"/>
          <w:color w:val="auto"/>
          <w:spacing w:val="5"/>
          <w:sz w:val="21"/>
          <w:szCs w:val="21"/>
          <w:highlight w:val="none"/>
        </w:rPr>
        <w:t>）；</w:t>
      </w:r>
    </w:p>
    <w:p w14:paraId="2EEF341D">
      <w:pPr>
        <w:spacing w:before="154" w:line="219"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（5）《授权委托书》（格式四</w:t>
      </w:r>
      <w:r>
        <w:rPr>
          <w:rFonts w:hint="eastAsia" w:ascii="宋体" w:hAnsi="宋体" w:eastAsia="宋体" w:cs="宋体"/>
          <w:color w:val="auto"/>
          <w:spacing w:val="3"/>
          <w:sz w:val="21"/>
          <w:szCs w:val="21"/>
          <w:highlight w:val="none"/>
        </w:rPr>
        <w:t>）；</w:t>
      </w:r>
    </w:p>
    <w:p w14:paraId="7D3A1941">
      <w:pPr>
        <w:spacing w:before="156" w:line="220"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（6）《法定代表人身份证明》（格式五</w:t>
      </w:r>
      <w:r>
        <w:rPr>
          <w:rFonts w:hint="eastAsia" w:ascii="宋体" w:hAnsi="宋体" w:eastAsia="宋体" w:cs="宋体"/>
          <w:color w:val="auto"/>
          <w:spacing w:val="7"/>
          <w:sz w:val="21"/>
          <w:szCs w:val="21"/>
          <w:highlight w:val="none"/>
        </w:rPr>
        <w:t>）；</w:t>
      </w:r>
    </w:p>
    <w:p w14:paraId="49C24569">
      <w:pPr>
        <w:spacing w:before="154" w:line="219"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（8）投标保证缴纳证明（投标人采用投标保证金的，附建</w:t>
      </w:r>
      <w:r>
        <w:rPr>
          <w:rFonts w:hint="eastAsia" w:ascii="宋体" w:hAnsi="宋体" w:eastAsia="宋体" w:cs="宋体"/>
          <w:color w:val="auto"/>
          <w:spacing w:val="1"/>
          <w:sz w:val="21"/>
          <w:szCs w:val="21"/>
          <w:highlight w:val="none"/>
        </w:rPr>
        <w:t>设工程交易系统《缴</w:t>
      </w:r>
      <w:r>
        <w:rPr>
          <w:rFonts w:hint="eastAsia" w:ascii="宋体" w:hAnsi="宋体" w:eastAsia="宋体" w:cs="宋体"/>
          <w:color w:val="auto"/>
          <w:spacing w:val="-1"/>
          <w:sz w:val="21"/>
          <w:szCs w:val="21"/>
          <w:highlight w:val="none"/>
        </w:rPr>
        <w:t>纳投标保证金通知书》页面截图和银行转账单彩色扫描件；采</w:t>
      </w:r>
      <w:r>
        <w:rPr>
          <w:rFonts w:hint="eastAsia" w:ascii="宋体" w:hAnsi="宋体" w:eastAsia="宋体" w:cs="宋体"/>
          <w:color w:val="auto"/>
          <w:spacing w:val="-2"/>
          <w:sz w:val="21"/>
          <w:szCs w:val="21"/>
          <w:highlight w:val="none"/>
        </w:rPr>
        <w:t>用投标保证担保的，附银行保函彩色扫描件；采用投标保证保险的，附电子保单和</w:t>
      </w:r>
      <w:r>
        <w:rPr>
          <w:rFonts w:hint="eastAsia" w:ascii="宋体" w:hAnsi="宋体" w:eastAsia="宋体" w:cs="宋体"/>
          <w:b/>
          <w:bCs/>
          <w:color w:val="auto"/>
          <w:spacing w:val="-2"/>
          <w:sz w:val="21"/>
          <w:szCs w:val="21"/>
          <w:highlight w:val="none"/>
        </w:rPr>
        <w:t>《韶关市公共资源交易一</w:t>
      </w:r>
      <w:r>
        <w:rPr>
          <w:rFonts w:hint="eastAsia" w:ascii="宋体" w:hAnsi="宋体" w:eastAsia="宋体" w:cs="宋体"/>
          <w:b/>
          <w:bCs/>
          <w:color w:val="auto"/>
          <w:spacing w:val="-3"/>
          <w:sz w:val="21"/>
          <w:szCs w:val="21"/>
          <w:highlight w:val="none"/>
        </w:rPr>
        <w:t>体化平台保证金缴纳信息》页面截图</w:t>
      </w:r>
      <w:r>
        <w:rPr>
          <w:rFonts w:hint="eastAsia" w:ascii="宋体" w:hAnsi="宋体" w:eastAsia="宋体" w:cs="宋体"/>
          <w:color w:val="auto"/>
          <w:spacing w:val="4"/>
          <w:sz w:val="21"/>
          <w:szCs w:val="21"/>
          <w:highlight w:val="none"/>
        </w:rPr>
        <w:t>）；</w:t>
      </w:r>
    </w:p>
    <w:p w14:paraId="1196EDC9">
      <w:pPr>
        <w:spacing w:before="156" w:line="219"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（9）《投标人基本情况表》（格式七）及所附资料；</w:t>
      </w:r>
    </w:p>
    <w:p w14:paraId="625E3C02">
      <w:pPr>
        <w:spacing w:before="155" w:line="219"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（10）《项目经理简历表》（格式八）及所附资料；</w:t>
      </w:r>
    </w:p>
    <w:p w14:paraId="43069717">
      <w:pPr>
        <w:spacing w:before="154" w:line="220"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（11）《项目经理任职声明》（格式九</w:t>
      </w:r>
      <w:r>
        <w:rPr>
          <w:rFonts w:hint="eastAsia" w:ascii="宋体" w:hAnsi="宋体" w:eastAsia="宋体" w:cs="宋体"/>
          <w:color w:val="auto"/>
          <w:spacing w:val="7"/>
          <w:sz w:val="21"/>
          <w:szCs w:val="21"/>
          <w:highlight w:val="none"/>
        </w:rPr>
        <w:t>）；</w:t>
      </w:r>
    </w:p>
    <w:p w14:paraId="5600AAC3">
      <w:pPr>
        <w:spacing w:before="156" w:line="219"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（13）《项</w:t>
      </w:r>
      <w:bookmarkStart w:id="53" w:name="OLE_LINK7"/>
      <w:r>
        <w:rPr>
          <w:rFonts w:hint="eastAsia" w:ascii="宋体" w:hAnsi="宋体" w:eastAsia="宋体" w:cs="宋体"/>
          <w:color w:val="auto"/>
          <w:spacing w:val="-1"/>
          <w:sz w:val="21"/>
          <w:szCs w:val="21"/>
          <w:highlight w:val="none"/>
        </w:rPr>
        <w:t>目管理机构组成表》（格式十一）及</w:t>
      </w:r>
      <w:bookmarkEnd w:id="53"/>
      <w:r>
        <w:rPr>
          <w:rFonts w:hint="eastAsia" w:ascii="宋体" w:hAnsi="宋体" w:eastAsia="宋体" w:cs="宋体"/>
          <w:color w:val="auto"/>
          <w:spacing w:val="-1"/>
          <w:sz w:val="21"/>
          <w:szCs w:val="21"/>
          <w:highlight w:val="none"/>
        </w:rPr>
        <w:t>所附资料；</w:t>
      </w:r>
    </w:p>
    <w:p w14:paraId="58C0C275">
      <w:pPr>
        <w:spacing w:before="155" w:line="219" w:lineRule="auto"/>
        <w:ind w:left="50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（14）本节第</w:t>
      </w:r>
      <w:r>
        <w:rPr>
          <w:rFonts w:hint="eastAsia" w:ascii="宋体" w:hAnsi="宋体" w:eastAsia="宋体" w:cs="宋体"/>
          <w:b/>
          <w:bCs/>
          <w:color w:val="auto"/>
          <w:spacing w:val="-4"/>
          <w:sz w:val="21"/>
          <w:szCs w:val="21"/>
          <w:highlight w:val="none"/>
        </w:rPr>
        <w:t>15.5.1</w:t>
      </w:r>
      <w:r>
        <w:rPr>
          <w:rFonts w:hint="eastAsia" w:ascii="宋体" w:hAnsi="宋体" w:eastAsia="宋体" w:cs="宋体"/>
          <w:color w:val="auto"/>
          <w:spacing w:val="-4"/>
          <w:sz w:val="21"/>
          <w:szCs w:val="21"/>
          <w:highlight w:val="none"/>
        </w:rPr>
        <w:t>目“评标方法”要求提供的</w:t>
      </w:r>
      <w:r>
        <w:rPr>
          <w:rFonts w:hint="eastAsia" w:ascii="宋体" w:hAnsi="宋体" w:eastAsia="宋体" w:cs="宋体"/>
          <w:color w:val="auto"/>
          <w:spacing w:val="-5"/>
          <w:sz w:val="21"/>
          <w:szCs w:val="21"/>
          <w:highlight w:val="none"/>
        </w:rPr>
        <w:t>评审资料；</w:t>
      </w:r>
    </w:p>
    <w:p w14:paraId="47D20E97">
      <w:pPr>
        <w:spacing w:before="78" w:line="299" w:lineRule="auto"/>
        <w:ind w:left="8" w:right="61" w:firstLine="49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（15）投标人认为有必要补充的其他资料。（例如投标人已经工商变更，但其企</w:t>
      </w:r>
      <w:r>
        <w:rPr>
          <w:rFonts w:hint="eastAsia" w:ascii="宋体" w:hAnsi="宋体" w:eastAsia="宋体" w:cs="宋体"/>
          <w:color w:val="auto"/>
          <w:spacing w:val="-1"/>
          <w:sz w:val="21"/>
          <w:szCs w:val="21"/>
          <w:highlight w:val="none"/>
        </w:rPr>
        <w:t>业资质证书、安全生产许可证或其员工执业资格注册证书上的企</w:t>
      </w:r>
      <w:r>
        <w:rPr>
          <w:rFonts w:hint="eastAsia" w:ascii="宋体" w:hAnsi="宋体" w:eastAsia="宋体" w:cs="宋体"/>
          <w:color w:val="auto"/>
          <w:spacing w:val="-2"/>
          <w:sz w:val="21"/>
          <w:szCs w:val="21"/>
          <w:highlight w:val="none"/>
        </w:rPr>
        <w:t>业名称未能在投标期</w:t>
      </w:r>
      <w:r>
        <w:rPr>
          <w:rFonts w:hint="eastAsia" w:ascii="宋体" w:hAnsi="宋体" w:eastAsia="宋体" w:cs="宋体"/>
          <w:color w:val="auto"/>
          <w:spacing w:val="-1"/>
          <w:sz w:val="21"/>
          <w:szCs w:val="21"/>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10.2.2  </w:t>
      </w:r>
      <w:r>
        <w:rPr>
          <w:rFonts w:hint="eastAsia" w:ascii="宋体" w:hAnsi="宋体" w:eastAsia="宋体" w:cs="宋体"/>
          <w:color w:val="auto"/>
          <w:sz w:val="21"/>
          <w:szCs w:val="21"/>
          <w:highlight w:val="none"/>
        </w:rPr>
        <w:t>本节第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b/>
          <w:bCs/>
          <w:color w:val="auto"/>
          <w:sz w:val="21"/>
          <w:szCs w:val="21"/>
          <w:highlight w:val="none"/>
        </w:rPr>
        <w:t>10.2.1</w:t>
      </w:r>
      <w:r>
        <w:rPr>
          <w:rFonts w:hint="eastAsia" w:ascii="宋体" w:hAnsi="宋体" w:eastAsia="宋体" w:cs="宋体"/>
          <w:color w:val="auto"/>
          <w:sz w:val="21"/>
          <w:szCs w:val="21"/>
          <w:highlight w:val="none"/>
        </w:rPr>
        <w:t>目中所列出的商务标书组成内容中，第（</w:t>
      </w:r>
      <w:r>
        <w:rPr>
          <w:rFonts w:hint="eastAsia" w:ascii="宋体" w:hAnsi="宋体" w:eastAsia="宋体" w:cs="宋体"/>
          <w:color w:val="auto"/>
          <w:spacing w:val="-1"/>
          <w:sz w:val="21"/>
          <w:szCs w:val="21"/>
          <w:highlight w:val="none"/>
        </w:rPr>
        <w:t>1）至第（13）项</w:t>
      </w:r>
      <w:r>
        <w:rPr>
          <w:rFonts w:hint="eastAsia" w:ascii="宋体" w:hAnsi="宋体" w:eastAsia="宋体" w:cs="宋体"/>
          <w:color w:val="auto"/>
          <w:sz w:val="21"/>
          <w:szCs w:val="21"/>
          <w:highlight w:val="none"/>
        </w:rPr>
        <w:t>所有投标人均应提供，</w:t>
      </w:r>
      <w:r>
        <w:rPr>
          <w:rFonts w:hint="eastAsia" w:ascii="宋体" w:hAnsi="宋体" w:eastAsia="宋体" w:cs="宋体"/>
          <w:b/>
          <w:bCs/>
          <w:color w:val="auto"/>
          <w:sz w:val="21"/>
          <w:szCs w:val="21"/>
          <w:highlight w:val="none"/>
        </w:rPr>
        <w:t>但非联合体投标的，</w:t>
      </w:r>
      <w:r>
        <w:rPr>
          <w:rFonts w:hint="eastAsia" w:ascii="宋体" w:hAnsi="宋体" w:eastAsia="宋体" w:cs="宋体"/>
          <w:b/>
          <w:bCs/>
          <w:color w:val="auto"/>
          <w:spacing w:val="-1"/>
          <w:sz w:val="21"/>
          <w:szCs w:val="21"/>
          <w:highlight w:val="none"/>
        </w:rPr>
        <w:t>无需提供第（7）项内容。</w:t>
      </w:r>
    </w:p>
    <w:p w14:paraId="189FCE5F">
      <w:pPr>
        <w:spacing w:before="199" w:line="279" w:lineRule="auto"/>
        <w:ind w:right="61"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10.2.3 </w:t>
      </w:r>
      <w:r>
        <w:rPr>
          <w:rFonts w:hint="eastAsia" w:ascii="宋体" w:hAnsi="宋体" w:eastAsia="宋体" w:cs="宋体"/>
          <w:color w:val="auto"/>
          <w:spacing w:val="-8"/>
          <w:sz w:val="21"/>
          <w:szCs w:val="21"/>
          <w:highlight w:val="none"/>
        </w:rPr>
        <w:t>商务标书的组成内容按本节第 10.2.1 目规定的顺序整理、编排后，逐页（页</w:t>
      </w:r>
      <w:r>
        <w:rPr>
          <w:rFonts w:hint="eastAsia" w:ascii="宋体" w:hAnsi="宋体" w:eastAsia="宋体" w:cs="宋体"/>
          <w:color w:val="auto"/>
          <w:spacing w:val="-1"/>
          <w:sz w:val="21"/>
          <w:szCs w:val="21"/>
          <w:highlight w:val="none"/>
        </w:rPr>
        <w:t>码起始从封面开始）连续标记页码。</w:t>
      </w:r>
    </w:p>
    <w:p w14:paraId="00D341F8">
      <w:pPr>
        <w:pStyle w:val="6"/>
        <w:spacing w:line="257" w:lineRule="auto"/>
        <w:rPr>
          <w:rFonts w:hint="eastAsia" w:ascii="宋体" w:hAnsi="宋体" w:eastAsia="宋体" w:cs="宋体"/>
          <w:color w:val="auto"/>
          <w:sz w:val="21"/>
          <w:szCs w:val="21"/>
          <w:highlight w:val="none"/>
        </w:rPr>
      </w:pPr>
    </w:p>
    <w:p w14:paraId="05E2DA61">
      <w:pPr>
        <w:spacing w:before="78" w:line="219" w:lineRule="auto"/>
        <w:ind w:left="496"/>
        <w:outlineLvl w:val="3"/>
        <w:rPr>
          <w:rFonts w:hint="eastAsia" w:ascii="宋体" w:hAnsi="宋体" w:eastAsia="宋体" w:cs="宋体"/>
          <w:b/>
          <w:bCs/>
          <w:color w:val="auto"/>
          <w:sz w:val="21"/>
          <w:szCs w:val="21"/>
          <w:highlight w:val="none"/>
        </w:rPr>
      </w:pPr>
      <w:bookmarkStart w:id="54" w:name="_Toc29370"/>
      <w:bookmarkStart w:id="55" w:name="_Toc10602"/>
      <w:r>
        <w:rPr>
          <w:rFonts w:hint="eastAsia" w:ascii="宋体" w:hAnsi="宋体" w:eastAsia="宋体" w:cs="宋体"/>
          <w:b/>
          <w:bCs/>
          <w:color w:val="auto"/>
          <w:spacing w:val="-2"/>
          <w:sz w:val="21"/>
          <w:szCs w:val="21"/>
          <w:highlight w:val="none"/>
        </w:rPr>
        <w:t>10.3  经济标书的编制要求</w:t>
      </w:r>
      <w:bookmarkEnd w:id="54"/>
      <w:bookmarkEnd w:id="55"/>
    </w:p>
    <w:p w14:paraId="4D7F8054">
      <w:pPr>
        <w:spacing w:before="154" w:line="219"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10.3.1  </w:t>
      </w:r>
      <w:r>
        <w:rPr>
          <w:rFonts w:hint="eastAsia" w:ascii="宋体" w:hAnsi="宋体" w:eastAsia="宋体" w:cs="宋体"/>
          <w:color w:val="auto"/>
          <w:spacing w:val="-1"/>
          <w:sz w:val="21"/>
          <w:szCs w:val="21"/>
          <w:highlight w:val="none"/>
        </w:rPr>
        <w:t>经济标书包括以下内容：</w:t>
      </w:r>
    </w:p>
    <w:p w14:paraId="047BAC7D">
      <w:pPr>
        <w:spacing w:before="156" w:line="220"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（1）封面（格式一</w:t>
      </w:r>
      <w:r>
        <w:rPr>
          <w:rFonts w:hint="eastAsia" w:ascii="宋体" w:hAnsi="宋体" w:eastAsia="宋体" w:cs="宋体"/>
          <w:color w:val="auto"/>
          <w:spacing w:val="2"/>
          <w:sz w:val="21"/>
          <w:szCs w:val="21"/>
          <w:highlight w:val="none"/>
        </w:rPr>
        <w:t>）；</w:t>
      </w:r>
    </w:p>
    <w:p w14:paraId="6558A67D">
      <w:pPr>
        <w:spacing w:before="153" w:line="222"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（2）</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13"/>
          <w:sz w:val="21"/>
          <w:szCs w:val="21"/>
          <w:highlight w:val="none"/>
        </w:rPr>
        <w:t>目录；</w:t>
      </w:r>
    </w:p>
    <w:p w14:paraId="31ADD06E">
      <w:pPr>
        <w:spacing w:before="150" w:line="219"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（3）《投标总价》</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即表B.3.1</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w:t>
      </w:r>
    </w:p>
    <w:p w14:paraId="19D1E9E0">
      <w:pPr>
        <w:spacing w:before="157" w:line="219"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说明：《投标总价》的格式按照《建设工程工程量</w:t>
      </w:r>
      <w:r>
        <w:rPr>
          <w:rFonts w:hint="eastAsia" w:ascii="宋体" w:hAnsi="宋体" w:eastAsia="宋体" w:cs="宋体"/>
          <w:color w:val="auto"/>
          <w:spacing w:val="-1"/>
          <w:sz w:val="21"/>
          <w:szCs w:val="21"/>
          <w:highlight w:val="none"/>
        </w:rPr>
        <w:t>清单计价</w:t>
      </w:r>
      <w:r>
        <w:rPr>
          <w:rFonts w:hint="eastAsia" w:ascii="宋体" w:hAnsi="宋体" w:eastAsia="宋体" w:cs="宋体"/>
          <w:color w:val="auto"/>
          <w:spacing w:val="-1"/>
          <w:sz w:val="21"/>
          <w:szCs w:val="21"/>
          <w:highlight w:val="none"/>
          <w:lang w:val="en-US" w:eastAsia="zh-CN"/>
        </w:rPr>
        <w:t>标准</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lang w:eastAsia="zh-CN"/>
        </w:rPr>
        <w:t>GB/T 50500-2024</w:t>
      </w:r>
      <w:r>
        <w:rPr>
          <w:rFonts w:hint="eastAsia" w:ascii="宋体" w:hAnsi="宋体" w:eastAsia="宋体" w:cs="宋体"/>
          <w:color w:val="auto"/>
          <w:spacing w:val="-1"/>
          <w:sz w:val="21"/>
          <w:szCs w:val="21"/>
          <w:highlight w:val="none"/>
        </w:rPr>
        <w:t>）执行，并应满足以下要求：</w:t>
      </w:r>
    </w:p>
    <w:p w14:paraId="578C4661">
      <w:pPr>
        <w:spacing w:before="150" w:line="309" w:lineRule="auto"/>
        <w:ind w:left="8" w:firstLine="48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a</w:t>
      </w:r>
      <w:r>
        <w:rPr>
          <w:rFonts w:hint="eastAsia" w:ascii="宋体" w:hAnsi="宋体" w:eastAsia="宋体" w:cs="宋体"/>
          <w:b/>
          <w:bCs/>
          <w:color w:val="auto"/>
          <w:spacing w:val="-2"/>
          <w:sz w:val="21"/>
          <w:szCs w:val="21"/>
          <w:highlight w:val="none"/>
          <w:lang w:eastAsia="zh-CN"/>
        </w:rPr>
        <w:t xml:space="preserve">. </w:t>
      </w:r>
      <w:r>
        <w:rPr>
          <w:rFonts w:hint="eastAsia" w:ascii="宋体" w:hAnsi="宋体" w:eastAsia="宋体" w:cs="宋体"/>
          <w:color w:val="auto"/>
          <w:spacing w:val="-2"/>
          <w:sz w:val="21"/>
          <w:szCs w:val="21"/>
          <w:highlight w:val="none"/>
        </w:rPr>
        <w:t>《投标总价扉页》</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即表</w:t>
      </w:r>
      <w:r>
        <w:rPr>
          <w:rFonts w:hint="eastAsia" w:ascii="宋体" w:hAnsi="宋体" w:eastAsia="宋体" w:cs="宋体"/>
          <w:color w:val="auto"/>
          <w:spacing w:val="-2"/>
          <w:sz w:val="21"/>
          <w:szCs w:val="21"/>
          <w:highlight w:val="none"/>
          <w:lang w:val="en-US" w:eastAsia="zh-CN"/>
        </w:rPr>
        <w:t>C</w:t>
      </w:r>
      <w:r>
        <w:rPr>
          <w:rFonts w:hint="eastAsia" w:ascii="宋体" w:hAnsi="宋体" w:eastAsia="宋体" w:cs="宋体"/>
          <w:color w:val="auto"/>
          <w:spacing w:val="-2"/>
          <w:sz w:val="21"/>
          <w:szCs w:val="21"/>
          <w:highlight w:val="none"/>
        </w:rPr>
        <w:t>.3.1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后应附编制人的造价工程师注册证书彩色扫描件（须扫描至变更注册栏，</w:t>
      </w:r>
      <w:r>
        <w:rPr>
          <w:rFonts w:hint="eastAsia" w:ascii="宋体" w:hAnsi="宋体" w:eastAsia="宋体" w:cs="宋体"/>
          <w:b/>
          <w:bCs/>
          <w:color w:val="auto"/>
          <w:spacing w:val="-2"/>
          <w:sz w:val="21"/>
          <w:szCs w:val="21"/>
          <w:highlight w:val="none"/>
        </w:rPr>
        <w:t>一级造价师或二级造价师均可提供电子证书</w:t>
      </w:r>
      <w:r>
        <w:rPr>
          <w:rFonts w:hint="eastAsia" w:ascii="宋体" w:hAnsi="宋体" w:eastAsia="宋体" w:cs="宋体"/>
          <w:color w:val="auto"/>
          <w:spacing w:val="-2"/>
          <w:sz w:val="21"/>
          <w:szCs w:val="21"/>
          <w:highlight w:val="none"/>
        </w:rPr>
        <w:t>）；投标人委托造价咨询单位编制《投标总价》的，在该扉页“投标人”栏目加盖造价</w:t>
      </w:r>
      <w:r>
        <w:rPr>
          <w:rFonts w:hint="eastAsia" w:ascii="宋体" w:hAnsi="宋体" w:eastAsia="宋体" w:cs="宋体"/>
          <w:color w:val="auto"/>
          <w:spacing w:val="-7"/>
          <w:sz w:val="21"/>
          <w:szCs w:val="21"/>
          <w:highlight w:val="none"/>
        </w:rPr>
        <w:t>咨询人公章，</w:t>
      </w:r>
      <w:r>
        <w:rPr>
          <w:rFonts w:hint="eastAsia" w:ascii="宋体" w:hAnsi="宋体" w:eastAsia="宋体" w:cs="宋体"/>
          <w:color w:val="auto"/>
          <w:spacing w:val="-1"/>
          <w:sz w:val="21"/>
          <w:szCs w:val="21"/>
          <w:highlight w:val="none"/>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rPr>
        <w:t xml:space="preserve">b.  </w:t>
      </w:r>
      <w:r>
        <w:rPr>
          <w:rFonts w:hint="eastAsia" w:ascii="宋体" w:hAnsi="宋体" w:eastAsia="宋体" w:cs="宋体"/>
          <w:b w:val="0"/>
          <w:bCs w:val="0"/>
          <w:color w:val="auto"/>
          <w:spacing w:val="2"/>
          <w:sz w:val="21"/>
          <w:szCs w:val="21"/>
          <w:highlight w:val="none"/>
        </w:rPr>
        <w:t>《投标报价填报说明》</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即表D.2.1</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中的填写内容除按照《建设工程工程量清单计价标准》</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GB/</w:t>
      </w:r>
      <w:r>
        <w:rPr>
          <w:rFonts w:hint="eastAsia" w:ascii="宋体" w:hAnsi="宋体" w:eastAsia="宋体" w:cs="宋体"/>
          <w:b w:val="0"/>
          <w:bCs w:val="0"/>
          <w:color w:val="auto"/>
          <w:spacing w:val="2"/>
          <w:sz w:val="21"/>
          <w:szCs w:val="21"/>
          <w:highlight w:val="none"/>
          <w:lang w:eastAsia="zh-CN"/>
        </w:rPr>
        <w:t>T 50500-</w:t>
      </w:r>
      <w:r>
        <w:rPr>
          <w:rFonts w:hint="eastAsia" w:ascii="宋体" w:hAnsi="宋体" w:eastAsia="宋体" w:cs="宋体"/>
          <w:b w:val="0"/>
          <w:bCs w:val="0"/>
          <w:color w:val="auto"/>
          <w:spacing w:val="2"/>
          <w:sz w:val="21"/>
          <w:szCs w:val="21"/>
          <w:highlight w:val="none"/>
        </w:rPr>
        <w:t>2024</w:t>
      </w:r>
      <w:r>
        <w:rPr>
          <w:rFonts w:hint="eastAsia" w:ascii="宋体" w:hAnsi="宋体" w:eastAsia="宋体" w:cs="宋体"/>
          <w:b w:val="0"/>
          <w:bCs w:val="0"/>
          <w:color w:val="auto"/>
          <w:spacing w:val="2"/>
          <w:sz w:val="21"/>
          <w:szCs w:val="21"/>
          <w:highlight w:val="none"/>
          <w:lang w:eastAsia="zh-CN"/>
        </w:rPr>
        <w:t>）</w:t>
      </w:r>
      <w:r>
        <w:rPr>
          <w:rFonts w:hint="eastAsia" w:ascii="宋体" w:hAnsi="宋体" w:eastAsia="宋体" w:cs="宋体"/>
          <w:b w:val="0"/>
          <w:bCs w:val="0"/>
          <w:color w:val="auto"/>
          <w:spacing w:val="2"/>
          <w:sz w:val="21"/>
          <w:szCs w:val="21"/>
          <w:highlight w:val="none"/>
        </w:rPr>
        <w:t>附录D工程计价说明D.2.1款执行外，尚应就造价软件的名称、版本、加密锁编号作出专项说明。</w:t>
      </w:r>
      <w:r>
        <w:rPr>
          <w:rFonts w:hint="eastAsia" w:ascii="宋体" w:hAnsi="宋体" w:eastAsia="宋体" w:cs="宋体"/>
          <w:b w:val="0"/>
          <w:bCs w:val="0"/>
          <w:color w:val="auto"/>
          <w:spacing w:val="2"/>
          <w:sz w:val="21"/>
          <w:szCs w:val="21"/>
          <w:highlight w:val="none"/>
          <w:lang w:val="en-US" w:eastAsia="zh-CN"/>
        </w:rPr>
        <w:tab/>
      </w:r>
    </w:p>
    <w:p w14:paraId="5A9B40CD">
      <w:pPr>
        <w:spacing w:before="119" w:line="314" w:lineRule="auto"/>
        <w:ind w:left="10" w:right="61" w:firstLine="474"/>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4</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color w:val="auto"/>
          <w:spacing w:val="2"/>
          <w:sz w:val="21"/>
          <w:szCs w:val="21"/>
          <w:highlight w:val="none"/>
        </w:rPr>
        <w:t>投标人认为有必要补充的其他资料</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例如关于投标报价低于招标项目的成本警示价的书面说明和佐证材料</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w:t>
      </w:r>
    </w:p>
    <w:p w14:paraId="2F5BB681">
      <w:pPr>
        <w:spacing w:before="99" w:line="280" w:lineRule="auto"/>
        <w:ind w:left="10" w:right="63" w:firstLine="485"/>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10.3.2  </w:t>
      </w:r>
      <w:r>
        <w:rPr>
          <w:rFonts w:hint="eastAsia" w:ascii="宋体" w:hAnsi="宋体" w:eastAsia="宋体" w:cs="宋体"/>
          <w:color w:val="auto"/>
          <w:spacing w:val="-3"/>
          <w:sz w:val="21"/>
          <w:szCs w:val="21"/>
          <w:highlight w:val="none"/>
        </w:rPr>
        <w:t>本节第</w:t>
      </w:r>
      <w:r>
        <w:rPr>
          <w:rFonts w:hint="eastAsia" w:ascii="宋体" w:hAnsi="宋体" w:eastAsia="宋体" w:cs="宋体"/>
          <w:color w:val="auto"/>
          <w:spacing w:val="-38"/>
          <w:sz w:val="21"/>
          <w:szCs w:val="21"/>
          <w:highlight w:val="none"/>
        </w:rPr>
        <w:t xml:space="preserve"> </w:t>
      </w:r>
      <w:r>
        <w:rPr>
          <w:rFonts w:hint="eastAsia" w:ascii="宋体" w:hAnsi="宋体" w:eastAsia="宋体" w:cs="宋体"/>
          <w:b/>
          <w:bCs/>
          <w:color w:val="auto"/>
          <w:spacing w:val="-3"/>
          <w:sz w:val="21"/>
          <w:szCs w:val="21"/>
          <w:highlight w:val="none"/>
        </w:rPr>
        <w:t>10.3.1</w:t>
      </w:r>
      <w:r>
        <w:rPr>
          <w:rFonts w:hint="eastAsia" w:ascii="宋体" w:hAnsi="宋体" w:eastAsia="宋体" w:cs="宋体"/>
          <w:color w:val="auto"/>
          <w:spacing w:val="-3"/>
          <w:sz w:val="21"/>
          <w:szCs w:val="21"/>
          <w:highlight w:val="none"/>
        </w:rPr>
        <w:t>目中所列出的经济标书组成内容中，第（1）至第（3）项所</w:t>
      </w:r>
      <w:r>
        <w:rPr>
          <w:rFonts w:hint="eastAsia" w:ascii="宋体" w:hAnsi="宋体" w:eastAsia="宋体" w:cs="宋体"/>
          <w:color w:val="auto"/>
          <w:spacing w:val="-2"/>
          <w:sz w:val="21"/>
          <w:szCs w:val="21"/>
          <w:highlight w:val="none"/>
        </w:rPr>
        <w:t>有投标人均应提供。</w:t>
      </w:r>
    </w:p>
    <w:p w14:paraId="755A525F">
      <w:pPr>
        <w:spacing w:before="155" w:line="279" w:lineRule="auto"/>
        <w:ind w:left="8" w:right="61" w:firstLine="487"/>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10.3.3</w:t>
      </w:r>
      <w:r>
        <w:rPr>
          <w:rFonts w:hint="eastAsia" w:ascii="宋体" w:hAnsi="宋体" w:eastAsia="宋体" w:cs="宋体"/>
          <w:b/>
          <w:bCs/>
          <w:color w:val="auto"/>
          <w:spacing w:val="12"/>
          <w:sz w:val="21"/>
          <w:szCs w:val="21"/>
          <w:highlight w:val="none"/>
        </w:rPr>
        <w:t xml:space="preserve"> </w:t>
      </w:r>
      <w:r>
        <w:rPr>
          <w:rFonts w:hint="eastAsia" w:ascii="宋体" w:hAnsi="宋体" w:eastAsia="宋体" w:cs="宋体"/>
          <w:color w:val="auto"/>
          <w:spacing w:val="-10"/>
          <w:sz w:val="21"/>
          <w:szCs w:val="21"/>
          <w:highlight w:val="none"/>
        </w:rPr>
        <w:t>经济标书的组成内容按本节第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0"/>
          <w:sz w:val="21"/>
          <w:szCs w:val="21"/>
          <w:highlight w:val="none"/>
        </w:rPr>
        <w:t>10</w:t>
      </w:r>
      <w:r>
        <w:rPr>
          <w:rFonts w:hint="eastAsia" w:ascii="宋体" w:hAnsi="宋体" w:eastAsia="宋体" w:cs="宋体"/>
          <w:color w:val="auto"/>
          <w:spacing w:val="-11"/>
          <w:sz w:val="21"/>
          <w:szCs w:val="21"/>
          <w:highlight w:val="none"/>
        </w:rPr>
        <w:t>.3.1 目规定的顺序整理、编排后，逐页（页</w:t>
      </w:r>
      <w:r>
        <w:rPr>
          <w:rFonts w:hint="eastAsia" w:ascii="宋体" w:hAnsi="宋体" w:eastAsia="宋体" w:cs="宋体"/>
          <w:color w:val="auto"/>
          <w:spacing w:val="-1"/>
          <w:sz w:val="21"/>
          <w:szCs w:val="21"/>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10.4  施工组织设计的编制要求</w:t>
      </w:r>
    </w:p>
    <w:p w14:paraId="768CF899">
      <w:pPr>
        <w:spacing w:before="151" w:line="219"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10.4.1 </w:t>
      </w:r>
      <w:r>
        <w:rPr>
          <w:rFonts w:hint="eastAsia" w:ascii="宋体" w:hAnsi="宋体" w:eastAsia="宋体" w:cs="宋体"/>
          <w:color w:val="auto"/>
          <w:spacing w:val="-1"/>
          <w:sz w:val="21"/>
          <w:szCs w:val="21"/>
          <w:highlight w:val="none"/>
        </w:rPr>
        <w:t>施工组织设计的编制依据包括且不限于：</w:t>
      </w:r>
    </w:p>
    <w:p w14:paraId="1E40B774">
      <w:pPr>
        <w:spacing w:before="156" w:line="219"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（1）招标文件及其答疑（或修改）公告；</w:t>
      </w:r>
    </w:p>
    <w:p w14:paraId="4975F0E4">
      <w:pPr>
        <w:spacing w:before="155" w:line="221"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（2）施工图及相关资料；</w:t>
      </w:r>
    </w:p>
    <w:p w14:paraId="6E3E7330">
      <w:pPr>
        <w:spacing w:before="152" w:line="220"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（3）施工现场情况、工程特点；</w:t>
      </w:r>
    </w:p>
    <w:p w14:paraId="1323D629">
      <w:pPr>
        <w:spacing w:before="78" w:line="220"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（4）相关</w:t>
      </w:r>
      <w:r>
        <w:rPr>
          <w:rFonts w:hint="eastAsia" w:ascii="宋体" w:hAnsi="宋体" w:eastAsia="宋体" w:cs="宋体"/>
          <w:color w:val="auto"/>
          <w:spacing w:val="-2"/>
          <w:sz w:val="21"/>
          <w:szCs w:val="21"/>
          <w:highlight w:val="none"/>
          <w:lang w:eastAsia="zh-CN"/>
        </w:rPr>
        <w:t>法律法规</w:t>
      </w:r>
      <w:r>
        <w:rPr>
          <w:rFonts w:hint="eastAsia" w:ascii="宋体" w:hAnsi="宋体" w:eastAsia="宋体" w:cs="宋体"/>
          <w:color w:val="auto"/>
          <w:spacing w:val="-2"/>
          <w:sz w:val="21"/>
          <w:szCs w:val="21"/>
          <w:highlight w:val="none"/>
        </w:rPr>
        <w:t>、规定；</w:t>
      </w:r>
    </w:p>
    <w:p w14:paraId="546827BB">
      <w:pPr>
        <w:spacing w:before="153" w:line="299" w:lineRule="auto"/>
        <w:ind w:left="10" w:right="211" w:firstLine="49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（5）国家、广东省、韶关市关于施工现场管理、施工工艺</w:t>
      </w:r>
      <w:r>
        <w:rPr>
          <w:rFonts w:hint="eastAsia" w:ascii="宋体" w:hAnsi="宋体" w:eastAsia="宋体" w:cs="宋体"/>
          <w:color w:val="auto"/>
          <w:spacing w:val="1"/>
          <w:sz w:val="21"/>
          <w:szCs w:val="21"/>
          <w:highlight w:val="none"/>
        </w:rPr>
        <w:t>、绿色施工、安全防</w:t>
      </w:r>
      <w:r>
        <w:rPr>
          <w:rFonts w:hint="eastAsia" w:ascii="宋体" w:hAnsi="宋体" w:eastAsia="宋体" w:cs="宋体"/>
          <w:color w:val="auto"/>
          <w:spacing w:val="-1"/>
          <w:sz w:val="21"/>
          <w:szCs w:val="21"/>
          <w:highlight w:val="none"/>
        </w:rPr>
        <w:t>护、文明施工、环境保护等方面的标准、规范、技术资料。</w:t>
      </w:r>
      <w:r>
        <w:rPr>
          <w:rFonts w:hint="eastAsia" w:ascii="宋体" w:hAnsi="宋体" w:eastAsia="宋体" w:cs="宋体"/>
          <w:color w:val="auto"/>
          <w:spacing w:val="-2"/>
          <w:sz w:val="21"/>
          <w:szCs w:val="21"/>
          <w:highlight w:val="none"/>
        </w:rPr>
        <w:t>如《广东省住房和城乡建</w:t>
      </w:r>
      <w:r>
        <w:rPr>
          <w:rFonts w:hint="eastAsia" w:ascii="宋体" w:hAnsi="宋体" w:eastAsia="宋体" w:cs="宋体"/>
          <w:color w:val="auto"/>
          <w:sz w:val="21"/>
          <w:szCs w:val="21"/>
          <w:highlight w:val="none"/>
        </w:rPr>
        <w:t>设厅绿色施工导则》《广东省建设工程施工扬尘污染防</w:t>
      </w:r>
      <w:r>
        <w:rPr>
          <w:rFonts w:hint="eastAsia" w:ascii="宋体" w:hAnsi="宋体" w:eastAsia="宋体" w:cs="宋体"/>
          <w:color w:val="auto"/>
          <w:spacing w:val="-1"/>
          <w:sz w:val="21"/>
          <w:szCs w:val="21"/>
          <w:highlight w:val="none"/>
        </w:rPr>
        <w:t>治管理办法（试行）》等；</w:t>
      </w:r>
    </w:p>
    <w:p w14:paraId="7973C375">
      <w:pPr>
        <w:spacing w:before="155" w:line="220"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（6）企业内部标准、工法。</w:t>
      </w:r>
    </w:p>
    <w:p w14:paraId="43414437">
      <w:pPr>
        <w:spacing w:before="153" w:line="220"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10.4.2 </w:t>
      </w:r>
      <w:r>
        <w:rPr>
          <w:rFonts w:hint="eastAsia" w:ascii="宋体" w:hAnsi="宋体" w:eastAsia="宋体" w:cs="宋体"/>
          <w:color w:val="auto"/>
          <w:spacing w:val="-1"/>
          <w:sz w:val="21"/>
          <w:szCs w:val="21"/>
          <w:highlight w:val="none"/>
        </w:rPr>
        <w:t>施工组织设计包括但不限于以下内容：</w:t>
      </w:r>
    </w:p>
    <w:p w14:paraId="4448288D">
      <w:pPr>
        <w:spacing w:before="153" w:line="220"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（1）封面（格式一</w:t>
      </w:r>
      <w:r>
        <w:rPr>
          <w:rFonts w:hint="eastAsia" w:ascii="宋体" w:hAnsi="宋体" w:eastAsia="宋体" w:cs="宋体"/>
          <w:color w:val="auto"/>
          <w:spacing w:val="-3"/>
          <w:sz w:val="21"/>
          <w:szCs w:val="21"/>
          <w:highlight w:val="none"/>
          <w:lang w:eastAsia="zh-CN"/>
        </w:rPr>
        <w:t>）；</w:t>
      </w:r>
    </w:p>
    <w:p w14:paraId="3BC2A7E8">
      <w:pPr>
        <w:spacing w:before="156" w:line="222"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（2）</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13"/>
          <w:sz w:val="21"/>
          <w:szCs w:val="21"/>
          <w:highlight w:val="none"/>
        </w:rPr>
        <w:t>目录；</w:t>
      </w:r>
    </w:p>
    <w:p w14:paraId="3D46DDF6">
      <w:pPr>
        <w:spacing w:before="150" w:line="220"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（3）总体概述（包括施工程序总体设想及施工段划分等内容</w:t>
      </w:r>
      <w:r>
        <w:rPr>
          <w:rFonts w:hint="eastAsia" w:ascii="宋体" w:hAnsi="宋体" w:eastAsia="宋体" w:cs="宋体"/>
          <w:color w:val="auto"/>
          <w:spacing w:val="2"/>
          <w:sz w:val="21"/>
          <w:szCs w:val="21"/>
          <w:highlight w:val="none"/>
        </w:rPr>
        <w:t>）；</w:t>
      </w:r>
    </w:p>
    <w:p w14:paraId="23C15B5F">
      <w:pPr>
        <w:spacing w:before="154" w:line="299" w:lineRule="auto"/>
        <w:ind w:left="9" w:right="211" w:firstLine="49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（4）施工总进度计划及保证措施（包括进度管理目标；以</w:t>
      </w:r>
      <w:r>
        <w:rPr>
          <w:rFonts w:hint="eastAsia" w:ascii="宋体" w:hAnsi="宋体" w:eastAsia="宋体" w:cs="宋体"/>
          <w:color w:val="auto"/>
          <w:spacing w:val="1"/>
          <w:sz w:val="21"/>
          <w:szCs w:val="21"/>
          <w:highlight w:val="none"/>
        </w:rPr>
        <w:t>横道图或标明关键线</w:t>
      </w:r>
      <w:r>
        <w:rPr>
          <w:rFonts w:hint="eastAsia" w:ascii="宋体" w:hAnsi="宋体" w:eastAsia="宋体" w:cs="宋体"/>
          <w:color w:val="auto"/>
          <w:spacing w:val="-1"/>
          <w:sz w:val="21"/>
          <w:szCs w:val="21"/>
          <w:highlight w:val="none"/>
        </w:rPr>
        <w:t>路的网络进度计划；保障进度计划需要的人、材、机需求计划</w:t>
      </w:r>
      <w:r>
        <w:rPr>
          <w:rFonts w:hint="eastAsia" w:ascii="宋体" w:hAnsi="宋体" w:eastAsia="宋体" w:cs="宋体"/>
          <w:color w:val="auto"/>
          <w:spacing w:val="-2"/>
          <w:sz w:val="21"/>
          <w:szCs w:val="21"/>
          <w:highlight w:val="none"/>
        </w:rPr>
        <w:t>及保证措施；违约责任承诺等内容</w:t>
      </w:r>
      <w:r>
        <w:rPr>
          <w:rFonts w:hint="eastAsia" w:ascii="宋体" w:hAnsi="宋体" w:eastAsia="宋体" w:cs="宋体"/>
          <w:color w:val="auto"/>
          <w:sz w:val="21"/>
          <w:szCs w:val="21"/>
          <w:highlight w:val="none"/>
        </w:rPr>
        <w:t>）；</w:t>
      </w:r>
    </w:p>
    <w:p w14:paraId="413C1EC3">
      <w:pPr>
        <w:spacing w:before="153" w:line="220"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（5）质量保证措施（包括质量管理目标；相应保证措施；违约责任承诺</w:t>
      </w:r>
      <w:r>
        <w:rPr>
          <w:rFonts w:hint="eastAsia" w:ascii="宋体" w:hAnsi="宋体" w:eastAsia="宋体" w:cs="宋体"/>
          <w:color w:val="auto"/>
          <w:spacing w:val="-6"/>
          <w:sz w:val="21"/>
          <w:szCs w:val="21"/>
          <w:highlight w:val="none"/>
        </w:rPr>
        <w:t>等内容</w:t>
      </w:r>
      <w:r>
        <w:rPr>
          <w:rFonts w:hint="eastAsia" w:ascii="宋体" w:hAnsi="宋体" w:eastAsia="宋体" w:cs="宋体"/>
          <w:color w:val="auto"/>
          <w:spacing w:val="-62"/>
          <w:w w:val="97"/>
          <w:sz w:val="21"/>
          <w:szCs w:val="21"/>
          <w:highlight w:val="none"/>
        </w:rPr>
        <w:t>）；</w:t>
      </w:r>
    </w:p>
    <w:p w14:paraId="63DC62FA">
      <w:pPr>
        <w:spacing w:before="156" w:line="279" w:lineRule="auto"/>
        <w:ind w:left="11" w:right="211" w:firstLine="48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（6）施工技术措施（包括关键施工技术、工艺及工程项目</w:t>
      </w:r>
      <w:r>
        <w:rPr>
          <w:rFonts w:hint="eastAsia" w:ascii="宋体" w:hAnsi="宋体" w:eastAsia="宋体" w:cs="宋体"/>
          <w:color w:val="auto"/>
          <w:spacing w:val="1"/>
          <w:sz w:val="21"/>
          <w:szCs w:val="21"/>
          <w:highlight w:val="none"/>
        </w:rPr>
        <w:t>实施的重点、难点分</w:t>
      </w:r>
      <w:r>
        <w:rPr>
          <w:rFonts w:hint="eastAsia" w:ascii="宋体" w:hAnsi="宋体" w:eastAsia="宋体" w:cs="宋体"/>
          <w:color w:val="auto"/>
          <w:spacing w:val="-1"/>
          <w:sz w:val="21"/>
          <w:szCs w:val="21"/>
          <w:highlight w:val="none"/>
        </w:rPr>
        <w:t>析和解决方案；新技术应用与承诺等内容</w:t>
      </w:r>
      <w:r>
        <w:rPr>
          <w:rFonts w:hint="eastAsia" w:ascii="宋体" w:hAnsi="宋体" w:eastAsia="宋体" w:cs="宋体"/>
          <w:color w:val="auto"/>
          <w:spacing w:val="2"/>
          <w:sz w:val="21"/>
          <w:szCs w:val="21"/>
          <w:highlight w:val="none"/>
        </w:rPr>
        <w:t>）；</w:t>
      </w:r>
    </w:p>
    <w:p w14:paraId="7BB5E824">
      <w:pPr>
        <w:spacing w:before="118" w:line="297" w:lineRule="auto"/>
        <w:ind w:left="11" w:right="31" w:firstLine="489"/>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rPr>
        <w:t>（7）绿色施工、安全防护、文明施工措施计划</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应对建设单位组织的勘察设计等单位在施工招标文件中列出的危大工程清单</w:t>
      </w:r>
      <w:r>
        <w:rPr>
          <w:rFonts w:hint="eastAsia" w:ascii="宋体" w:hAnsi="宋体" w:eastAsia="宋体" w:cs="宋体"/>
          <w:color w:val="auto"/>
          <w:spacing w:val="-1"/>
          <w:sz w:val="21"/>
          <w:szCs w:val="21"/>
          <w:highlight w:val="none"/>
          <w:lang w:eastAsia="zh-CN"/>
        </w:rPr>
        <w:t>（详见格式十三）</w:t>
      </w:r>
      <w:r>
        <w:rPr>
          <w:rFonts w:hint="eastAsia" w:ascii="宋体" w:hAnsi="宋体" w:eastAsia="宋体" w:cs="宋体"/>
          <w:color w:val="auto"/>
          <w:spacing w:val="-1"/>
          <w:sz w:val="21"/>
          <w:szCs w:val="21"/>
          <w:highlight w:val="none"/>
        </w:rPr>
        <w:t>进行投标文件回应，如有</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3"/>
          <w:sz w:val="21"/>
          <w:szCs w:val="21"/>
          <w:highlight w:val="none"/>
        </w:rPr>
        <w:t>；</w:t>
      </w:r>
    </w:p>
    <w:p w14:paraId="02E9B450">
      <w:pPr>
        <w:spacing w:before="118" w:line="297" w:lineRule="auto"/>
        <w:ind w:left="11" w:right="31" w:firstLine="48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（8）施工现场总平面布置（</w:t>
      </w:r>
      <w:bookmarkStart w:id="56" w:name="OLE_LINK8"/>
      <w:r>
        <w:rPr>
          <w:rFonts w:hint="eastAsia" w:ascii="宋体" w:hAnsi="宋体" w:eastAsia="宋体" w:cs="宋体"/>
          <w:color w:val="auto"/>
          <w:spacing w:val="2"/>
          <w:sz w:val="21"/>
          <w:szCs w:val="21"/>
          <w:highlight w:val="none"/>
        </w:rPr>
        <w:t>投标人应递交一份施工现场总</w:t>
      </w:r>
      <w:r>
        <w:rPr>
          <w:rFonts w:hint="eastAsia" w:ascii="宋体" w:hAnsi="宋体" w:eastAsia="宋体" w:cs="宋体"/>
          <w:color w:val="auto"/>
          <w:spacing w:val="1"/>
          <w:sz w:val="21"/>
          <w:szCs w:val="21"/>
          <w:highlight w:val="none"/>
        </w:rPr>
        <w:t>平面布置图，绘出现</w:t>
      </w:r>
      <w:r>
        <w:rPr>
          <w:rFonts w:hint="eastAsia" w:ascii="宋体" w:hAnsi="宋体" w:eastAsia="宋体" w:cs="宋体"/>
          <w:color w:val="auto"/>
          <w:spacing w:val="-1"/>
          <w:sz w:val="21"/>
          <w:szCs w:val="21"/>
          <w:highlight w:val="none"/>
        </w:rPr>
        <w:t>场临时设施布置图表并附文字说明，说明临时设施、加工车间、</w:t>
      </w:r>
      <w:r>
        <w:rPr>
          <w:rFonts w:hint="eastAsia" w:ascii="宋体" w:hAnsi="宋体" w:eastAsia="宋体" w:cs="宋体"/>
          <w:color w:val="auto"/>
          <w:spacing w:val="-2"/>
          <w:sz w:val="21"/>
          <w:szCs w:val="21"/>
          <w:highlight w:val="none"/>
        </w:rPr>
        <w:t>现场办公、设备及仓</w:t>
      </w:r>
      <w:r>
        <w:rPr>
          <w:rFonts w:hint="eastAsia" w:ascii="宋体" w:hAnsi="宋体" w:eastAsia="宋体" w:cs="宋体"/>
          <w:color w:val="auto"/>
          <w:spacing w:val="-1"/>
          <w:sz w:val="21"/>
          <w:szCs w:val="21"/>
          <w:highlight w:val="none"/>
        </w:rPr>
        <w:t>储、供电、供水、卫生、生活、道路、消防等设施的情况和布置</w:t>
      </w:r>
      <w:bookmarkEnd w:id="56"/>
      <w:r>
        <w:rPr>
          <w:rFonts w:hint="eastAsia" w:ascii="宋体" w:hAnsi="宋体" w:eastAsia="宋体" w:cs="宋体"/>
          <w:color w:val="auto"/>
          <w:spacing w:val="9"/>
          <w:sz w:val="21"/>
          <w:szCs w:val="21"/>
          <w:highlight w:val="none"/>
        </w:rPr>
        <w:t>）；</w:t>
      </w:r>
    </w:p>
    <w:p w14:paraId="5E69FD0B">
      <w:pPr>
        <w:spacing w:before="155" w:line="219" w:lineRule="auto"/>
        <w:ind w:left="50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（9）项目管理机构。</w:t>
      </w:r>
    </w:p>
    <w:p w14:paraId="10315D49">
      <w:pPr>
        <w:spacing w:before="154" w:line="280" w:lineRule="auto"/>
        <w:ind w:right="211"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（10）投标人认为有必要补充的其他内容（例如对总包管理的认识以及对专业分</w:t>
      </w:r>
      <w:r>
        <w:rPr>
          <w:rFonts w:hint="eastAsia" w:ascii="宋体" w:hAnsi="宋体" w:eastAsia="宋体" w:cs="宋体"/>
          <w:color w:val="auto"/>
          <w:spacing w:val="-1"/>
          <w:sz w:val="21"/>
          <w:szCs w:val="21"/>
          <w:highlight w:val="none"/>
        </w:rPr>
        <w:t>包工程的管理、协调、配合、服务方案）。</w:t>
      </w:r>
    </w:p>
    <w:p w14:paraId="33E7EB44">
      <w:pPr>
        <w:spacing w:before="152" w:line="279" w:lineRule="auto"/>
        <w:ind w:right="196" w:firstLine="414"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10.4.3  </w:t>
      </w:r>
      <w:r>
        <w:rPr>
          <w:rFonts w:hint="eastAsia" w:ascii="宋体" w:hAnsi="宋体" w:eastAsia="宋体" w:cs="宋体"/>
          <w:color w:val="auto"/>
          <w:spacing w:val="-2"/>
          <w:sz w:val="21"/>
          <w:szCs w:val="21"/>
          <w:highlight w:val="none"/>
        </w:rPr>
        <w:t>本节第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b/>
          <w:bCs/>
          <w:color w:val="auto"/>
          <w:spacing w:val="-2"/>
          <w:sz w:val="21"/>
          <w:szCs w:val="21"/>
          <w:highlight w:val="none"/>
        </w:rPr>
        <w:t>10.4.2</w:t>
      </w:r>
      <w:r>
        <w:rPr>
          <w:rFonts w:hint="eastAsia" w:ascii="宋体" w:hAnsi="宋体" w:eastAsia="宋体" w:cs="宋体"/>
          <w:color w:val="auto"/>
          <w:spacing w:val="-2"/>
          <w:sz w:val="21"/>
          <w:szCs w:val="21"/>
          <w:highlight w:val="none"/>
        </w:rPr>
        <w:t>目中所列出</w:t>
      </w:r>
      <w:r>
        <w:rPr>
          <w:rFonts w:hint="eastAsia" w:ascii="宋体" w:hAnsi="宋体" w:eastAsia="宋体" w:cs="宋体"/>
          <w:color w:val="auto"/>
          <w:spacing w:val="-3"/>
          <w:sz w:val="21"/>
          <w:szCs w:val="21"/>
          <w:highlight w:val="none"/>
        </w:rPr>
        <w:t>的施工组织设计组成内容中，第（1）至第（9）</w:t>
      </w:r>
      <w:r>
        <w:rPr>
          <w:rFonts w:hint="eastAsia" w:ascii="宋体" w:hAnsi="宋体" w:eastAsia="宋体" w:cs="宋体"/>
          <w:color w:val="auto"/>
          <w:spacing w:val="-2"/>
          <w:sz w:val="21"/>
          <w:szCs w:val="21"/>
          <w:highlight w:val="none"/>
        </w:rPr>
        <w:t>项所有投标人均应提供。</w:t>
      </w:r>
    </w:p>
    <w:p w14:paraId="56491334">
      <w:pPr>
        <w:spacing w:before="157" w:line="279" w:lineRule="auto"/>
        <w:ind w:right="211" w:firstLine="402" w:firstLineChars="200"/>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5"/>
          <w:sz w:val="21"/>
          <w:szCs w:val="21"/>
          <w:highlight w:val="none"/>
        </w:rPr>
        <w:t xml:space="preserve">10.4.4 </w:t>
      </w:r>
      <w:r>
        <w:rPr>
          <w:rFonts w:hint="eastAsia" w:ascii="宋体" w:hAnsi="宋体" w:eastAsia="宋体" w:cs="宋体"/>
          <w:color w:val="auto"/>
          <w:spacing w:val="-5"/>
          <w:sz w:val="21"/>
          <w:szCs w:val="21"/>
          <w:highlight w:val="none"/>
        </w:rPr>
        <w:t>施工组织设计的组成内容按本节第</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5"/>
          <w:sz w:val="21"/>
          <w:szCs w:val="21"/>
          <w:highlight w:val="none"/>
        </w:rPr>
        <w:t>10.4.2 目规定的顺序整理、编排后，逐</w:t>
      </w:r>
      <w:r>
        <w:rPr>
          <w:rFonts w:hint="eastAsia" w:ascii="宋体" w:hAnsi="宋体" w:eastAsia="宋体" w:cs="宋体"/>
          <w:color w:val="auto"/>
          <w:spacing w:val="-1"/>
          <w:sz w:val="21"/>
          <w:szCs w:val="21"/>
          <w:highlight w:val="none"/>
        </w:rPr>
        <w:t>页（页码起始从封面开始）连续标记页码。</w:t>
      </w:r>
    </w:p>
    <w:p w14:paraId="702A1AEA">
      <w:pPr>
        <w:ind w:firstLine="472"/>
        <w:outlineLvl w:val="9"/>
        <w:rPr>
          <w:rFonts w:hint="eastAsia" w:ascii="宋体" w:hAnsi="宋体" w:eastAsia="宋体" w:cs="宋体"/>
          <w:color w:val="auto"/>
          <w:spacing w:val="-1"/>
          <w:sz w:val="21"/>
          <w:szCs w:val="21"/>
          <w:highlight w:val="none"/>
          <w:lang w:eastAsia="zh-CN"/>
        </w:rPr>
      </w:pPr>
      <w:r>
        <w:rPr>
          <w:rFonts w:hint="eastAsia" w:ascii="宋体" w:hAnsi="宋体" w:eastAsia="宋体" w:cs="宋体"/>
          <w:b/>
          <w:bCs/>
          <w:color w:val="auto"/>
          <w:spacing w:val="-1"/>
          <w:sz w:val="21"/>
          <w:szCs w:val="21"/>
          <w:highlight w:val="none"/>
        </w:rPr>
        <w:t>10.4.5</w:t>
      </w:r>
      <w:bookmarkStart w:id="57" w:name="OLE_LINK9"/>
      <w:r>
        <w:rPr>
          <w:rFonts w:hint="eastAsia" w:ascii="宋体" w:hAnsi="宋体" w:eastAsia="宋体" w:cs="宋体"/>
          <w:b/>
          <w:bCs/>
          <w:color w:val="auto"/>
          <w:spacing w:val="-1"/>
          <w:sz w:val="21"/>
          <w:szCs w:val="21"/>
          <w:highlight w:val="none"/>
        </w:rPr>
        <w:t xml:space="preserve"> </w:t>
      </w:r>
      <w:r>
        <w:rPr>
          <w:rFonts w:hint="eastAsia" w:ascii="宋体" w:hAnsi="宋体" w:eastAsia="宋体" w:cs="宋体"/>
          <w:color w:val="auto"/>
          <w:spacing w:val="-1"/>
          <w:sz w:val="21"/>
          <w:szCs w:val="21"/>
          <w:highlight w:val="none"/>
        </w:rPr>
        <w:t>施工组织设计的正文不得超过</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u w:val="single"/>
          <w:lang w:val="en-US" w:eastAsia="zh-CN"/>
        </w:rPr>
        <w:t>150</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rPr>
        <w:t>页</w:t>
      </w:r>
      <w:r>
        <w:rPr>
          <w:rFonts w:hint="eastAsia" w:ascii="宋体" w:hAnsi="宋体" w:eastAsia="宋体" w:cs="宋体"/>
          <w:color w:val="auto"/>
          <w:spacing w:val="-1"/>
          <w:sz w:val="21"/>
          <w:szCs w:val="21"/>
          <w:highlight w:val="none"/>
          <w:lang w:eastAsia="zh-CN"/>
        </w:rPr>
        <w:t>。</w:t>
      </w:r>
      <w:bookmarkEnd w:id="57"/>
      <w:bookmarkStart w:id="58" w:name="bookmark121"/>
      <w:bookmarkEnd w:id="58"/>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b/>
          <w:bCs/>
          <w:snapToGrid w:val="0"/>
          <w:color w:val="auto"/>
          <w:kern w:val="0"/>
          <w:sz w:val="21"/>
          <w:szCs w:val="21"/>
          <w:highlight w:val="none"/>
          <w:lang w:val="en-US" w:eastAsia="zh-CN"/>
        </w:rPr>
      </w:pPr>
      <w:bookmarkStart w:id="59" w:name="_Toc20579"/>
      <w:r>
        <w:rPr>
          <w:rFonts w:hint="eastAsia" w:ascii="宋体" w:hAnsi="宋体" w:eastAsia="宋体" w:cs="宋体"/>
          <w:b/>
          <w:bCs/>
          <w:snapToGrid w:val="0"/>
          <w:color w:val="auto"/>
          <w:kern w:val="0"/>
          <w:sz w:val="21"/>
          <w:szCs w:val="21"/>
          <w:highlight w:val="none"/>
          <w:lang w:val="en-US" w:eastAsia="zh-CN"/>
        </w:rPr>
        <w:t>10.5 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0.5</w:t>
      </w:r>
      <w:r>
        <w:rPr>
          <w:rFonts w:hint="eastAsia" w:ascii="宋体" w:hAnsi="宋体" w:eastAsia="宋体" w:cs="宋体"/>
          <w:snapToGrid w:val="0"/>
          <w:color w:val="auto"/>
          <w:kern w:val="0"/>
          <w:sz w:val="21"/>
          <w:szCs w:val="21"/>
          <w:highlight w:val="none"/>
        </w:rPr>
        <w:t xml:space="preserve">.1 </w:t>
      </w:r>
      <w:r>
        <w:rPr>
          <w:rFonts w:hint="eastAsia" w:ascii="宋体" w:hAnsi="宋体" w:eastAsia="宋体" w:cs="宋体"/>
          <w:snapToGrid w:val="0"/>
          <w:color w:val="auto"/>
          <w:kern w:val="0"/>
          <w:sz w:val="21"/>
          <w:szCs w:val="21"/>
          <w:highlight w:val="none"/>
          <w:lang w:val="en-US" w:eastAsia="zh-CN"/>
        </w:rPr>
        <w:t>定标文件</w:t>
      </w:r>
      <w:r>
        <w:rPr>
          <w:rFonts w:hint="eastAsia" w:ascii="宋体" w:hAnsi="宋体" w:eastAsia="宋体" w:cs="宋体"/>
          <w:snapToGrid w:val="0"/>
          <w:color w:val="auto"/>
          <w:kern w:val="0"/>
          <w:sz w:val="21"/>
          <w:szCs w:val="21"/>
          <w:highlight w:val="none"/>
        </w:rPr>
        <w:t>包括以下内容：</w:t>
      </w:r>
    </w:p>
    <w:bookmarkEnd w:id="59"/>
    <w:p w14:paraId="2A00446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lang w:val="en-US"/>
        </w:rPr>
      </w:pPr>
      <w:bookmarkStart w:id="60" w:name="_Toc21936"/>
      <w:r>
        <w:rPr>
          <w:rFonts w:hint="eastAsia" w:ascii="宋体" w:hAnsi="宋体" w:eastAsia="宋体" w:cs="宋体"/>
          <w:snapToGrid w:val="0"/>
          <w:color w:val="auto"/>
          <w:kern w:val="0"/>
          <w:sz w:val="21"/>
          <w:szCs w:val="21"/>
          <w:highlight w:val="none"/>
          <w:lang w:eastAsia="zh-CN"/>
        </w:rPr>
        <w:t>（1）</w:t>
      </w:r>
      <w:r>
        <w:rPr>
          <w:rFonts w:hint="eastAsia" w:ascii="宋体" w:hAnsi="宋体" w:eastAsia="宋体" w:cs="宋体"/>
          <w:snapToGrid w:val="0"/>
          <w:color w:val="auto"/>
          <w:kern w:val="0"/>
          <w:sz w:val="21"/>
          <w:szCs w:val="21"/>
          <w:highlight w:val="none"/>
          <w:lang w:val="en-US" w:eastAsia="zh-CN"/>
        </w:rPr>
        <w:t>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（3）定标因素评审资料（格式十六）。</w:t>
      </w:r>
    </w:p>
    <w:p w14:paraId="62050842">
      <w:pPr>
        <w:pStyle w:val="9"/>
        <w:ind w:firstLine="422" w:firstLineChars="200"/>
        <w:rPr>
          <w:rFonts w:hint="eastAsia" w:ascii="宋体" w:hAnsi="宋体" w:eastAsia="宋体" w:cs="宋体"/>
          <w:b/>
          <w:bCs/>
          <w:color w:val="auto"/>
          <w:sz w:val="21"/>
          <w:szCs w:val="21"/>
          <w:highlight w:val="none"/>
          <w:lang w:val="en-US"/>
        </w:rPr>
      </w:pPr>
      <w:r>
        <w:rPr>
          <w:rFonts w:hint="eastAsia" w:ascii="宋体" w:hAnsi="宋体" w:eastAsia="宋体" w:cs="宋体"/>
          <w:b/>
          <w:bCs/>
          <w:snapToGrid w:val="0"/>
          <w:color w:val="auto"/>
          <w:kern w:val="0"/>
          <w:sz w:val="21"/>
          <w:szCs w:val="21"/>
          <w:highlight w:val="none"/>
          <w:lang w:val="en-US" w:eastAsia="zh-CN"/>
        </w:rPr>
        <w:t xml:space="preserve">10.5.2 </w:t>
      </w:r>
      <w:r>
        <w:rPr>
          <w:rFonts w:hint="eastAsia" w:ascii="宋体" w:hAnsi="宋体" w:eastAsia="宋体" w:cs="宋体"/>
          <w:snapToGrid w:val="0"/>
          <w:color w:val="auto"/>
          <w:kern w:val="0"/>
          <w:sz w:val="21"/>
          <w:szCs w:val="21"/>
          <w:highlight w:val="none"/>
          <w:lang w:val="en-US" w:eastAsia="zh-CN" w:bidi="ar-SA"/>
        </w:rPr>
        <w:t>本节第10.5.1目中所列出的组成内容中，第（1）至（3）项所有投标人均应提供。</w:t>
      </w:r>
    </w:p>
    <w:p w14:paraId="02DC3960">
      <w:pPr>
        <w:spacing w:before="78" w:line="221" w:lineRule="auto"/>
        <w:ind w:left="496"/>
        <w:outlineLvl w:val="2"/>
        <w:rPr>
          <w:rFonts w:hint="eastAsia" w:ascii="宋体" w:hAnsi="宋体" w:eastAsia="宋体" w:cs="宋体"/>
          <w:color w:val="auto"/>
          <w:sz w:val="21"/>
          <w:szCs w:val="21"/>
          <w:highlight w:val="none"/>
        </w:rPr>
      </w:pPr>
      <w:bookmarkStart w:id="61" w:name="_Toc17143"/>
      <w:r>
        <w:rPr>
          <w:rFonts w:hint="eastAsia" w:ascii="宋体" w:hAnsi="宋体" w:eastAsia="宋体" w:cs="宋体"/>
          <w:b/>
          <w:bCs/>
          <w:color w:val="auto"/>
          <w:spacing w:val="-9"/>
          <w:sz w:val="21"/>
          <w:szCs w:val="21"/>
          <w:highlight w:val="none"/>
        </w:rPr>
        <w:t>11.</w:t>
      </w:r>
      <w:r>
        <w:rPr>
          <w:rFonts w:hint="eastAsia" w:ascii="宋体" w:hAnsi="宋体" w:eastAsia="宋体" w:cs="宋体"/>
          <w:b/>
          <w:bCs/>
          <w:color w:val="auto"/>
          <w:spacing w:val="20"/>
          <w:sz w:val="21"/>
          <w:szCs w:val="21"/>
          <w:highlight w:val="none"/>
        </w:rPr>
        <w:t xml:space="preserve"> </w:t>
      </w:r>
      <w:r>
        <w:rPr>
          <w:rFonts w:hint="eastAsia" w:ascii="宋体" w:hAnsi="宋体" w:eastAsia="宋体" w:cs="宋体"/>
          <w:color w:val="auto"/>
          <w:spacing w:val="-9"/>
          <w:sz w:val="21"/>
          <w:szCs w:val="21"/>
          <w:highlight w:val="none"/>
        </w:rPr>
        <w:t>电子投标</w:t>
      </w:r>
      <w:bookmarkEnd w:id="60"/>
      <w:bookmarkEnd w:id="61"/>
    </w:p>
    <w:p w14:paraId="3D405C38">
      <w:pPr>
        <w:spacing w:before="112" w:line="295" w:lineRule="auto"/>
        <w:ind w:left="10" w:firstLine="485"/>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11.1 </w:t>
      </w:r>
      <w:r>
        <w:rPr>
          <w:rFonts w:hint="eastAsia" w:ascii="宋体" w:hAnsi="宋体" w:eastAsia="宋体" w:cs="宋体"/>
          <w:color w:val="auto"/>
          <w:spacing w:val="-3"/>
          <w:sz w:val="21"/>
          <w:szCs w:val="21"/>
          <w:highlight w:val="none"/>
        </w:rPr>
        <w:t>在建设工程交易系统上传加盖了电子印章的投标文件</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录入相关信息及标书</w:t>
      </w:r>
      <w:r>
        <w:rPr>
          <w:rFonts w:hint="eastAsia" w:ascii="宋体" w:hAnsi="宋体" w:eastAsia="宋体" w:cs="宋体"/>
          <w:color w:val="auto"/>
          <w:spacing w:val="2"/>
          <w:sz w:val="21"/>
          <w:szCs w:val="21"/>
          <w:highlight w:val="none"/>
        </w:rPr>
        <w:t>页码信息</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2"/>
          <w:sz w:val="21"/>
          <w:szCs w:val="21"/>
          <w:highlight w:val="none"/>
        </w:rPr>
        <w:t>页码起始从封面开始）</w:t>
      </w:r>
      <w:r>
        <w:rPr>
          <w:rFonts w:hint="eastAsia" w:ascii="宋体" w:hAnsi="宋体" w:eastAsia="宋体" w:cs="宋体"/>
          <w:color w:val="auto"/>
          <w:spacing w:val="2"/>
          <w:sz w:val="21"/>
          <w:szCs w:val="21"/>
          <w:highlight w:val="none"/>
          <w:lang w:eastAsia="zh-CN"/>
        </w:rPr>
        <w:t>，并</w:t>
      </w:r>
      <w:r>
        <w:rPr>
          <w:rFonts w:hint="eastAsia" w:ascii="宋体" w:hAnsi="宋体" w:eastAsia="宋体" w:cs="宋体"/>
          <w:color w:val="auto"/>
          <w:spacing w:val="2"/>
          <w:sz w:val="21"/>
          <w:szCs w:val="21"/>
          <w:highlight w:val="none"/>
        </w:rPr>
        <w:t>提交投标标书。提交标书为已加密投标文件。</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具体操作参照《韶关市公共资源建设工程交易系统-投标人操</w:t>
      </w:r>
      <w:r>
        <w:rPr>
          <w:rFonts w:hint="eastAsia" w:ascii="宋体" w:hAnsi="宋体" w:eastAsia="宋体" w:cs="宋体"/>
          <w:color w:val="auto"/>
          <w:spacing w:val="-3"/>
          <w:sz w:val="21"/>
          <w:szCs w:val="21"/>
          <w:highlight w:val="none"/>
        </w:rPr>
        <w:t>作指南（电子评标）》。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本项目评标采用全流程电子化进行招标投标（投标人应根据</w:t>
      </w:r>
      <w:r>
        <w:rPr>
          <w:rFonts w:hint="eastAsia" w:ascii="宋体" w:hAnsi="宋体" w:eastAsia="宋体" w:cs="宋体"/>
          <w:color w:val="auto"/>
          <w:spacing w:val="-2"/>
          <w:sz w:val="21"/>
          <w:szCs w:val="21"/>
          <w:highlight w:val="none"/>
        </w:rPr>
        <w:t>韶关市公共资源建设工程</w:t>
      </w:r>
      <w:r>
        <w:rPr>
          <w:rFonts w:hint="eastAsia" w:ascii="宋体" w:hAnsi="宋体" w:eastAsia="宋体" w:cs="宋体"/>
          <w:color w:val="auto"/>
          <w:spacing w:val="-2"/>
          <w:sz w:val="21"/>
          <w:szCs w:val="21"/>
          <w:highlight w:val="none"/>
          <w:lang w:eastAsia="zh-CN"/>
        </w:rPr>
        <w:t>交易系统</w:t>
      </w:r>
      <w:r>
        <w:rPr>
          <w:rFonts w:hint="eastAsia" w:ascii="宋体" w:hAnsi="宋体" w:eastAsia="宋体" w:cs="宋体"/>
          <w:color w:val="auto"/>
          <w:spacing w:val="-1"/>
          <w:sz w:val="21"/>
          <w:szCs w:val="21"/>
          <w:highlight w:val="none"/>
        </w:rPr>
        <w:t>编辑投标相关内容</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按招标文件电子投标要求</w:t>
      </w:r>
      <w:r>
        <w:rPr>
          <w:rFonts w:hint="eastAsia" w:ascii="宋体" w:hAnsi="宋体" w:eastAsia="宋体" w:cs="宋体"/>
          <w:color w:val="auto"/>
          <w:spacing w:val="-2"/>
          <w:sz w:val="21"/>
          <w:szCs w:val="21"/>
          <w:highlight w:val="none"/>
        </w:rPr>
        <w:t>上传已加盖电子印章</w:t>
      </w:r>
      <w:r>
        <w:rPr>
          <w:rFonts w:hint="eastAsia" w:ascii="宋体" w:hAnsi="宋体" w:eastAsia="宋体" w:cs="宋体"/>
          <w:color w:val="auto"/>
          <w:spacing w:val="-2"/>
          <w:sz w:val="21"/>
          <w:szCs w:val="21"/>
          <w:highlight w:val="none"/>
          <w:lang w:eastAsia="zh-CN"/>
        </w:rPr>
        <w:t>的投标</w:t>
      </w:r>
      <w:r>
        <w:rPr>
          <w:rFonts w:hint="eastAsia" w:ascii="宋体" w:hAnsi="宋体" w:eastAsia="宋体" w:cs="宋体"/>
          <w:color w:val="auto"/>
          <w:spacing w:val="-1"/>
          <w:sz w:val="21"/>
          <w:szCs w:val="21"/>
          <w:highlight w:val="none"/>
        </w:rPr>
        <w:t>文件，否则将自行承担不利后果）。投标文件完成上传后，投标人应</w:t>
      </w:r>
      <w:r>
        <w:rPr>
          <w:rFonts w:hint="eastAsia" w:ascii="宋体" w:hAnsi="宋体" w:eastAsia="宋体" w:cs="宋体"/>
          <w:color w:val="auto"/>
          <w:spacing w:val="-2"/>
          <w:sz w:val="21"/>
          <w:szCs w:val="21"/>
          <w:highlight w:val="none"/>
        </w:rPr>
        <w:t>使用 CA 数字证</w:t>
      </w:r>
      <w:r>
        <w:rPr>
          <w:rFonts w:hint="eastAsia" w:ascii="宋体" w:hAnsi="宋体" w:eastAsia="宋体" w:cs="宋体"/>
          <w:color w:val="auto"/>
          <w:spacing w:val="-1"/>
          <w:sz w:val="21"/>
          <w:szCs w:val="21"/>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11.2</w:t>
      </w:r>
      <w:r>
        <w:rPr>
          <w:rFonts w:hint="eastAsia" w:ascii="宋体" w:hAnsi="宋体" w:eastAsia="宋体" w:cs="宋体"/>
          <w:b/>
          <w:bCs/>
          <w:color w:val="auto"/>
          <w:spacing w:val="19"/>
          <w:sz w:val="21"/>
          <w:szCs w:val="21"/>
          <w:highlight w:val="none"/>
        </w:rPr>
        <w:t xml:space="preserve">  </w:t>
      </w:r>
      <w:r>
        <w:rPr>
          <w:rFonts w:hint="eastAsia" w:ascii="宋体" w:hAnsi="宋体" w:eastAsia="宋体" w:cs="宋体"/>
          <w:color w:val="auto"/>
          <w:spacing w:val="-4"/>
          <w:sz w:val="21"/>
          <w:szCs w:val="21"/>
          <w:highlight w:val="none"/>
        </w:rPr>
        <w:t>电子投标文件的修改、撤回：在提交投标文件截止时间前，投标人可</w:t>
      </w:r>
      <w:r>
        <w:rPr>
          <w:rFonts w:hint="eastAsia" w:ascii="宋体" w:hAnsi="宋体" w:eastAsia="宋体" w:cs="宋体"/>
          <w:color w:val="auto"/>
          <w:spacing w:val="-5"/>
          <w:sz w:val="21"/>
          <w:szCs w:val="21"/>
          <w:highlight w:val="none"/>
        </w:rPr>
        <w:t>以修改</w:t>
      </w:r>
      <w:r>
        <w:rPr>
          <w:rFonts w:hint="eastAsia" w:ascii="宋体" w:hAnsi="宋体" w:eastAsia="宋体" w:cs="宋体"/>
          <w:color w:val="auto"/>
          <w:spacing w:val="-1"/>
          <w:sz w:val="21"/>
          <w:szCs w:val="21"/>
          <w:highlight w:val="none"/>
        </w:rPr>
        <w:t>或撤回未解密的电子投标文件，并于提交投标文件截止时间</w:t>
      </w:r>
      <w:r>
        <w:rPr>
          <w:rFonts w:hint="eastAsia" w:ascii="宋体" w:hAnsi="宋体" w:eastAsia="宋体" w:cs="宋体"/>
          <w:color w:val="auto"/>
          <w:spacing w:val="-2"/>
          <w:sz w:val="21"/>
          <w:szCs w:val="21"/>
          <w:highlight w:val="none"/>
        </w:rPr>
        <w:t>前将重新上传修改后的电</w:t>
      </w:r>
      <w:r>
        <w:rPr>
          <w:rFonts w:hint="eastAsia" w:ascii="宋体" w:hAnsi="宋体" w:eastAsia="宋体" w:cs="宋体"/>
          <w:color w:val="auto"/>
          <w:spacing w:val="-1"/>
          <w:sz w:val="21"/>
          <w:szCs w:val="21"/>
          <w:highlight w:val="none"/>
        </w:rPr>
        <w:t>子投标文件至系统</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到达投标文件提交截止时间后投标人不</w:t>
      </w:r>
      <w:r>
        <w:rPr>
          <w:rFonts w:hint="eastAsia" w:ascii="宋体" w:hAnsi="宋体" w:eastAsia="宋体" w:cs="宋体"/>
          <w:color w:val="auto"/>
          <w:spacing w:val="-2"/>
          <w:sz w:val="21"/>
          <w:szCs w:val="21"/>
          <w:highlight w:val="none"/>
        </w:rPr>
        <w:t>得撤回、补充、修改和更换投标文件。</w:t>
      </w:r>
    </w:p>
    <w:p w14:paraId="1F5F4AB1">
      <w:pPr>
        <w:numPr>
          <w:ilvl w:val="0"/>
          <w:numId w:val="0"/>
        </w:numPr>
        <w:spacing w:before="78" w:line="220" w:lineRule="auto"/>
        <w:ind w:firstLine="386" w:firstLineChars="200"/>
        <w:outlineLvl w:val="2"/>
        <w:rPr>
          <w:rFonts w:hint="eastAsia" w:ascii="宋体" w:hAnsi="宋体" w:eastAsia="宋体" w:cs="宋体"/>
          <w:b/>
          <w:bCs/>
          <w:color w:val="auto"/>
          <w:spacing w:val="-4"/>
          <w:sz w:val="21"/>
          <w:szCs w:val="21"/>
          <w:highlight w:val="none"/>
        </w:rPr>
      </w:pPr>
      <w:bookmarkStart w:id="62" w:name="_Toc20352"/>
      <w:r>
        <w:rPr>
          <w:rFonts w:hint="eastAsia" w:ascii="宋体" w:hAnsi="宋体" w:eastAsia="宋体" w:cs="宋体"/>
          <w:b/>
          <w:bCs/>
          <w:color w:val="auto"/>
          <w:spacing w:val="-9"/>
          <w:sz w:val="21"/>
          <w:szCs w:val="21"/>
          <w:highlight w:val="none"/>
          <w:lang w:val="en-US" w:eastAsia="zh-CN"/>
        </w:rPr>
        <w:t>12.</w:t>
      </w:r>
      <w:r>
        <w:rPr>
          <w:rFonts w:hint="eastAsia" w:ascii="宋体" w:hAnsi="宋体" w:eastAsia="宋体" w:cs="宋体"/>
          <w:b/>
          <w:bCs/>
          <w:color w:val="auto"/>
          <w:spacing w:val="22"/>
          <w:w w:val="101"/>
          <w:sz w:val="21"/>
          <w:szCs w:val="21"/>
          <w:highlight w:val="none"/>
        </w:rPr>
        <w:t xml:space="preserve"> </w:t>
      </w:r>
      <w:bookmarkStart w:id="63" w:name="_Toc29834"/>
      <w:r>
        <w:rPr>
          <w:rFonts w:hint="eastAsia" w:ascii="宋体" w:hAnsi="宋体" w:eastAsia="宋体" w:cs="宋体"/>
          <w:b/>
          <w:bCs/>
          <w:color w:val="auto"/>
          <w:spacing w:val="-4"/>
          <w:sz w:val="21"/>
          <w:szCs w:val="21"/>
          <w:highlight w:val="none"/>
        </w:rPr>
        <w:t>电子投标及投标解密失败及突发情况的补救方案</w:t>
      </w:r>
      <w:bookmarkEnd w:id="62"/>
      <w:bookmarkEnd w:id="63"/>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1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12.1 </w:t>
      </w:r>
      <w:r>
        <w:rPr>
          <w:rFonts w:hint="eastAsia" w:ascii="宋体" w:hAnsi="宋体" w:eastAsia="宋体" w:cs="宋体"/>
          <w:color w:val="auto"/>
          <w:spacing w:val="-1"/>
          <w:sz w:val="21"/>
          <w:szCs w:val="21"/>
          <w:highlight w:val="none"/>
        </w:rPr>
        <w:t>按照交易平台关于全流程电子化项目的相</w:t>
      </w:r>
      <w:r>
        <w:rPr>
          <w:rFonts w:hint="eastAsia" w:ascii="宋体" w:hAnsi="宋体" w:eastAsia="宋体" w:cs="宋体"/>
          <w:color w:val="auto"/>
          <w:spacing w:val="-2"/>
          <w:sz w:val="21"/>
          <w:szCs w:val="21"/>
          <w:highlight w:val="none"/>
        </w:rPr>
        <w:t>关指南进行操作。详见：全国公共</w:t>
      </w:r>
      <w:r>
        <w:rPr>
          <w:rFonts w:hint="eastAsia" w:ascii="宋体" w:hAnsi="宋体" w:eastAsia="宋体" w:cs="宋体"/>
          <w:color w:val="auto"/>
          <w:spacing w:val="-1"/>
          <w:sz w:val="21"/>
          <w:szCs w:val="21"/>
          <w:highlight w:val="none"/>
        </w:rPr>
        <w:t>资源交易平台（广东省·韶关市</w:t>
      </w:r>
      <w:r>
        <w:rPr>
          <w:rFonts w:hint="eastAsia" w:ascii="宋体" w:hAnsi="宋体" w:eastAsia="宋体" w:cs="宋体"/>
          <w:color w:val="auto"/>
          <w:spacing w:val="-26"/>
          <w:sz w:val="21"/>
          <w:szCs w:val="21"/>
          <w:highlight w:val="none"/>
        </w:rPr>
        <w:t>）（</w:t>
      </w:r>
      <w:r>
        <w:rPr>
          <w:rFonts w:hint="eastAsia" w:ascii="宋体" w:hAnsi="宋体" w:eastAsia="宋体" w:cs="宋体"/>
          <w:color w:val="auto"/>
          <w:spacing w:val="-1"/>
          <w:sz w:val="21"/>
          <w:szCs w:val="21"/>
          <w:highlight w:val="none"/>
        </w:rPr>
        <w:t>https://y</w:t>
      </w:r>
      <w:r>
        <w:rPr>
          <w:rFonts w:hint="eastAsia" w:ascii="宋体" w:hAnsi="宋体" w:eastAsia="宋体" w:cs="宋体"/>
          <w:color w:val="auto"/>
          <w:spacing w:val="-2"/>
          <w:sz w:val="21"/>
          <w:szCs w:val="21"/>
          <w:highlight w:val="none"/>
        </w:rPr>
        <w:t>gp.gdzwfw.gov.cn/ggzy-portal/#/</w:t>
      </w:r>
      <w:r>
        <w:rPr>
          <w:rFonts w:hint="eastAsia" w:ascii="宋体" w:hAnsi="宋体" w:eastAsia="宋体" w:cs="宋体"/>
          <w:color w:val="auto"/>
          <w:spacing w:val="-2"/>
          <w:sz w:val="21"/>
          <w:szCs w:val="21"/>
          <w:highlight w:val="none"/>
          <w:lang w:eastAsia="zh-CN"/>
        </w:rPr>
        <w:t>440200</w:t>
      </w:r>
      <w:r>
        <w:rPr>
          <w:rFonts w:hint="eastAsia" w:ascii="宋体" w:hAnsi="宋体" w:eastAsia="宋体" w:cs="宋体"/>
          <w:color w:val="auto"/>
          <w:spacing w:val="-1"/>
          <w:sz w:val="21"/>
          <w:szCs w:val="21"/>
          <w:highlight w:val="none"/>
        </w:rPr>
        <w:t>/index）服务指南栏目发布的最新版操作指引。</w:t>
      </w:r>
    </w:p>
    <w:p w14:paraId="5443024B">
      <w:pPr>
        <w:spacing w:before="113" w:line="220"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12.2  </w:t>
      </w:r>
      <w:r>
        <w:rPr>
          <w:rFonts w:hint="eastAsia" w:ascii="宋体" w:hAnsi="宋体" w:eastAsia="宋体" w:cs="宋体"/>
          <w:color w:val="auto"/>
          <w:spacing w:val="-2"/>
          <w:sz w:val="21"/>
          <w:szCs w:val="21"/>
          <w:highlight w:val="none"/>
        </w:rPr>
        <w:t>补救方案：</w:t>
      </w:r>
    </w:p>
    <w:p w14:paraId="67019C1A">
      <w:pPr>
        <w:spacing w:before="115" w:line="220"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12.2.1  </w:t>
      </w:r>
      <w:r>
        <w:rPr>
          <w:rFonts w:hint="eastAsia" w:ascii="宋体" w:hAnsi="宋体" w:eastAsia="宋体" w:cs="宋体"/>
          <w:color w:val="auto"/>
          <w:spacing w:val="-1"/>
          <w:sz w:val="21"/>
          <w:szCs w:val="21"/>
          <w:highlight w:val="none"/>
        </w:rPr>
        <w:t>投标文件解密失败的补救方案：</w:t>
      </w:r>
    </w:p>
    <w:p w14:paraId="1EDCE6E7">
      <w:pPr>
        <w:spacing w:before="115" w:line="298" w:lineRule="auto"/>
        <w:ind w:right="81" w:firstLine="42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在规定时间内，因投标人之外</w:t>
      </w:r>
      <w:r>
        <w:rPr>
          <w:rFonts w:hint="eastAsia" w:ascii="宋体" w:hAnsi="宋体" w:eastAsia="宋体" w:cs="宋体"/>
          <w:color w:val="auto"/>
          <w:spacing w:val="2"/>
          <w:sz w:val="21"/>
          <w:szCs w:val="21"/>
          <w:highlight w:val="none"/>
          <w:lang w:eastAsia="zh-CN"/>
        </w:rPr>
        <w:t>的原因（</w:t>
      </w:r>
      <w:r>
        <w:rPr>
          <w:rFonts w:hint="eastAsia" w:ascii="宋体" w:hAnsi="宋体" w:eastAsia="宋体" w:cs="宋体"/>
          <w:color w:val="auto"/>
          <w:spacing w:val="2"/>
          <w:sz w:val="21"/>
          <w:szCs w:val="21"/>
          <w:highlight w:val="none"/>
        </w:rPr>
        <w:t>指网络瘫痪、服务器损坏、交易系统故障短期无法恢复</w:t>
      </w:r>
      <w:r>
        <w:rPr>
          <w:rFonts w:hint="eastAsia" w:ascii="宋体" w:hAnsi="宋体" w:eastAsia="宋体" w:cs="宋体"/>
          <w:color w:val="auto"/>
          <w:spacing w:val="2"/>
          <w:sz w:val="21"/>
          <w:szCs w:val="21"/>
          <w:highlight w:val="none"/>
          <w:lang w:eastAsia="zh-CN"/>
        </w:rPr>
        <w:t>等）</w:t>
      </w:r>
      <w:r>
        <w:rPr>
          <w:rFonts w:hint="eastAsia" w:ascii="宋体" w:hAnsi="宋体" w:eastAsia="宋体" w:cs="宋体"/>
          <w:color w:val="auto"/>
          <w:spacing w:val="2"/>
          <w:sz w:val="21"/>
          <w:szCs w:val="21"/>
          <w:highlight w:val="none"/>
        </w:rPr>
        <w:t>导致的电子投标文件解密失败，在开标现场解密环节由代理</w:t>
      </w:r>
      <w:r>
        <w:rPr>
          <w:rFonts w:hint="eastAsia" w:ascii="宋体" w:hAnsi="宋体" w:eastAsia="宋体" w:cs="宋体"/>
          <w:color w:val="auto"/>
          <w:spacing w:val="2"/>
          <w:sz w:val="21"/>
          <w:szCs w:val="21"/>
          <w:highlight w:val="none"/>
          <w:lang w:eastAsia="zh-CN"/>
        </w:rPr>
        <w:t>机构授权</w:t>
      </w:r>
      <w:r>
        <w:rPr>
          <w:rFonts w:hint="eastAsia" w:ascii="宋体" w:hAnsi="宋体" w:eastAsia="宋体" w:cs="宋体"/>
          <w:color w:val="auto"/>
          <w:spacing w:val="2"/>
          <w:sz w:val="21"/>
          <w:szCs w:val="21"/>
          <w:highlight w:val="none"/>
        </w:rPr>
        <w:t>后，</w:t>
      </w:r>
      <w:r>
        <w:rPr>
          <w:rFonts w:hint="eastAsia" w:ascii="宋体" w:hAnsi="宋体" w:eastAsia="宋体" w:cs="宋体"/>
          <w:color w:val="auto"/>
          <w:spacing w:val="1"/>
          <w:sz w:val="21"/>
          <w:szCs w:val="21"/>
          <w:highlight w:val="none"/>
        </w:rPr>
        <w:t>解密失败</w:t>
      </w:r>
      <w:r>
        <w:rPr>
          <w:rFonts w:hint="eastAsia" w:ascii="宋体" w:hAnsi="宋体" w:eastAsia="宋体" w:cs="宋体"/>
          <w:color w:val="auto"/>
          <w:spacing w:val="1"/>
          <w:sz w:val="21"/>
          <w:szCs w:val="21"/>
          <w:highlight w:val="none"/>
          <w:lang w:eastAsia="zh-CN"/>
        </w:rPr>
        <w:t>的</w:t>
      </w:r>
      <w:r>
        <w:rPr>
          <w:rFonts w:hint="eastAsia" w:ascii="宋体" w:hAnsi="宋体" w:eastAsia="宋体" w:cs="宋体"/>
          <w:color w:val="auto"/>
          <w:spacing w:val="1"/>
          <w:sz w:val="21"/>
          <w:szCs w:val="21"/>
          <w:highlight w:val="none"/>
        </w:rPr>
        <w:t>投标人可在建设工程交易系统规定时间（代理机构授权后</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1"/>
          <w:sz w:val="21"/>
          <w:szCs w:val="21"/>
          <w:highlight w:val="none"/>
        </w:rPr>
        <w:t>30</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分钟内）内</w:t>
      </w:r>
      <w:bookmarkStart w:id="64" w:name="bookmark122"/>
      <w:bookmarkEnd w:id="64"/>
      <w:r>
        <w:rPr>
          <w:rFonts w:hint="eastAsia" w:ascii="宋体" w:hAnsi="宋体" w:eastAsia="宋体" w:cs="宋体"/>
          <w:color w:val="auto"/>
          <w:spacing w:val="-1"/>
          <w:sz w:val="21"/>
          <w:szCs w:val="21"/>
          <w:highlight w:val="none"/>
        </w:rPr>
        <w:t>重新提交投标文件</w:t>
      </w:r>
      <w:r>
        <w:rPr>
          <w:rFonts w:hint="eastAsia" w:ascii="宋体" w:hAnsi="宋体" w:eastAsia="宋体" w:cs="宋体"/>
          <w:color w:val="auto"/>
          <w:spacing w:val="-1"/>
          <w:sz w:val="21"/>
          <w:szCs w:val="21"/>
          <w:highlight w:val="none"/>
          <w:lang w:eastAsia="zh-CN"/>
        </w:rPr>
        <w:t>，继续</w:t>
      </w:r>
      <w:r>
        <w:rPr>
          <w:rFonts w:hint="eastAsia" w:ascii="宋体" w:hAnsi="宋体" w:eastAsia="宋体" w:cs="宋体"/>
          <w:color w:val="auto"/>
          <w:spacing w:val="-1"/>
          <w:sz w:val="21"/>
          <w:szCs w:val="21"/>
          <w:highlight w:val="none"/>
        </w:rPr>
        <w:t>开标程序。</w:t>
      </w:r>
    </w:p>
    <w:p w14:paraId="6A128606">
      <w:pPr>
        <w:spacing w:before="114" w:line="220"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12.2.2  </w:t>
      </w:r>
      <w:r>
        <w:rPr>
          <w:rFonts w:hint="eastAsia" w:ascii="宋体" w:hAnsi="宋体" w:eastAsia="宋体" w:cs="宋体"/>
          <w:color w:val="auto"/>
          <w:spacing w:val="-1"/>
          <w:sz w:val="21"/>
          <w:szCs w:val="21"/>
          <w:highlight w:val="none"/>
        </w:rPr>
        <w:t>评标时突发情况的补救</w:t>
      </w:r>
      <w:r>
        <w:rPr>
          <w:rFonts w:hint="eastAsia" w:ascii="宋体" w:hAnsi="宋体" w:eastAsia="宋体" w:cs="宋体"/>
          <w:color w:val="auto"/>
          <w:spacing w:val="-1"/>
          <w:sz w:val="21"/>
          <w:szCs w:val="21"/>
          <w:highlight w:val="none"/>
          <w:lang w:eastAsia="zh-CN"/>
        </w:rPr>
        <w:t>方案：</w:t>
      </w:r>
    </w:p>
    <w:p w14:paraId="389EEFFD">
      <w:pPr>
        <w:spacing w:before="114" w:line="303" w:lineRule="auto"/>
        <w:ind w:right="81" w:firstLine="41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在评标过程中，因主场或副场网络故障、电子设备</w:t>
      </w:r>
      <w:r>
        <w:rPr>
          <w:rFonts w:hint="eastAsia" w:ascii="宋体" w:hAnsi="宋体" w:eastAsia="宋体" w:cs="宋体"/>
          <w:color w:val="auto"/>
          <w:spacing w:val="-1"/>
          <w:sz w:val="21"/>
          <w:szCs w:val="21"/>
          <w:highlight w:val="none"/>
          <w:lang w:eastAsia="zh-CN"/>
        </w:rPr>
        <w:t>故障或者</w:t>
      </w:r>
      <w:r>
        <w:rPr>
          <w:rFonts w:hint="eastAsia" w:ascii="宋体" w:hAnsi="宋体" w:eastAsia="宋体" w:cs="宋体"/>
          <w:color w:val="auto"/>
          <w:spacing w:val="-2"/>
          <w:sz w:val="21"/>
          <w:szCs w:val="21"/>
          <w:highlight w:val="none"/>
        </w:rPr>
        <w:t>评标系统故障，以及其他</w:t>
      </w:r>
      <w:r>
        <w:rPr>
          <w:rFonts w:hint="eastAsia" w:ascii="宋体" w:hAnsi="宋体" w:eastAsia="宋体" w:cs="宋体"/>
          <w:color w:val="auto"/>
          <w:spacing w:val="-3"/>
          <w:sz w:val="21"/>
          <w:szCs w:val="21"/>
          <w:highlight w:val="none"/>
        </w:rPr>
        <w:t>原因导致无法继续进行评标时，在</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小时以内解除故障的可继续评标</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超过</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小时无</w:t>
      </w:r>
      <w:r>
        <w:rPr>
          <w:rFonts w:hint="eastAsia" w:ascii="宋体" w:hAnsi="宋体" w:eastAsia="宋体" w:cs="宋体"/>
          <w:color w:val="auto"/>
          <w:spacing w:val="-1"/>
          <w:sz w:val="21"/>
          <w:szCs w:val="21"/>
          <w:highlight w:val="none"/>
        </w:rPr>
        <w:t>法解除故障的，由招标人确定是否进行评标。如延期评标，</w:t>
      </w:r>
      <w:r>
        <w:rPr>
          <w:rFonts w:hint="eastAsia" w:ascii="宋体" w:hAnsi="宋体" w:eastAsia="宋体" w:cs="宋体"/>
          <w:color w:val="auto"/>
          <w:spacing w:val="-2"/>
          <w:sz w:val="21"/>
          <w:szCs w:val="21"/>
          <w:highlight w:val="none"/>
        </w:rPr>
        <w:t>招标人及参与评标活动的</w:t>
      </w:r>
      <w:r>
        <w:rPr>
          <w:rFonts w:hint="eastAsia" w:ascii="宋体" w:hAnsi="宋体" w:eastAsia="宋体" w:cs="宋体"/>
          <w:color w:val="auto"/>
          <w:spacing w:val="-1"/>
          <w:sz w:val="21"/>
          <w:szCs w:val="21"/>
          <w:highlight w:val="none"/>
        </w:rPr>
        <w:t>各方主体及其有关工作人员应当配合主场、副场做好招投标</w:t>
      </w:r>
      <w:r>
        <w:rPr>
          <w:rFonts w:hint="eastAsia" w:ascii="宋体" w:hAnsi="宋体" w:eastAsia="宋体" w:cs="宋体"/>
          <w:color w:val="auto"/>
          <w:spacing w:val="-2"/>
          <w:sz w:val="21"/>
          <w:szCs w:val="21"/>
          <w:highlight w:val="none"/>
        </w:rPr>
        <w:t>资料的封存和保密工作，</w:t>
      </w:r>
      <w:r>
        <w:rPr>
          <w:rFonts w:hint="eastAsia" w:ascii="宋体" w:hAnsi="宋体" w:eastAsia="宋体" w:cs="宋体"/>
          <w:color w:val="auto"/>
          <w:spacing w:val="-1"/>
          <w:sz w:val="21"/>
          <w:szCs w:val="21"/>
          <w:highlight w:val="none"/>
        </w:rPr>
        <w:t>另行组建评标委员会重新评标。原评标委员会成员应当对评</w:t>
      </w:r>
      <w:r>
        <w:rPr>
          <w:rFonts w:hint="eastAsia" w:ascii="宋体" w:hAnsi="宋体" w:eastAsia="宋体" w:cs="宋体"/>
          <w:color w:val="auto"/>
          <w:spacing w:val="-2"/>
          <w:sz w:val="21"/>
          <w:szCs w:val="21"/>
          <w:highlight w:val="none"/>
        </w:rPr>
        <w:t>标情况保密，不得对外透</w:t>
      </w:r>
      <w:r>
        <w:rPr>
          <w:rFonts w:hint="eastAsia" w:ascii="宋体" w:hAnsi="宋体" w:eastAsia="宋体" w:cs="宋体"/>
          <w:color w:val="auto"/>
          <w:spacing w:val="-1"/>
          <w:sz w:val="21"/>
          <w:szCs w:val="21"/>
          <w:highlight w:val="none"/>
        </w:rPr>
        <w:t>露与评标有关的任何信息与情况。</w:t>
      </w:r>
    </w:p>
    <w:p w14:paraId="432398B9">
      <w:pPr>
        <w:spacing w:before="69" w:line="324" w:lineRule="auto"/>
        <w:ind w:left="11" w:right="81" w:firstLine="484"/>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12.2.3  </w:t>
      </w:r>
      <w:r>
        <w:rPr>
          <w:rFonts w:hint="eastAsia" w:ascii="宋体" w:hAnsi="宋体" w:eastAsia="宋体" w:cs="宋体"/>
          <w:color w:val="auto"/>
          <w:spacing w:val="-1"/>
          <w:sz w:val="21"/>
          <w:szCs w:val="21"/>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1"/>
          <w:szCs w:val="21"/>
          <w:highlight w:val="none"/>
        </w:rPr>
      </w:pPr>
      <w:bookmarkStart w:id="65" w:name="_Toc27195"/>
      <w:bookmarkStart w:id="66" w:name="_Toc16412"/>
      <w:r>
        <w:rPr>
          <w:rFonts w:hint="eastAsia" w:ascii="宋体" w:hAnsi="宋体" w:eastAsia="宋体" w:cs="宋体"/>
          <w:b/>
          <w:bCs/>
          <w:color w:val="auto"/>
          <w:spacing w:val="-7"/>
          <w:sz w:val="21"/>
          <w:szCs w:val="21"/>
          <w:highlight w:val="none"/>
        </w:rPr>
        <w:t>13</w:t>
      </w:r>
      <w:r>
        <w:rPr>
          <w:rFonts w:hint="eastAsia" w:ascii="宋体" w:hAnsi="宋体" w:eastAsia="宋体" w:cs="宋体"/>
          <w:b/>
          <w:bCs/>
          <w:color w:val="auto"/>
          <w:spacing w:val="-7"/>
          <w:sz w:val="21"/>
          <w:szCs w:val="21"/>
          <w:highlight w:val="none"/>
          <w:lang w:eastAsia="zh-CN"/>
        </w:rPr>
        <w:t xml:space="preserve">. </w:t>
      </w:r>
      <w:r>
        <w:rPr>
          <w:rFonts w:hint="eastAsia" w:ascii="宋体" w:hAnsi="宋体" w:eastAsia="宋体" w:cs="宋体"/>
          <w:b/>
          <w:bCs/>
          <w:color w:val="auto"/>
          <w:spacing w:val="-7"/>
          <w:sz w:val="21"/>
          <w:szCs w:val="21"/>
          <w:highlight w:val="none"/>
        </w:rPr>
        <w:t>投标文件的提交</w:t>
      </w:r>
      <w:bookmarkEnd w:id="65"/>
      <w:bookmarkEnd w:id="66"/>
    </w:p>
    <w:p w14:paraId="63ACB3FA">
      <w:pPr>
        <w:spacing w:before="123" w:line="278" w:lineRule="auto"/>
        <w:ind w:left="13" w:right="81" w:firstLine="482"/>
        <w:rPr>
          <w:rFonts w:hint="eastAsia" w:ascii="宋体" w:hAnsi="宋体" w:eastAsia="宋体" w:cs="宋体"/>
          <w:color w:val="auto"/>
          <w:sz w:val="21"/>
          <w:szCs w:val="21"/>
          <w:highlight w:val="none"/>
        </w:rPr>
      </w:pPr>
      <w:r>
        <w:rPr>
          <w:rFonts w:hint="eastAsia" w:ascii="宋体" w:hAnsi="宋体" w:eastAsia="宋体" w:cs="宋体"/>
          <w:b/>
          <w:bCs/>
          <w:color w:val="auto"/>
          <w:spacing w:val="-11"/>
          <w:sz w:val="21"/>
          <w:szCs w:val="21"/>
          <w:highlight w:val="none"/>
        </w:rPr>
        <w:t xml:space="preserve">13.1  </w:t>
      </w:r>
      <w:r>
        <w:rPr>
          <w:rFonts w:hint="eastAsia" w:ascii="宋体" w:hAnsi="宋体" w:eastAsia="宋体" w:cs="宋体"/>
          <w:color w:val="auto"/>
          <w:spacing w:val="-11"/>
          <w:sz w:val="21"/>
          <w:szCs w:val="21"/>
          <w:highlight w:val="none"/>
        </w:rPr>
        <w:t>在投标文件提交截止时间前，投标人通过全国公共资源交易平台（</w:t>
      </w:r>
      <w:r>
        <w:rPr>
          <w:rFonts w:hint="eastAsia" w:ascii="宋体" w:hAnsi="宋体" w:eastAsia="宋体" w:cs="宋体"/>
          <w:color w:val="auto"/>
          <w:spacing w:val="-12"/>
          <w:sz w:val="21"/>
          <w:szCs w:val="21"/>
          <w:highlight w:val="none"/>
        </w:rPr>
        <w:t>广东省</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2"/>
          <w:sz w:val="21"/>
          <w:szCs w:val="21"/>
          <w:highlight w:val="none"/>
        </w:rPr>
        <w:t>·韶</w:t>
      </w:r>
      <w:r>
        <w:rPr>
          <w:rFonts w:hint="eastAsia" w:ascii="宋体" w:hAnsi="宋体" w:eastAsia="宋体" w:cs="宋体"/>
          <w:color w:val="auto"/>
          <w:spacing w:val="-1"/>
          <w:sz w:val="21"/>
          <w:szCs w:val="21"/>
          <w:highlight w:val="none"/>
        </w:rPr>
        <w:t>关市）提交已加密投标文件。逾期提交的电子投标文</w:t>
      </w:r>
      <w:r>
        <w:rPr>
          <w:rFonts w:hint="eastAsia" w:ascii="宋体" w:hAnsi="宋体" w:eastAsia="宋体" w:cs="宋体"/>
          <w:color w:val="auto"/>
          <w:spacing w:val="-2"/>
          <w:sz w:val="21"/>
          <w:szCs w:val="21"/>
          <w:highlight w:val="none"/>
        </w:rPr>
        <w:t>件，全国公共资源交易平台（广</w:t>
      </w:r>
      <w:r>
        <w:rPr>
          <w:rFonts w:hint="eastAsia" w:ascii="宋体" w:hAnsi="宋体" w:eastAsia="宋体" w:cs="宋体"/>
          <w:color w:val="auto"/>
          <w:spacing w:val="-9"/>
          <w:sz w:val="21"/>
          <w:szCs w:val="21"/>
          <w:highlight w:val="none"/>
        </w:rPr>
        <w:t>东省</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9"/>
          <w:sz w:val="21"/>
          <w:szCs w:val="21"/>
          <w:highlight w:val="none"/>
        </w:rPr>
        <w:t>·韶关市）将予以拒收。</w:t>
      </w:r>
    </w:p>
    <w:p w14:paraId="6051D660">
      <w:pPr>
        <w:spacing w:before="115" w:line="219"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13.2  </w:t>
      </w:r>
      <w:r>
        <w:rPr>
          <w:rFonts w:hint="eastAsia" w:ascii="宋体" w:hAnsi="宋体" w:eastAsia="宋体" w:cs="宋体"/>
          <w:color w:val="auto"/>
          <w:spacing w:val="2"/>
          <w:sz w:val="21"/>
          <w:szCs w:val="21"/>
          <w:highlight w:val="none"/>
        </w:rPr>
        <w:t>提交时间和地点：见本章第二节“重要事项时间地点一览表</w:t>
      </w:r>
      <w:r>
        <w:rPr>
          <w:rFonts w:hint="eastAsia" w:ascii="宋体" w:hAnsi="宋体" w:eastAsia="宋体" w:cs="宋体"/>
          <w:color w:val="auto"/>
          <w:spacing w:val="-88"/>
          <w:sz w:val="21"/>
          <w:szCs w:val="21"/>
          <w:highlight w:val="none"/>
          <w:lang w:eastAsia="zh-CN"/>
        </w:rPr>
        <w:t>”。</w:t>
      </w:r>
    </w:p>
    <w:p w14:paraId="00486459">
      <w:pPr>
        <w:spacing w:before="113" w:line="279" w:lineRule="auto"/>
        <w:ind w:left="9" w:right="24" w:firstLine="48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13.3  </w:t>
      </w:r>
      <w:r>
        <w:rPr>
          <w:rFonts w:hint="eastAsia" w:ascii="宋体" w:hAnsi="宋体" w:eastAsia="宋体" w:cs="宋体"/>
          <w:color w:val="auto"/>
          <w:spacing w:val="-1"/>
          <w:sz w:val="21"/>
          <w:szCs w:val="21"/>
          <w:highlight w:val="none"/>
        </w:rPr>
        <w:t>递交时间和地点：投标人如有招标</w:t>
      </w:r>
      <w:r>
        <w:rPr>
          <w:rFonts w:hint="eastAsia" w:ascii="宋体" w:hAnsi="宋体" w:eastAsia="宋体" w:cs="宋体"/>
          <w:color w:val="auto"/>
          <w:spacing w:val="-2"/>
          <w:sz w:val="21"/>
          <w:szCs w:val="21"/>
          <w:highlight w:val="none"/>
        </w:rPr>
        <w:t>文件要求提交的用于评审的证书、证件、证明原件（附一式两份清单</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1"/>
          <w:sz w:val="21"/>
          <w:szCs w:val="21"/>
          <w:highlight w:val="none"/>
          <w:lang w:eastAsia="zh-CN"/>
        </w:rPr>
        <w:t>由</w:t>
      </w:r>
      <w:r>
        <w:rPr>
          <w:rFonts w:hint="eastAsia" w:ascii="宋体" w:hAnsi="宋体" w:eastAsia="宋体" w:cs="宋体"/>
          <w:color w:val="auto"/>
          <w:spacing w:val="-2"/>
          <w:sz w:val="21"/>
          <w:szCs w:val="21"/>
          <w:highlight w:val="none"/>
        </w:rPr>
        <w:t>投标人法定代表人或其委托代理人在指定的时间和</w:t>
      </w:r>
      <w:r>
        <w:rPr>
          <w:rFonts w:hint="eastAsia" w:ascii="宋体" w:hAnsi="宋体" w:eastAsia="宋体" w:cs="宋体"/>
          <w:color w:val="auto"/>
          <w:spacing w:val="-1"/>
          <w:sz w:val="21"/>
          <w:szCs w:val="21"/>
          <w:highlight w:val="none"/>
        </w:rPr>
        <w:t>地点递交（见“重要事项时间地点一览表”</w:t>
      </w:r>
      <w:r>
        <w:rPr>
          <w:rFonts w:hint="eastAsia" w:ascii="宋体" w:hAnsi="宋体" w:eastAsia="宋体" w:cs="宋体"/>
          <w:color w:val="auto"/>
          <w:spacing w:val="-2"/>
          <w:sz w:val="21"/>
          <w:szCs w:val="21"/>
          <w:highlight w:val="none"/>
        </w:rPr>
        <w:t>）。</w:t>
      </w:r>
    </w:p>
    <w:p w14:paraId="3B37374D">
      <w:pPr>
        <w:spacing w:before="112" w:line="219" w:lineRule="auto"/>
        <w:ind w:firstLine="418"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13.4  </w:t>
      </w:r>
      <w:r>
        <w:rPr>
          <w:rFonts w:hint="eastAsia" w:ascii="宋体" w:hAnsi="宋体" w:eastAsia="宋体" w:cs="宋体"/>
          <w:color w:val="auto"/>
          <w:spacing w:val="-1"/>
          <w:sz w:val="21"/>
          <w:szCs w:val="21"/>
          <w:highlight w:val="none"/>
        </w:rPr>
        <w:t>代理机构对因不可抗力事件造成的投</w:t>
      </w:r>
      <w:r>
        <w:rPr>
          <w:rFonts w:hint="eastAsia" w:ascii="宋体" w:hAnsi="宋体" w:eastAsia="宋体" w:cs="宋体"/>
          <w:color w:val="auto"/>
          <w:spacing w:val="-2"/>
          <w:sz w:val="21"/>
          <w:szCs w:val="21"/>
          <w:highlight w:val="none"/>
        </w:rPr>
        <w:t>标文件的损坏、丢失的，不承担责任。</w:t>
      </w:r>
    </w:p>
    <w:p w14:paraId="4AB75F24">
      <w:pPr>
        <w:spacing w:before="116" w:line="220"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13.5</w:t>
      </w:r>
      <w:r>
        <w:rPr>
          <w:rFonts w:hint="eastAsia" w:ascii="宋体" w:hAnsi="宋体" w:eastAsia="宋体" w:cs="宋体"/>
          <w:b/>
          <w:bCs/>
          <w:color w:val="auto"/>
          <w:spacing w:val="15"/>
          <w:sz w:val="21"/>
          <w:szCs w:val="21"/>
          <w:highlight w:val="none"/>
        </w:rPr>
        <w:t xml:space="preserve">  </w:t>
      </w:r>
      <w:r>
        <w:rPr>
          <w:rFonts w:hint="eastAsia" w:ascii="宋体" w:hAnsi="宋体" w:eastAsia="宋体" w:cs="宋体"/>
          <w:color w:val="auto"/>
          <w:spacing w:val="-1"/>
          <w:sz w:val="21"/>
          <w:szCs w:val="21"/>
          <w:highlight w:val="none"/>
        </w:rPr>
        <w:t>出现下述情形之一</w:t>
      </w:r>
      <w:r>
        <w:rPr>
          <w:rFonts w:hint="eastAsia" w:ascii="宋体" w:hAnsi="宋体" w:eastAsia="宋体" w:cs="宋体"/>
          <w:color w:val="auto"/>
          <w:spacing w:val="-1"/>
          <w:sz w:val="21"/>
          <w:szCs w:val="21"/>
          <w:highlight w:val="none"/>
          <w:lang w:eastAsia="zh-CN"/>
        </w:rPr>
        <w:t>的，</w:t>
      </w:r>
      <w:r>
        <w:rPr>
          <w:rFonts w:hint="eastAsia" w:ascii="宋体" w:hAnsi="宋体" w:eastAsia="宋体" w:cs="宋体"/>
          <w:color w:val="auto"/>
          <w:spacing w:val="-1"/>
          <w:sz w:val="21"/>
          <w:szCs w:val="21"/>
          <w:highlight w:val="none"/>
        </w:rPr>
        <w:t>属于未成功提</w:t>
      </w:r>
      <w:r>
        <w:rPr>
          <w:rFonts w:hint="eastAsia" w:ascii="宋体" w:hAnsi="宋体" w:eastAsia="宋体" w:cs="宋体"/>
          <w:color w:val="auto"/>
          <w:spacing w:val="-2"/>
          <w:sz w:val="21"/>
          <w:szCs w:val="21"/>
          <w:highlight w:val="none"/>
        </w:rPr>
        <w:t>交投标文件，按无效投标处理：</w:t>
      </w:r>
    </w:p>
    <w:p w14:paraId="7078EE47">
      <w:pPr>
        <w:spacing w:before="115" w:line="219" w:lineRule="auto"/>
        <w:ind w:left="7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（1）至提交投标文件截止时，投标文件未完整上传</w:t>
      </w:r>
      <w:r>
        <w:rPr>
          <w:rFonts w:hint="eastAsia" w:ascii="宋体" w:hAnsi="宋体" w:eastAsia="宋体" w:cs="宋体"/>
          <w:color w:val="auto"/>
          <w:spacing w:val="-1"/>
          <w:sz w:val="21"/>
          <w:szCs w:val="21"/>
          <w:highlight w:val="none"/>
          <w:lang w:eastAsia="zh-CN"/>
        </w:rPr>
        <w:t>并</w:t>
      </w:r>
      <w:r>
        <w:rPr>
          <w:rFonts w:hint="eastAsia" w:ascii="宋体" w:hAnsi="宋体" w:eastAsia="宋体" w:cs="宋体"/>
          <w:color w:val="auto"/>
          <w:spacing w:val="-1"/>
          <w:sz w:val="21"/>
          <w:szCs w:val="21"/>
          <w:highlight w:val="none"/>
        </w:rPr>
        <w:t>提交标书；</w:t>
      </w:r>
    </w:p>
    <w:p w14:paraId="182F51BA">
      <w:pPr>
        <w:spacing w:before="114" w:line="220" w:lineRule="auto"/>
        <w:ind w:left="7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（3）投标文件损坏或格式不正确的；</w:t>
      </w:r>
    </w:p>
    <w:p w14:paraId="375241E2">
      <w:pPr>
        <w:spacing w:before="115" w:line="219"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13.6  </w:t>
      </w:r>
      <w:r>
        <w:rPr>
          <w:rFonts w:hint="eastAsia" w:ascii="宋体" w:hAnsi="宋体" w:eastAsia="宋体" w:cs="宋体"/>
          <w:color w:val="auto"/>
          <w:spacing w:val="-1"/>
          <w:sz w:val="21"/>
          <w:szCs w:val="21"/>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 xml:space="preserve">13.7  </w:t>
      </w:r>
      <w:r>
        <w:rPr>
          <w:rFonts w:hint="eastAsia" w:ascii="宋体" w:hAnsi="宋体" w:eastAsia="宋体" w:cs="宋体"/>
          <w:color w:val="auto"/>
          <w:spacing w:val="-2"/>
          <w:sz w:val="21"/>
          <w:szCs w:val="21"/>
          <w:highlight w:val="none"/>
        </w:rPr>
        <w:t>招标人或其授权的招标代理机构核对、接收投标人递交的投标相关资料后，</w:t>
      </w:r>
      <w:r>
        <w:rPr>
          <w:rFonts w:hint="eastAsia" w:ascii="宋体" w:hAnsi="宋体" w:eastAsia="宋体" w:cs="宋体"/>
          <w:color w:val="auto"/>
          <w:spacing w:val="-1"/>
          <w:sz w:val="21"/>
          <w:szCs w:val="21"/>
          <w:highlight w:val="none"/>
        </w:rPr>
        <w:t>应向投标人出具标明签收</w:t>
      </w:r>
      <w:r>
        <w:rPr>
          <w:rFonts w:hint="eastAsia" w:ascii="宋体" w:hAnsi="宋体" w:eastAsia="宋体" w:cs="宋体"/>
          <w:color w:val="auto"/>
          <w:spacing w:val="-2"/>
          <w:sz w:val="21"/>
          <w:szCs w:val="21"/>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13.8 </w:t>
      </w:r>
      <w:r>
        <w:rPr>
          <w:rFonts w:hint="eastAsia" w:ascii="宋体" w:hAnsi="宋体" w:eastAsia="宋体" w:cs="宋体"/>
          <w:color w:val="auto"/>
          <w:spacing w:val="-2"/>
          <w:sz w:val="21"/>
          <w:szCs w:val="21"/>
          <w:highlight w:val="none"/>
        </w:rPr>
        <w:t xml:space="preserve"> 本次招标投标有效期为</w:t>
      </w:r>
      <w:r>
        <w:rPr>
          <w:rFonts w:hint="eastAsia" w:ascii="宋体" w:hAnsi="宋体" w:eastAsia="宋体" w:cs="宋体"/>
          <w:color w:val="auto"/>
          <w:spacing w:val="-2"/>
          <w:sz w:val="21"/>
          <w:szCs w:val="21"/>
          <w:highlight w:val="none"/>
          <w:u w:val="single"/>
          <w:lang w:eastAsia="zh-CN"/>
        </w:rPr>
        <w:t>90</w:t>
      </w:r>
      <w:r>
        <w:rPr>
          <w:rFonts w:hint="eastAsia" w:ascii="宋体" w:hAnsi="宋体" w:eastAsia="宋体" w:cs="宋体"/>
          <w:color w:val="auto"/>
          <w:spacing w:val="-2"/>
          <w:sz w:val="21"/>
          <w:szCs w:val="21"/>
          <w:highlight w:val="none"/>
        </w:rPr>
        <w:t>个日历天</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投标有效期从提交投标文件的截止之日起计算。在此期间，投标人不得撤销或修改其</w:t>
      </w:r>
      <w:r>
        <w:rPr>
          <w:rFonts w:hint="eastAsia" w:ascii="宋体" w:hAnsi="宋体" w:eastAsia="宋体" w:cs="宋体"/>
          <w:color w:val="auto"/>
          <w:spacing w:val="-7"/>
          <w:sz w:val="21"/>
          <w:szCs w:val="21"/>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1"/>
          <w:szCs w:val="21"/>
          <w:highlight w:val="none"/>
        </w:rPr>
      </w:pPr>
      <w:bookmarkStart w:id="67" w:name="_Toc13007"/>
      <w:bookmarkStart w:id="68" w:name="_Toc22047"/>
      <w:r>
        <w:rPr>
          <w:rFonts w:hint="eastAsia" w:ascii="宋体" w:hAnsi="宋体" w:eastAsia="宋体" w:cs="宋体"/>
          <w:b/>
          <w:bCs/>
          <w:color w:val="auto"/>
          <w:spacing w:val="-11"/>
          <w:sz w:val="21"/>
          <w:szCs w:val="21"/>
          <w:highlight w:val="none"/>
        </w:rPr>
        <w:t>14</w:t>
      </w:r>
      <w:r>
        <w:rPr>
          <w:rFonts w:hint="eastAsia" w:ascii="宋体" w:hAnsi="宋体" w:eastAsia="宋体" w:cs="宋体"/>
          <w:b/>
          <w:bCs/>
          <w:color w:val="auto"/>
          <w:spacing w:val="-11"/>
          <w:sz w:val="21"/>
          <w:szCs w:val="21"/>
          <w:highlight w:val="none"/>
          <w:lang w:eastAsia="zh-CN"/>
        </w:rPr>
        <w:t xml:space="preserve">. </w:t>
      </w:r>
      <w:r>
        <w:rPr>
          <w:rFonts w:hint="eastAsia" w:ascii="宋体" w:hAnsi="宋体" w:eastAsia="宋体" w:cs="宋体"/>
          <w:b/>
          <w:bCs/>
          <w:color w:val="auto"/>
          <w:spacing w:val="-11"/>
          <w:sz w:val="21"/>
          <w:szCs w:val="21"/>
          <w:highlight w:val="none"/>
        </w:rPr>
        <w:t>开标</w:t>
      </w:r>
      <w:bookmarkEnd w:id="67"/>
      <w:bookmarkEnd w:id="68"/>
    </w:p>
    <w:p w14:paraId="792BE085">
      <w:pPr>
        <w:spacing w:before="155" w:line="329" w:lineRule="auto"/>
        <w:ind w:left="10" w:right="81" w:firstLine="485"/>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14.1  </w:t>
      </w:r>
      <w:r>
        <w:rPr>
          <w:rFonts w:hint="eastAsia" w:ascii="宋体" w:hAnsi="宋体" w:eastAsia="宋体" w:cs="宋体"/>
          <w:color w:val="auto"/>
          <w:spacing w:val="-3"/>
          <w:sz w:val="21"/>
          <w:szCs w:val="21"/>
          <w:highlight w:val="none"/>
        </w:rPr>
        <w:t>招标人邀请所有正确获取招标文件、电子投标、缴纳投标保证的投标人参加</w:t>
      </w:r>
      <w:r>
        <w:rPr>
          <w:rFonts w:hint="eastAsia" w:ascii="宋体" w:hAnsi="宋体" w:eastAsia="宋体" w:cs="宋体"/>
          <w:color w:val="auto"/>
          <w:spacing w:val="-1"/>
          <w:sz w:val="21"/>
          <w:szCs w:val="21"/>
          <w:highlight w:val="none"/>
        </w:rPr>
        <w:t>开标，投标人可自主决定是否参加。投标人可</w:t>
      </w:r>
      <w:r>
        <w:rPr>
          <w:rFonts w:hint="eastAsia" w:ascii="宋体" w:hAnsi="宋体" w:eastAsia="宋体" w:cs="宋体"/>
          <w:color w:val="auto"/>
          <w:spacing w:val="-1"/>
          <w:sz w:val="21"/>
          <w:szCs w:val="21"/>
          <w:highlight w:val="none"/>
          <w:lang w:eastAsia="zh-CN"/>
        </w:rPr>
        <w:t>登录</w:t>
      </w:r>
      <w:r>
        <w:rPr>
          <w:rFonts w:hint="eastAsia" w:ascii="宋体" w:hAnsi="宋体" w:eastAsia="宋体" w:cs="宋体"/>
          <w:color w:val="auto"/>
          <w:spacing w:val="-1"/>
          <w:sz w:val="21"/>
          <w:szCs w:val="21"/>
          <w:highlight w:val="none"/>
        </w:rPr>
        <w:t>交易平台</w:t>
      </w:r>
      <w:r>
        <w:rPr>
          <w:rFonts w:hint="eastAsia" w:ascii="宋体" w:hAnsi="宋体" w:eastAsia="宋体" w:cs="宋体"/>
          <w:color w:val="auto"/>
          <w:spacing w:val="-2"/>
          <w:sz w:val="21"/>
          <w:szCs w:val="21"/>
          <w:highlight w:val="none"/>
        </w:rPr>
        <w:t>观看开标实况、提出异议</w:t>
      </w:r>
      <w:r>
        <w:rPr>
          <w:rFonts w:hint="eastAsia" w:ascii="宋体" w:hAnsi="宋体" w:eastAsia="宋体" w:cs="宋体"/>
          <w:color w:val="auto"/>
          <w:spacing w:val="-1"/>
          <w:sz w:val="21"/>
          <w:szCs w:val="21"/>
          <w:highlight w:val="none"/>
        </w:rPr>
        <w:t>或进行澄清、确认等操作（具体</w:t>
      </w:r>
      <w:r>
        <w:rPr>
          <w:rFonts w:hint="eastAsia" w:ascii="宋体" w:hAnsi="宋体" w:eastAsia="宋体" w:cs="宋体"/>
          <w:color w:val="auto"/>
          <w:spacing w:val="-1"/>
          <w:sz w:val="21"/>
          <w:szCs w:val="21"/>
          <w:highlight w:val="none"/>
          <w:lang w:eastAsia="zh-CN"/>
        </w:rPr>
        <w:t>以</w:t>
      </w:r>
      <w:r>
        <w:rPr>
          <w:rFonts w:hint="eastAsia" w:ascii="宋体" w:hAnsi="宋体" w:eastAsia="宋体" w:cs="宋体"/>
          <w:color w:val="auto"/>
          <w:spacing w:val="-1"/>
          <w:sz w:val="21"/>
          <w:szCs w:val="21"/>
          <w:highlight w:val="none"/>
        </w:rPr>
        <w:t>招标文件和系统操作手册</w:t>
      </w:r>
      <w:r>
        <w:rPr>
          <w:rFonts w:hint="eastAsia" w:ascii="宋体" w:hAnsi="宋体" w:eastAsia="宋体" w:cs="宋体"/>
          <w:color w:val="auto"/>
          <w:spacing w:val="-2"/>
          <w:sz w:val="21"/>
          <w:szCs w:val="21"/>
          <w:highlight w:val="none"/>
        </w:rPr>
        <w:t>为准）。投标人不参加开</w:t>
      </w:r>
      <w:bookmarkStart w:id="69" w:name="bookmark123"/>
      <w:bookmarkEnd w:id="69"/>
      <w:r>
        <w:rPr>
          <w:rFonts w:hint="eastAsia" w:ascii="宋体" w:hAnsi="宋体" w:eastAsia="宋体" w:cs="宋体"/>
          <w:color w:val="auto"/>
          <w:sz w:val="21"/>
          <w:szCs w:val="21"/>
          <w:highlight w:val="none"/>
        </w:rPr>
        <w:t>标的，视其默认开标结果，</w:t>
      </w:r>
      <w:r>
        <w:rPr>
          <w:rFonts w:hint="eastAsia" w:ascii="宋体" w:hAnsi="宋体" w:eastAsia="宋体" w:cs="宋体"/>
          <w:color w:val="auto"/>
          <w:sz w:val="21"/>
          <w:szCs w:val="21"/>
          <w:highlight w:val="none"/>
          <w:lang w:eastAsia="zh-CN"/>
        </w:rPr>
        <w:t>放弃</w:t>
      </w:r>
      <w:r>
        <w:rPr>
          <w:rFonts w:hint="eastAsia" w:ascii="宋体" w:hAnsi="宋体" w:eastAsia="宋体" w:cs="宋体"/>
          <w:color w:val="auto"/>
          <w:sz w:val="21"/>
          <w:szCs w:val="21"/>
          <w:highlight w:val="none"/>
        </w:rPr>
        <w:t>在开标期间见证、</w:t>
      </w:r>
      <w:r>
        <w:rPr>
          <w:rFonts w:hint="eastAsia" w:ascii="宋体" w:hAnsi="宋体" w:eastAsia="宋体" w:cs="宋体"/>
          <w:color w:val="auto"/>
          <w:spacing w:val="-1"/>
          <w:sz w:val="21"/>
          <w:szCs w:val="21"/>
          <w:highlight w:val="none"/>
        </w:rPr>
        <w:t>监督、投诉、</w:t>
      </w:r>
      <w:r>
        <w:rPr>
          <w:rFonts w:hint="eastAsia" w:ascii="宋体" w:hAnsi="宋体" w:eastAsia="宋体" w:cs="宋体"/>
          <w:color w:val="auto"/>
          <w:spacing w:val="-1"/>
          <w:sz w:val="21"/>
          <w:szCs w:val="21"/>
          <w:highlight w:val="none"/>
          <w:lang w:eastAsia="zh-CN"/>
        </w:rPr>
        <w:t>申诉</w:t>
      </w:r>
      <w:r>
        <w:rPr>
          <w:rFonts w:hint="eastAsia" w:ascii="宋体" w:hAnsi="宋体" w:eastAsia="宋体" w:cs="宋体"/>
          <w:color w:val="auto"/>
          <w:spacing w:val="-1"/>
          <w:sz w:val="21"/>
          <w:szCs w:val="21"/>
          <w:highlight w:val="none"/>
        </w:rPr>
        <w:t>的权利。</w:t>
      </w:r>
    </w:p>
    <w:p w14:paraId="3DC2018F">
      <w:pPr>
        <w:spacing w:before="156" w:line="219"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14.1.1  </w:t>
      </w:r>
      <w:r>
        <w:rPr>
          <w:rFonts w:hint="eastAsia" w:ascii="宋体" w:hAnsi="宋体" w:eastAsia="宋体" w:cs="宋体"/>
          <w:color w:val="auto"/>
          <w:sz w:val="21"/>
          <w:szCs w:val="21"/>
          <w:highlight w:val="none"/>
        </w:rPr>
        <w:t>开标时间和地点：见本章第</w:t>
      </w:r>
      <w:r>
        <w:rPr>
          <w:rFonts w:hint="eastAsia" w:ascii="宋体" w:hAnsi="宋体" w:eastAsia="宋体" w:cs="宋体"/>
          <w:color w:val="auto"/>
          <w:spacing w:val="-1"/>
          <w:sz w:val="21"/>
          <w:szCs w:val="21"/>
          <w:highlight w:val="none"/>
        </w:rPr>
        <w:t>二节“重要事项时间地点一览表”。</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14.1.2</w:t>
      </w:r>
      <w:r>
        <w:rPr>
          <w:rFonts w:hint="eastAsia" w:ascii="宋体" w:hAnsi="宋体" w:eastAsia="宋体" w:cs="宋体"/>
          <w:b/>
          <w:bCs/>
          <w:color w:val="auto"/>
          <w:spacing w:val="-7"/>
          <w:sz w:val="21"/>
          <w:szCs w:val="21"/>
          <w:highlight w:val="none"/>
          <w:lang w:eastAsia="zh-CN"/>
        </w:rPr>
        <w:t xml:space="preserve">  </w:t>
      </w:r>
      <w:r>
        <w:rPr>
          <w:rFonts w:hint="eastAsia" w:ascii="宋体" w:hAnsi="宋体" w:eastAsia="宋体" w:cs="宋体"/>
          <w:color w:val="auto"/>
          <w:spacing w:val="-7"/>
          <w:sz w:val="21"/>
          <w:szCs w:val="21"/>
          <w:highlight w:val="none"/>
        </w:rPr>
        <w:t>开标前24小时，若建设工程交易系统显示缴</w:t>
      </w:r>
      <w:r>
        <w:rPr>
          <w:rFonts w:hint="eastAsia" w:ascii="宋体" w:hAnsi="宋体" w:eastAsia="宋体" w:cs="宋体"/>
          <w:color w:val="auto"/>
          <w:spacing w:val="-8"/>
          <w:sz w:val="21"/>
          <w:szCs w:val="21"/>
          <w:highlight w:val="none"/>
        </w:rPr>
        <w:t>纳投标保证（包括投标保证金、</w:t>
      </w:r>
      <w:r>
        <w:rPr>
          <w:rFonts w:hint="eastAsia" w:ascii="宋体" w:hAnsi="宋体" w:eastAsia="宋体" w:cs="宋体"/>
          <w:color w:val="auto"/>
          <w:spacing w:val="-2"/>
          <w:sz w:val="21"/>
          <w:szCs w:val="21"/>
          <w:highlight w:val="none"/>
        </w:rPr>
        <w:t>投标保证担保、投标保证保险）的投标人数量不足3</w:t>
      </w:r>
      <w:r>
        <w:rPr>
          <w:rFonts w:hint="eastAsia" w:ascii="宋体" w:hAnsi="宋体" w:eastAsia="宋体" w:cs="宋体"/>
          <w:color w:val="auto"/>
          <w:spacing w:val="-2"/>
          <w:sz w:val="21"/>
          <w:szCs w:val="21"/>
          <w:highlight w:val="none"/>
          <w:lang w:eastAsia="zh-CN"/>
        </w:rPr>
        <w:t>个</w:t>
      </w:r>
      <w:r>
        <w:rPr>
          <w:rFonts w:hint="eastAsia" w:ascii="宋体" w:hAnsi="宋体" w:eastAsia="宋体" w:cs="宋体"/>
          <w:color w:val="auto"/>
          <w:spacing w:val="-2"/>
          <w:sz w:val="21"/>
          <w:szCs w:val="21"/>
          <w:highlight w:val="none"/>
        </w:rPr>
        <w:t>，招标人将取消原定于次日</w:t>
      </w:r>
      <w:r>
        <w:rPr>
          <w:rFonts w:hint="eastAsia" w:ascii="宋体" w:hAnsi="宋体" w:eastAsia="宋体" w:cs="宋体"/>
          <w:color w:val="auto"/>
          <w:spacing w:val="-1"/>
          <w:sz w:val="21"/>
          <w:szCs w:val="21"/>
          <w:highlight w:val="none"/>
        </w:rPr>
        <w:t>召开的开标活动。投标人可在投标保证缴纳截止时间（见本章</w:t>
      </w:r>
      <w:r>
        <w:rPr>
          <w:rFonts w:hint="eastAsia" w:ascii="宋体" w:hAnsi="宋体" w:eastAsia="宋体" w:cs="宋体"/>
          <w:color w:val="auto"/>
          <w:spacing w:val="-2"/>
          <w:sz w:val="21"/>
          <w:szCs w:val="21"/>
          <w:highlight w:val="none"/>
        </w:rPr>
        <w:t>第二节“重要事项时间</w:t>
      </w:r>
      <w:r>
        <w:rPr>
          <w:rFonts w:hint="eastAsia" w:ascii="宋体" w:hAnsi="宋体" w:eastAsia="宋体" w:cs="宋体"/>
          <w:color w:val="auto"/>
          <w:spacing w:val="-1"/>
          <w:sz w:val="21"/>
          <w:szCs w:val="21"/>
          <w:highlight w:val="none"/>
        </w:rPr>
        <w:t>地点一览表”）至电子投标截止时间（见本章第二节“重要事项时间地点一览</w:t>
      </w:r>
      <w:r>
        <w:rPr>
          <w:rFonts w:hint="eastAsia" w:ascii="宋体" w:hAnsi="宋体" w:eastAsia="宋体" w:cs="宋体"/>
          <w:color w:val="auto"/>
          <w:spacing w:val="-2"/>
          <w:sz w:val="21"/>
          <w:szCs w:val="21"/>
          <w:highlight w:val="none"/>
        </w:rPr>
        <w:t>表”）期间登录全国公共资源交易平台（广东省韶关市</w:t>
      </w:r>
      <w:r>
        <w:rPr>
          <w:rFonts w:hint="eastAsia" w:ascii="宋体" w:hAnsi="宋体" w:eastAsia="宋体" w:cs="宋体"/>
          <w:color w:val="auto"/>
          <w:spacing w:val="-22"/>
          <w:sz w:val="21"/>
          <w:szCs w:val="21"/>
          <w:highlight w:val="none"/>
        </w:rPr>
        <w:t>）（</w:t>
      </w:r>
      <w:r>
        <w:rPr>
          <w:rFonts w:hint="eastAsia" w:ascii="宋体" w:hAnsi="宋体" w:eastAsia="宋体" w:cs="宋体"/>
          <w:color w:val="auto"/>
          <w:spacing w:val="-2"/>
          <w:sz w:val="21"/>
          <w:szCs w:val="21"/>
          <w:highlight w:val="none"/>
        </w:rPr>
        <w:t>https://ygp.gdzwfw.gov.cn/</w:t>
      </w:r>
      <w:r>
        <w:rPr>
          <w:rFonts w:hint="eastAsia" w:ascii="宋体" w:hAnsi="宋体" w:eastAsia="宋体" w:cs="宋体"/>
          <w:color w:val="auto"/>
          <w:sz w:val="21"/>
          <w:szCs w:val="21"/>
          <w:highlight w:val="none"/>
        </w:rPr>
        <w:t xml:space="preserve"> ggzy-portal/#/440200/index）查询是否发布了取</w:t>
      </w:r>
      <w:r>
        <w:rPr>
          <w:rFonts w:hint="eastAsia" w:ascii="宋体" w:hAnsi="宋体" w:eastAsia="宋体" w:cs="宋体"/>
          <w:color w:val="auto"/>
          <w:spacing w:val="-1"/>
          <w:sz w:val="21"/>
          <w:szCs w:val="21"/>
          <w:highlight w:val="none"/>
        </w:rPr>
        <w:t>消开标活动的相关信息。</w:t>
      </w:r>
    </w:p>
    <w:p w14:paraId="30562814">
      <w:pPr>
        <w:spacing w:before="159" w:line="319" w:lineRule="auto"/>
        <w:ind w:left="10" w:right="80" w:firstLine="496"/>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14.1.3</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4"/>
          <w:sz w:val="21"/>
          <w:szCs w:val="21"/>
          <w:highlight w:val="none"/>
        </w:rPr>
        <w:t>本项目实行全流程电子化招标投标，投标人在交易平台按要求上传加盖电</w:t>
      </w:r>
      <w:r>
        <w:rPr>
          <w:rFonts w:hint="eastAsia" w:ascii="宋体" w:hAnsi="宋体" w:eastAsia="宋体" w:cs="宋体"/>
          <w:color w:val="auto"/>
          <w:spacing w:val="-1"/>
          <w:sz w:val="21"/>
          <w:szCs w:val="21"/>
          <w:highlight w:val="none"/>
        </w:rPr>
        <w:t>子印章并经加密的电子投标文件，并在交易平台录入准确的</w:t>
      </w:r>
      <w:r>
        <w:rPr>
          <w:rFonts w:hint="eastAsia" w:ascii="宋体" w:hAnsi="宋体" w:eastAsia="宋体" w:cs="宋体"/>
          <w:color w:val="auto"/>
          <w:spacing w:val="-2"/>
          <w:sz w:val="21"/>
          <w:szCs w:val="21"/>
          <w:highlight w:val="none"/>
        </w:rPr>
        <w:t>页码信息即可完成在线投</w:t>
      </w:r>
      <w:r>
        <w:rPr>
          <w:rFonts w:hint="eastAsia" w:ascii="宋体" w:hAnsi="宋体" w:eastAsia="宋体" w:cs="宋体"/>
          <w:color w:val="auto"/>
          <w:spacing w:val="-1"/>
          <w:sz w:val="21"/>
          <w:szCs w:val="21"/>
          <w:highlight w:val="none"/>
        </w:rPr>
        <w:t>标</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由于投标人原因导致未按投标</w:t>
      </w:r>
      <w:r>
        <w:rPr>
          <w:rFonts w:hint="eastAsia" w:ascii="宋体" w:hAnsi="宋体" w:eastAsia="宋体" w:cs="宋体"/>
          <w:color w:val="auto"/>
          <w:spacing w:val="-1"/>
          <w:sz w:val="21"/>
          <w:szCs w:val="21"/>
          <w:highlight w:val="none"/>
          <w:lang w:eastAsia="zh-CN"/>
        </w:rPr>
        <w:t>截止</w:t>
      </w:r>
      <w:r>
        <w:rPr>
          <w:rFonts w:hint="eastAsia" w:ascii="宋体" w:hAnsi="宋体" w:eastAsia="宋体" w:cs="宋体"/>
          <w:color w:val="auto"/>
          <w:spacing w:val="-1"/>
          <w:sz w:val="21"/>
          <w:szCs w:val="21"/>
          <w:highlight w:val="none"/>
        </w:rPr>
        <w:t>时限上传完整投标文</w:t>
      </w:r>
      <w:r>
        <w:rPr>
          <w:rFonts w:hint="eastAsia" w:ascii="宋体" w:hAnsi="宋体" w:eastAsia="宋体" w:cs="宋体"/>
          <w:color w:val="auto"/>
          <w:spacing w:val="-2"/>
          <w:sz w:val="21"/>
          <w:szCs w:val="21"/>
          <w:highlight w:val="none"/>
        </w:rPr>
        <w:t>件、在交易平台中上传的</w:t>
      </w:r>
      <w:r>
        <w:rPr>
          <w:rFonts w:hint="eastAsia" w:ascii="宋体" w:hAnsi="宋体" w:eastAsia="宋体" w:cs="宋体"/>
          <w:color w:val="auto"/>
          <w:spacing w:val="-1"/>
          <w:sz w:val="21"/>
          <w:szCs w:val="21"/>
          <w:highlight w:val="none"/>
        </w:rPr>
        <w:t>投标文件无法解密、投标文件损坏或格式不正确、投标文件</w:t>
      </w:r>
      <w:r>
        <w:rPr>
          <w:rFonts w:hint="eastAsia" w:ascii="宋体" w:hAnsi="宋体" w:eastAsia="宋体" w:cs="宋体"/>
          <w:color w:val="auto"/>
          <w:spacing w:val="-2"/>
          <w:sz w:val="21"/>
          <w:szCs w:val="21"/>
          <w:highlight w:val="none"/>
        </w:rPr>
        <w:t>未按招标文件要求加盖电</w:t>
      </w:r>
      <w:r>
        <w:rPr>
          <w:rFonts w:hint="eastAsia" w:ascii="宋体" w:hAnsi="宋体" w:eastAsia="宋体" w:cs="宋体"/>
          <w:color w:val="auto"/>
          <w:spacing w:val="-1"/>
          <w:sz w:val="21"/>
          <w:szCs w:val="21"/>
          <w:highlight w:val="none"/>
        </w:rPr>
        <w:t>子印章或电子印章不完整、电子投标文件解密失败且未按要</w:t>
      </w:r>
      <w:r>
        <w:rPr>
          <w:rFonts w:hint="eastAsia" w:ascii="宋体" w:hAnsi="宋体" w:eastAsia="宋体" w:cs="宋体"/>
          <w:color w:val="auto"/>
          <w:spacing w:val="-2"/>
          <w:sz w:val="21"/>
          <w:szCs w:val="21"/>
          <w:highlight w:val="none"/>
        </w:rPr>
        <w:t>求上传备用投标文件等情</w:t>
      </w:r>
      <w:r>
        <w:rPr>
          <w:rFonts w:hint="eastAsia" w:ascii="宋体" w:hAnsi="宋体" w:eastAsia="宋体" w:cs="宋体"/>
          <w:color w:val="auto"/>
          <w:spacing w:val="-1"/>
          <w:sz w:val="21"/>
          <w:szCs w:val="21"/>
          <w:highlight w:val="none"/>
        </w:rPr>
        <w:t>形</w:t>
      </w:r>
      <w:r>
        <w:rPr>
          <w:rFonts w:hint="eastAsia" w:ascii="宋体" w:hAnsi="宋体" w:eastAsia="宋体" w:cs="宋体"/>
          <w:color w:val="auto"/>
          <w:spacing w:val="-1"/>
          <w:sz w:val="21"/>
          <w:szCs w:val="21"/>
          <w:highlight w:val="none"/>
          <w:lang w:eastAsia="zh-CN"/>
        </w:rPr>
        <w:t>，导致</w:t>
      </w:r>
      <w:r>
        <w:rPr>
          <w:rFonts w:hint="eastAsia" w:ascii="宋体" w:hAnsi="宋体" w:eastAsia="宋体" w:cs="宋体"/>
          <w:color w:val="auto"/>
          <w:spacing w:val="-1"/>
          <w:sz w:val="21"/>
          <w:szCs w:val="21"/>
          <w:highlight w:val="none"/>
        </w:rPr>
        <w:t>投标无效的，由投标人自行负责。</w:t>
      </w:r>
    </w:p>
    <w:p w14:paraId="16B5CEF9">
      <w:pPr>
        <w:spacing w:before="152" w:line="221"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14.2  </w:t>
      </w:r>
      <w:r>
        <w:rPr>
          <w:rFonts w:hint="eastAsia" w:ascii="宋体" w:hAnsi="宋体" w:eastAsia="宋体" w:cs="宋体"/>
          <w:color w:val="auto"/>
          <w:spacing w:val="-2"/>
          <w:sz w:val="21"/>
          <w:szCs w:val="21"/>
          <w:highlight w:val="none"/>
        </w:rPr>
        <w:t>开标程序</w:t>
      </w:r>
    </w:p>
    <w:p w14:paraId="497CFDD0">
      <w:pPr>
        <w:spacing w:before="42" w:line="219" w:lineRule="auto"/>
        <w:ind w:left="501"/>
        <w:outlineLvl w:val="9"/>
        <w:rPr>
          <w:rFonts w:hint="eastAsia" w:ascii="宋体" w:hAnsi="宋体" w:eastAsia="宋体" w:cs="宋体"/>
          <w:color w:val="auto"/>
          <w:sz w:val="21"/>
          <w:szCs w:val="21"/>
          <w:highlight w:val="none"/>
        </w:rPr>
      </w:pPr>
      <w:bookmarkStart w:id="70" w:name="_Toc15587"/>
      <w:bookmarkStart w:id="71" w:name="_Toc8314"/>
      <w:bookmarkStart w:id="72" w:name="_Toc10685"/>
      <w:bookmarkStart w:id="73" w:name="_Toc10291"/>
      <w:r>
        <w:rPr>
          <w:rFonts w:hint="eastAsia" w:ascii="宋体" w:hAnsi="宋体" w:eastAsia="宋体" w:cs="宋体"/>
          <w:color w:val="auto"/>
          <w:spacing w:val="-1"/>
          <w:sz w:val="21"/>
          <w:szCs w:val="21"/>
          <w:highlight w:val="none"/>
        </w:rPr>
        <w:t>（1）主持人（招标人代表或招标人授权的招标代理机构人员）宣读开标纪律。</w:t>
      </w:r>
      <w:bookmarkEnd w:id="70"/>
      <w:bookmarkEnd w:id="71"/>
      <w:bookmarkEnd w:id="72"/>
      <w:bookmarkEnd w:id="73"/>
    </w:p>
    <w:p w14:paraId="5EAC246A">
      <w:pPr>
        <w:spacing w:before="181" w:line="219" w:lineRule="auto"/>
        <w:ind w:left="501"/>
        <w:outlineLvl w:val="9"/>
        <w:rPr>
          <w:rFonts w:hint="eastAsia" w:ascii="宋体" w:hAnsi="宋体" w:eastAsia="宋体" w:cs="宋体"/>
          <w:color w:val="auto"/>
          <w:sz w:val="21"/>
          <w:szCs w:val="21"/>
          <w:highlight w:val="none"/>
        </w:rPr>
      </w:pPr>
      <w:bookmarkStart w:id="74" w:name="_Toc16292"/>
      <w:bookmarkStart w:id="75" w:name="_Toc30853"/>
      <w:bookmarkStart w:id="76" w:name="_Toc2011"/>
      <w:bookmarkStart w:id="77" w:name="_Toc20238"/>
      <w:r>
        <w:rPr>
          <w:rFonts w:hint="eastAsia" w:ascii="宋体" w:hAnsi="宋体" w:eastAsia="宋体" w:cs="宋体"/>
          <w:color w:val="auto"/>
          <w:spacing w:val="-1"/>
          <w:sz w:val="21"/>
          <w:szCs w:val="21"/>
          <w:highlight w:val="none"/>
        </w:rPr>
        <w:t>（2）主持人宣布唱标人、记录人、见证人、监督人等有关人员姓名。</w:t>
      </w:r>
      <w:bookmarkEnd w:id="74"/>
      <w:bookmarkEnd w:id="75"/>
      <w:bookmarkEnd w:id="76"/>
      <w:bookmarkEnd w:id="77"/>
    </w:p>
    <w:p w14:paraId="7443DF73">
      <w:pPr>
        <w:spacing w:before="183" w:line="219" w:lineRule="auto"/>
        <w:ind w:left="501"/>
        <w:outlineLvl w:val="9"/>
        <w:rPr>
          <w:rFonts w:hint="eastAsia" w:ascii="宋体" w:hAnsi="宋体" w:eastAsia="宋体" w:cs="宋体"/>
          <w:color w:val="auto"/>
          <w:sz w:val="21"/>
          <w:szCs w:val="21"/>
          <w:highlight w:val="none"/>
          <w:lang w:eastAsia="zh-CN"/>
        </w:rPr>
      </w:pPr>
      <w:bookmarkStart w:id="78" w:name="_Toc17462"/>
      <w:bookmarkStart w:id="79" w:name="_Toc26494"/>
      <w:bookmarkStart w:id="80" w:name="_Toc1974"/>
      <w:bookmarkStart w:id="81" w:name="_Toc31716"/>
      <w:r>
        <w:rPr>
          <w:rFonts w:hint="eastAsia" w:ascii="宋体" w:hAnsi="宋体" w:eastAsia="宋体" w:cs="宋体"/>
          <w:color w:val="auto"/>
          <w:spacing w:val="-1"/>
          <w:sz w:val="21"/>
          <w:szCs w:val="21"/>
          <w:highlight w:val="none"/>
        </w:rPr>
        <w:t>（3）唱标人公布在投标截止时间前</w:t>
      </w:r>
      <w:r>
        <w:rPr>
          <w:rFonts w:hint="eastAsia" w:ascii="宋体" w:hAnsi="宋体" w:eastAsia="宋体" w:cs="宋体"/>
          <w:color w:val="auto"/>
          <w:spacing w:val="-1"/>
          <w:sz w:val="21"/>
          <w:szCs w:val="21"/>
          <w:highlight w:val="none"/>
          <w:lang w:eastAsia="zh-CN"/>
        </w:rPr>
        <w:t>递交</w:t>
      </w:r>
      <w:r>
        <w:rPr>
          <w:rFonts w:hint="eastAsia" w:ascii="宋体" w:hAnsi="宋体" w:eastAsia="宋体" w:cs="宋体"/>
          <w:color w:val="auto"/>
          <w:spacing w:val="-1"/>
          <w:sz w:val="21"/>
          <w:szCs w:val="21"/>
          <w:highlight w:val="none"/>
        </w:rPr>
        <w:t>投标文件的投标人数量和名称</w:t>
      </w:r>
      <w:bookmarkEnd w:id="78"/>
      <w:bookmarkEnd w:id="79"/>
      <w:bookmarkEnd w:id="80"/>
      <w:bookmarkEnd w:id="81"/>
      <w:r>
        <w:rPr>
          <w:rFonts w:hint="eastAsia" w:ascii="宋体" w:hAnsi="宋体" w:eastAsia="宋体" w:cs="宋体"/>
          <w:color w:val="auto"/>
          <w:spacing w:val="-1"/>
          <w:sz w:val="21"/>
          <w:szCs w:val="21"/>
          <w:highlight w:val="none"/>
          <w:lang w:eastAsia="zh-CN"/>
        </w:rPr>
        <w:t>。</w:t>
      </w:r>
    </w:p>
    <w:p w14:paraId="3324CC32">
      <w:pPr>
        <w:spacing w:before="181" w:line="219" w:lineRule="auto"/>
        <w:ind w:left="501"/>
        <w:outlineLvl w:val="9"/>
        <w:rPr>
          <w:rFonts w:hint="eastAsia" w:ascii="宋体" w:hAnsi="宋体" w:eastAsia="宋体" w:cs="宋体"/>
          <w:color w:val="auto"/>
          <w:sz w:val="21"/>
          <w:szCs w:val="21"/>
          <w:highlight w:val="none"/>
        </w:rPr>
      </w:pPr>
      <w:bookmarkStart w:id="82" w:name="_Toc27967"/>
      <w:bookmarkStart w:id="83" w:name="_Toc15860"/>
      <w:bookmarkStart w:id="84" w:name="_Toc8179"/>
      <w:bookmarkStart w:id="85" w:name="_Toc20559"/>
      <w:r>
        <w:rPr>
          <w:rFonts w:hint="eastAsia" w:ascii="宋体" w:hAnsi="宋体" w:eastAsia="宋体" w:cs="宋体"/>
          <w:color w:val="auto"/>
          <w:spacing w:val="2"/>
          <w:sz w:val="21"/>
          <w:szCs w:val="21"/>
          <w:highlight w:val="none"/>
        </w:rPr>
        <w:t>（4）招标代理机构会同交易场所工作人员对投标人的</w:t>
      </w:r>
      <w:r>
        <w:rPr>
          <w:rFonts w:hint="eastAsia" w:ascii="宋体" w:hAnsi="宋体" w:eastAsia="宋体" w:cs="宋体"/>
          <w:color w:val="auto"/>
          <w:spacing w:val="1"/>
          <w:sz w:val="21"/>
          <w:szCs w:val="21"/>
          <w:highlight w:val="none"/>
        </w:rPr>
        <w:t>电子投标信息进行解密</w:t>
      </w:r>
      <w:r>
        <w:rPr>
          <w:rFonts w:hint="eastAsia" w:ascii="宋体" w:hAnsi="宋体" w:eastAsia="宋体" w:cs="宋体"/>
          <w:color w:val="auto"/>
          <w:spacing w:val="1"/>
          <w:sz w:val="21"/>
          <w:szCs w:val="21"/>
          <w:highlight w:val="none"/>
          <w:lang w:eastAsia="zh-CN"/>
        </w:rPr>
        <w:t>。</w:t>
      </w:r>
      <w:bookmarkEnd w:id="82"/>
      <w:bookmarkEnd w:id="83"/>
      <w:bookmarkEnd w:id="84"/>
      <w:bookmarkEnd w:id="85"/>
    </w:p>
    <w:p w14:paraId="2BAFEA97">
      <w:pPr>
        <w:spacing w:before="183" w:line="220" w:lineRule="auto"/>
        <w:ind w:left="1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建设工程交易系统自动生成《投标保证缴纳情况表》和《开标一览表》</w:t>
      </w:r>
      <w:r>
        <w:rPr>
          <w:rFonts w:hint="eastAsia" w:ascii="宋体" w:hAnsi="宋体" w:eastAsia="宋体" w:cs="宋体"/>
          <w:color w:val="auto"/>
          <w:spacing w:val="-1"/>
          <w:sz w:val="21"/>
          <w:szCs w:val="21"/>
          <w:highlight w:val="none"/>
          <w:lang w:eastAsia="zh-CN"/>
        </w:rPr>
        <w:t>。</w:t>
      </w:r>
    </w:p>
    <w:p w14:paraId="03A06962">
      <w:pPr>
        <w:spacing w:before="182" w:line="360" w:lineRule="auto"/>
        <w:ind w:firstLine="406" w:firstLineChars="200"/>
        <w:outlineLvl w:val="9"/>
        <w:rPr>
          <w:rFonts w:hint="eastAsia" w:ascii="宋体" w:hAnsi="宋体" w:eastAsia="宋体" w:cs="宋体"/>
          <w:color w:val="auto"/>
          <w:sz w:val="21"/>
          <w:szCs w:val="21"/>
          <w:highlight w:val="none"/>
        </w:rPr>
      </w:pPr>
      <w:bookmarkStart w:id="86" w:name="_Toc28812"/>
      <w:bookmarkStart w:id="87" w:name="_Toc28266"/>
      <w:bookmarkStart w:id="88" w:name="_Toc2199"/>
      <w:bookmarkStart w:id="89" w:name="_Toc26216"/>
      <w:r>
        <w:rPr>
          <w:rFonts w:hint="eastAsia" w:ascii="宋体" w:hAnsi="宋体" w:eastAsia="宋体" w:cs="宋体"/>
          <w:b/>
          <w:bCs/>
          <w:color w:val="auto"/>
          <w:spacing w:val="-4"/>
          <w:sz w:val="21"/>
          <w:szCs w:val="21"/>
          <w:highlight w:val="none"/>
        </w:rPr>
        <w:t>温馨提示：因本项目实行全流程电子化招标投标，投标人无须进行现场签到，可</w:t>
      </w:r>
      <w:bookmarkEnd w:id="86"/>
      <w:bookmarkEnd w:id="87"/>
      <w:bookmarkEnd w:id="88"/>
      <w:r>
        <w:rPr>
          <w:rFonts w:hint="eastAsia" w:ascii="宋体" w:hAnsi="宋体" w:eastAsia="宋体" w:cs="宋体"/>
          <w:b/>
          <w:bCs/>
          <w:color w:val="auto"/>
          <w:spacing w:val="-4"/>
          <w:sz w:val="21"/>
          <w:szCs w:val="21"/>
          <w:highlight w:val="none"/>
        </w:rPr>
        <w:t>登录交易平台观看开标实况、提出异议或进行澄清、确认等操作，对开标事项的异议</w:t>
      </w:r>
      <w:r>
        <w:rPr>
          <w:rFonts w:hint="eastAsia" w:ascii="宋体" w:hAnsi="宋体" w:eastAsia="宋体" w:cs="宋体"/>
          <w:b/>
          <w:bCs/>
          <w:color w:val="auto"/>
          <w:spacing w:val="-2"/>
          <w:sz w:val="21"/>
          <w:szCs w:val="21"/>
          <w:highlight w:val="none"/>
        </w:rPr>
        <w:t>未在开标期间提出的，招标</w:t>
      </w:r>
      <w:r>
        <w:rPr>
          <w:rFonts w:hint="eastAsia" w:ascii="宋体" w:hAnsi="宋体" w:eastAsia="宋体" w:cs="宋体"/>
          <w:b/>
          <w:bCs/>
          <w:color w:val="auto"/>
          <w:spacing w:val="-2"/>
          <w:sz w:val="21"/>
          <w:szCs w:val="21"/>
          <w:highlight w:val="none"/>
          <w:lang w:eastAsia="zh-CN"/>
        </w:rPr>
        <w:t>人不</w:t>
      </w:r>
      <w:r>
        <w:rPr>
          <w:rFonts w:hint="eastAsia" w:ascii="宋体" w:hAnsi="宋体" w:eastAsia="宋体" w:cs="宋体"/>
          <w:b/>
          <w:bCs/>
          <w:color w:val="auto"/>
          <w:spacing w:val="-2"/>
          <w:sz w:val="21"/>
          <w:szCs w:val="21"/>
          <w:highlight w:val="none"/>
        </w:rPr>
        <w:t>予受理。具体</w:t>
      </w:r>
      <w:r>
        <w:rPr>
          <w:rFonts w:hint="eastAsia" w:ascii="宋体" w:hAnsi="宋体" w:eastAsia="宋体" w:cs="宋体"/>
          <w:b/>
          <w:bCs/>
          <w:color w:val="auto"/>
          <w:spacing w:val="-2"/>
          <w:sz w:val="21"/>
          <w:szCs w:val="21"/>
          <w:highlight w:val="none"/>
          <w:lang w:eastAsia="zh-CN"/>
        </w:rPr>
        <w:t>以</w:t>
      </w:r>
      <w:r>
        <w:rPr>
          <w:rFonts w:hint="eastAsia" w:ascii="宋体" w:hAnsi="宋体" w:eastAsia="宋体" w:cs="宋体"/>
          <w:b/>
          <w:bCs/>
          <w:color w:val="auto"/>
          <w:spacing w:val="-2"/>
          <w:sz w:val="21"/>
          <w:szCs w:val="21"/>
          <w:highlight w:val="none"/>
        </w:rPr>
        <w:t>招标文件和系统操作手册为</w:t>
      </w:r>
      <w:r>
        <w:rPr>
          <w:rFonts w:hint="eastAsia" w:ascii="宋体" w:hAnsi="宋体" w:eastAsia="宋体" w:cs="宋体"/>
          <w:b/>
          <w:bCs/>
          <w:color w:val="auto"/>
          <w:spacing w:val="-3"/>
          <w:sz w:val="21"/>
          <w:szCs w:val="21"/>
          <w:highlight w:val="none"/>
        </w:rPr>
        <w:t>准。</w:t>
      </w:r>
      <w:bookmarkEnd w:id="89"/>
    </w:p>
    <w:p w14:paraId="40440713">
      <w:pPr>
        <w:spacing w:before="143" w:line="299" w:lineRule="auto"/>
        <w:ind w:left="11" w:right="80" w:firstLine="484"/>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14.3  </w:t>
      </w:r>
      <w:r>
        <w:rPr>
          <w:rFonts w:hint="eastAsia" w:ascii="宋体" w:hAnsi="宋体" w:eastAsia="宋体" w:cs="宋体"/>
          <w:color w:val="auto"/>
          <w:spacing w:val="-3"/>
          <w:sz w:val="21"/>
          <w:szCs w:val="21"/>
          <w:highlight w:val="none"/>
        </w:rPr>
        <w:t>投标人对开标相关事项（如开标程序等）有异议的，必须在开标期间和开标</w:t>
      </w:r>
      <w:r>
        <w:rPr>
          <w:rFonts w:hint="eastAsia" w:ascii="宋体" w:hAnsi="宋体" w:eastAsia="宋体" w:cs="宋体"/>
          <w:color w:val="auto"/>
          <w:spacing w:val="-1"/>
          <w:sz w:val="21"/>
          <w:szCs w:val="21"/>
          <w:highlight w:val="none"/>
        </w:rPr>
        <w:t>现场提出，招标人或其授权的招标代理机构应当场作出答</w:t>
      </w:r>
      <w:r>
        <w:rPr>
          <w:rFonts w:hint="eastAsia" w:ascii="宋体" w:hAnsi="宋体" w:eastAsia="宋体" w:cs="宋体"/>
          <w:color w:val="auto"/>
          <w:spacing w:val="-2"/>
          <w:sz w:val="21"/>
          <w:szCs w:val="21"/>
          <w:highlight w:val="none"/>
        </w:rPr>
        <w:t>复，并记录在案。对开标事</w:t>
      </w:r>
      <w:r>
        <w:rPr>
          <w:rFonts w:hint="eastAsia" w:ascii="宋体" w:hAnsi="宋体" w:eastAsia="宋体" w:cs="宋体"/>
          <w:color w:val="auto"/>
          <w:spacing w:val="-1"/>
          <w:sz w:val="21"/>
          <w:szCs w:val="21"/>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14.4</w:t>
      </w:r>
      <w:r>
        <w:rPr>
          <w:rFonts w:hint="eastAsia" w:ascii="宋体" w:hAnsi="宋体" w:eastAsia="宋体" w:cs="宋体"/>
          <w:b/>
          <w:bCs/>
          <w:color w:val="auto"/>
          <w:spacing w:val="-1"/>
          <w:sz w:val="21"/>
          <w:szCs w:val="21"/>
          <w:highlight w:val="none"/>
          <w:lang w:eastAsia="zh-CN"/>
        </w:rPr>
        <w:t xml:space="preserve">  </w:t>
      </w:r>
      <w:r>
        <w:rPr>
          <w:rFonts w:hint="eastAsia" w:ascii="宋体" w:hAnsi="宋体" w:eastAsia="宋体" w:cs="宋体"/>
          <w:color w:val="auto"/>
          <w:spacing w:val="-1"/>
          <w:sz w:val="21"/>
          <w:szCs w:val="21"/>
          <w:highlight w:val="none"/>
        </w:rPr>
        <w:t>招标代理机构将资料原件（如有）</w:t>
      </w:r>
      <w:r>
        <w:rPr>
          <w:rFonts w:hint="eastAsia" w:ascii="宋体" w:hAnsi="宋体" w:eastAsia="宋体" w:cs="宋体"/>
          <w:color w:val="auto"/>
          <w:spacing w:val="-2"/>
          <w:sz w:val="21"/>
          <w:szCs w:val="21"/>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sz w:val="21"/>
          <w:szCs w:val="21"/>
          <w:highlight w:val="none"/>
        </w:rPr>
      </w:pPr>
      <w:bookmarkStart w:id="90" w:name="_Toc14223"/>
      <w:bookmarkStart w:id="91" w:name="_Toc961"/>
      <w:r>
        <w:rPr>
          <w:rFonts w:hint="eastAsia" w:ascii="宋体" w:hAnsi="宋体" w:eastAsia="宋体" w:cs="宋体"/>
          <w:b/>
          <w:bCs/>
          <w:color w:val="auto"/>
          <w:spacing w:val="-11"/>
          <w:sz w:val="21"/>
          <w:szCs w:val="21"/>
          <w:highlight w:val="none"/>
        </w:rPr>
        <w:t>15</w:t>
      </w:r>
      <w:r>
        <w:rPr>
          <w:rFonts w:hint="eastAsia" w:ascii="宋体" w:hAnsi="宋体" w:eastAsia="宋体" w:cs="宋体"/>
          <w:b/>
          <w:bCs/>
          <w:color w:val="auto"/>
          <w:spacing w:val="-11"/>
          <w:sz w:val="21"/>
          <w:szCs w:val="21"/>
          <w:highlight w:val="none"/>
          <w:lang w:eastAsia="zh-CN"/>
        </w:rPr>
        <w:t xml:space="preserve">. </w:t>
      </w:r>
      <w:r>
        <w:rPr>
          <w:rFonts w:hint="eastAsia" w:ascii="宋体" w:hAnsi="宋体" w:eastAsia="宋体" w:cs="宋体"/>
          <w:b/>
          <w:bCs/>
          <w:color w:val="auto"/>
          <w:spacing w:val="-11"/>
          <w:sz w:val="21"/>
          <w:szCs w:val="21"/>
          <w:highlight w:val="none"/>
        </w:rPr>
        <w:t>评标</w:t>
      </w:r>
      <w:bookmarkEnd w:id="90"/>
      <w:bookmarkEnd w:id="91"/>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20" w:firstLineChars="200"/>
        <w:textAlignment w:val="baseline"/>
        <w:rPr>
          <w:rFonts w:hint="eastAsia" w:ascii="宋体" w:hAnsi="宋体" w:eastAsia="宋体" w:cs="宋体"/>
          <w:snapToGrid w:val="0"/>
          <w:color w:val="auto"/>
          <w:kern w:val="0"/>
          <w:sz w:val="21"/>
          <w:szCs w:val="21"/>
          <w:highlight w:val="none"/>
        </w:rPr>
      </w:pPr>
      <w:bookmarkStart w:id="92" w:name="bookmark124"/>
      <w:bookmarkEnd w:id="92"/>
      <w:r>
        <w:rPr>
          <w:rFonts w:hint="eastAsia" w:ascii="宋体" w:hAnsi="宋体" w:eastAsia="宋体" w:cs="宋体"/>
          <w:snapToGrid w:val="0"/>
          <w:color w:val="auto"/>
          <w:kern w:val="0"/>
          <w:sz w:val="21"/>
          <w:szCs w:val="21"/>
          <w:highlight w:val="none"/>
        </w:rPr>
        <w:t>评标分为初步评审和详细评审两个阶段，由评标委员会在有关部门的监督下，严格按照本招标文件指定的评标方法，对投标人的投标文件进行审查、评审。评标委员会完成评标后，</w:t>
      </w:r>
      <w:r>
        <w:rPr>
          <w:rFonts w:hint="eastAsia" w:ascii="宋体" w:hAnsi="宋体" w:eastAsia="宋体" w:cs="宋体"/>
          <w:snapToGrid w:val="0"/>
          <w:color w:val="auto"/>
          <w:kern w:val="0"/>
          <w:sz w:val="21"/>
          <w:szCs w:val="21"/>
          <w:highlight w:val="none"/>
          <w:lang w:eastAsia="zh-CN"/>
        </w:rPr>
        <w:t>按照投标人</w:t>
      </w:r>
      <w:r>
        <w:rPr>
          <w:rFonts w:hint="eastAsia" w:ascii="宋体" w:hAnsi="宋体" w:eastAsia="宋体" w:cs="宋体"/>
          <w:snapToGrid w:val="0"/>
          <w:color w:val="auto"/>
          <w:kern w:val="0"/>
          <w:sz w:val="21"/>
          <w:szCs w:val="21"/>
          <w:highlight w:val="none"/>
        </w:rPr>
        <w:t>评审综合总得分</w:t>
      </w:r>
      <w:r>
        <w:rPr>
          <w:rFonts w:hint="eastAsia" w:ascii="宋体" w:hAnsi="宋体" w:eastAsia="宋体" w:cs="宋体"/>
          <w:snapToGrid w:val="0"/>
          <w:color w:val="auto"/>
          <w:kern w:val="0"/>
          <w:sz w:val="21"/>
          <w:szCs w:val="21"/>
          <w:highlight w:val="none"/>
          <w:lang w:eastAsia="zh-CN"/>
        </w:rPr>
        <w:t>由</w:t>
      </w:r>
      <w:r>
        <w:rPr>
          <w:rFonts w:hint="eastAsia" w:ascii="宋体" w:hAnsi="宋体" w:eastAsia="宋体" w:cs="宋体"/>
          <w:snapToGrid w:val="0"/>
          <w:color w:val="auto"/>
          <w:kern w:val="0"/>
          <w:sz w:val="21"/>
          <w:szCs w:val="21"/>
          <w:highlight w:val="none"/>
        </w:rPr>
        <w:t>高</w:t>
      </w:r>
      <w:r>
        <w:rPr>
          <w:rFonts w:hint="eastAsia" w:ascii="宋体" w:hAnsi="宋体" w:eastAsia="宋体" w:cs="宋体"/>
          <w:snapToGrid w:val="0"/>
          <w:color w:val="auto"/>
          <w:kern w:val="0"/>
          <w:sz w:val="21"/>
          <w:szCs w:val="21"/>
          <w:highlight w:val="none"/>
          <w:lang w:eastAsia="zh-CN"/>
        </w:rPr>
        <w:t>到</w:t>
      </w:r>
      <w:r>
        <w:rPr>
          <w:rFonts w:hint="eastAsia" w:ascii="宋体" w:hAnsi="宋体" w:eastAsia="宋体" w:cs="宋体"/>
          <w:snapToGrid w:val="0"/>
          <w:color w:val="auto"/>
          <w:kern w:val="0"/>
          <w:sz w:val="21"/>
          <w:szCs w:val="21"/>
          <w:highlight w:val="none"/>
        </w:rPr>
        <w:t>低的</w:t>
      </w:r>
      <w:r>
        <w:rPr>
          <w:rFonts w:hint="eastAsia" w:ascii="宋体" w:hAnsi="宋体" w:eastAsia="宋体" w:cs="宋体"/>
          <w:snapToGrid w:val="0"/>
          <w:color w:val="auto"/>
          <w:kern w:val="0"/>
          <w:sz w:val="21"/>
          <w:szCs w:val="21"/>
          <w:highlight w:val="none"/>
          <w:lang w:eastAsia="zh-CN"/>
        </w:rPr>
        <w:t>原则，</w:t>
      </w:r>
      <w:r>
        <w:rPr>
          <w:rFonts w:hint="eastAsia" w:ascii="宋体" w:hAnsi="宋体" w:eastAsia="宋体" w:cs="宋体"/>
          <w:snapToGrid w:val="0"/>
          <w:color w:val="auto"/>
          <w:kern w:val="0"/>
          <w:sz w:val="21"/>
          <w:szCs w:val="21"/>
          <w:highlight w:val="none"/>
        </w:rPr>
        <w:t>向招标人推荐</w:t>
      </w:r>
      <w:r>
        <w:rPr>
          <w:rFonts w:hint="eastAsia" w:ascii="宋体" w:hAnsi="宋体" w:eastAsia="宋体" w:cs="宋体"/>
          <w:snapToGrid w:val="0"/>
          <w:color w:val="auto"/>
          <w:kern w:val="0"/>
          <w:sz w:val="21"/>
          <w:szCs w:val="21"/>
          <w:highlight w:val="none"/>
          <w:lang w:val="en-US" w:eastAsia="zh-CN"/>
        </w:rPr>
        <w:t>已明确的</w:t>
      </w:r>
      <w:r>
        <w:rPr>
          <w:rFonts w:hint="eastAsia" w:ascii="宋体" w:hAnsi="宋体" w:eastAsia="宋体" w:cs="宋体"/>
          <w:snapToGrid w:val="0"/>
          <w:color w:val="auto"/>
          <w:kern w:val="0"/>
          <w:sz w:val="21"/>
          <w:szCs w:val="21"/>
          <w:highlight w:val="none"/>
        </w:rPr>
        <w:t>定标候选人</w:t>
      </w:r>
      <w:r>
        <w:rPr>
          <w:rFonts w:hint="eastAsia" w:ascii="宋体" w:hAnsi="宋体" w:eastAsia="宋体" w:cs="宋体"/>
          <w:snapToGrid w:val="0"/>
          <w:color w:val="auto"/>
          <w:kern w:val="0"/>
          <w:sz w:val="21"/>
          <w:szCs w:val="21"/>
          <w:highlight w:val="none"/>
          <w:lang w:eastAsia="zh-CN"/>
        </w:rPr>
        <w:t>数量</w:t>
      </w:r>
      <w:r>
        <w:rPr>
          <w:rFonts w:hint="eastAsia" w:ascii="宋体" w:hAnsi="宋体" w:eastAsia="宋体" w:cs="宋体"/>
          <w:snapToGrid w:val="0"/>
          <w:color w:val="auto"/>
          <w:kern w:val="0"/>
          <w:sz w:val="21"/>
          <w:szCs w:val="21"/>
          <w:highlight w:val="none"/>
        </w:rPr>
        <w:t>（不</w:t>
      </w:r>
      <w:r>
        <w:rPr>
          <w:rFonts w:hint="eastAsia" w:ascii="宋体" w:hAnsi="宋体" w:eastAsia="宋体" w:cs="宋体"/>
          <w:snapToGrid w:val="0"/>
          <w:color w:val="auto"/>
          <w:kern w:val="0"/>
          <w:sz w:val="21"/>
          <w:szCs w:val="21"/>
          <w:highlight w:val="none"/>
          <w:lang w:val="en-US" w:eastAsia="zh-CN"/>
        </w:rPr>
        <w:t>标明</w:t>
      </w:r>
      <w:r>
        <w:rPr>
          <w:rFonts w:hint="eastAsia" w:ascii="宋体" w:hAnsi="宋体" w:eastAsia="宋体" w:cs="宋体"/>
          <w:snapToGrid w:val="0"/>
          <w:color w:val="auto"/>
          <w:kern w:val="0"/>
          <w:sz w:val="21"/>
          <w:szCs w:val="21"/>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15.1  </w:t>
      </w:r>
      <w:r>
        <w:rPr>
          <w:rFonts w:hint="eastAsia" w:ascii="宋体" w:hAnsi="宋体" w:eastAsia="宋体" w:cs="宋体"/>
          <w:color w:val="auto"/>
          <w:spacing w:val="-2"/>
          <w:sz w:val="21"/>
          <w:szCs w:val="21"/>
          <w:highlight w:val="none"/>
        </w:rPr>
        <w:t>评标委员会</w:t>
      </w:r>
    </w:p>
    <w:p w14:paraId="6FF11D03">
      <w:pPr>
        <w:wordWrap w:val="0"/>
        <w:adjustRightInd w:val="0"/>
        <w:snapToGrid w:val="0"/>
        <w:spacing w:line="360" w:lineRule="auto"/>
        <w:ind w:firstLine="418"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color w:val="auto"/>
          <w:spacing w:val="-1"/>
          <w:sz w:val="21"/>
          <w:szCs w:val="21"/>
          <w:highlight w:val="none"/>
        </w:rPr>
        <w:t>15.1.1</w:t>
      </w:r>
      <w:r>
        <w:rPr>
          <w:rFonts w:hint="eastAsia" w:ascii="宋体" w:hAnsi="宋体" w:eastAsia="宋体" w:cs="宋体"/>
          <w:b/>
          <w:bCs/>
          <w:color w:val="auto"/>
          <w:spacing w:val="-1"/>
          <w:sz w:val="21"/>
          <w:szCs w:val="21"/>
          <w:highlight w:val="none"/>
          <w:lang w:eastAsia="zh-CN"/>
        </w:rPr>
        <w:t xml:space="preserve">  </w:t>
      </w:r>
      <w:r>
        <w:rPr>
          <w:rFonts w:hint="eastAsia" w:ascii="宋体" w:hAnsi="宋体" w:eastAsia="宋体" w:cs="宋体"/>
          <w:color w:val="auto"/>
          <w:sz w:val="21"/>
          <w:szCs w:val="21"/>
          <w:highlight w:val="none"/>
        </w:rPr>
        <w:t>评标委员会由</w:t>
      </w:r>
      <w:r>
        <w:rPr>
          <w:rFonts w:hint="eastAsia" w:ascii="宋体" w:hAnsi="宋体" w:eastAsia="宋体" w:cs="宋体"/>
          <w:color w:val="auto"/>
          <w:sz w:val="21"/>
          <w:szCs w:val="21"/>
          <w:highlight w:val="none"/>
          <w:u w:val="single"/>
        </w:rPr>
        <w:t xml:space="preserve"> 5 </w:t>
      </w:r>
      <w:r>
        <w:rPr>
          <w:rFonts w:hint="eastAsia" w:ascii="宋体" w:hAnsi="宋体" w:eastAsia="宋体" w:cs="宋体"/>
          <w:color w:val="auto"/>
          <w:sz w:val="21"/>
          <w:szCs w:val="21"/>
          <w:highlight w:val="none"/>
        </w:rPr>
        <w:t>人组成，其中招标人代表</w:t>
      </w:r>
      <w:r>
        <w:rPr>
          <w:rFonts w:hint="eastAsia" w:ascii="宋体" w:hAnsi="宋体" w:eastAsia="宋体" w:cs="宋体"/>
          <w:color w:val="auto"/>
          <w:sz w:val="21"/>
          <w:szCs w:val="21"/>
          <w:highlight w:val="none"/>
          <w:u w:val="single"/>
        </w:rPr>
        <w:t xml:space="preserve"> 0 </w:t>
      </w:r>
      <w:r>
        <w:rPr>
          <w:rFonts w:hint="eastAsia" w:ascii="宋体" w:hAnsi="宋体" w:eastAsia="宋体" w:cs="宋体"/>
          <w:color w:val="auto"/>
          <w:sz w:val="21"/>
          <w:szCs w:val="21"/>
          <w:highlight w:val="none"/>
        </w:rPr>
        <w:t>人，专家</w:t>
      </w:r>
      <w:r>
        <w:rPr>
          <w:rFonts w:hint="eastAsia" w:ascii="宋体" w:hAnsi="宋体" w:eastAsia="宋体" w:cs="宋体"/>
          <w:color w:val="auto"/>
          <w:sz w:val="21"/>
          <w:szCs w:val="21"/>
          <w:highlight w:val="none"/>
          <w:u w:val="single"/>
        </w:rPr>
        <w:t xml:space="preserve"> 5 </w:t>
      </w:r>
      <w:r>
        <w:rPr>
          <w:rFonts w:hint="eastAsia" w:ascii="宋体" w:hAnsi="宋体" w:eastAsia="宋体" w:cs="宋体"/>
          <w:color w:val="auto"/>
          <w:sz w:val="21"/>
          <w:szCs w:val="21"/>
          <w:highlight w:val="none"/>
        </w:rPr>
        <w:t>人。专家从</w:t>
      </w:r>
      <w:r>
        <w:rPr>
          <w:rFonts w:hint="eastAsia" w:ascii="宋体" w:hAnsi="宋体" w:eastAsia="宋体" w:cs="宋体"/>
          <w:color w:val="auto"/>
          <w:sz w:val="21"/>
          <w:szCs w:val="21"/>
          <w:highlight w:val="none"/>
          <w:u w:val="single"/>
        </w:rPr>
        <w:t>广东省综合评标评审专家库</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韶关区域</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rPr>
        <w:t>中随机抽取，其中技术类专家</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人，经济类专家</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人。</w:t>
      </w:r>
      <w:r>
        <w:rPr>
          <w:rFonts w:hint="eastAsia" w:ascii="宋体" w:hAnsi="宋体" w:eastAsia="宋体" w:cs="宋体"/>
          <w:color w:val="auto"/>
          <w:spacing w:val="-1"/>
          <w:sz w:val="21"/>
          <w:szCs w:val="21"/>
          <w:highlight w:val="none"/>
        </w:rPr>
        <w:t>评标委员会设负责人，由评标委员会成员推举产生</w:t>
      </w:r>
      <w:r>
        <w:rPr>
          <w:rFonts w:hint="eastAsia" w:ascii="宋体" w:hAnsi="宋体" w:eastAsia="宋体" w:cs="宋体"/>
          <w:color w:val="auto"/>
          <w:spacing w:val="-2"/>
          <w:sz w:val="21"/>
          <w:szCs w:val="21"/>
          <w:highlight w:val="none"/>
        </w:rPr>
        <w:t>。评标委员会负责人与评</w:t>
      </w:r>
      <w:r>
        <w:rPr>
          <w:rFonts w:hint="eastAsia" w:ascii="宋体" w:hAnsi="宋体" w:eastAsia="宋体" w:cs="宋体"/>
          <w:color w:val="auto"/>
          <w:spacing w:val="-1"/>
          <w:sz w:val="21"/>
          <w:szCs w:val="21"/>
          <w:highlight w:val="none"/>
        </w:rPr>
        <w:t>标委员会的其他成员有同等的表决权。</w:t>
      </w:r>
    </w:p>
    <w:p w14:paraId="4CE798F0">
      <w:pPr>
        <w:wordWrap w:val="0"/>
        <w:adjustRightInd w:val="0"/>
        <w:snapToGrid w:val="0"/>
        <w:spacing w:line="360" w:lineRule="auto"/>
        <w:ind w:firstLine="414"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color w:val="auto"/>
          <w:spacing w:val="-2"/>
          <w:sz w:val="21"/>
          <w:szCs w:val="21"/>
          <w:highlight w:val="none"/>
        </w:rPr>
        <w:t>15.1.2</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eastAsia="zh-CN"/>
        </w:rPr>
        <w:t>评标专家</w:t>
      </w:r>
      <w:r>
        <w:rPr>
          <w:rFonts w:hint="eastAsia" w:ascii="宋体" w:hAnsi="宋体" w:eastAsia="宋体" w:cs="宋体"/>
          <w:snapToGrid w:val="0"/>
          <w:color w:val="auto"/>
          <w:kern w:val="0"/>
          <w:sz w:val="21"/>
          <w:szCs w:val="21"/>
          <w:highlight w:val="none"/>
        </w:rPr>
        <w:t>应按时参加评标活动，自觉遵守工作纪律</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服从现场管理</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采用远程异地评标方式评标的</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主场、副场各自负责本场所</w:t>
      </w:r>
      <w:r>
        <w:rPr>
          <w:rFonts w:hint="eastAsia" w:ascii="宋体" w:hAnsi="宋体" w:eastAsia="宋体" w:cs="宋体"/>
          <w:snapToGrid w:val="0"/>
          <w:color w:val="auto"/>
          <w:kern w:val="0"/>
          <w:sz w:val="21"/>
          <w:szCs w:val="21"/>
          <w:highlight w:val="none"/>
          <w:lang w:eastAsia="zh-CN"/>
        </w:rPr>
        <w:t>评标委员会</w:t>
      </w:r>
      <w:r>
        <w:rPr>
          <w:rFonts w:hint="eastAsia" w:ascii="宋体" w:hAnsi="宋体" w:eastAsia="宋体" w:cs="宋体"/>
          <w:snapToGrid w:val="0"/>
          <w:color w:val="auto"/>
          <w:kern w:val="0"/>
          <w:sz w:val="21"/>
          <w:szCs w:val="21"/>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1"/>
          <w:szCs w:val="21"/>
          <w:highlight w:val="none"/>
          <w:lang w:eastAsia="zh-CN"/>
        </w:rPr>
        <w:t>评标委员会</w:t>
      </w:r>
      <w:r>
        <w:rPr>
          <w:rFonts w:hint="eastAsia" w:ascii="宋体" w:hAnsi="宋体" w:eastAsia="宋体" w:cs="宋体"/>
          <w:snapToGrid w:val="0"/>
          <w:color w:val="auto"/>
          <w:kern w:val="0"/>
          <w:sz w:val="21"/>
          <w:szCs w:val="21"/>
          <w:highlight w:val="none"/>
        </w:rPr>
        <w:t>成员推举产生</w:t>
      </w:r>
      <w:r>
        <w:rPr>
          <w:rFonts w:hint="eastAsia" w:ascii="宋体" w:hAnsi="宋体" w:eastAsia="宋体" w:cs="宋体"/>
          <w:snapToGrid w:val="0"/>
          <w:color w:val="auto"/>
          <w:kern w:val="0"/>
          <w:sz w:val="21"/>
          <w:szCs w:val="21"/>
          <w:highlight w:val="none"/>
          <w:lang w:eastAsia="zh-CN"/>
        </w:rPr>
        <w:t>的评标委员会组长</w:t>
      </w:r>
      <w:r>
        <w:rPr>
          <w:rFonts w:hint="eastAsia" w:ascii="宋体" w:hAnsi="宋体" w:eastAsia="宋体" w:cs="宋体"/>
          <w:snapToGrid w:val="0"/>
          <w:color w:val="auto"/>
          <w:kern w:val="0"/>
          <w:sz w:val="21"/>
          <w:szCs w:val="21"/>
          <w:highlight w:val="none"/>
        </w:rPr>
        <w:t>组织</w:t>
      </w:r>
      <w:r>
        <w:rPr>
          <w:rFonts w:hint="eastAsia" w:ascii="宋体" w:hAnsi="宋体" w:eastAsia="宋体" w:cs="宋体"/>
          <w:snapToGrid w:val="0"/>
          <w:color w:val="auto"/>
          <w:kern w:val="0"/>
          <w:sz w:val="21"/>
          <w:szCs w:val="21"/>
          <w:highlight w:val="none"/>
          <w:lang w:eastAsia="zh-CN"/>
        </w:rPr>
        <w:t>各</w:t>
      </w:r>
      <w:r>
        <w:rPr>
          <w:rFonts w:hint="eastAsia" w:ascii="宋体" w:hAnsi="宋体" w:eastAsia="宋体" w:cs="宋体"/>
          <w:snapToGrid w:val="0"/>
          <w:color w:val="auto"/>
          <w:kern w:val="0"/>
          <w:sz w:val="21"/>
          <w:szCs w:val="21"/>
          <w:highlight w:val="none"/>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fill="auto"/>
        <w:kinsoku/>
        <w:wordWrap/>
        <w:overflowPunct/>
        <w:topLinePunct w:val="0"/>
        <w:bidi w:val="0"/>
        <w:adjustRightInd/>
        <w:snapToGrid/>
        <w:spacing w:line="360" w:lineRule="auto"/>
        <w:ind w:left="0" w:leftChars="0" w:firstLine="414"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  </w:t>
      </w:r>
      <w:r>
        <w:rPr>
          <w:rFonts w:hint="eastAsia" w:ascii="宋体" w:hAnsi="宋体" w:eastAsia="宋体" w:cs="宋体"/>
          <w:b/>
          <w:bCs/>
          <w:color w:val="auto"/>
          <w:sz w:val="21"/>
          <w:szCs w:val="21"/>
          <w:highlight w:val="none"/>
          <w:lang w:val="en-US" w:eastAsia="zh-CN"/>
        </w:rPr>
        <w:t xml:space="preserve">15.1.3 </w:t>
      </w:r>
      <w:r>
        <w:rPr>
          <w:rFonts w:hint="eastAsia" w:ascii="宋体" w:hAnsi="宋体" w:eastAsia="宋体" w:cs="宋体"/>
          <w:snapToGrid w:val="0"/>
          <w:color w:val="auto"/>
          <w:kern w:val="0"/>
          <w:sz w:val="21"/>
          <w:szCs w:val="21"/>
          <w:highlight w:val="none"/>
          <w:lang w:val="en-US" w:eastAsia="zh-CN"/>
        </w:rPr>
        <w:t>评</w:t>
      </w:r>
      <w:r>
        <w:rPr>
          <w:rFonts w:hint="eastAsia" w:ascii="宋体" w:hAnsi="宋体" w:eastAsia="宋体" w:cs="宋体"/>
          <w:snapToGrid w:val="0"/>
          <w:color w:val="auto"/>
          <w:kern w:val="0"/>
          <w:sz w:val="21"/>
          <w:szCs w:val="21"/>
          <w:highlight w:val="none"/>
          <w:lang w:eastAsia="zh-CN"/>
        </w:rPr>
        <w:t>标委员会应严格按照招标文件的评标办法规定的评标程序、评标标准和方法进行评标，招标文件没有规定的评标标准和方法不得作为评标的依据。评标委员会应自觉接受有关行政部门监督，配合处理有关异议和投诉。采用远程异地评标方式评标的，主场、副场评标专家在评标过程中具有同等权利和义务。</w:t>
      </w:r>
    </w:p>
    <w:p w14:paraId="15C81B7D">
      <w:pPr>
        <w:keepNext w:val="0"/>
        <w:keepLines w:val="0"/>
        <w:pageBreakBefore w:val="0"/>
        <w:shd w:val="clear" w:color="auto" w:fill="auto"/>
        <w:kinsoku/>
        <w:wordWrap/>
        <w:overflowPunct/>
        <w:topLinePunct w:val="0"/>
        <w:bidi w:val="0"/>
        <w:adjustRightInd/>
        <w:snapToGrid/>
        <w:spacing w:line="360" w:lineRule="auto"/>
        <w:ind w:left="0" w:leftChars="0" w:firstLine="422"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15.1.4</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应切实履行评标职责，对同一个问题不一致的，按程序要求记录。</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实行少数服从多数的原则，以记名投票方式表决，评</w:t>
      </w:r>
      <w:r>
        <w:rPr>
          <w:rFonts w:hint="eastAsia" w:ascii="宋体" w:hAnsi="宋体" w:eastAsia="宋体" w:cs="宋体"/>
          <w:color w:val="auto"/>
          <w:sz w:val="21"/>
          <w:szCs w:val="21"/>
          <w:highlight w:val="none"/>
          <w:lang w:eastAsia="zh-CN"/>
        </w:rPr>
        <w:t>审</w:t>
      </w:r>
      <w:r>
        <w:rPr>
          <w:rFonts w:hint="eastAsia" w:ascii="宋体" w:hAnsi="宋体" w:eastAsia="宋体" w:cs="宋体"/>
          <w:color w:val="auto"/>
          <w:sz w:val="21"/>
          <w:szCs w:val="21"/>
          <w:highlight w:val="none"/>
        </w:rPr>
        <w:t>结果经</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全体成员过半数通过有效。</w:t>
      </w:r>
    </w:p>
    <w:p w14:paraId="2691AA18">
      <w:pPr>
        <w:wordWrap w:val="0"/>
        <w:adjustRightInd w:val="0"/>
        <w:snapToGrid w:val="0"/>
        <w:spacing w:line="360" w:lineRule="auto"/>
        <w:ind w:firstLine="56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15.1.5 评</w:t>
      </w:r>
      <w:r>
        <w:rPr>
          <w:rFonts w:hint="eastAsia" w:ascii="宋体" w:hAnsi="宋体" w:eastAsia="宋体" w:cs="宋体"/>
          <w:color w:val="auto"/>
          <w:sz w:val="21"/>
          <w:szCs w:val="21"/>
          <w:highlight w:val="none"/>
          <w:lang w:eastAsia="zh-CN"/>
        </w:rPr>
        <w:t>标委员会</w:t>
      </w:r>
      <w:r>
        <w:rPr>
          <w:rFonts w:hint="eastAsia" w:ascii="宋体" w:hAnsi="宋体" w:eastAsia="宋体" w:cs="宋体"/>
          <w:color w:val="auto"/>
          <w:sz w:val="21"/>
          <w:szCs w:val="21"/>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成员将个人意见强加给他人，影响正常评</w:t>
      </w:r>
      <w:r>
        <w:rPr>
          <w:rFonts w:hint="eastAsia" w:ascii="宋体" w:hAnsi="宋体" w:eastAsia="宋体" w:cs="宋体"/>
          <w:color w:val="auto"/>
          <w:sz w:val="21"/>
          <w:szCs w:val="21"/>
          <w:highlight w:val="none"/>
          <w:lang w:eastAsia="zh-CN"/>
        </w:rPr>
        <w:t>审</w:t>
      </w:r>
      <w:r>
        <w:rPr>
          <w:rFonts w:hint="eastAsia" w:ascii="宋体" w:hAnsi="宋体" w:eastAsia="宋体" w:cs="宋体"/>
          <w:color w:val="auto"/>
          <w:sz w:val="21"/>
          <w:szCs w:val="21"/>
          <w:highlight w:val="none"/>
        </w:rPr>
        <w:t>秩序和妨碍评</w:t>
      </w:r>
      <w:r>
        <w:rPr>
          <w:rFonts w:hint="eastAsia" w:ascii="宋体" w:hAnsi="宋体" w:eastAsia="宋体" w:cs="宋体"/>
          <w:color w:val="auto"/>
          <w:sz w:val="21"/>
          <w:szCs w:val="21"/>
          <w:highlight w:val="none"/>
          <w:lang w:eastAsia="zh-CN"/>
        </w:rPr>
        <w:t>审</w:t>
      </w:r>
      <w:r>
        <w:rPr>
          <w:rFonts w:hint="eastAsia" w:ascii="宋体" w:hAnsi="宋体" w:eastAsia="宋体" w:cs="宋体"/>
          <w:color w:val="auto"/>
          <w:sz w:val="21"/>
          <w:szCs w:val="21"/>
          <w:highlight w:val="none"/>
        </w:rPr>
        <w:t>结论的公正性。对评</w:t>
      </w:r>
      <w:r>
        <w:rPr>
          <w:rFonts w:hint="eastAsia" w:ascii="宋体" w:hAnsi="宋体" w:eastAsia="宋体" w:cs="宋体"/>
          <w:color w:val="auto"/>
          <w:sz w:val="21"/>
          <w:szCs w:val="21"/>
          <w:highlight w:val="none"/>
          <w:lang w:eastAsia="zh-CN"/>
        </w:rPr>
        <w:t>审</w:t>
      </w:r>
      <w:r>
        <w:rPr>
          <w:rFonts w:hint="eastAsia" w:ascii="宋体" w:hAnsi="宋体" w:eastAsia="宋体" w:cs="宋体"/>
          <w:color w:val="auto"/>
          <w:sz w:val="21"/>
          <w:szCs w:val="21"/>
          <w:highlight w:val="none"/>
        </w:rPr>
        <w:t>结果有不同意见的</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成员应当以书面形式说明其不同意见和理由，</w:t>
      </w:r>
      <w:r>
        <w:rPr>
          <w:rFonts w:hint="eastAsia" w:ascii="宋体" w:hAnsi="宋体" w:eastAsia="宋体" w:cs="宋体"/>
          <w:color w:val="auto"/>
          <w:sz w:val="21"/>
          <w:szCs w:val="21"/>
          <w:highlight w:val="none"/>
          <w:lang w:eastAsia="zh-CN"/>
        </w:rPr>
        <w:t>资格后审报告（</w:t>
      </w:r>
      <w:r>
        <w:rPr>
          <w:rFonts w:hint="eastAsia" w:ascii="宋体" w:hAnsi="宋体" w:eastAsia="宋体" w:cs="宋体"/>
          <w:color w:val="auto"/>
          <w:sz w:val="21"/>
          <w:szCs w:val="21"/>
          <w:highlight w:val="none"/>
        </w:rPr>
        <w:t>评标报告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应当注明该不同意见。</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成员拒绝在</w:t>
      </w:r>
      <w:r>
        <w:rPr>
          <w:rFonts w:hint="eastAsia" w:ascii="宋体" w:hAnsi="宋体" w:eastAsia="宋体" w:cs="宋体"/>
          <w:color w:val="auto"/>
          <w:sz w:val="21"/>
          <w:szCs w:val="21"/>
          <w:highlight w:val="none"/>
          <w:lang w:eastAsia="zh-CN"/>
        </w:rPr>
        <w:t>资格后审报告（</w:t>
      </w:r>
      <w:r>
        <w:rPr>
          <w:rFonts w:hint="eastAsia" w:ascii="宋体" w:hAnsi="宋体" w:eastAsia="宋体" w:cs="宋体"/>
          <w:color w:val="auto"/>
          <w:sz w:val="21"/>
          <w:szCs w:val="21"/>
          <w:highlight w:val="none"/>
        </w:rPr>
        <w:t>评标报告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上签字又不书面说明其不同意见和理由的，视为同意评</w:t>
      </w:r>
      <w:r>
        <w:rPr>
          <w:rFonts w:hint="eastAsia" w:ascii="宋体" w:hAnsi="宋体" w:eastAsia="宋体" w:cs="宋体"/>
          <w:color w:val="auto"/>
          <w:sz w:val="21"/>
          <w:szCs w:val="21"/>
          <w:highlight w:val="none"/>
          <w:lang w:eastAsia="zh-CN"/>
        </w:rPr>
        <w:t>审</w:t>
      </w:r>
      <w:r>
        <w:rPr>
          <w:rFonts w:hint="eastAsia" w:ascii="宋体" w:hAnsi="宋体" w:eastAsia="宋体" w:cs="宋体"/>
          <w:color w:val="auto"/>
          <w:sz w:val="21"/>
          <w:szCs w:val="21"/>
          <w:highlight w:val="none"/>
        </w:rPr>
        <w:t>结果。</w:t>
      </w:r>
    </w:p>
    <w:p w14:paraId="71525F17">
      <w:pPr>
        <w:wordWrap w:val="0"/>
        <w:adjustRightInd w:val="0"/>
        <w:snapToGrid w:val="0"/>
        <w:spacing w:line="360" w:lineRule="auto"/>
        <w:ind w:firstLine="56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15.2 评</w:t>
      </w:r>
      <w:r>
        <w:rPr>
          <w:rFonts w:hint="eastAsia" w:ascii="宋体" w:hAnsi="宋体" w:eastAsia="宋体" w:cs="宋体"/>
          <w:b/>
          <w:color w:val="auto"/>
          <w:sz w:val="21"/>
          <w:szCs w:val="21"/>
          <w:highlight w:val="none"/>
        </w:rPr>
        <w:t>标过程的回避</w:t>
      </w:r>
    </w:p>
    <w:p w14:paraId="6E04259D">
      <w:pPr>
        <w:spacing w:before="32" w:line="280" w:lineRule="auto"/>
        <w:ind w:left="13" w:right="7" w:firstLine="5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val="en-US" w:eastAsia="zh-CN"/>
        </w:rPr>
        <w:t>15.2.1 评</w:t>
      </w:r>
      <w:r>
        <w:rPr>
          <w:rFonts w:hint="eastAsia" w:ascii="宋体" w:hAnsi="宋体" w:eastAsia="宋体" w:cs="宋体"/>
          <w:color w:val="auto"/>
          <w:spacing w:val="-2"/>
          <w:sz w:val="21"/>
          <w:szCs w:val="21"/>
          <w:highlight w:val="none"/>
        </w:rPr>
        <w:t>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（1）投标人或投标人主要负责人的近亲属；</w:t>
      </w:r>
    </w:p>
    <w:p w14:paraId="311A3C6A">
      <w:pPr>
        <w:spacing w:before="153" w:line="220" w:lineRule="auto"/>
        <w:ind w:left="58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（2）项目主管部门或者行政监督部门的人员；</w:t>
      </w:r>
    </w:p>
    <w:p w14:paraId="5160DFA2">
      <w:pPr>
        <w:spacing w:before="155" w:line="221" w:lineRule="auto"/>
        <w:ind w:left="58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（4）曾因在招标、评标以及其他与招标投标有关活动中从事违法行为而受过行政处罚或刑事处罚的。</w:t>
      </w:r>
    </w:p>
    <w:p w14:paraId="39AEDCC3">
      <w:pPr>
        <w:keepNext w:val="0"/>
        <w:keepLines w:val="0"/>
        <w:pageBreakBefore w:val="0"/>
        <w:shd w:val="clear" w:color="auto" w:fill="auto"/>
        <w:kinsoku/>
        <w:wordWrap/>
        <w:overflowPunct/>
        <w:topLinePunct w:val="0"/>
        <w:bidi w:val="0"/>
        <w:adjustRightInd/>
        <w:snapToGrid/>
        <w:spacing w:line="340" w:lineRule="exact"/>
        <w:ind w:left="0" w:lef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15.2.2 评</w:t>
      </w:r>
      <w:r>
        <w:rPr>
          <w:rFonts w:hint="eastAsia" w:ascii="宋体" w:hAnsi="宋体" w:eastAsia="宋体" w:cs="宋体"/>
          <w:b w:val="0"/>
          <w:bCs w:val="0"/>
          <w:color w:val="auto"/>
          <w:sz w:val="21"/>
          <w:szCs w:val="21"/>
          <w:highlight w:val="none"/>
          <w:lang w:eastAsia="zh-CN"/>
        </w:rPr>
        <w:t>标委员会</w:t>
      </w:r>
      <w:r>
        <w:rPr>
          <w:rFonts w:hint="eastAsia" w:ascii="宋体" w:hAnsi="宋体" w:eastAsia="宋体" w:cs="宋体"/>
          <w:color w:val="auto"/>
          <w:sz w:val="21"/>
          <w:szCs w:val="21"/>
          <w:highlight w:val="none"/>
        </w:rPr>
        <w:t>专家不主动提出回避的，一经发现，应立即终止其评标活动，已完成评标活动的，其评标结果无效。</w:t>
      </w:r>
    </w:p>
    <w:p w14:paraId="1642B4B0">
      <w:pPr>
        <w:keepNext w:val="0"/>
        <w:keepLines w:val="0"/>
        <w:pageBreakBefore w:val="0"/>
        <w:shd w:val="clear" w:color="auto" w:fill="auto"/>
        <w:kinsoku/>
        <w:wordWrap/>
        <w:overflowPunct/>
        <w:topLinePunct w:val="0"/>
        <w:bidi w:val="0"/>
        <w:adjustRightInd/>
        <w:snapToGrid/>
        <w:spacing w:line="340" w:lineRule="exact"/>
        <w:ind w:left="0" w:leftChars="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rPr>
        <w:t>15.3</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color w:val="auto"/>
          <w:sz w:val="21"/>
          <w:szCs w:val="21"/>
          <w:highlight w:val="none"/>
        </w:rPr>
        <w:t>评标过程的保密</w:t>
      </w:r>
    </w:p>
    <w:p w14:paraId="163002D0">
      <w:pPr>
        <w:keepNext w:val="0"/>
        <w:keepLines w:val="0"/>
        <w:pageBreakBefore w:val="0"/>
        <w:shd w:val="clear" w:color="auto" w:fill="auto"/>
        <w:kinsoku/>
        <w:wordWrap/>
        <w:overflowPunct/>
        <w:topLinePunct w:val="0"/>
        <w:bidi w:val="0"/>
        <w:adjustRightInd/>
        <w:snapToGrid/>
        <w:spacing w:line="360" w:lineRule="auto"/>
        <w:ind w:left="0" w:leftChars="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15.3.1</w:t>
      </w:r>
      <w:r>
        <w:rPr>
          <w:rFonts w:hint="eastAsia" w:ascii="宋体" w:hAnsi="宋体" w:eastAsia="宋体" w:cs="宋体"/>
          <w:color w:val="auto"/>
          <w:kern w:val="0"/>
          <w:sz w:val="21"/>
          <w:szCs w:val="21"/>
          <w:highlight w:val="none"/>
        </w:rPr>
        <w:t xml:space="preserve"> 开标后，直至授予中标人合同为止，凡属于对</w:t>
      </w:r>
      <w:r>
        <w:rPr>
          <w:rFonts w:hint="eastAsia" w:ascii="宋体" w:hAnsi="宋体" w:eastAsia="宋体" w:cs="宋体"/>
          <w:color w:val="auto"/>
          <w:kern w:val="0"/>
          <w:sz w:val="21"/>
          <w:szCs w:val="21"/>
          <w:highlight w:val="none"/>
          <w:lang w:eastAsia="zh-CN"/>
        </w:rPr>
        <w:t>投标</w:t>
      </w:r>
      <w:r>
        <w:rPr>
          <w:rFonts w:hint="eastAsia" w:ascii="宋体" w:hAnsi="宋体" w:eastAsia="宋体" w:cs="宋体"/>
          <w:color w:val="auto"/>
          <w:kern w:val="0"/>
          <w:sz w:val="21"/>
          <w:szCs w:val="21"/>
          <w:highlight w:val="none"/>
        </w:rPr>
        <w:t>文件的审查、澄清、评价和比较有关的资料</w:t>
      </w:r>
      <w:r>
        <w:rPr>
          <w:rFonts w:hint="eastAsia" w:ascii="宋体" w:hAnsi="宋体" w:eastAsia="宋体" w:cs="宋体"/>
          <w:color w:val="auto"/>
          <w:kern w:val="0"/>
          <w:sz w:val="21"/>
          <w:szCs w:val="21"/>
          <w:highlight w:val="none"/>
          <w:lang w:eastAsia="zh-CN"/>
        </w:rPr>
        <w:t>，以及</w:t>
      </w:r>
      <w:r>
        <w:rPr>
          <w:rFonts w:hint="eastAsia" w:ascii="宋体" w:hAnsi="宋体" w:eastAsia="宋体" w:cs="宋体"/>
          <w:color w:val="auto"/>
          <w:kern w:val="0"/>
          <w:sz w:val="21"/>
          <w:szCs w:val="21"/>
          <w:highlight w:val="none"/>
        </w:rPr>
        <w:t>与中标候选人的推荐情况</w:t>
      </w:r>
      <w:r>
        <w:rPr>
          <w:rFonts w:hint="eastAsia" w:ascii="宋体" w:hAnsi="宋体" w:eastAsia="宋体" w:cs="宋体"/>
          <w:color w:val="auto"/>
          <w:kern w:val="0"/>
          <w:sz w:val="21"/>
          <w:szCs w:val="21"/>
          <w:highlight w:val="none"/>
          <w:lang w:eastAsia="zh-CN"/>
        </w:rPr>
        <w:t>和</w:t>
      </w:r>
      <w:r>
        <w:rPr>
          <w:rFonts w:hint="eastAsia" w:ascii="宋体" w:hAnsi="宋体" w:eastAsia="宋体" w:cs="宋体"/>
          <w:color w:val="auto"/>
          <w:kern w:val="0"/>
          <w:sz w:val="21"/>
          <w:szCs w:val="21"/>
          <w:highlight w:val="none"/>
        </w:rPr>
        <w:t>与评标有关的</w:t>
      </w:r>
      <w:r>
        <w:rPr>
          <w:rFonts w:hint="eastAsia" w:ascii="宋体" w:hAnsi="宋体" w:eastAsia="宋体" w:cs="宋体"/>
          <w:color w:val="auto"/>
          <w:kern w:val="0"/>
          <w:sz w:val="21"/>
          <w:szCs w:val="21"/>
          <w:highlight w:val="none"/>
          <w:lang w:eastAsia="zh-CN"/>
        </w:rPr>
        <w:t>其他</w:t>
      </w:r>
      <w:r>
        <w:rPr>
          <w:rFonts w:hint="eastAsia" w:ascii="宋体" w:hAnsi="宋体" w:eastAsia="宋体" w:cs="宋体"/>
          <w:color w:val="auto"/>
          <w:kern w:val="0"/>
          <w:sz w:val="21"/>
          <w:szCs w:val="21"/>
          <w:highlight w:val="none"/>
          <w:lang w:val="en-US" w:eastAsia="zh-CN"/>
        </w:rPr>
        <w:t>任何</w:t>
      </w:r>
      <w:r>
        <w:rPr>
          <w:rFonts w:hint="eastAsia" w:ascii="宋体" w:hAnsi="宋体" w:eastAsia="宋体" w:cs="宋体"/>
          <w:color w:val="auto"/>
          <w:kern w:val="0"/>
          <w:sz w:val="21"/>
          <w:szCs w:val="21"/>
          <w:highlight w:val="none"/>
        </w:rPr>
        <w:t>情况</w:t>
      </w:r>
      <w:r>
        <w:rPr>
          <w:rFonts w:hint="eastAsia" w:ascii="宋体" w:hAnsi="宋体" w:eastAsia="宋体" w:cs="宋体"/>
          <w:color w:val="auto"/>
          <w:kern w:val="0"/>
          <w:sz w:val="21"/>
          <w:szCs w:val="21"/>
          <w:highlight w:val="none"/>
          <w:lang w:eastAsia="zh-CN"/>
        </w:rPr>
        <w:t>，均</w:t>
      </w:r>
      <w:r>
        <w:rPr>
          <w:rFonts w:hint="eastAsia" w:ascii="宋体" w:hAnsi="宋体" w:eastAsia="宋体" w:cs="宋体"/>
          <w:color w:val="auto"/>
          <w:kern w:val="0"/>
          <w:sz w:val="21"/>
          <w:szCs w:val="21"/>
          <w:highlight w:val="none"/>
        </w:rPr>
        <w:t>应严格保密。</w:t>
      </w:r>
    </w:p>
    <w:p w14:paraId="4694A313">
      <w:pPr>
        <w:keepNext w:val="0"/>
        <w:keepLines w:val="0"/>
        <w:pageBreakBefore w:val="0"/>
        <w:shd w:val="clear" w:color="auto" w:fill="auto"/>
        <w:kinsoku/>
        <w:wordWrap/>
        <w:overflowPunct/>
        <w:topLinePunct w:val="0"/>
        <w:bidi w:val="0"/>
        <w:adjustRightInd/>
        <w:snapToGrid/>
        <w:spacing w:line="360" w:lineRule="auto"/>
        <w:ind w:left="0" w:leftChars="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15.3.2</w:t>
      </w:r>
      <w:r>
        <w:rPr>
          <w:rFonts w:hint="eastAsia" w:ascii="宋体" w:hAnsi="宋体" w:eastAsia="宋体" w:cs="宋体"/>
          <w:color w:val="auto"/>
          <w:kern w:val="0"/>
          <w:sz w:val="21"/>
          <w:szCs w:val="21"/>
          <w:highlight w:val="none"/>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fill="auto"/>
        <w:kinsoku/>
        <w:wordWrap/>
        <w:overflowPunct/>
        <w:topLinePunct w:val="0"/>
        <w:bidi w:val="0"/>
        <w:adjustRightInd/>
        <w:snapToGrid/>
        <w:spacing w:line="360" w:lineRule="auto"/>
        <w:ind w:left="0" w:leftChars="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15.3.3 中标人</w:t>
      </w:r>
      <w:r>
        <w:rPr>
          <w:rFonts w:hint="eastAsia" w:ascii="宋体" w:hAnsi="宋体" w:eastAsia="宋体" w:cs="宋体"/>
          <w:color w:val="auto"/>
          <w:kern w:val="0"/>
          <w:sz w:val="21"/>
          <w:szCs w:val="21"/>
          <w:highlight w:val="none"/>
        </w:rPr>
        <w:t>确定后，招标人不对未中标人就评标过程以及未能中标原因作出任何解释。未中标人不得向评标委员会组成人员或其他有关人员索问评标过程的情况和材料。</w:t>
      </w:r>
    </w:p>
    <w:p w14:paraId="4433A9EB">
      <w:pPr>
        <w:spacing w:before="154" w:line="360" w:lineRule="auto"/>
        <w:ind w:left="8" w:right="65" w:firstLine="487"/>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lang w:val="en-US" w:eastAsia="zh-CN"/>
        </w:rPr>
        <w:t>15.3.4</w:t>
      </w:r>
      <w:r>
        <w:rPr>
          <w:rFonts w:hint="eastAsia" w:ascii="宋体" w:hAnsi="宋体" w:eastAsia="宋体" w:cs="宋体"/>
          <w:b/>
          <w:bCs/>
          <w:color w:val="auto"/>
          <w:spacing w:val="-1"/>
          <w:sz w:val="21"/>
          <w:szCs w:val="21"/>
          <w:highlight w:val="none"/>
        </w:rPr>
        <w:t xml:space="preserve"> </w:t>
      </w:r>
      <w:r>
        <w:rPr>
          <w:rFonts w:hint="eastAsia" w:ascii="宋体" w:hAnsi="宋体" w:eastAsia="宋体" w:cs="宋体"/>
          <w:color w:val="auto"/>
          <w:spacing w:val="-1"/>
          <w:sz w:val="21"/>
          <w:szCs w:val="21"/>
          <w:highlight w:val="none"/>
        </w:rPr>
        <w:t>评标全过程实行封闭式管理，在中标结果公</w:t>
      </w:r>
      <w:r>
        <w:rPr>
          <w:rFonts w:hint="eastAsia" w:ascii="宋体" w:hAnsi="宋体" w:eastAsia="宋体" w:cs="宋体"/>
          <w:color w:val="auto"/>
          <w:spacing w:val="-2"/>
          <w:sz w:val="21"/>
          <w:szCs w:val="21"/>
          <w:highlight w:val="none"/>
        </w:rPr>
        <w:t>布前，禁止评标委员会成员以</w:t>
      </w:r>
      <w:r>
        <w:rPr>
          <w:rFonts w:hint="eastAsia" w:ascii="宋体" w:hAnsi="宋体" w:eastAsia="宋体" w:cs="宋体"/>
          <w:color w:val="auto"/>
          <w:spacing w:val="-1"/>
          <w:sz w:val="21"/>
          <w:szCs w:val="21"/>
          <w:highlight w:val="none"/>
        </w:rPr>
        <w:t>任何方式私下接触投标人。</w:t>
      </w:r>
    </w:p>
    <w:p w14:paraId="103791E4">
      <w:pPr>
        <w:spacing w:before="157" w:line="360" w:lineRule="auto"/>
        <w:ind w:left="11" w:right="65" w:firstLine="484"/>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15.</w:t>
      </w:r>
      <w:r>
        <w:rPr>
          <w:rFonts w:hint="eastAsia" w:ascii="宋体" w:hAnsi="宋体" w:eastAsia="宋体" w:cs="宋体"/>
          <w:b/>
          <w:bCs/>
          <w:color w:val="auto"/>
          <w:spacing w:val="-1"/>
          <w:sz w:val="21"/>
          <w:szCs w:val="21"/>
          <w:highlight w:val="none"/>
          <w:lang w:val="en-US" w:eastAsia="zh-CN"/>
        </w:rPr>
        <w:t>3.5 在</w:t>
      </w:r>
      <w:r>
        <w:rPr>
          <w:rFonts w:hint="eastAsia" w:ascii="宋体" w:hAnsi="宋体" w:eastAsia="宋体" w:cs="宋体"/>
          <w:color w:val="auto"/>
          <w:spacing w:val="-1"/>
          <w:sz w:val="21"/>
          <w:szCs w:val="21"/>
          <w:highlight w:val="none"/>
        </w:rPr>
        <w:t>评标过程中，评标委员会可以书面形式要</w:t>
      </w:r>
      <w:r>
        <w:rPr>
          <w:rFonts w:hint="eastAsia" w:ascii="宋体" w:hAnsi="宋体" w:eastAsia="宋体" w:cs="宋体"/>
          <w:color w:val="auto"/>
          <w:spacing w:val="-2"/>
          <w:sz w:val="21"/>
          <w:szCs w:val="21"/>
          <w:highlight w:val="none"/>
        </w:rPr>
        <w:t>求投标人对所提交的投标文件</w:t>
      </w:r>
      <w:r>
        <w:rPr>
          <w:rFonts w:hint="eastAsia" w:ascii="宋体" w:hAnsi="宋体" w:eastAsia="宋体" w:cs="宋体"/>
          <w:color w:val="auto"/>
          <w:spacing w:val="-1"/>
          <w:sz w:val="21"/>
          <w:szCs w:val="21"/>
          <w:highlight w:val="none"/>
        </w:rPr>
        <w:t>中不明确的内容进行书面澄清或说明，但不接受投标人主</w:t>
      </w:r>
      <w:r>
        <w:rPr>
          <w:rFonts w:hint="eastAsia" w:ascii="宋体" w:hAnsi="宋体" w:eastAsia="宋体" w:cs="宋体"/>
          <w:color w:val="auto"/>
          <w:spacing w:val="-2"/>
          <w:sz w:val="21"/>
          <w:szCs w:val="21"/>
          <w:highlight w:val="none"/>
        </w:rPr>
        <w:t>动提出的澄清或说明。投标</w:t>
      </w:r>
      <w:r>
        <w:rPr>
          <w:rFonts w:hint="eastAsia" w:ascii="宋体" w:hAnsi="宋体" w:eastAsia="宋体" w:cs="宋体"/>
          <w:color w:val="auto"/>
          <w:spacing w:val="-1"/>
          <w:sz w:val="21"/>
          <w:szCs w:val="21"/>
          <w:highlight w:val="none"/>
        </w:rPr>
        <w:t>人的书面澄清或说明不得改变投标文件的实质性内容，并</w:t>
      </w:r>
      <w:r>
        <w:rPr>
          <w:rFonts w:hint="eastAsia" w:ascii="宋体" w:hAnsi="宋体" w:eastAsia="宋体" w:cs="宋体"/>
          <w:color w:val="auto"/>
          <w:spacing w:val="-2"/>
          <w:sz w:val="21"/>
          <w:szCs w:val="21"/>
          <w:highlight w:val="none"/>
        </w:rPr>
        <w:t>作为投标文件的组成部分。</w:t>
      </w:r>
    </w:p>
    <w:p w14:paraId="4EE9F1E7">
      <w:pPr>
        <w:spacing w:before="156" w:line="360" w:lineRule="auto"/>
        <w:ind w:left="8" w:right="65" w:firstLine="569"/>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15.</w:t>
      </w:r>
      <w:r>
        <w:rPr>
          <w:rFonts w:hint="eastAsia" w:ascii="宋体" w:hAnsi="宋体" w:eastAsia="宋体" w:cs="宋体"/>
          <w:b/>
          <w:bCs/>
          <w:color w:val="auto"/>
          <w:spacing w:val="-3"/>
          <w:sz w:val="21"/>
          <w:szCs w:val="21"/>
          <w:highlight w:val="none"/>
          <w:lang w:val="en-US" w:eastAsia="zh-CN"/>
        </w:rPr>
        <w:t>3.6</w:t>
      </w:r>
      <w:r>
        <w:rPr>
          <w:rFonts w:hint="eastAsia" w:ascii="宋体" w:hAnsi="宋体" w:eastAsia="宋体" w:cs="宋体"/>
          <w:b/>
          <w:bCs/>
          <w:color w:val="auto"/>
          <w:spacing w:val="-3"/>
          <w:sz w:val="21"/>
          <w:szCs w:val="21"/>
          <w:highlight w:val="none"/>
        </w:rPr>
        <w:t xml:space="preserve"> </w:t>
      </w:r>
      <w:r>
        <w:rPr>
          <w:rFonts w:hint="eastAsia" w:ascii="宋体" w:hAnsi="宋体" w:eastAsia="宋体" w:cs="宋体"/>
          <w:color w:val="auto"/>
          <w:spacing w:val="-3"/>
          <w:sz w:val="21"/>
          <w:szCs w:val="21"/>
          <w:highlight w:val="none"/>
        </w:rPr>
        <w:t>在任何评标环节中，当评标委员会就某</w:t>
      </w:r>
      <w:r>
        <w:rPr>
          <w:rFonts w:hint="eastAsia" w:ascii="宋体" w:hAnsi="宋体" w:eastAsia="宋体" w:cs="宋体"/>
          <w:color w:val="auto"/>
          <w:spacing w:val="-4"/>
          <w:sz w:val="21"/>
          <w:szCs w:val="21"/>
          <w:highlight w:val="none"/>
        </w:rPr>
        <w:t>项定性的评审结论不统一、需要做</w:t>
      </w:r>
      <w:r>
        <w:rPr>
          <w:rFonts w:hint="eastAsia" w:ascii="宋体" w:hAnsi="宋体" w:eastAsia="宋体" w:cs="宋体"/>
          <w:color w:val="auto"/>
          <w:spacing w:val="-1"/>
          <w:sz w:val="21"/>
          <w:szCs w:val="21"/>
          <w:highlight w:val="none"/>
        </w:rPr>
        <w:t>出表决时，由评标委员会全体成员按照少数服从多数的原则，以</w:t>
      </w:r>
      <w:r>
        <w:rPr>
          <w:rFonts w:hint="eastAsia" w:ascii="宋体" w:hAnsi="宋体" w:eastAsia="宋体" w:cs="宋体"/>
          <w:color w:val="auto"/>
          <w:spacing w:val="-2"/>
          <w:sz w:val="21"/>
          <w:szCs w:val="21"/>
          <w:highlight w:val="none"/>
        </w:rPr>
        <w:t>记名投票方式表决。</w:t>
      </w:r>
      <w:r>
        <w:rPr>
          <w:rFonts w:hint="eastAsia" w:ascii="宋体" w:hAnsi="宋体" w:eastAsia="宋体" w:cs="宋体"/>
          <w:color w:val="auto"/>
          <w:spacing w:val="-1"/>
          <w:sz w:val="21"/>
          <w:szCs w:val="21"/>
          <w:highlight w:val="none"/>
        </w:rPr>
        <w:t>评标委员会全体成员应共同遵守和执行表决结果，严禁评标委员</w:t>
      </w:r>
      <w:r>
        <w:rPr>
          <w:rFonts w:hint="eastAsia" w:ascii="宋体" w:hAnsi="宋体" w:eastAsia="宋体" w:cs="宋体"/>
          <w:color w:val="auto"/>
          <w:spacing w:val="-2"/>
          <w:sz w:val="21"/>
          <w:szCs w:val="21"/>
          <w:highlight w:val="none"/>
        </w:rPr>
        <w:t>会任何成员将个人意</w:t>
      </w:r>
      <w:r>
        <w:rPr>
          <w:rFonts w:hint="eastAsia" w:ascii="宋体" w:hAnsi="宋体" w:eastAsia="宋体" w:cs="宋体"/>
          <w:color w:val="auto"/>
          <w:spacing w:val="-1"/>
          <w:sz w:val="21"/>
          <w:szCs w:val="21"/>
          <w:highlight w:val="none"/>
        </w:rPr>
        <w:t>见强加给他人</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影响评标正常秩序</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妨碍评审结论的公正性。</w:t>
      </w:r>
    </w:p>
    <w:p w14:paraId="43D102BA">
      <w:pPr>
        <w:spacing w:before="79" w:line="221" w:lineRule="auto"/>
        <w:ind w:left="577"/>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15.</w:t>
      </w:r>
      <w:r>
        <w:rPr>
          <w:rFonts w:hint="eastAsia" w:ascii="宋体" w:hAnsi="宋体" w:eastAsia="宋体" w:cs="宋体"/>
          <w:b/>
          <w:bCs/>
          <w:color w:val="auto"/>
          <w:spacing w:val="-2"/>
          <w:sz w:val="21"/>
          <w:szCs w:val="21"/>
          <w:highlight w:val="none"/>
          <w:lang w:eastAsia="zh-CN"/>
        </w:rPr>
        <w:t>4</w:t>
      </w:r>
      <w:r>
        <w:rPr>
          <w:rFonts w:hint="eastAsia" w:ascii="宋体" w:hAnsi="宋体" w:eastAsia="宋体" w:cs="宋体"/>
          <w:b/>
          <w:bCs/>
          <w:color w:val="auto"/>
          <w:spacing w:val="-2"/>
          <w:sz w:val="21"/>
          <w:szCs w:val="21"/>
          <w:highlight w:val="none"/>
        </w:rPr>
        <w:t xml:space="preserve"> </w:t>
      </w:r>
      <w:r>
        <w:rPr>
          <w:rFonts w:hint="eastAsia" w:ascii="宋体" w:hAnsi="宋体" w:eastAsia="宋体" w:cs="宋体"/>
          <w:color w:val="auto"/>
          <w:spacing w:val="-2"/>
          <w:sz w:val="21"/>
          <w:szCs w:val="21"/>
          <w:highlight w:val="none"/>
        </w:rPr>
        <w:t>评标方法</w:t>
      </w:r>
    </w:p>
    <w:p w14:paraId="6D924BEF">
      <w:pPr>
        <w:spacing w:before="78" w:line="326" w:lineRule="auto"/>
        <w:ind w:left="231" w:right="181" w:firstLine="560"/>
        <w:rPr>
          <w:rFonts w:hint="eastAsia" w:ascii="宋体" w:hAnsi="宋体" w:eastAsia="宋体" w:cs="宋体"/>
          <w:color w:val="auto"/>
          <w:sz w:val="21"/>
          <w:szCs w:val="21"/>
          <w:highlight w:val="none"/>
        </w:rPr>
      </w:pPr>
      <w:bookmarkStart w:id="93" w:name="bookmark125"/>
      <w:bookmarkEnd w:id="93"/>
      <w:r>
        <w:rPr>
          <w:rFonts w:hint="eastAsia" w:ascii="宋体" w:hAnsi="宋体" w:eastAsia="宋体" w:cs="宋体"/>
          <w:color w:val="auto"/>
          <w:spacing w:val="-4"/>
          <w:sz w:val="21"/>
          <w:szCs w:val="21"/>
          <w:highlight w:val="none"/>
        </w:rPr>
        <w:t>根据有关</w:t>
      </w:r>
      <w:r>
        <w:rPr>
          <w:rFonts w:hint="eastAsia" w:ascii="宋体" w:hAnsi="宋体" w:eastAsia="宋体" w:cs="宋体"/>
          <w:color w:val="auto"/>
          <w:spacing w:val="-4"/>
          <w:sz w:val="21"/>
          <w:szCs w:val="21"/>
          <w:highlight w:val="none"/>
          <w:lang w:eastAsia="zh-CN"/>
        </w:rPr>
        <w:t>法律法规</w:t>
      </w:r>
      <w:r>
        <w:rPr>
          <w:rFonts w:hint="eastAsia" w:ascii="宋体" w:hAnsi="宋体" w:eastAsia="宋体" w:cs="宋体"/>
          <w:color w:val="auto"/>
          <w:spacing w:val="-4"/>
          <w:sz w:val="21"/>
          <w:szCs w:val="21"/>
          <w:highlight w:val="none"/>
        </w:rPr>
        <w:t>的相关规定，结合本招标项目资金来源和规模特点，本次招</w:t>
      </w:r>
      <w:r>
        <w:rPr>
          <w:rFonts w:hint="eastAsia" w:ascii="宋体" w:hAnsi="宋体" w:eastAsia="宋体" w:cs="宋体"/>
          <w:color w:val="auto"/>
          <w:spacing w:val="-1"/>
          <w:sz w:val="21"/>
          <w:szCs w:val="21"/>
          <w:highlight w:val="none"/>
        </w:rPr>
        <w:t>标采用</w:t>
      </w:r>
      <w:r>
        <w:rPr>
          <w:rFonts w:hint="eastAsia" w:ascii="宋体" w:hAnsi="宋体" w:eastAsia="宋体" w:cs="宋体"/>
          <w:b/>
          <w:bCs/>
          <w:color w:val="auto"/>
          <w:spacing w:val="-4"/>
          <w:sz w:val="21"/>
          <w:szCs w:val="21"/>
          <w:highlight w:val="none"/>
          <w:u w:val="single"/>
          <w:lang w:eastAsia="zh-CN"/>
        </w:rPr>
        <w:t>综合评分法</w:t>
      </w:r>
      <w:r>
        <w:rPr>
          <w:rFonts w:hint="eastAsia" w:ascii="宋体" w:hAnsi="宋体" w:eastAsia="宋体" w:cs="宋体"/>
          <w:color w:val="auto"/>
          <w:spacing w:val="-1"/>
          <w:sz w:val="21"/>
          <w:szCs w:val="21"/>
          <w:highlight w:val="none"/>
        </w:rPr>
        <w:t>进行评标。</w:t>
      </w:r>
    </w:p>
    <w:p w14:paraId="083CCE6C">
      <w:pPr>
        <w:spacing w:before="154" w:line="269" w:lineRule="auto"/>
        <w:ind w:left="220" w:right="33" w:firstLine="496"/>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15.</w:t>
      </w:r>
      <w:r>
        <w:rPr>
          <w:rFonts w:hint="eastAsia" w:ascii="宋体" w:hAnsi="宋体" w:eastAsia="宋体" w:cs="宋体"/>
          <w:b/>
          <w:bCs/>
          <w:color w:val="auto"/>
          <w:spacing w:val="-3"/>
          <w:sz w:val="21"/>
          <w:szCs w:val="21"/>
          <w:highlight w:val="none"/>
          <w:lang w:val="en-US" w:eastAsia="zh-CN"/>
        </w:rPr>
        <w:t>5</w:t>
      </w:r>
      <w:r>
        <w:rPr>
          <w:rFonts w:hint="eastAsia" w:ascii="宋体" w:hAnsi="宋体" w:eastAsia="宋体" w:cs="宋体"/>
          <w:b/>
          <w:bCs/>
          <w:color w:val="auto"/>
          <w:spacing w:val="-3"/>
          <w:sz w:val="21"/>
          <w:szCs w:val="21"/>
          <w:highlight w:val="none"/>
        </w:rPr>
        <w:t xml:space="preserve"> </w:t>
      </w:r>
      <w:r>
        <w:rPr>
          <w:rFonts w:hint="eastAsia" w:ascii="宋体" w:hAnsi="宋体" w:eastAsia="宋体" w:cs="宋体"/>
          <w:color w:val="auto"/>
          <w:spacing w:val="-3"/>
          <w:sz w:val="21"/>
          <w:szCs w:val="21"/>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15.</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 xml:space="preserve"> </w:t>
      </w:r>
      <w:r>
        <w:rPr>
          <w:rFonts w:hint="eastAsia" w:ascii="宋体" w:hAnsi="宋体" w:eastAsia="宋体" w:cs="宋体"/>
          <w:color w:val="auto"/>
          <w:spacing w:val="-2"/>
          <w:sz w:val="21"/>
          <w:szCs w:val="21"/>
          <w:highlight w:val="none"/>
        </w:rPr>
        <w:t>初步评审阶段</w:t>
      </w:r>
    </w:p>
    <w:p w14:paraId="5B763A9F">
      <w:pPr>
        <w:spacing w:before="153" w:line="220" w:lineRule="auto"/>
        <w:ind w:left="70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3"/>
          <w:sz w:val="21"/>
          <w:szCs w:val="21"/>
          <w:highlight w:val="none"/>
        </w:rPr>
        <w:t>15.</w:t>
      </w:r>
      <w:r>
        <w:rPr>
          <w:rFonts w:hint="eastAsia" w:ascii="宋体" w:hAnsi="宋体" w:eastAsia="宋体" w:cs="宋体"/>
          <w:b/>
          <w:bCs/>
          <w:color w:val="auto"/>
          <w:spacing w:val="-3"/>
          <w:sz w:val="21"/>
          <w:szCs w:val="21"/>
          <w:highlight w:val="none"/>
          <w:lang w:val="en-US" w:eastAsia="zh-CN"/>
        </w:rPr>
        <w:t>6</w:t>
      </w:r>
      <w:r>
        <w:rPr>
          <w:rFonts w:hint="eastAsia" w:ascii="宋体" w:hAnsi="宋体" w:eastAsia="宋体" w:cs="宋体"/>
          <w:b/>
          <w:bCs/>
          <w:color w:val="auto"/>
          <w:spacing w:val="-3"/>
          <w:sz w:val="21"/>
          <w:szCs w:val="21"/>
          <w:highlight w:val="none"/>
        </w:rPr>
        <w:t>.1</w:t>
      </w:r>
      <w:r>
        <w:rPr>
          <w:rFonts w:hint="eastAsia" w:ascii="宋体" w:hAnsi="宋体" w:eastAsia="宋体" w:cs="宋体"/>
          <w:color w:val="auto"/>
          <w:spacing w:val="-2"/>
          <w:sz w:val="21"/>
          <w:szCs w:val="21"/>
          <w:highlight w:val="none"/>
        </w:rPr>
        <w:t xml:space="preserve"> 资格评审环</w:t>
      </w:r>
      <w:r>
        <w:rPr>
          <w:rFonts w:hint="eastAsia" w:ascii="宋体" w:hAnsi="宋体" w:eastAsia="宋体" w:cs="宋体"/>
          <w:color w:val="auto"/>
          <w:spacing w:val="-3"/>
          <w:sz w:val="21"/>
          <w:szCs w:val="21"/>
          <w:highlight w:val="none"/>
        </w:rPr>
        <w:t>节</w:t>
      </w:r>
      <w:r>
        <w:rPr>
          <w:rFonts w:hint="eastAsia" w:ascii="宋体" w:hAnsi="宋体" w:eastAsia="宋体" w:cs="宋体"/>
          <w:color w:val="auto"/>
          <w:spacing w:val="1"/>
          <w:sz w:val="21"/>
          <w:szCs w:val="21"/>
          <w:highlight w:val="none"/>
        </w:rPr>
        <w:t xml:space="preserve"> </w:t>
      </w:r>
    </w:p>
    <w:p w14:paraId="12AA72C0">
      <w:pPr>
        <w:spacing w:before="155" w:line="279" w:lineRule="auto"/>
        <w:ind w:left="719" w:right="6303" w:hanging="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宋体" w:hAnsi="宋体" w:eastAsia="宋体" w:cs="宋体"/>
          <w:color w:val="auto"/>
          <w:spacing w:val="-4"/>
          <w:sz w:val="21"/>
          <w:szCs w:val="21"/>
          <w:highlight w:val="none"/>
        </w:rPr>
      </w:pPr>
      <w:bookmarkStart w:id="94" w:name="_Toc22778"/>
      <w:r>
        <w:rPr>
          <w:rFonts w:hint="eastAsia" w:ascii="宋体" w:hAnsi="宋体" w:eastAsia="宋体" w:cs="宋体"/>
          <w:color w:val="auto"/>
          <w:spacing w:val="-4"/>
          <w:sz w:val="21"/>
          <w:szCs w:val="21"/>
          <w:highlight w:val="none"/>
        </w:rPr>
        <w:t>（1）投标人是否符合本章第三节第2.4条“禁止投标条款”</w:t>
      </w:r>
      <w:r>
        <w:rPr>
          <w:rFonts w:hint="eastAsia" w:ascii="宋体" w:hAnsi="宋体" w:eastAsia="宋体" w:cs="宋体"/>
          <w:color w:val="auto"/>
          <w:spacing w:val="-4"/>
          <w:sz w:val="21"/>
          <w:szCs w:val="21"/>
          <w:highlight w:val="none"/>
          <w:lang w:eastAsia="zh-CN"/>
        </w:rPr>
        <w:t>的规定</w:t>
      </w:r>
      <w:r>
        <w:rPr>
          <w:rFonts w:hint="eastAsia" w:ascii="宋体" w:hAnsi="宋体" w:eastAsia="宋体" w:cs="宋体"/>
          <w:color w:val="auto"/>
          <w:spacing w:val="-4"/>
          <w:sz w:val="21"/>
          <w:szCs w:val="21"/>
          <w:highlight w:val="none"/>
        </w:rPr>
        <w:t>。</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（3）投标人的资质是否符合招标文件规定；其营业执照、资质证书、安全生产许可证（含实时网页查询页，可参考网址 https://zlaq.mohurd.gov.cn/fwmh/bjxcjgl/fwm</w:t>
      </w:r>
      <w:bookmarkStart w:id="95" w:name="bookmark126"/>
      <w:bookmarkEnd w:id="95"/>
      <w:r>
        <w:rPr>
          <w:rFonts w:hint="eastAsia" w:ascii="宋体" w:hAnsi="宋体" w:eastAsia="宋体" w:cs="宋体"/>
          <w:color w:val="auto"/>
          <w:spacing w:val="2"/>
          <w:sz w:val="21"/>
          <w:szCs w:val="21"/>
          <w:highlight w:val="none"/>
        </w:rPr>
        <w:t>h/pages/construction_safety/qyaqscxkz/qyaqscxkz）是否合法、有效、准确</w:t>
      </w:r>
      <w:r>
        <w:rPr>
          <w:rFonts w:hint="eastAsia" w:ascii="宋体" w:hAnsi="宋体" w:eastAsia="宋体" w:cs="宋体"/>
          <w:color w:val="auto"/>
          <w:spacing w:val="-1"/>
          <w:position w:val="3"/>
          <w:sz w:val="21"/>
          <w:szCs w:val="21"/>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2"/>
          <w:sz w:val="21"/>
          <w:szCs w:val="21"/>
          <w:highlight w:val="none"/>
        </w:rPr>
        <w:t>（5）拟派项目经理、项目技术负责人、专职安全员的条件</w:t>
      </w:r>
      <w:r>
        <w:rPr>
          <w:rFonts w:hint="eastAsia" w:ascii="宋体" w:hAnsi="宋体" w:eastAsia="宋体" w:cs="宋体"/>
          <w:color w:val="auto"/>
          <w:spacing w:val="1"/>
          <w:sz w:val="21"/>
          <w:szCs w:val="21"/>
          <w:highlight w:val="none"/>
        </w:rPr>
        <w:t>是否符合招标文件规</w:t>
      </w:r>
      <w:r>
        <w:rPr>
          <w:rFonts w:hint="eastAsia" w:ascii="宋体" w:hAnsi="宋体" w:eastAsia="宋体" w:cs="宋体"/>
          <w:color w:val="auto"/>
          <w:spacing w:val="-1"/>
          <w:sz w:val="21"/>
          <w:szCs w:val="21"/>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）投标人为外省建筑企业的，是否按规定在“进粤</w:t>
      </w:r>
      <w:r>
        <w:rPr>
          <w:rFonts w:hint="eastAsia" w:ascii="宋体" w:hAnsi="宋体" w:eastAsia="宋体" w:cs="宋体"/>
          <w:color w:val="auto"/>
          <w:spacing w:val="1"/>
          <w:sz w:val="21"/>
          <w:szCs w:val="21"/>
          <w:highlight w:val="none"/>
        </w:rPr>
        <w:t>企业和人员诚信信息登记</w:t>
      </w:r>
      <w:r>
        <w:rPr>
          <w:rFonts w:hint="eastAsia" w:ascii="宋体" w:hAnsi="宋体" w:eastAsia="宋体" w:cs="宋体"/>
          <w:color w:val="auto"/>
          <w:spacing w:val="-2"/>
          <w:sz w:val="21"/>
          <w:szCs w:val="21"/>
          <w:highlight w:val="none"/>
        </w:rPr>
        <w:t>平台”录入企业及其拟派人员有关信息并通过数据规范检查。</w:t>
      </w:r>
    </w:p>
    <w:p w14:paraId="5E3A3AD8">
      <w:pPr>
        <w:spacing w:before="15" w:line="360" w:lineRule="auto"/>
        <w:ind w:right="2" w:firstLine="414" w:firstLineChars="200"/>
        <w:jc w:val="both"/>
        <w:outlineLvl w:val="9"/>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2"/>
          <w:sz w:val="21"/>
          <w:szCs w:val="21"/>
          <w:highlight w:val="none"/>
        </w:rPr>
        <w:t>15.</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 xml:space="preserve">.2 </w:t>
      </w:r>
      <w:r>
        <w:rPr>
          <w:rFonts w:hint="eastAsia" w:ascii="宋体" w:hAnsi="宋体" w:eastAsia="宋体" w:cs="宋体"/>
          <w:color w:val="auto"/>
          <w:spacing w:val="1"/>
          <w:sz w:val="21"/>
          <w:szCs w:val="21"/>
          <w:highlight w:val="none"/>
        </w:rPr>
        <w:t xml:space="preserve"> 形式评审环节</w:t>
      </w:r>
    </w:p>
    <w:p w14:paraId="720A176D">
      <w:pPr>
        <w:spacing w:before="15" w:line="360" w:lineRule="auto"/>
        <w:ind w:right="2" w:firstLine="424" w:firstLineChars="200"/>
        <w:jc w:val="both"/>
        <w:outlineLvl w:val="9"/>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rPr>
        <w:t>形式评审事</w:t>
      </w:r>
      <w:r>
        <w:rPr>
          <w:rFonts w:hint="eastAsia" w:ascii="宋体" w:hAnsi="宋体" w:eastAsia="宋体" w:cs="宋体"/>
          <w:color w:val="auto"/>
          <w:spacing w:val="1"/>
          <w:sz w:val="21"/>
          <w:szCs w:val="21"/>
          <w:highlight w:val="none"/>
          <w:lang w:eastAsia="zh-CN"/>
        </w:rPr>
        <w:t>项包括：</w:t>
      </w:r>
      <w:bookmarkEnd w:id="94"/>
    </w:p>
    <w:p w14:paraId="540DEAA8">
      <w:pPr>
        <w:spacing w:before="40" w:line="360" w:lineRule="auto"/>
        <w:ind w:left="501"/>
        <w:outlineLvl w:val="9"/>
        <w:rPr>
          <w:rFonts w:hint="eastAsia" w:ascii="宋体" w:hAnsi="宋体" w:eastAsia="宋体" w:cs="宋体"/>
          <w:color w:val="auto"/>
          <w:sz w:val="21"/>
          <w:szCs w:val="21"/>
          <w:highlight w:val="none"/>
        </w:rPr>
      </w:pPr>
      <w:bookmarkStart w:id="96" w:name="_Toc13304"/>
      <w:bookmarkStart w:id="97" w:name="_Toc4914"/>
      <w:bookmarkStart w:id="98" w:name="_Toc23632"/>
      <w:bookmarkStart w:id="99" w:name="_Toc20481"/>
      <w:r>
        <w:rPr>
          <w:rFonts w:hint="eastAsia" w:ascii="宋体" w:hAnsi="宋体" w:eastAsia="宋体" w:cs="宋体"/>
          <w:color w:val="auto"/>
          <w:spacing w:val="-1"/>
          <w:sz w:val="21"/>
          <w:szCs w:val="21"/>
          <w:highlight w:val="none"/>
        </w:rPr>
        <w:t>（1）各分册是否按招标文件规定加盖电子印章。</w:t>
      </w:r>
      <w:bookmarkEnd w:id="96"/>
      <w:bookmarkEnd w:id="97"/>
      <w:bookmarkEnd w:id="98"/>
      <w:bookmarkEnd w:id="99"/>
    </w:p>
    <w:p w14:paraId="64C926F3">
      <w:pPr>
        <w:spacing w:before="15" w:line="360" w:lineRule="auto"/>
        <w:ind w:firstLine="404" w:firstLineChars="200"/>
        <w:outlineLvl w:val="9"/>
        <w:rPr>
          <w:rFonts w:hint="eastAsia" w:ascii="宋体" w:hAnsi="宋体" w:eastAsia="宋体" w:cs="宋体"/>
          <w:color w:val="auto"/>
          <w:spacing w:val="-1"/>
          <w:sz w:val="21"/>
          <w:szCs w:val="21"/>
          <w:highlight w:val="none"/>
        </w:rPr>
      </w:pPr>
      <w:bookmarkStart w:id="100" w:name="_Toc10806"/>
      <w:bookmarkStart w:id="101" w:name="_Toc28409"/>
      <w:bookmarkStart w:id="102" w:name="_Toc27432"/>
      <w:bookmarkStart w:id="103" w:name="_Toc12756"/>
      <w:r>
        <w:rPr>
          <w:rFonts w:hint="eastAsia" w:ascii="宋体" w:hAnsi="宋体" w:eastAsia="宋体" w:cs="宋体"/>
          <w:color w:val="auto"/>
          <w:spacing w:val="-4"/>
          <w:sz w:val="21"/>
          <w:szCs w:val="21"/>
          <w:highlight w:val="none"/>
        </w:rPr>
        <w:t>（2）本节第</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4"/>
          <w:sz w:val="21"/>
          <w:szCs w:val="21"/>
          <w:highlight w:val="none"/>
        </w:rPr>
        <w:t>10.2.2 目、第</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4"/>
          <w:sz w:val="21"/>
          <w:szCs w:val="21"/>
          <w:highlight w:val="none"/>
        </w:rPr>
        <w:t>10.3.2 目、第</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4"/>
          <w:sz w:val="21"/>
          <w:szCs w:val="21"/>
          <w:highlight w:val="none"/>
        </w:rPr>
        <w:t>10.4.</w:t>
      </w:r>
      <w:r>
        <w:rPr>
          <w:rFonts w:hint="eastAsia" w:ascii="宋体" w:hAnsi="宋体" w:eastAsia="宋体" w:cs="宋体"/>
          <w:color w:val="auto"/>
          <w:spacing w:val="-4"/>
          <w:sz w:val="21"/>
          <w:szCs w:val="21"/>
          <w:highlight w:val="none"/>
          <w:lang w:val="en-US" w:eastAsia="zh-CN"/>
        </w:rPr>
        <w:t>3</w:t>
      </w:r>
      <w:r>
        <w:rPr>
          <w:rFonts w:hint="eastAsia" w:ascii="宋体" w:hAnsi="宋体" w:eastAsia="宋体" w:cs="宋体"/>
          <w:color w:val="auto"/>
          <w:spacing w:val="-4"/>
          <w:sz w:val="21"/>
          <w:szCs w:val="21"/>
          <w:highlight w:val="none"/>
        </w:rPr>
        <w:t>目中规定</w:t>
      </w:r>
      <w:r>
        <w:rPr>
          <w:rFonts w:hint="eastAsia" w:ascii="宋体" w:hAnsi="宋体" w:eastAsia="宋体" w:cs="宋体"/>
          <w:color w:val="auto"/>
          <w:spacing w:val="-5"/>
          <w:sz w:val="21"/>
          <w:szCs w:val="21"/>
          <w:highlight w:val="none"/>
        </w:rPr>
        <w:t>的“所有投标人均应提</w:t>
      </w:r>
      <w:bookmarkEnd w:id="100"/>
      <w:bookmarkEnd w:id="101"/>
      <w:bookmarkEnd w:id="102"/>
      <w:r>
        <w:rPr>
          <w:rFonts w:hint="eastAsia" w:ascii="宋体" w:hAnsi="宋体" w:eastAsia="宋体" w:cs="宋体"/>
          <w:color w:val="auto"/>
          <w:spacing w:val="-1"/>
          <w:sz w:val="21"/>
          <w:szCs w:val="21"/>
          <w:highlight w:val="none"/>
        </w:rPr>
        <w:t>供</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1"/>
          <w:sz w:val="21"/>
          <w:szCs w:val="21"/>
          <w:highlight w:val="none"/>
        </w:rPr>
        <w:t>”的组成内容（包括该组成内容的所附资料）是否完整、齐全</w:t>
      </w:r>
      <w:r>
        <w:rPr>
          <w:rFonts w:hint="eastAsia" w:ascii="宋体" w:hAnsi="宋体" w:eastAsia="宋体" w:cs="宋体"/>
          <w:color w:val="auto"/>
          <w:spacing w:val="-1"/>
          <w:sz w:val="21"/>
          <w:szCs w:val="21"/>
          <w:highlight w:val="none"/>
          <w:lang w:eastAsia="zh-CN"/>
        </w:rPr>
        <w:t>。</w:t>
      </w:r>
      <w:bookmarkEnd w:id="103"/>
    </w:p>
    <w:p w14:paraId="127DFB0D">
      <w:pPr>
        <w:spacing w:before="15" w:line="360" w:lineRule="auto"/>
        <w:ind w:right="2" w:firstLine="414" w:firstLineChars="200"/>
        <w:jc w:val="both"/>
        <w:outlineLvl w:val="9"/>
        <w:rPr>
          <w:rFonts w:hint="eastAsia" w:ascii="宋体" w:hAnsi="宋体" w:eastAsia="宋体" w:cs="宋体"/>
          <w:color w:val="auto"/>
          <w:spacing w:val="2"/>
          <w:sz w:val="21"/>
          <w:szCs w:val="21"/>
          <w:highlight w:val="none"/>
        </w:rPr>
      </w:pPr>
      <w:bookmarkStart w:id="104" w:name="_Toc22642"/>
      <w:bookmarkStart w:id="105" w:name="_Toc14202"/>
      <w:bookmarkStart w:id="106" w:name="_Toc16645"/>
      <w:bookmarkStart w:id="107" w:name="_Toc22562"/>
      <w:r>
        <w:rPr>
          <w:rFonts w:hint="eastAsia" w:ascii="宋体" w:hAnsi="宋体" w:eastAsia="宋体" w:cs="宋体"/>
          <w:b/>
          <w:bCs/>
          <w:color w:val="auto"/>
          <w:spacing w:val="-2"/>
          <w:sz w:val="21"/>
          <w:szCs w:val="21"/>
          <w:highlight w:val="none"/>
        </w:rPr>
        <w:t>15.</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 xml:space="preserve">.3  </w:t>
      </w:r>
      <w:r>
        <w:rPr>
          <w:rFonts w:hint="eastAsia" w:ascii="宋体" w:hAnsi="宋体" w:eastAsia="宋体" w:cs="宋体"/>
          <w:color w:val="auto"/>
          <w:spacing w:val="2"/>
          <w:sz w:val="21"/>
          <w:szCs w:val="21"/>
          <w:highlight w:val="none"/>
        </w:rPr>
        <w:t xml:space="preserve">响应性评审环节 </w:t>
      </w:r>
    </w:p>
    <w:p w14:paraId="746226A2">
      <w:pPr>
        <w:spacing w:before="15" w:line="360" w:lineRule="auto"/>
        <w:ind w:right="2" w:firstLine="428" w:firstLineChars="200"/>
        <w:jc w:val="both"/>
        <w:outlineLvl w:val="9"/>
        <w:rPr>
          <w:rFonts w:hint="eastAsia" w:ascii="宋体" w:hAnsi="宋体" w:eastAsia="宋体" w:cs="宋体"/>
          <w:color w:val="auto"/>
          <w:spacing w:val="1"/>
          <w:sz w:val="21"/>
          <w:szCs w:val="21"/>
          <w:highlight w:val="none"/>
        </w:rPr>
      </w:pPr>
      <w:r>
        <w:rPr>
          <w:rFonts w:hint="eastAsia" w:ascii="宋体" w:hAnsi="宋体" w:eastAsia="宋体" w:cs="宋体"/>
          <w:color w:val="auto"/>
          <w:spacing w:val="2"/>
          <w:sz w:val="21"/>
          <w:szCs w:val="21"/>
          <w:highlight w:val="none"/>
        </w:rPr>
        <w:t>响应性</w:t>
      </w:r>
      <w:r>
        <w:rPr>
          <w:rFonts w:hint="eastAsia" w:ascii="宋体" w:hAnsi="宋体" w:eastAsia="宋体" w:cs="宋体"/>
          <w:color w:val="auto"/>
          <w:spacing w:val="2"/>
          <w:sz w:val="21"/>
          <w:szCs w:val="21"/>
          <w:highlight w:val="none"/>
          <w:lang w:eastAsia="zh-CN"/>
        </w:rPr>
        <w:t>评审</w:t>
      </w:r>
      <w:r>
        <w:rPr>
          <w:rFonts w:hint="eastAsia" w:ascii="宋体" w:hAnsi="宋体" w:eastAsia="宋体" w:cs="宋体"/>
          <w:color w:val="auto"/>
          <w:spacing w:val="2"/>
          <w:sz w:val="21"/>
          <w:szCs w:val="21"/>
          <w:highlight w:val="none"/>
          <w:lang w:val="en-US" w:eastAsia="zh-CN"/>
        </w:rPr>
        <w:t>事项</w:t>
      </w:r>
      <w:r>
        <w:rPr>
          <w:rFonts w:hint="eastAsia" w:ascii="宋体" w:hAnsi="宋体" w:eastAsia="宋体" w:cs="宋体"/>
          <w:color w:val="auto"/>
          <w:spacing w:val="2"/>
          <w:sz w:val="21"/>
          <w:szCs w:val="21"/>
          <w:highlight w:val="none"/>
        </w:rPr>
        <w:t>包括：</w:t>
      </w:r>
      <w:bookmarkEnd w:id="104"/>
      <w:bookmarkEnd w:id="105"/>
      <w:bookmarkEnd w:id="106"/>
      <w:bookmarkEnd w:id="107"/>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（1）投标有效期、质量标准、工期等是否响应招标文件实</w:t>
      </w:r>
      <w:r>
        <w:rPr>
          <w:rFonts w:hint="eastAsia" w:ascii="宋体" w:hAnsi="宋体" w:eastAsia="宋体" w:cs="宋体"/>
          <w:color w:val="auto"/>
          <w:spacing w:val="1"/>
          <w:sz w:val="21"/>
          <w:szCs w:val="21"/>
          <w:highlight w:val="none"/>
        </w:rPr>
        <w:t>质性要求；是否擅自</w:t>
      </w:r>
      <w:r>
        <w:rPr>
          <w:rFonts w:hint="eastAsia" w:ascii="宋体" w:hAnsi="宋体" w:eastAsia="宋体" w:cs="宋体"/>
          <w:color w:val="auto"/>
          <w:spacing w:val="-1"/>
          <w:sz w:val="21"/>
          <w:szCs w:val="21"/>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（3）投标人委托造价咨询单位编制《投标总价》的，是否在《投标总价扉页》“投标人”栏目加盖造价咨询人公章；是否提供</w:t>
      </w:r>
      <w:r>
        <w:rPr>
          <w:rFonts w:hint="eastAsia" w:ascii="宋体" w:hAnsi="宋体" w:eastAsia="宋体" w:cs="宋体"/>
          <w:color w:val="auto"/>
          <w:sz w:val="21"/>
          <w:szCs w:val="21"/>
          <w:highlight w:val="none"/>
        </w:rPr>
        <w:t>造价咨询人的营业执照</w:t>
      </w:r>
      <w:r>
        <w:rPr>
          <w:rFonts w:hint="eastAsia" w:ascii="宋体" w:hAnsi="宋体" w:eastAsia="宋体" w:cs="宋体"/>
          <w:color w:val="auto"/>
          <w:spacing w:val="-2"/>
          <w:sz w:val="21"/>
          <w:szCs w:val="21"/>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（4）投标总价是否唯一；投标总价是否超出</w:t>
      </w:r>
      <w:r>
        <w:rPr>
          <w:rFonts w:hint="eastAsia" w:ascii="宋体" w:hAnsi="宋体" w:eastAsia="宋体" w:cs="宋体"/>
          <w:b/>
          <w:bCs/>
          <w:color w:val="auto"/>
          <w:spacing w:val="1"/>
          <w:sz w:val="21"/>
          <w:szCs w:val="21"/>
          <w:highlight w:val="none"/>
          <w:lang w:val="en-US" w:eastAsia="zh-CN"/>
        </w:rPr>
        <w:t>最高投标限价</w:t>
      </w:r>
      <w:r>
        <w:rPr>
          <w:rFonts w:hint="eastAsia" w:ascii="宋体" w:hAnsi="宋体" w:eastAsia="宋体" w:cs="宋体"/>
          <w:color w:val="auto"/>
          <w:spacing w:val="1"/>
          <w:sz w:val="21"/>
          <w:szCs w:val="21"/>
          <w:highlight w:val="none"/>
        </w:rPr>
        <w:t>；</w:t>
      </w:r>
      <w:r>
        <w:rPr>
          <w:rFonts w:hint="eastAsia" w:ascii="宋体" w:hAnsi="宋体" w:eastAsia="宋体" w:cs="宋体"/>
          <w:b/>
          <w:bCs/>
          <w:color w:val="auto"/>
          <w:spacing w:val="1"/>
          <w:sz w:val="21"/>
          <w:szCs w:val="21"/>
          <w:highlight w:val="none"/>
        </w:rPr>
        <w:t>安全生产措施费</w:t>
      </w:r>
      <w:r>
        <w:rPr>
          <w:rFonts w:hint="eastAsia" w:ascii="宋体" w:hAnsi="宋体" w:eastAsia="宋体" w:cs="宋体"/>
          <w:color w:val="auto"/>
          <w:spacing w:val="-1"/>
          <w:sz w:val="21"/>
          <w:szCs w:val="21"/>
          <w:highlight w:val="none"/>
        </w:rPr>
        <w:t>是否达到最低要求；暂列金额、暂估价是否按照招标工</w:t>
      </w:r>
      <w:r>
        <w:rPr>
          <w:rFonts w:hint="eastAsia" w:ascii="宋体" w:hAnsi="宋体" w:eastAsia="宋体" w:cs="宋体"/>
          <w:color w:val="auto"/>
          <w:spacing w:val="-2"/>
          <w:sz w:val="21"/>
          <w:szCs w:val="21"/>
          <w:highlight w:val="none"/>
        </w:rPr>
        <w:t>程量清单统一报价；投</w:t>
      </w:r>
      <w:r>
        <w:rPr>
          <w:rFonts w:hint="eastAsia" w:ascii="宋体" w:hAnsi="宋体" w:eastAsia="宋体" w:cs="宋体"/>
          <w:color w:val="auto"/>
          <w:spacing w:val="-1"/>
          <w:sz w:val="21"/>
          <w:szCs w:val="21"/>
          <w:highlight w:val="none"/>
        </w:rPr>
        <w:t>标人是否以低于成本的价格竞标。</w:t>
      </w:r>
    </w:p>
    <w:p w14:paraId="07EB7BBE">
      <w:pPr>
        <w:spacing w:before="38" w:line="360" w:lineRule="auto"/>
        <w:ind w:right="2" w:firstLine="414" w:firstLineChars="200"/>
        <w:jc w:val="both"/>
        <w:rPr>
          <w:rFonts w:hint="eastAsia" w:ascii="宋体" w:hAnsi="宋体" w:eastAsia="宋体" w:cs="宋体"/>
          <w:color w:val="auto"/>
          <w:position w:val="-8"/>
          <w:sz w:val="21"/>
          <w:szCs w:val="21"/>
          <w:highlight w:val="none"/>
        </w:rPr>
      </w:pPr>
      <w:r>
        <w:rPr>
          <w:rFonts w:hint="eastAsia" w:ascii="宋体" w:hAnsi="宋体" w:eastAsia="宋体" w:cs="宋体"/>
          <w:b/>
          <w:bCs/>
          <w:color w:val="auto"/>
          <w:spacing w:val="-2"/>
          <w:sz w:val="21"/>
          <w:szCs w:val="21"/>
          <w:highlight w:val="none"/>
        </w:rPr>
        <w:t>注：如果某投标人的投标总价下浮率超过</w:t>
      </w:r>
      <w:r>
        <w:rPr>
          <w:rFonts w:hint="eastAsia" w:ascii="宋体" w:hAnsi="宋体" w:eastAsia="宋体" w:cs="宋体"/>
          <w:color w:val="auto"/>
          <w:spacing w:val="-41"/>
          <w:sz w:val="21"/>
          <w:szCs w:val="21"/>
          <w:highlight w:val="none"/>
        </w:rPr>
        <w:t xml:space="preserve"> </w:t>
      </w:r>
      <w:r>
        <w:rPr>
          <w:rFonts w:hint="eastAsia" w:ascii="宋体" w:hAnsi="宋体" w:eastAsia="宋体" w:cs="宋体"/>
          <w:b/>
          <w:bCs/>
          <w:color w:val="auto"/>
          <w:spacing w:val="-2"/>
          <w:sz w:val="21"/>
          <w:szCs w:val="21"/>
          <w:highlight w:val="none"/>
        </w:rPr>
        <w:t>15%，又未提供</w:t>
      </w:r>
      <w:r>
        <w:rPr>
          <w:rFonts w:hint="eastAsia" w:ascii="宋体" w:hAnsi="宋体" w:eastAsia="宋体" w:cs="宋体"/>
          <w:b/>
          <w:bCs/>
          <w:color w:val="auto"/>
          <w:spacing w:val="-3"/>
          <w:sz w:val="21"/>
          <w:szCs w:val="21"/>
          <w:highlight w:val="none"/>
        </w:rPr>
        <w:t>相应书面说明和佐证</w:t>
      </w:r>
      <w:bookmarkStart w:id="108" w:name="bookmark127"/>
      <w:bookmarkEnd w:id="108"/>
      <w:r>
        <w:rPr>
          <w:rFonts w:hint="eastAsia" w:ascii="宋体" w:hAnsi="宋体" w:eastAsia="宋体" w:cs="宋体"/>
          <w:b/>
          <w:bCs/>
          <w:color w:val="auto"/>
          <w:spacing w:val="-4"/>
          <w:sz w:val="21"/>
          <w:szCs w:val="21"/>
          <w:highlight w:val="none"/>
        </w:rPr>
        <w:t>材料或提供的书面说明和佐证材料不能令人信服的，评标委员会应认定其以低于成本</w:t>
      </w:r>
      <w:r>
        <w:rPr>
          <w:rFonts w:hint="eastAsia" w:ascii="宋体" w:hAnsi="宋体" w:eastAsia="宋体" w:cs="宋体"/>
          <w:b/>
          <w:bCs/>
          <w:color w:val="auto"/>
          <w:spacing w:val="-9"/>
          <w:sz w:val="21"/>
          <w:szCs w:val="21"/>
          <w:highlight w:val="none"/>
        </w:rPr>
        <w:t>的价格竞标，并否决其投标。评</w:t>
      </w:r>
      <w:r>
        <w:rPr>
          <w:rFonts w:hint="eastAsia" w:ascii="宋体" w:hAnsi="宋体" w:eastAsia="宋体" w:cs="宋体"/>
          <w:b/>
          <w:bCs/>
          <w:color w:val="auto"/>
          <w:spacing w:val="-4"/>
          <w:sz w:val="21"/>
          <w:szCs w:val="21"/>
          <w:highlight w:val="none"/>
        </w:rPr>
        <w:t>标委员会接受该投标人的投标总价而未否决其投标的，应在评标报告中说明判断理由。投标总价下浮率＝（1－投标总价÷</w:t>
      </w:r>
      <w:r>
        <w:rPr>
          <w:rFonts w:hint="eastAsia" w:ascii="宋体" w:hAnsi="宋体" w:eastAsia="宋体" w:cs="宋体"/>
          <w:b/>
          <w:bCs/>
          <w:color w:val="auto"/>
          <w:spacing w:val="-4"/>
          <w:sz w:val="21"/>
          <w:szCs w:val="21"/>
          <w:highlight w:val="none"/>
          <w:lang w:eastAsia="zh-CN"/>
        </w:rPr>
        <w:t>最高投标限价</w:t>
      </w:r>
      <w:r>
        <w:rPr>
          <w:rFonts w:hint="eastAsia" w:ascii="宋体" w:hAnsi="宋体" w:eastAsia="宋体" w:cs="宋体"/>
          <w:b/>
          <w:bCs/>
          <w:color w:val="auto"/>
          <w:spacing w:val="-4"/>
          <w:sz w:val="21"/>
          <w:szCs w:val="21"/>
          <w:highlight w:val="none"/>
        </w:rPr>
        <w:t>）×100%。</w:t>
      </w:r>
    </w:p>
    <w:p w14:paraId="1B4A1888">
      <w:pPr>
        <w:spacing w:before="157" w:line="360" w:lineRule="auto"/>
        <w:ind w:left="11" w:right="114" w:firstLine="443" w:firstLineChars="20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（5）施工组织设计的质量、进度保障措施是否符合国</w:t>
      </w:r>
      <w:r>
        <w:rPr>
          <w:rFonts w:hint="eastAsia" w:ascii="宋体" w:hAnsi="宋体" w:eastAsia="宋体" w:cs="宋体"/>
          <w:color w:val="auto"/>
          <w:sz w:val="21"/>
          <w:szCs w:val="21"/>
          <w:highlight w:val="none"/>
        </w:rPr>
        <w:t>家和省市现行有关规</w:t>
      </w:r>
      <w:r>
        <w:rPr>
          <w:rFonts w:hint="eastAsia" w:ascii="宋体" w:hAnsi="宋体" w:eastAsia="宋体" w:cs="宋体"/>
          <w:color w:val="auto"/>
          <w:spacing w:val="-1"/>
          <w:sz w:val="21"/>
          <w:szCs w:val="21"/>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1"/>
          <w:szCs w:val="21"/>
          <w:highlight w:val="none"/>
        </w:rPr>
      </w:pPr>
      <w:bookmarkStart w:id="109" w:name="_Toc32114"/>
      <w:bookmarkStart w:id="110" w:name="_Toc19814"/>
      <w:bookmarkStart w:id="111" w:name="_Toc15367"/>
      <w:bookmarkStart w:id="112" w:name="_Toc18204"/>
      <w:r>
        <w:rPr>
          <w:rFonts w:hint="eastAsia" w:ascii="宋体" w:hAnsi="宋体" w:eastAsia="宋体" w:cs="宋体"/>
          <w:b/>
          <w:bCs/>
          <w:color w:val="auto"/>
          <w:spacing w:val="-3"/>
          <w:sz w:val="21"/>
          <w:szCs w:val="21"/>
          <w:highlight w:val="none"/>
        </w:rPr>
        <w:t>15.</w:t>
      </w:r>
      <w:r>
        <w:rPr>
          <w:rFonts w:hint="eastAsia" w:ascii="宋体" w:hAnsi="宋体" w:eastAsia="宋体" w:cs="宋体"/>
          <w:b/>
          <w:bCs/>
          <w:color w:val="auto"/>
          <w:spacing w:val="-3"/>
          <w:sz w:val="21"/>
          <w:szCs w:val="21"/>
          <w:highlight w:val="none"/>
          <w:lang w:val="en-US" w:eastAsia="zh-CN"/>
        </w:rPr>
        <w:t>6</w:t>
      </w:r>
      <w:r>
        <w:rPr>
          <w:rFonts w:hint="eastAsia" w:ascii="宋体" w:hAnsi="宋体" w:eastAsia="宋体" w:cs="宋体"/>
          <w:b/>
          <w:bCs/>
          <w:color w:val="auto"/>
          <w:spacing w:val="-3"/>
          <w:sz w:val="21"/>
          <w:szCs w:val="21"/>
          <w:highlight w:val="none"/>
        </w:rPr>
        <w:t xml:space="preserve">.4  </w:t>
      </w:r>
      <w:r>
        <w:rPr>
          <w:rFonts w:hint="eastAsia" w:ascii="宋体" w:hAnsi="宋体" w:eastAsia="宋体" w:cs="宋体"/>
          <w:color w:val="auto"/>
          <w:spacing w:val="-3"/>
          <w:sz w:val="21"/>
          <w:szCs w:val="21"/>
          <w:highlight w:val="none"/>
        </w:rPr>
        <w:t>否决投标说明</w:t>
      </w:r>
      <w:bookmarkEnd w:id="109"/>
      <w:bookmarkEnd w:id="110"/>
      <w:bookmarkEnd w:id="111"/>
      <w:bookmarkEnd w:id="112"/>
    </w:p>
    <w:p w14:paraId="0A7D0F98">
      <w:pPr>
        <w:spacing w:before="152" w:line="333" w:lineRule="auto"/>
        <w:ind w:left="11" w:right="175" w:firstLine="56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初步评审阶段各个环节否决投标的全部条件，在本章第四节“否决投标条件”第</w:t>
      </w:r>
      <w:r>
        <w:rPr>
          <w:rFonts w:hint="eastAsia" w:ascii="宋体" w:hAnsi="宋体" w:eastAsia="宋体" w:cs="宋体"/>
          <w:b/>
          <w:bCs/>
          <w:color w:val="auto"/>
          <w:sz w:val="21"/>
          <w:szCs w:val="21"/>
          <w:highlight w:val="none"/>
        </w:rPr>
        <w:t>1</w:t>
      </w:r>
      <w:r>
        <w:rPr>
          <w:rFonts w:hint="eastAsia" w:ascii="宋体" w:hAnsi="宋体" w:eastAsia="宋体" w:cs="宋体"/>
          <w:color w:val="auto"/>
          <w:sz w:val="21"/>
          <w:szCs w:val="21"/>
          <w:highlight w:val="none"/>
        </w:rPr>
        <w:t>条至第</w:t>
      </w:r>
      <w:r>
        <w:rPr>
          <w:rFonts w:hint="eastAsia" w:ascii="宋体" w:hAnsi="宋体" w:eastAsia="宋体" w:cs="宋体"/>
          <w:b/>
          <w:bCs/>
          <w:color w:val="auto"/>
          <w:sz w:val="21"/>
          <w:szCs w:val="21"/>
          <w:highlight w:val="none"/>
        </w:rPr>
        <w:t>4</w:t>
      </w:r>
      <w:r>
        <w:rPr>
          <w:rFonts w:hint="eastAsia" w:ascii="宋体" w:hAnsi="宋体" w:eastAsia="宋体" w:cs="宋体"/>
          <w:color w:val="auto"/>
          <w:sz w:val="21"/>
          <w:szCs w:val="21"/>
          <w:highlight w:val="none"/>
        </w:rPr>
        <w:t>条中集中列示。投标人有其中所列任何一种情形的，由评标委员会否决其</w:t>
      </w:r>
      <w:r>
        <w:rPr>
          <w:rFonts w:hint="eastAsia" w:ascii="宋体" w:hAnsi="宋体" w:eastAsia="宋体" w:cs="宋体"/>
          <w:color w:val="auto"/>
          <w:spacing w:val="-1"/>
          <w:sz w:val="21"/>
          <w:szCs w:val="21"/>
          <w:highlight w:val="none"/>
        </w:rPr>
        <w:t>投标。在初步评审阶段任何环节被否决的投标人，不进入下一环</w:t>
      </w:r>
      <w:r>
        <w:rPr>
          <w:rFonts w:hint="eastAsia" w:ascii="宋体" w:hAnsi="宋体" w:eastAsia="宋体" w:cs="宋体"/>
          <w:color w:val="auto"/>
          <w:spacing w:val="-2"/>
          <w:sz w:val="21"/>
          <w:szCs w:val="21"/>
          <w:highlight w:val="none"/>
        </w:rPr>
        <w:t>节（或阶段）评审。</w:t>
      </w:r>
      <w:r>
        <w:rPr>
          <w:rFonts w:hint="eastAsia" w:ascii="宋体" w:hAnsi="宋体" w:eastAsia="宋体" w:cs="宋体"/>
          <w:color w:val="auto"/>
          <w:spacing w:val="-1"/>
          <w:sz w:val="21"/>
          <w:szCs w:val="21"/>
          <w:highlight w:val="none"/>
        </w:rPr>
        <w:t>在初步评审阶段任何环节</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z w:val="21"/>
          <w:szCs w:val="21"/>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4"/>
                    <a:stretch>
                      <a:fillRect/>
                    </a:stretch>
                  </pic:blipFill>
                  <pic:spPr>
                    <a:xfrm>
                      <a:off x="0" y="0"/>
                      <a:ext cx="6350" cy="279400"/>
                    </a:xfrm>
                    <a:prstGeom prst="rect">
                      <a:avLst/>
                    </a:prstGeom>
                    <a:noFill/>
                    <a:ln>
                      <a:noFill/>
                    </a:ln>
                  </pic:spPr>
                </pic:pic>
              </a:graphicData>
            </a:graphic>
          </wp:anchor>
        </w:drawing>
      </w:r>
      <w:bookmarkStart w:id="113" w:name="bookmark128"/>
      <w:bookmarkEnd w:id="113"/>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w:t>
      </w:r>
      <w:r>
        <w:rPr>
          <w:rFonts w:hint="eastAsia" w:ascii="宋体" w:hAnsi="宋体" w:eastAsia="宋体" w:cs="宋体"/>
          <w:b/>
          <w:bCs/>
          <w:color w:val="auto"/>
          <w:spacing w:val="-2"/>
          <w:sz w:val="21"/>
          <w:szCs w:val="21"/>
          <w:highlight w:val="none"/>
          <w:lang w:val="en-US" w:eastAsia="zh-CN"/>
        </w:rPr>
        <w:t>7</w:t>
      </w:r>
      <w:r>
        <w:rPr>
          <w:rFonts w:hint="eastAsia" w:ascii="宋体" w:hAnsi="宋体" w:eastAsia="宋体" w:cs="宋体"/>
          <w:b/>
          <w:bCs/>
          <w:color w:val="auto"/>
          <w:spacing w:val="-2"/>
          <w:sz w:val="21"/>
          <w:szCs w:val="21"/>
          <w:highlight w:val="none"/>
        </w:rPr>
        <w:t xml:space="preserve">  </w:t>
      </w:r>
      <w:r>
        <w:rPr>
          <w:rFonts w:hint="eastAsia" w:ascii="宋体" w:hAnsi="宋体" w:eastAsia="宋体" w:cs="宋体"/>
          <w:color w:val="auto"/>
          <w:spacing w:val="-2"/>
          <w:sz w:val="21"/>
          <w:szCs w:val="21"/>
          <w:highlight w:val="none"/>
        </w:rPr>
        <w:t>详细评审阶段</w:t>
      </w:r>
    </w:p>
    <w:p w14:paraId="21AA4981">
      <w:pPr>
        <w:spacing w:before="81" w:line="211" w:lineRule="auto"/>
        <w:ind w:left="498"/>
        <w:outlineLvl w:val="9"/>
        <w:rPr>
          <w:rFonts w:hint="eastAsia" w:ascii="宋体" w:hAnsi="宋体" w:eastAsia="宋体" w:cs="宋体"/>
          <w:color w:val="auto"/>
          <w:sz w:val="21"/>
          <w:szCs w:val="21"/>
          <w:highlight w:val="none"/>
        </w:rPr>
      </w:pPr>
      <w:bookmarkStart w:id="114" w:name="_Toc4119"/>
      <w:bookmarkStart w:id="115" w:name="_Toc10503"/>
      <w:bookmarkStart w:id="116" w:name="_Toc14991"/>
      <w:bookmarkStart w:id="117" w:name="_Toc28572"/>
      <w:r>
        <w:rPr>
          <w:rFonts w:hint="eastAsia" w:ascii="宋体" w:hAnsi="宋体" w:eastAsia="宋体" w:cs="宋体"/>
          <w:b/>
          <w:bCs/>
          <w:color w:val="auto"/>
          <w:spacing w:val="-3"/>
          <w:sz w:val="21"/>
          <w:szCs w:val="21"/>
          <w:highlight w:val="none"/>
          <w:lang w:val="en-US" w:eastAsia="zh-CN"/>
        </w:rPr>
        <w:t>15</w:t>
      </w:r>
      <w:r>
        <w:rPr>
          <w:rFonts w:hint="eastAsia" w:ascii="宋体" w:hAnsi="宋体" w:eastAsia="宋体" w:cs="宋体"/>
          <w:b/>
          <w:bCs/>
          <w:color w:val="auto"/>
          <w:spacing w:val="-3"/>
          <w:sz w:val="21"/>
          <w:szCs w:val="21"/>
          <w:highlight w:val="none"/>
        </w:rPr>
        <w:t>.</w:t>
      </w:r>
      <w:r>
        <w:rPr>
          <w:rFonts w:hint="eastAsia" w:ascii="宋体" w:hAnsi="宋体" w:eastAsia="宋体" w:cs="宋体"/>
          <w:b/>
          <w:bCs/>
          <w:color w:val="auto"/>
          <w:spacing w:val="-3"/>
          <w:sz w:val="21"/>
          <w:szCs w:val="21"/>
          <w:highlight w:val="none"/>
          <w:lang w:val="en-US" w:eastAsia="zh-CN"/>
        </w:rPr>
        <w:t>7</w:t>
      </w:r>
      <w:r>
        <w:rPr>
          <w:rFonts w:hint="eastAsia" w:ascii="宋体" w:hAnsi="宋体" w:eastAsia="宋体" w:cs="宋体"/>
          <w:b/>
          <w:bCs/>
          <w:color w:val="auto"/>
          <w:spacing w:val="-3"/>
          <w:sz w:val="21"/>
          <w:szCs w:val="21"/>
          <w:highlight w:val="none"/>
        </w:rPr>
        <w:t xml:space="preserve">.1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3"/>
          <w:sz w:val="21"/>
          <w:szCs w:val="21"/>
          <w:highlight w:val="none"/>
          <w:lang w:eastAsia="zh-CN"/>
        </w:rPr>
        <w:t>综合评分法</w:t>
      </w:r>
      <w:r>
        <w:rPr>
          <w:rFonts w:hint="eastAsia" w:ascii="宋体" w:hAnsi="宋体" w:eastAsia="宋体" w:cs="宋体"/>
          <w:color w:val="auto"/>
          <w:spacing w:val="-3"/>
          <w:sz w:val="21"/>
          <w:szCs w:val="21"/>
          <w:highlight w:val="none"/>
        </w:rPr>
        <w:t>”评审程序</w:t>
      </w:r>
      <w:bookmarkEnd w:id="114"/>
      <w:bookmarkEnd w:id="115"/>
      <w:bookmarkEnd w:id="116"/>
      <w:bookmarkEnd w:id="117"/>
    </w:p>
    <w:p w14:paraId="5801B40B">
      <w:pPr>
        <w:spacing w:before="152" w:line="329" w:lineRule="auto"/>
        <w:ind w:left="14" w:right="81" w:firstLine="47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评审内容分为商务技术和投标报价两大部分。其中，商</w:t>
      </w:r>
      <w:r>
        <w:rPr>
          <w:rFonts w:hint="eastAsia" w:ascii="宋体" w:hAnsi="宋体" w:eastAsia="宋体" w:cs="宋体"/>
          <w:color w:val="auto"/>
          <w:spacing w:val="-2"/>
          <w:sz w:val="21"/>
          <w:szCs w:val="21"/>
          <w:highlight w:val="none"/>
        </w:rPr>
        <w:t>务技术合计满分</w:t>
      </w:r>
      <w:r>
        <w:rPr>
          <w:rFonts w:hint="eastAsia" w:ascii="宋体" w:hAnsi="宋体" w:eastAsia="宋体" w:cs="宋体"/>
          <w:color w:val="auto"/>
          <w:spacing w:val="-2"/>
          <w:sz w:val="21"/>
          <w:szCs w:val="21"/>
          <w:highlight w:val="none"/>
          <w:lang w:eastAsia="zh-CN"/>
        </w:rPr>
        <w:t>100</w:t>
      </w:r>
      <w:r>
        <w:rPr>
          <w:rFonts w:hint="eastAsia" w:ascii="宋体" w:hAnsi="宋体" w:eastAsia="宋体" w:cs="宋体"/>
          <w:color w:val="auto"/>
          <w:spacing w:val="-2"/>
          <w:sz w:val="21"/>
          <w:szCs w:val="21"/>
          <w:highlight w:val="none"/>
        </w:rPr>
        <w:t>分，权重</w:t>
      </w:r>
      <w:r>
        <w:rPr>
          <w:rFonts w:hint="eastAsia" w:ascii="宋体" w:hAnsi="宋体" w:eastAsia="宋体" w:cs="宋体"/>
          <w:color w:val="auto"/>
          <w:spacing w:val="-3"/>
          <w:sz w:val="21"/>
          <w:szCs w:val="21"/>
          <w:highlight w:val="none"/>
        </w:rPr>
        <w:t>为</w:t>
      </w:r>
      <w:r>
        <w:rPr>
          <w:rFonts w:hint="eastAsia" w:ascii="宋体" w:hAnsi="宋体" w:eastAsia="宋体" w:cs="宋体"/>
          <w:color w:val="auto"/>
          <w:spacing w:val="-3"/>
          <w:sz w:val="21"/>
          <w:szCs w:val="21"/>
          <w:highlight w:val="none"/>
          <w:lang w:eastAsia="zh-CN"/>
        </w:rPr>
        <w:t>40</w:t>
      </w:r>
      <w:r>
        <w:rPr>
          <w:rFonts w:hint="eastAsia" w:ascii="宋体" w:hAnsi="宋体" w:eastAsia="宋体" w:cs="宋体"/>
          <w:color w:val="auto"/>
          <w:spacing w:val="-3"/>
          <w:sz w:val="21"/>
          <w:szCs w:val="21"/>
          <w:highlight w:val="none"/>
        </w:rPr>
        <w:t>%；投标报价满分</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3"/>
          <w:sz w:val="21"/>
          <w:szCs w:val="21"/>
          <w:highlight w:val="none"/>
        </w:rPr>
        <w:t>100 分，权重为</w:t>
      </w:r>
      <w:r>
        <w:rPr>
          <w:rFonts w:hint="eastAsia" w:ascii="宋体" w:hAnsi="宋体" w:eastAsia="宋体" w:cs="宋体"/>
          <w:color w:val="auto"/>
          <w:spacing w:val="-3"/>
          <w:sz w:val="21"/>
          <w:szCs w:val="21"/>
          <w:highlight w:val="none"/>
          <w:lang w:eastAsia="zh-CN"/>
        </w:rPr>
        <w:t xml:space="preserve"> 60%</w:t>
      </w:r>
      <w:r>
        <w:rPr>
          <w:rFonts w:hint="eastAsia" w:ascii="宋体" w:hAnsi="宋体" w:eastAsia="宋体" w:cs="宋体"/>
          <w:color w:val="auto"/>
          <w:spacing w:val="-3"/>
          <w:sz w:val="21"/>
          <w:szCs w:val="21"/>
          <w:highlight w:val="none"/>
        </w:rPr>
        <w:t>。两大部分权重之和应为</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100%。</w:t>
      </w:r>
    </w:p>
    <w:p w14:paraId="7F93F86E">
      <w:pPr>
        <w:spacing w:before="153" w:line="324" w:lineRule="auto"/>
        <w:ind w:left="14" w:right="81" w:firstLine="49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除特别注明外，综合得分以及商务技术得分、投标报价得分的中间过程计算值和</w:t>
      </w:r>
      <w:r>
        <w:rPr>
          <w:rFonts w:hint="eastAsia" w:ascii="宋体" w:hAnsi="宋体" w:eastAsia="宋体" w:cs="宋体"/>
          <w:color w:val="auto"/>
          <w:spacing w:val="-4"/>
          <w:sz w:val="21"/>
          <w:szCs w:val="21"/>
          <w:highlight w:val="none"/>
        </w:rPr>
        <w:t>最终值，均按“四舍五入”原则精确到两位</w:t>
      </w:r>
      <w:r>
        <w:rPr>
          <w:rFonts w:hint="eastAsia" w:ascii="宋体" w:hAnsi="宋体" w:eastAsia="宋体" w:cs="宋体"/>
          <w:color w:val="auto"/>
          <w:spacing w:val="-4"/>
          <w:sz w:val="21"/>
          <w:szCs w:val="21"/>
          <w:highlight w:val="none"/>
          <w:lang w:val="en-US" w:eastAsia="zh-CN"/>
        </w:rPr>
        <w:t>小数</w:t>
      </w:r>
      <w:r>
        <w:rPr>
          <w:rFonts w:hint="eastAsia" w:ascii="宋体" w:hAnsi="宋体" w:eastAsia="宋体" w:cs="宋体"/>
          <w:color w:val="auto"/>
          <w:spacing w:val="-4"/>
          <w:sz w:val="21"/>
          <w:szCs w:val="21"/>
          <w:highlight w:val="none"/>
        </w:rPr>
        <w:t>。</w:t>
      </w:r>
    </w:p>
    <w:p w14:paraId="1F4AF271">
      <w:pPr>
        <w:spacing w:before="38" w:line="220" w:lineRule="auto"/>
        <w:ind w:left="503"/>
        <w:outlineLvl w:val="9"/>
        <w:rPr>
          <w:rFonts w:hint="eastAsia" w:ascii="宋体" w:hAnsi="宋体" w:eastAsia="宋体" w:cs="宋体"/>
          <w:color w:val="auto"/>
          <w:sz w:val="21"/>
          <w:szCs w:val="21"/>
          <w:highlight w:val="none"/>
        </w:rPr>
      </w:pPr>
      <w:bookmarkStart w:id="118" w:name="_Toc10398"/>
      <w:bookmarkStart w:id="119" w:name="_Toc17510"/>
      <w:bookmarkStart w:id="120" w:name="_Toc18029"/>
      <w:bookmarkStart w:id="121" w:name="_Toc22949"/>
      <w:r>
        <w:rPr>
          <w:rFonts w:hint="eastAsia" w:ascii="宋体" w:hAnsi="宋体" w:eastAsia="宋体" w:cs="宋体"/>
          <w:color w:val="auto"/>
          <w:spacing w:val="-3"/>
          <w:sz w:val="21"/>
          <w:szCs w:val="21"/>
          <w:highlight w:val="none"/>
        </w:rPr>
        <w:t>（1）商务技术得分</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M</w:t>
      </w:r>
      <w:bookmarkEnd w:id="118"/>
      <w:bookmarkEnd w:id="119"/>
      <w:bookmarkEnd w:id="120"/>
      <w:bookmarkEnd w:id="121"/>
    </w:p>
    <w:p w14:paraId="392026E4">
      <w:pPr>
        <w:spacing w:before="153" w:line="279" w:lineRule="auto"/>
        <w:ind w:left="15" w:right="81" w:firstLine="477"/>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a</w:t>
      </w:r>
      <w:r>
        <w:rPr>
          <w:rFonts w:hint="eastAsia" w:ascii="宋体" w:hAnsi="宋体" w:eastAsia="宋体" w:cs="宋体"/>
          <w:b/>
          <w:bCs/>
          <w:color w:val="auto"/>
          <w:spacing w:val="1"/>
          <w:sz w:val="21"/>
          <w:szCs w:val="21"/>
          <w:highlight w:val="none"/>
          <w:lang w:eastAsia="zh-CN"/>
        </w:rPr>
        <w:t xml:space="preserve">. </w:t>
      </w:r>
      <w:r>
        <w:rPr>
          <w:rFonts w:hint="eastAsia" w:ascii="宋体" w:hAnsi="宋体" w:eastAsia="宋体" w:cs="宋体"/>
          <w:color w:val="auto"/>
          <w:spacing w:val="1"/>
          <w:sz w:val="21"/>
          <w:szCs w:val="21"/>
          <w:highlight w:val="none"/>
        </w:rPr>
        <w:t>评标委员会按照《综合评分表》商务部分指定的评分标准对各评分因素进行</w:t>
      </w:r>
      <w:r>
        <w:rPr>
          <w:rFonts w:hint="eastAsia" w:ascii="宋体" w:hAnsi="宋体" w:eastAsia="宋体" w:cs="宋体"/>
          <w:color w:val="auto"/>
          <w:spacing w:val="-1"/>
          <w:sz w:val="21"/>
          <w:szCs w:val="21"/>
          <w:highlight w:val="none"/>
        </w:rPr>
        <w:t>打分。各评分因素得分之和即为某投标人的商务得分</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
          <w:sz w:val="21"/>
          <w:szCs w:val="21"/>
          <w:highlight w:val="none"/>
        </w:rPr>
        <w:t>M</w:t>
      </w:r>
      <w:r>
        <w:rPr>
          <w:rFonts w:hint="eastAsia" w:ascii="宋体" w:hAnsi="宋体" w:eastAsia="宋体" w:cs="宋体"/>
          <w:color w:val="auto"/>
          <w:spacing w:val="-1"/>
          <w:position w:val="-1"/>
          <w:sz w:val="21"/>
          <w:szCs w:val="21"/>
          <w:highlight w:val="none"/>
        </w:rPr>
        <w:t>1</w:t>
      </w:r>
      <w:r>
        <w:rPr>
          <w:rFonts w:hint="eastAsia" w:ascii="宋体" w:hAnsi="宋体" w:eastAsia="宋体" w:cs="宋体"/>
          <w:color w:val="auto"/>
          <w:spacing w:val="-1"/>
          <w:sz w:val="21"/>
          <w:szCs w:val="21"/>
          <w:highlight w:val="none"/>
        </w:rPr>
        <w:t>。</w:t>
      </w:r>
    </w:p>
    <w:p w14:paraId="2881815B">
      <w:pPr>
        <w:spacing w:before="154" w:line="299" w:lineRule="auto"/>
        <w:ind w:left="12" w:right="81" w:firstLine="474"/>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b</w:t>
      </w:r>
      <w:r>
        <w:rPr>
          <w:rFonts w:hint="eastAsia" w:ascii="宋体" w:hAnsi="宋体" w:eastAsia="宋体" w:cs="宋体"/>
          <w:b/>
          <w:bCs/>
          <w:color w:val="auto"/>
          <w:spacing w:val="1"/>
          <w:sz w:val="21"/>
          <w:szCs w:val="21"/>
          <w:highlight w:val="none"/>
          <w:lang w:eastAsia="zh-CN"/>
        </w:rPr>
        <w:t xml:space="preserve">. </w:t>
      </w:r>
      <w:r>
        <w:rPr>
          <w:rFonts w:hint="eastAsia" w:ascii="宋体" w:hAnsi="宋体" w:eastAsia="宋体" w:cs="宋体"/>
          <w:color w:val="auto"/>
          <w:spacing w:val="1"/>
          <w:sz w:val="21"/>
          <w:szCs w:val="21"/>
          <w:highlight w:val="none"/>
        </w:rPr>
        <w:t>评标委员会各成员独立按照《综合评分表》技术部分（施工组织设</w:t>
      </w:r>
      <w:r>
        <w:rPr>
          <w:rFonts w:hint="eastAsia" w:ascii="宋体" w:hAnsi="宋体" w:eastAsia="宋体" w:cs="宋体"/>
          <w:color w:val="auto"/>
          <w:sz w:val="21"/>
          <w:szCs w:val="21"/>
          <w:highlight w:val="none"/>
        </w:rPr>
        <w:t>计）指定</w:t>
      </w:r>
      <w:r>
        <w:rPr>
          <w:rFonts w:hint="eastAsia" w:ascii="宋体" w:hAnsi="宋体" w:eastAsia="宋体" w:cs="宋体"/>
          <w:color w:val="auto"/>
          <w:spacing w:val="-1"/>
          <w:sz w:val="21"/>
          <w:szCs w:val="21"/>
          <w:highlight w:val="none"/>
        </w:rPr>
        <w:t>的评分标准对各评分因素进行打分，累加后得出技术评分。</w:t>
      </w:r>
      <w:r>
        <w:rPr>
          <w:rFonts w:hint="eastAsia" w:ascii="宋体" w:hAnsi="宋体" w:eastAsia="宋体" w:cs="宋体"/>
          <w:color w:val="auto"/>
          <w:spacing w:val="-2"/>
          <w:sz w:val="21"/>
          <w:szCs w:val="21"/>
          <w:highlight w:val="none"/>
        </w:rPr>
        <w:t>将评标委员会所有成员的</w:t>
      </w:r>
      <w:r>
        <w:rPr>
          <w:rFonts w:hint="eastAsia" w:ascii="宋体" w:hAnsi="宋体" w:eastAsia="宋体" w:cs="宋体"/>
          <w:color w:val="auto"/>
          <w:sz w:val="21"/>
          <w:szCs w:val="21"/>
          <w:highlight w:val="none"/>
        </w:rPr>
        <w:t>技术评分去掉最高分和最低分后，取算术平均值，即</w:t>
      </w:r>
      <w:r>
        <w:rPr>
          <w:rFonts w:hint="eastAsia" w:ascii="宋体" w:hAnsi="宋体" w:eastAsia="宋体" w:cs="宋体"/>
          <w:color w:val="auto"/>
          <w:spacing w:val="-1"/>
          <w:sz w:val="21"/>
          <w:szCs w:val="21"/>
          <w:highlight w:val="none"/>
        </w:rPr>
        <w:t>为某投标人的技术得分</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1"/>
          <w:sz w:val="21"/>
          <w:szCs w:val="21"/>
          <w:highlight w:val="none"/>
        </w:rPr>
        <w:t>M</w:t>
      </w: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sz w:val="21"/>
          <w:szCs w:val="21"/>
          <w:highlight w:val="none"/>
        </w:rPr>
        <w:t>。</w:t>
      </w:r>
    </w:p>
    <w:p w14:paraId="16A785CF">
      <w:pPr>
        <w:spacing w:before="155" w:line="231" w:lineRule="auto"/>
        <w:ind w:left="491"/>
        <w:rPr>
          <w:rFonts w:hint="eastAsia" w:ascii="宋体" w:hAnsi="宋体" w:eastAsia="宋体" w:cs="宋体"/>
          <w:color w:val="auto"/>
          <w:sz w:val="21"/>
          <w:szCs w:val="21"/>
          <w:highlight w:val="none"/>
        </w:rPr>
      </w:pPr>
      <w:r>
        <w:rPr>
          <w:rFonts w:hint="eastAsia" w:ascii="宋体" w:hAnsi="宋体" w:eastAsia="宋体" w:cs="宋体"/>
          <w:b/>
          <w:bCs/>
          <w:color w:val="auto"/>
          <w:spacing w:val="-12"/>
          <w:sz w:val="21"/>
          <w:szCs w:val="21"/>
          <w:highlight w:val="none"/>
        </w:rPr>
        <w:t>c</w:t>
      </w:r>
      <w:r>
        <w:rPr>
          <w:rFonts w:hint="eastAsia" w:ascii="宋体" w:hAnsi="宋体" w:eastAsia="宋体" w:cs="宋体"/>
          <w:b/>
          <w:bCs/>
          <w:color w:val="auto"/>
          <w:spacing w:val="-12"/>
          <w:sz w:val="21"/>
          <w:szCs w:val="21"/>
          <w:highlight w:val="none"/>
          <w:lang w:eastAsia="zh-CN"/>
        </w:rPr>
        <w:t xml:space="preserve">. </w:t>
      </w:r>
      <w:r>
        <w:rPr>
          <w:rFonts w:hint="eastAsia" w:ascii="宋体" w:hAnsi="宋体" w:eastAsia="宋体" w:cs="宋体"/>
          <w:color w:val="auto"/>
          <w:spacing w:val="-12"/>
          <w:sz w:val="21"/>
          <w:szCs w:val="21"/>
          <w:highlight w:val="none"/>
        </w:rPr>
        <w:t>M</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7"/>
          <w:sz w:val="21"/>
          <w:szCs w:val="21"/>
          <w:highlight w:val="none"/>
          <w:lang w:eastAsia="zh-CN"/>
        </w:rPr>
        <w:t>=</w:t>
      </w:r>
      <w:r>
        <w:rPr>
          <w:rFonts w:hint="eastAsia" w:ascii="宋体" w:hAnsi="宋体" w:eastAsia="宋体" w:cs="宋体"/>
          <w:color w:val="auto"/>
          <w:spacing w:val="-12"/>
          <w:sz w:val="21"/>
          <w:szCs w:val="21"/>
          <w:highlight w:val="none"/>
        </w:rPr>
        <w:t>M</w:t>
      </w:r>
      <w:r>
        <w:rPr>
          <w:rFonts w:hint="eastAsia" w:ascii="宋体" w:hAnsi="宋体" w:eastAsia="宋体" w:cs="宋体"/>
          <w:color w:val="auto"/>
          <w:spacing w:val="-12"/>
          <w:position w:val="-1"/>
          <w:sz w:val="21"/>
          <w:szCs w:val="21"/>
          <w:highlight w:val="none"/>
        </w:rPr>
        <w:t>1</w:t>
      </w:r>
      <w:r>
        <w:rPr>
          <w:rFonts w:hint="eastAsia" w:ascii="宋体" w:hAnsi="宋体" w:eastAsia="宋体" w:cs="宋体"/>
          <w:color w:val="auto"/>
          <w:spacing w:val="-12"/>
          <w:position w:val="-1"/>
          <w:sz w:val="21"/>
          <w:szCs w:val="21"/>
          <w:highlight w:val="none"/>
          <w:lang w:eastAsia="zh-CN"/>
        </w:rPr>
        <w:t>+</w:t>
      </w:r>
      <w:r>
        <w:rPr>
          <w:rFonts w:hint="eastAsia" w:ascii="宋体" w:hAnsi="宋体" w:eastAsia="宋体" w:cs="宋体"/>
          <w:color w:val="auto"/>
          <w:sz w:val="21"/>
          <w:szCs w:val="21"/>
          <w:highlight w:val="none"/>
        </w:rPr>
        <w:t>M</w:t>
      </w:r>
      <w:r>
        <w:rPr>
          <w:rFonts w:hint="eastAsia" w:ascii="宋体" w:hAnsi="宋体" w:eastAsia="宋体" w:cs="宋体"/>
          <w:color w:val="auto"/>
          <w:position w:val="-1"/>
          <w:sz w:val="21"/>
          <w:szCs w:val="21"/>
          <w:highlight w:val="none"/>
        </w:rPr>
        <w:t>2</w:t>
      </w:r>
    </w:p>
    <w:p w14:paraId="0A2F9F5C">
      <w:pPr>
        <w:spacing w:before="139" w:line="220" w:lineRule="auto"/>
        <w:ind w:left="49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式中：M</w:t>
      </w:r>
      <w:r>
        <w:rPr>
          <w:rFonts w:hint="eastAsia" w:ascii="宋体" w:hAnsi="宋体" w:eastAsia="宋体" w:cs="宋体"/>
          <w:color w:val="auto"/>
          <w:spacing w:val="-1"/>
          <w:position w:val="-1"/>
          <w:sz w:val="21"/>
          <w:szCs w:val="21"/>
          <w:highlight w:val="none"/>
        </w:rPr>
        <w:t>1</w:t>
      </w:r>
      <w:r>
        <w:rPr>
          <w:rFonts w:hint="eastAsia" w:ascii="宋体" w:hAnsi="宋体" w:eastAsia="宋体" w:cs="宋体"/>
          <w:color w:val="auto"/>
          <w:spacing w:val="12"/>
          <w:w w:val="101"/>
          <w:position w:val="-1"/>
          <w:sz w:val="21"/>
          <w:szCs w:val="21"/>
          <w:highlight w:val="none"/>
        </w:rPr>
        <w:t xml:space="preserve"> </w:t>
      </w:r>
      <w:r>
        <w:rPr>
          <w:rFonts w:hint="eastAsia" w:ascii="宋体" w:hAnsi="宋体" w:eastAsia="宋体" w:cs="宋体"/>
          <w:color w:val="auto"/>
          <w:spacing w:val="-1"/>
          <w:sz w:val="21"/>
          <w:szCs w:val="21"/>
          <w:highlight w:val="none"/>
        </w:rPr>
        <w:t>为某投标人的商务得分，M</w:t>
      </w: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2"/>
          <w:position w:val="-1"/>
          <w:sz w:val="21"/>
          <w:szCs w:val="21"/>
          <w:highlight w:val="none"/>
        </w:rPr>
        <w:t xml:space="preserve"> </w:t>
      </w:r>
      <w:r>
        <w:rPr>
          <w:rFonts w:hint="eastAsia" w:ascii="宋体" w:hAnsi="宋体" w:eastAsia="宋体" w:cs="宋体"/>
          <w:color w:val="auto"/>
          <w:spacing w:val="-1"/>
          <w:sz w:val="21"/>
          <w:szCs w:val="21"/>
          <w:highlight w:val="none"/>
        </w:rPr>
        <w:t>为某投标人的</w:t>
      </w:r>
      <w:r>
        <w:rPr>
          <w:rFonts w:hint="eastAsia" w:ascii="宋体" w:hAnsi="宋体" w:eastAsia="宋体" w:cs="宋体"/>
          <w:color w:val="auto"/>
          <w:spacing w:val="-2"/>
          <w:sz w:val="21"/>
          <w:szCs w:val="21"/>
          <w:highlight w:val="none"/>
        </w:rPr>
        <w:t>技术得分。</w:t>
      </w:r>
    </w:p>
    <w:p w14:paraId="48783CD0">
      <w:pPr>
        <w:spacing w:before="153" w:line="219" w:lineRule="auto"/>
        <w:ind w:left="503"/>
        <w:outlineLvl w:val="9"/>
        <w:rPr>
          <w:rFonts w:hint="eastAsia" w:ascii="宋体" w:hAnsi="宋体" w:eastAsia="宋体" w:cs="宋体"/>
          <w:color w:val="auto"/>
          <w:sz w:val="21"/>
          <w:szCs w:val="21"/>
          <w:highlight w:val="none"/>
        </w:rPr>
      </w:pPr>
      <w:bookmarkStart w:id="122" w:name="_Toc27609"/>
      <w:bookmarkStart w:id="123" w:name="_Toc3958"/>
      <w:bookmarkStart w:id="124" w:name="_Toc14059"/>
      <w:bookmarkStart w:id="125" w:name="_Toc16136"/>
      <w:r>
        <w:rPr>
          <w:rFonts w:hint="eastAsia" w:ascii="宋体" w:hAnsi="宋体" w:eastAsia="宋体" w:cs="宋体"/>
          <w:color w:val="auto"/>
          <w:spacing w:val="-2"/>
          <w:sz w:val="21"/>
          <w:szCs w:val="21"/>
          <w:highlight w:val="none"/>
        </w:rPr>
        <w:t>（2）投标报价得分</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2"/>
          <w:sz w:val="21"/>
          <w:szCs w:val="21"/>
          <w:highlight w:val="none"/>
        </w:rPr>
        <w:t>N</w:t>
      </w:r>
      <w:bookmarkEnd w:id="122"/>
      <w:bookmarkEnd w:id="123"/>
      <w:bookmarkEnd w:id="124"/>
      <w:bookmarkEnd w:id="125"/>
    </w:p>
    <w:p w14:paraId="32CC3A83">
      <w:pPr>
        <w:spacing w:before="157" w:line="219" w:lineRule="auto"/>
        <w:ind w:firstLine="410"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a</w:t>
      </w:r>
      <w:r>
        <w:rPr>
          <w:rFonts w:hint="eastAsia" w:ascii="宋体" w:hAnsi="宋体" w:eastAsia="宋体" w:cs="宋体"/>
          <w:b/>
          <w:bCs/>
          <w:color w:val="auto"/>
          <w:spacing w:val="-3"/>
          <w:sz w:val="21"/>
          <w:szCs w:val="21"/>
          <w:highlight w:val="none"/>
          <w:lang w:eastAsia="zh-CN"/>
        </w:rPr>
        <w:t xml:space="preserve">. </w:t>
      </w:r>
      <w:r>
        <w:rPr>
          <w:rFonts w:hint="eastAsia" w:ascii="宋体" w:hAnsi="宋体" w:eastAsia="宋体" w:cs="宋体"/>
          <w:color w:val="auto"/>
          <w:spacing w:val="-3"/>
          <w:sz w:val="21"/>
          <w:szCs w:val="21"/>
          <w:highlight w:val="none"/>
        </w:rPr>
        <w:t>评标委员会按照《综合评分表》投标报价部分指定的方法计</w:t>
      </w:r>
      <w:r>
        <w:rPr>
          <w:rFonts w:hint="eastAsia" w:ascii="宋体" w:hAnsi="宋体" w:eastAsia="宋体" w:cs="宋体"/>
          <w:color w:val="auto"/>
          <w:spacing w:val="-4"/>
          <w:sz w:val="21"/>
          <w:szCs w:val="21"/>
          <w:highlight w:val="none"/>
        </w:rPr>
        <w:t>算评标基准价</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4"/>
          <w:sz w:val="21"/>
          <w:szCs w:val="21"/>
          <w:highlight w:val="none"/>
        </w:rPr>
        <w:t>D。</w:t>
      </w:r>
    </w:p>
    <w:p w14:paraId="244C81B9">
      <w:pPr>
        <w:spacing w:before="155" w:line="299" w:lineRule="auto"/>
        <w:ind w:left="12" w:right="83" w:firstLine="474"/>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b</w:t>
      </w:r>
      <w:r>
        <w:rPr>
          <w:rFonts w:hint="eastAsia" w:ascii="宋体" w:hAnsi="宋体" w:eastAsia="宋体" w:cs="宋体"/>
          <w:b/>
          <w:bCs/>
          <w:color w:val="auto"/>
          <w:sz w:val="21"/>
          <w:szCs w:val="21"/>
          <w:highlight w:val="none"/>
          <w:lang w:eastAsia="zh-CN"/>
        </w:rPr>
        <w:t xml:space="preserve">. </w:t>
      </w:r>
      <w:r>
        <w:rPr>
          <w:rFonts w:hint="eastAsia" w:ascii="宋体" w:hAnsi="宋体" w:eastAsia="宋体" w:cs="宋体"/>
          <w:color w:val="auto"/>
          <w:sz w:val="21"/>
          <w:szCs w:val="21"/>
          <w:highlight w:val="none"/>
        </w:rPr>
        <w:t>采用内插法计算某投标人的投标报价得分</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z w:val="21"/>
          <w:szCs w:val="21"/>
          <w:highlight w:val="none"/>
        </w:rPr>
        <w:t>N</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z w:val="21"/>
          <w:szCs w:val="21"/>
          <w:highlight w:val="none"/>
        </w:rPr>
        <w:t>，即当投标人的投标总价等于评</w:t>
      </w:r>
      <w:r>
        <w:rPr>
          <w:rFonts w:hint="eastAsia" w:ascii="宋体" w:hAnsi="宋体" w:eastAsia="宋体" w:cs="宋体"/>
          <w:color w:val="auto"/>
          <w:spacing w:val="-1"/>
          <w:sz w:val="21"/>
          <w:szCs w:val="21"/>
          <w:highlight w:val="none"/>
        </w:rPr>
        <w:t>标基准价时得</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1"/>
          <w:sz w:val="21"/>
          <w:szCs w:val="21"/>
          <w:highlight w:val="none"/>
        </w:rPr>
        <w:t>100分，每高于评标基准价一个百分点扣</w:t>
      </w:r>
      <w:r>
        <w:rPr>
          <w:rFonts w:hint="eastAsia" w:ascii="宋体" w:hAnsi="宋体" w:eastAsia="宋体" w:cs="宋体"/>
          <w:b w:val="0"/>
          <w:bCs w:val="0"/>
          <w:color w:val="auto"/>
          <w:spacing w:val="-44"/>
          <w:sz w:val="21"/>
          <w:szCs w:val="21"/>
          <w:highlight w:val="none"/>
          <w:lang w:val="en-US" w:eastAsia="zh-CN"/>
        </w:rPr>
        <w:t xml:space="preserve">1 </w:t>
      </w:r>
      <w:r>
        <w:rPr>
          <w:rFonts w:hint="eastAsia" w:ascii="宋体" w:hAnsi="宋体" w:eastAsia="宋体" w:cs="宋体"/>
          <w:b w:val="0"/>
          <w:bCs w:val="0"/>
          <w:color w:val="auto"/>
          <w:spacing w:val="-1"/>
          <w:sz w:val="21"/>
          <w:szCs w:val="21"/>
          <w:highlight w:val="none"/>
        </w:rPr>
        <w:t>分</w:t>
      </w:r>
      <w:r>
        <w:rPr>
          <w:rFonts w:hint="eastAsia" w:ascii="宋体" w:hAnsi="宋体" w:eastAsia="宋体" w:cs="宋体"/>
          <w:b/>
          <w:bCs/>
          <w:color w:val="auto"/>
          <w:spacing w:val="-1"/>
          <w:sz w:val="21"/>
          <w:szCs w:val="21"/>
          <w:highlight w:val="none"/>
          <w:lang w:eastAsia="zh-CN"/>
        </w:rPr>
        <w:t>，</w:t>
      </w:r>
      <w:r>
        <w:rPr>
          <w:rFonts w:hint="eastAsia" w:ascii="宋体" w:hAnsi="宋体" w:eastAsia="宋体" w:cs="宋体"/>
          <w:color w:val="auto"/>
          <w:spacing w:val="-2"/>
          <w:sz w:val="21"/>
          <w:szCs w:val="21"/>
          <w:highlight w:val="none"/>
        </w:rPr>
        <w:t>每低于评标基准价一个百分点扣</w:t>
      </w:r>
      <w:r>
        <w:rPr>
          <w:rFonts w:hint="eastAsia" w:ascii="宋体" w:hAnsi="宋体" w:eastAsia="宋体" w:cs="宋体"/>
          <w:b w:val="0"/>
          <w:bCs w:val="0"/>
          <w:color w:val="auto"/>
          <w:spacing w:val="-2"/>
          <w:sz w:val="21"/>
          <w:szCs w:val="21"/>
          <w:highlight w:val="none"/>
          <w:lang w:val="en-US" w:eastAsia="zh-CN"/>
        </w:rPr>
        <w:t>0.5</w:t>
      </w:r>
      <w:r>
        <w:rPr>
          <w:rFonts w:hint="eastAsia" w:ascii="宋体" w:hAnsi="宋体" w:eastAsia="宋体" w:cs="宋体"/>
          <w:b w:val="0"/>
          <w:bCs w:val="0"/>
          <w:color w:val="auto"/>
          <w:spacing w:val="-34"/>
          <w:sz w:val="21"/>
          <w:szCs w:val="21"/>
          <w:highlight w:val="none"/>
        </w:rPr>
        <w:t xml:space="preserve"> </w:t>
      </w:r>
      <w:r>
        <w:rPr>
          <w:rFonts w:hint="eastAsia" w:ascii="宋体" w:hAnsi="宋体" w:eastAsia="宋体" w:cs="宋体"/>
          <w:b w:val="0"/>
          <w:bCs w:val="0"/>
          <w:color w:val="auto"/>
          <w:spacing w:val="-2"/>
          <w:sz w:val="21"/>
          <w:szCs w:val="21"/>
          <w:highlight w:val="none"/>
        </w:rPr>
        <w:t>分</w:t>
      </w:r>
      <w:r>
        <w:rPr>
          <w:rFonts w:hint="eastAsia" w:ascii="宋体" w:hAnsi="宋体" w:eastAsia="宋体" w:cs="宋体"/>
          <w:color w:val="auto"/>
          <w:spacing w:val="-2"/>
          <w:sz w:val="21"/>
          <w:szCs w:val="21"/>
          <w:highlight w:val="none"/>
        </w:rPr>
        <w:t>，扣完为止。公式如下：</w:t>
      </w:r>
    </w:p>
    <w:p w14:paraId="7BBB0CF5">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N</w:t>
      </w:r>
      <w:r>
        <w:rPr>
          <w:rFonts w:hint="eastAsia" w:ascii="宋体" w:hAnsi="宋体" w:eastAsia="宋体" w:cs="宋体"/>
          <w:color w:val="auto"/>
          <w:spacing w:val="-2"/>
          <w:sz w:val="21"/>
          <w:szCs w:val="21"/>
          <w:highlight w:val="none"/>
          <w:lang w:eastAsia="zh-CN"/>
        </w:rPr>
        <w:t>=</w:t>
      </w:r>
      <w:r>
        <w:rPr>
          <w:rFonts w:hint="eastAsia" w:ascii="宋体" w:hAnsi="宋体" w:eastAsia="宋体" w:cs="宋体"/>
          <w:snapToGrid w:val="0"/>
          <w:color w:val="auto"/>
          <w:kern w:val="0"/>
          <w:sz w:val="21"/>
          <w:szCs w:val="21"/>
          <w:highlight w:val="none"/>
          <w:u w:val="single"/>
          <w:lang w:val="en-US" w:eastAsia="zh-CN"/>
        </w:rPr>
        <w:t>100-(</w:t>
      </w:r>
      <w:r>
        <w:rPr>
          <w:rFonts w:hint="eastAsia" w:ascii="宋体" w:hAnsi="宋体" w:eastAsia="宋体" w:cs="宋体"/>
          <w:snapToGrid w:val="0"/>
          <w:color w:val="auto"/>
          <w:kern w:val="0"/>
          <w:sz w:val="21"/>
          <w:szCs w:val="21"/>
          <w:highlight w:val="none"/>
        </w:rPr>
        <w:t>| Di</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D | ÷D</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×100×E</w:t>
      </w:r>
    </w:p>
    <w:p w14:paraId="2D2C5A9B">
      <w:pPr>
        <w:spacing w:before="106" w:line="316" w:lineRule="auto"/>
        <w:ind w:left="7" w:right="17" w:firstLine="48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式中：D 为评标基准价；Di</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为某投标人的投标总价；E</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9"/>
          <w:sz w:val="21"/>
          <w:szCs w:val="21"/>
          <w:highlight w:val="none"/>
        </w:rPr>
        <w:t>为扣分因子，当</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9"/>
          <w:sz w:val="21"/>
          <w:szCs w:val="21"/>
          <w:highlight w:val="none"/>
        </w:rPr>
        <w:t>Di＞D</w:t>
      </w:r>
      <w:r>
        <w:rPr>
          <w:rFonts w:hint="eastAsia" w:ascii="宋体" w:hAnsi="宋体" w:eastAsia="宋体" w:cs="宋体"/>
          <w:color w:val="auto"/>
          <w:spacing w:val="22"/>
          <w:w w:val="101"/>
          <w:sz w:val="21"/>
          <w:szCs w:val="21"/>
          <w:highlight w:val="none"/>
        </w:rPr>
        <w:t xml:space="preserve"> </w:t>
      </w:r>
      <w:r>
        <w:rPr>
          <w:rFonts w:hint="eastAsia" w:ascii="宋体" w:hAnsi="宋体" w:eastAsia="宋体" w:cs="宋体"/>
          <w:color w:val="auto"/>
          <w:spacing w:val="-10"/>
          <w:sz w:val="21"/>
          <w:szCs w:val="21"/>
          <w:highlight w:val="none"/>
        </w:rPr>
        <w:t>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E</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8"/>
          <w:sz w:val="21"/>
          <w:szCs w:val="21"/>
          <w:highlight w:val="none"/>
        </w:rPr>
        <w:t>＝</w:t>
      </w:r>
      <w:r>
        <w:rPr>
          <w:rFonts w:hint="eastAsia" w:ascii="宋体" w:hAnsi="宋体" w:eastAsia="宋体" w:cs="宋体"/>
          <w:b/>
          <w:bCs/>
          <w:color w:val="auto"/>
          <w:spacing w:val="-8"/>
          <w:sz w:val="21"/>
          <w:szCs w:val="21"/>
          <w:highlight w:val="none"/>
          <w:lang w:val="en-US" w:eastAsia="zh-CN"/>
        </w:rPr>
        <w:t>1</w:t>
      </w:r>
      <w:r>
        <w:rPr>
          <w:rFonts w:hint="eastAsia" w:ascii="宋体" w:hAnsi="宋体" w:eastAsia="宋体" w:cs="宋体"/>
          <w:b/>
          <w:bCs/>
          <w:color w:val="auto"/>
          <w:spacing w:val="-30"/>
          <w:sz w:val="21"/>
          <w:szCs w:val="21"/>
          <w:highlight w:val="none"/>
        </w:rPr>
        <w:t xml:space="preserve"> </w:t>
      </w:r>
      <w:r>
        <w:rPr>
          <w:rFonts w:hint="eastAsia" w:ascii="宋体" w:hAnsi="宋体" w:eastAsia="宋体" w:cs="宋体"/>
          <w:b/>
          <w:bCs/>
          <w:color w:val="auto"/>
          <w:spacing w:val="-8"/>
          <w:sz w:val="21"/>
          <w:szCs w:val="21"/>
          <w:highlight w:val="none"/>
        </w:rPr>
        <w:t>；</w:t>
      </w:r>
      <w:r>
        <w:rPr>
          <w:rFonts w:hint="eastAsia" w:ascii="宋体" w:hAnsi="宋体" w:eastAsia="宋体" w:cs="宋体"/>
          <w:color w:val="auto"/>
          <w:spacing w:val="-8"/>
          <w:sz w:val="21"/>
          <w:szCs w:val="21"/>
          <w:highlight w:val="none"/>
        </w:rPr>
        <w:t>当</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8"/>
          <w:sz w:val="21"/>
          <w:szCs w:val="21"/>
          <w:highlight w:val="none"/>
        </w:rPr>
        <w:t>Di＜D</w:t>
      </w:r>
      <w:r>
        <w:rPr>
          <w:rFonts w:hint="eastAsia" w:ascii="宋体" w:hAnsi="宋体" w:eastAsia="宋体" w:cs="宋体"/>
          <w:color w:val="auto"/>
          <w:spacing w:val="20"/>
          <w:w w:val="101"/>
          <w:sz w:val="21"/>
          <w:szCs w:val="21"/>
          <w:highlight w:val="none"/>
        </w:rPr>
        <w:t xml:space="preserve"> </w:t>
      </w:r>
      <w:r>
        <w:rPr>
          <w:rFonts w:hint="eastAsia" w:ascii="宋体" w:hAnsi="宋体" w:eastAsia="宋体" w:cs="宋体"/>
          <w:color w:val="auto"/>
          <w:spacing w:val="-8"/>
          <w:sz w:val="21"/>
          <w:szCs w:val="21"/>
          <w:highlight w:val="none"/>
        </w:rPr>
        <w:t>时，E</w:t>
      </w:r>
      <w:r>
        <w:rPr>
          <w:rFonts w:hint="eastAsia" w:ascii="宋体" w:hAnsi="宋体" w:eastAsia="宋体" w:cs="宋体"/>
          <w:color w:val="auto"/>
          <w:spacing w:val="-27"/>
          <w:sz w:val="21"/>
          <w:szCs w:val="21"/>
          <w:highlight w:val="none"/>
        </w:rPr>
        <w:t xml:space="preserve"> </w:t>
      </w:r>
      <w:r>
        <w:rPr>
          <w:rFonts w:hint="eastAsia" w:ascii="宋体" w:hAnsi="宋体" w:eastAsia="宋体" w:cs="宋体"/>
          <w:b/>
          <w:bCs/>
          <w:color w:val="auto"/>
          <w:spacing w:val="-8"/>
          <w:sz w:val="21"/>
          <w:szCs w:val="21"/>
          <w:highlight w:val="none"/>
        </w:rPr>
        <w:t>＝</w:t>
      </w:r>
      <w:r>
        <w:rPr>
          <w:rFonts w:hint="eastAsia" w:ascii="宋体" w:hAnsi="宋体" w:eastAsia="宋体" w:cs="宋体"/>
          <w:b/>
          <w:bCs/>
          <w:color w:val="auto"/>
          <w:spacing w:val="-8"/>
          <w:sz w:val="21"/>
          <w:szCs w:val="21"/>
          <w:highlight w:val="none"/>
          <w:lang w:val="en-US" w:eastAsia="zh-CN"/>
        </w:rPr>
        <w:t>0.5</w:t>
      </w:r>
      <w:r>
        <w:rPr>
          <w:rFonts w:hint="eastAsia" w:ascii="宋体" w:hAnsi="宋体" w:eastAsia="宋体" w:cs="宋体"/>
          <w:b/>
          <w:bCs/>
          <w:color w:val="auto"/>
          <w:spacing w:val="-8"/>
          <w:sz w:val="21"/>
          <w:szCs w:val="21"/>
          <w:highlight w:val="none"/>
        </w:rPr>
        <w:t>。</w:t>
      </w:r>
    </w:p>
    <w:p w14:paraId="25245EA0">
      <w:pPr>
        <w:spacing w:before="95" w:line="220" w:lineRule="auto"/>
        <w:ind w:left="503"/>
        <w:outlineLvl w:val="9"/>
        <w:rPr>
          <w:rFonts w:hint="eastAsia" w:ascii="宋体" w:hAnsi="宋体" w:eastAsia="宋体" w:cs="宋体"/>
          <w:color w:val="auto"/>
          <w:sz w:val="21"/>
          <w:szCs w:val="21"/>
          <w:highlight w:val="none"/>
        </w:rPr>
      </w:pPr>
      <w:bookmarkStart w:id="126" w:name="_Toc576"/>
      <w:bookmarkStart w:id="127" w:name="_Toc4990"/>
      <w:bookmarkStart w:id="128" w:name="_Toc3861"/>
      <w:bookmarkStart w:id="129" w:name="_Toc7915"/>
      <w:r>
        <w:rPr>
          <w:rFonts w:hint="eastAsia" w:ascii="宋体" w:hAnsi="宋体" w:eastAsia="宋体" w:cs="宋体"/>
          <w:color w:val="auto"/>
          <w:spacing w:val="-3"/>
          <w:sz w:val="21"/>
          <w:szCs w:val="21"/>
          <w:highlight w:val="none"/>
        </w:rPr>
        <w:t>（3）综合得分</w:t>
      </w:r>
      <w:bookmarkEnd w:id="126"/>
      <w:bookmarkEnd w:id="127"/>
      <w:bookmarkEnd w:id="128"/>
      <w:bookmarkEnd w:id="129"/>
    </w:p>
    <w:p w14:paraId="0F362937">
      <w:pPr>
        <w:spacing w:before="153" w:line="220" w:lineRule="auto"/>
        <w:ind w:left="49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综合得分换算为百分制，满分</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2"/>
          <w:sz w:val="21"/>
          <w:szCs w:val="21"/>
          <w:highlight w:val="none"/>
        </w:rPr>
        <w:t>100 分，公式如下：</w:t>
      </w:r>
    </w:p>
    <w:p w14:paraId="0C5D7075">
      <w:pPr>
        <w:spacing w:before="155" w:line="324" w:lineRule="auto"/>
        <w:ind w:left="496" w:right="532" w:hanging="33"/>
        <w:rPr>
          <w:rFonts w:hint="eastAsia" w:ascii="宋体" w:hAnsi="宋体" w:eastAsia="宋体" w:cs="宋体"/>
          <w:color w:val="auto"/>
          <w:spacing w:val="-1"/>
          <w:sz w:val="21"/>
          <w:szCs w:val="21"/>
          <w:highlight w:val="none"/>
        </w:rPr>
      </w:pPr>
      <w:r>
        <w:rPr>
          <w:rFonts w:hint="eastAsia" w:ascii="宋体" w:hAnsi="宋体" w:eastAsia="宋体" w:cs="宋体"/>
          <w:color w:val="auto"/>
          <w:sz w:val="21"/>
          <w:szCs w:val="21"/>
          <w:highlight w:val="none"/>
        </w:rPr>
        <w:t>综合得分＝M÷商务技术合计满分×100</w:t>
      </w:r>
      <w:r>
        <w:rPr>
          <w:rFonts w:hint="eastAsia" w:ascii="宋体" w:hAnsi="宋体" w:eastAsia="宋体" w:cs="宋体"/>
          <w:color w:val="auto"/>
          <w:spacing w:val="-1"/>
          <w:sz w:val="21"/>
          <w:szCs w:val="21"/>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式中：M 为商务技术得分，N 为投标报价得分。</w:t>
      </w:r>
    </w:p>
    <w:p w14:paraId="31F4B4FC">
      <w:pPr>
        <w:spacing w:before="78" w:line="329" w:lineRule="auto"/>
        <w:ind w:left="0" w:right="263" w:firstLine="430" w:firstLineChars="200"/>
        <w:jc w:val="both"/>
        <w:rPr>
          <w:rFonts w:hint="eastAsia" w:ascii="宋体" w:hAnsi="宋体" w:eastAsia="宋体" w:cs="宋体"/>
          <w:b/>
          <w:bCs/>
          <w:color w:val="auto"/>
          <w:spacing w:val="2"/>
          <w:sz w:val="21"/>
          <w:szCs w:val="21"/>
          <w:highlight w:val="none"/>
        </w:rPr>
      </w:pPr>
      <w:bookmarkStart w:id="130" w:name="_Toc2885"/>
      <w:bookmarkStart w:id="131" w:name="_Toc30671"/>
      <w:bookmarkStart w:id="132" w:name="_Toc25214"/>
      <w:bookmarkStart w:id="133" w:name="_Toc32384"/>
      <w:r>
        <w:rPr>
          <w:rFonts w:hint="eastAsia" w:ascii="宋体" w:hAnsi="宋体" w:eastAsia="宋体" w:cs="宋体"/>
          <w:b/>
          <w:bCs/>
          <w:color w:val="auto"/>
          <w:spacing w:val="2"/>
          <w:sz w:val="21"/>
          <w:szCs w:val="21"/>
          <w:highlight w:val="none"/>
        </w:rPr>
        <w:t>（4）</w:t>
      </w:r>
      <w:bookmarkEnd w:id="130"/>
      <w:bookmarkEnd w:id="131"/>
      <w:bookmarkEnd w:id="132"/>
      <w:bookmarkEnd w:id="133"/>
      <w:r>
        <w:rPr>
          <w:rFonts w:hint="eastAsia" w:ascii="宋体" w:hAnsi="宋体" w:eastAsia="宋体" w:cs="宋体"/>
          <w:b/>
          <w:bCs/>
          <w:color w:val="auto"/>
          <w:spacing w:val="2"/>
          <w:sz w:val="21"/>
          <w:szCs w:val="21"/>
          <w:highlight w:val="none"/>
        </w:rPr>
        <w:t>评标委员会根据招标文件规定的评分细则，对招标文件中的各评审因素进行评审、比较、打分，将得分前5名不排序（按企业统一社会信用代码后4位由大到小排位，如统一社会信用代码后4位出现字母情况的，字母以“0”进行代替）的投标人作为定标候选人推荐给招标人，并对每个定标候选人的优势、风险等评审情况进行说明。当投标人综合总得分相同时，以报价低</w:t>
      </w:r>
      <w:r>
        <w:rPr>
          <w:rFonts w:hint="eastAsia" w:ascii="宋体" w:hAnsi="宋体" w:eastAsia="宋体" w:cs="宋体"/>
          <w:b/>
          <w:bCs/>
          <w:color w:val="auto"/>
          <w:spacing w:val="2"/>
          <w:sz w:val="21"/>
          <w:szCs w:val="21"/>
          <w:highlight w:val="none"/>
          <w:lang w:eastAsia="zh-CN"/>
        </w:rPr>
        <w:t>者为</w:t>
      </w:r>
      <w:r>
        <w:rPr>
          <w:rFonts w:hint="eastAsia" w:ascii="宋体" w:hAnsi="宋体" w:eastAsia="宋体" w:cs="宋体"/>
          <w:b/>
          <w:bCs/>
          <w:color w:val="auto"/>
          <w:spacing w:val="2"/>
          <w:sz w:val="21"/>
          <w:szCs w:val="21"/>
          <w:highlight w:val="none"/>
        </w:rPr>
        <w:t>前；当投标人综合总得分相同且报价相同时，由评标委员会投票确定</w:t>
      </w:r>
      <w:r>
        <w:rPr>
          <w:rFonts w:hint="eastAsia" w:ascii="宋体" w:hAnsi="宋体" w:eastAsia="宋体" w:cs="宋体"/>
          <w:b/>
          <w:bCs/>
          <w:color w:val="auto"/>
          <w:spacing w:val="2"/>
          <w:sz w:val="21"/>
          <w:szCs w:val="21"/>
          <w:highlight w:val="none"/>
          <w:lang w:eastAsia="zh-CN"/>
        </w:rPr>
        <w:t>排名</w:t>
      </w:r>
      <w:r>
        <w:rPr>
          <w:rFonts w:hint="eastAsia" w:ascii="宋体" w:hAnsi="宋体" w:eastAsia="宋体" w:cs="宋体"/>
          <w:b/>
          <w:bCs/>
          <w:color w:val="auto"/>
          <w:spacing w:val="2"/>
          <w:sz w:val="21"/>
          <w:szCs w:val="21"/>
          <w:highlight w:val="none"/>
        </w:rPr>
        <w:t>。</w:t>
      </w:r>
    </w:p>
    <w:p w14:paraId="70C32CE3">
      <w:pPr>
        <w:spacing w:before="78" w:line="329" w:lineRule="auto"/>
        <w:ind w:right="263" w:firstLine="430" w:firstLineChars="20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6"/>
        <w:spacing w:line="304" w:lineRule="auto"/>
        <w:rPr>
          <w:rFonts w:hint="eastAsia" w:ascii="宋体" w:hAnsi="宋体" w:eastAsia="宋体" w:cs="宋体"/>
          <w:color w:val="auto"/>
          <w:highlight w:val="none"/>
        </w:rPr>
      </w:pPr>
    </w:p>
    <w:p w14:paraId="2C7B650C">
      <w:pPr>
        <w:rPr>
          <w:rFonts w:hint="eastAsia"/>
          <w:color w:val="auto"/>
          <w:highlight w:val="none"/>
        </w:rPr>
      </w:pPr>
    </w:p>
    <w:p w14:paraId="003265E2">
      <w:pPr>
        <w:pStyle w:val="2"/>
        <w:rPr>
          <w:rFonts w:hint="eastAsia"/>
          <w:color w:val="auto"/>
          <w:highlight w:val="none"/>
        </w:rPr>
      </w:pPr>
    </w:p>
    <w:p w14:paraId="52A60899">
      <w:pPr>
        <w:rPr>
          <w:rFonts w:hint="eastAsia"/>
          <w:color w:val="auto"/>
          <w:highlight w:val="none"/>
        </w:rPr>
      </w:pPr>
    </w:p>
    <w:p w14:paraId="30A664AA">
      <w:pPr>
        <w:pStyle w:val="2"/>
        <w:rPr>
          <w:rFonts w:hint="eastAsia"/>
          <w:color w:val="auto"/>
          <w:highlight w:val="none"/>
        </w:rPr>
      </w:pPr>
    </w:p>
    <w:p w14:paraId="4B640883">
      <w:pPr>
        <w:rPr>
          <w:rFonts w:hint="eastAsia"/>
          <w:color w:val="auto"/>
          <w:highlight w:val="none"/>
        </w:rPr>
      </w:pPr>
    </w:p>
    <w:p w14:paraId="1FADA1FB">
      <w:pPr>
        <w:pStyle w:val="2"/>
        <w:rPr>
          <w:rFonts w:hint="eastAsia"/>
          <w:color w:val="auto"/>
          <w:highlight w:val="none"/>
        </w:rPr>
      </w:pPr>
    </w:p>
    <w:p w14:paraId="7EBA89AE">
      <w:pPr>
        <w:rPr>
          <w:rFonts w:hint="eastAsia"/>
          <w:color w:val="auto"/>
          <w:highlight w:val="none"/>
        </w:rPr>
      </w:pPr>
    </w:p>
    <w:p w14:paraId="2EEAE1CF">
      <w:pPr>
        <w:rPr>
          <w:rFonts w:hint="eastAsia"/>
          <w:color w:val="auto"/>
          <w:highlight w:val="none"/>
        </w:rPr>
      </w:pPr>
    </w:p>
    <w:p w14:paraId="64D0C39F">
      <w:pPr>
        <w:rPr>
          <w:rFonts w:hint="eastAsia"/>
          <w:color w:val="auto"/>
          <w:highlight w:val="none"/>
        </w:rPr>
      </w:pPr>
    </w:p>
    <w:p w14:paraId="1DAED1C9">
      <w:pPr>
        <w:rPr>
          <w:rFonts w:hint="eastAsia" w:ascii="宋体" w:hAnsi="宋体" w:eastAsia="宋体" w:cs="宋体"/>
          <w:b/>
          <w:bCs/>
          <w:color w:val="auto"/>
          <w:spacing w:val="-6"/>
          <w:sz w:val="30"/>
          <w:szCs w:val="30"/>
          <w:highlight w:val="none"/>
        </w:rPr>
      </w:pPr>
      <w:bookmarkStart w:id="134" w:name="_Toc17375"/>
      <w:bookmarkStart w:id="135" w:name="_Toc3020"/>
      <w:bookmarkStart w:id="136" w:name="_Toc16801"/>
    </w:p>
    <w:p w14:paraId="613895E9">
      <w:pPr>
        <w:pStyle w:val="2"/>
        <w:rPr>
          <w:rFonts w:hint="eastAsia" w:ascii="宋体" w:hAnsi="宋体" w:eastAsia="宋体" w:cs="宋体"/>
          <w:b/>
          <w:bCs/>
          <w:color w:val="auto"/>
          <w:spacing w:val="-6"/>
          <w:sz w:val="30"/>
          <w:szCs w:val="30"/>
          <w:highlight w:val="none"/>
        </w:rPr>
      </w:pPr>
    </w:p>
    <w:p w14:paraId="036BB121">
      <w:pPr>
        <w:rPr>
          <w:rFonts w:hint="eastAsia" w:ascii="宋体" w:hAnsi="宋体" w:eastAsia="宋体" w:cs="宋体"/>
          <w:b/>
          <w:bCs/>
          <w:color w:val="auto"/>
          <w:spacing w:val="-6"/>
          <w:sz w:val="30"/>
          <w:szCs w:val="30"/>
          <w:highlight w:val="none"/>
        </w:rPr>
      </w:pPr>
    </w:p>
    <w:p w14:paraId="65AD637B">
      <w:pPr>
        <w:pStyle w:val="2"/>
        <w:rPr>
          <w:rFonts w:hint="eastAsia" w:ascii="宋体" w:hAnsi="宋体" w:eastAsia="宋体" w:cs="宋体"/>
          <w:b/>
          <w:bCs/>
          <w:color w:val="auto"/>
          <w:spacing w:val="-6"/>
          <w:sz w:val="30"/>
          <w:szCs w:val="30"/>
          <w:highlight w:val="none"/>
        </w:rPr>
      </w:pPr>
    </w:p>
    <w:p w14:paraId="086B7AEF">
      <w:pPr>
        <w:rPr>
          <w:rFonts w:hint="eastAsia" w:ascii="宋体" w:hAnsi="宋体" w:eastAsia="宋体" w:cs="宋体"/>
          <w:b/>
          <w:bCs/>
          <w:color w:val="auto"/>
          <w:spacing w:val="-6"/>
          <w:sz w:val="30"/>
          <w:szCs w:val="30"/>
          <w:highlight w:val="none"/>
        </w:rPr>
      </w:pPr>
    </w:p>
    <w:p w14:paraId="7041DD0D">
      <w:pPr>
        <w:pStyle w:val="5"/>
        <w:rPr>
          <w:rFonts w:hint="eastAsia" w:ascii="宋体" w:hAnsi="宋体" w:eastAsia="宋体" w:cs="宋体"/>
          <w:b/>
          <w:bCs/>
          <w:color w:val="auto"/>
          <w:spacing w:val="-6"/>
          <w:sz w:val="30"/>
          <w:szCs w:val="30"/>
          <w:highlight w:val="none"/>
        </w:rPr>
      </w:pPr>
    </w:p>
    <w:p w14:paraId="0BA092EB">
      <w:pPr>
        <w:rPr>
          <w:rFonts w:hint="eastAsia" w:ascii="宋体" w:hAnsi="宋体" w:eastAsia="宋体" w:cs="宋体"/>
          <w:b/>
          <w:bCs/>
          <w:color w:val="auto"/>
          <w:spacing w:val="-6"/>
          <w:sz w:val="30"/>
          <w:szCs w:val="30"/>
          <w:highlight w:val="none"/>
        </w:rPr>
      </w:pPr>
    </w:p>
    <w:p w14:paraId="09A20A25">
      <w:pPr>
        <w:pStyle w:val="5"/>
        <w:rPr>
          <w:rFonts w:hint="eastAsia" w:ascii="宋体" w:hAnsi="宋体" w:eastAsia="宋体" w:cs="宋体"/>
          <w:b/>
          <w:bCs/>
          <w:color w:val="auto"/>
          <w:spacing w:val="-6"/>
          <w:sz w:val="30"/>
          <w:szCs w:val="30"/>
          <w:highlight w:val="none"/>
        </w:rPr>
      </w:pPr>
    </w:p>
    <w:p w14:paraId="2E9FA34F">
      <w:pPr>
        <w:rPr>
          <w:rFonts w:hint="eastAsia"/>
          <w:color w:val="auto"/>
          <w:highlight w:val="none"/>
        </w:rPr>
      </w:pPr>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34"/>
      <w:bookmarkEnd w:id="135"/>
      <w:bookmarkEnd w:id="136"/>
    </w:p>
    <w:tbl>
      <w:tblPr>
        <w:tblStyle w:val="17"/>
        <w:tblW w:w="10245" w:type="dxa"/>
        <w:jc w:val="center"/>
        <w:tblLayout w:type="fixed"/>
        <w:tblCellMar>
          <w:top w:w="0" w:type="dxa"/>
          <w:left w:w="108" w:type="dxa"/>
          <w:bottom w:w="0" w:type="dxa"/>
          <w:right w:w="108" w:type="dxa"/>
        </w:tblCellMar>
      </w:tblPr>
      <w:tblGrid>
        <w:gridCol w:w="1269"/>
        <w:gridCol w:w="4086"/>
        <w:gridCol w:w="4890"/>
      </w:tblGrid>
      <w:tr w14:paraId="7419F83B">
        <w:tblPrEx>
          <w:tblCellMar>
            <w:top w:w="0" w:type="dxa"/>
            <w:left w:w="108" w:type="dxa"/>
            <w:bottom w:w="0" w:type="dxa"/>
            <w:right w:w="108" w:type="dxa"/>
          </w:tblCellMar>
        </w:tblPrEx>
        <w:trPr>
          <w:trHeight w:val="509" w:hRule="exact"/>
          <w:jc w:val="center"/>
        </w:trPr>
        <w:tc>
          <w:tcPr>
            <w:tcW w:w="10245"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7529F6BB">
            <w:pPr>
              <w:pStyle w:val="6"/>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240" w:lineRule="auto"/>
              <w:rPr>
                <w:rFonts w:hint="eastAsia" w:ascii="宋体" w:hAnsi="宋体" w:eastAsia="宋体" w:cs="宋体"/>
                <w:b/>
                <w:bCs/>
                <w:snapToGrid w:val="0"/>
                <w:color w:val="auto"/>
                <w:kern w:val="0"/>
                <w:sz w:val="21"/>
                <w:szCs w:val="21"/>
                <w:highlight w:val="none"/>
              </w:rPr>
            </w:pPr>
            <w:bookmarkStart w:id="137" w:name="_Toc9725"/>
            <w:bookmarkStart w:id="138" w:name="_Toc17436"/>
            <w:bookmarkStart w:id="139" w:name="_Toc31744"/>
            <w:bookmarkStart w:id="140" w:name="_Toc5769"/>
            <w:r>
              <w:rPr>
                <w:rFonts w:hint="eastAsia" w:ascii="宋体" w:hAnsi="宋体" w:eastAsia="宋体" w:cs="宋体"/>
                <w:b/>
                <w:bCs/>
                <w:snapToGrid w:val="0"/>
                <w:color w:val="auto"/>
                <w:kern w:val="0"/>
                <w:sz w:val="21"/>
                <w:szCs w:val="21"/>
                <w:highlight w:val="none"/>
              </w:rPr>
              <w:t>商务部分，满分：</w:t>
            </w:r>
            <w:r>
              <w:rPr>
                <w:rFonts w:hint="eastAsia" w:ascii="宋体" w:hAnsi="宋体" w:eastAsia="宋体" w:cs="宋体"/>
                <w:b/>
                <w:bCs/>
                <w:snapToGrid w:val="0"/>
                <w:color w:val="auto"/>
                <w:kern w:val="0"/>
                <w:sz w:val="21"/>
                <w:szCs w:val="21"/>
                <w:highlight w:val="none"/>
                <w:u w:val="single"/>
              </w:rPr>
              <w:t>80</w:t>
            </w:r>
            <w:r>
              <w:rPr>
                <w:rFonts w:hint="eastAsia" w:ascii="宋体" w:hAnsi="宋体" w:eastAsia="宋体" w:cs="宋体"/>
                <w:b/>
                <w:bCs/>
                <w:snapToGrid w:val="0"/>
                <w:color w:val="auto"/>
                <w:kern w:val="0"/>
                <w:sz w:val="21"/>
                <w:szCs w:val="21"/>
                <w:highlight w:val="none"/>
              </w:rPr>
              <w:t>分。</w:t>
            </w:r>
          </w:p>
        </w:tc>
      </w:tr>
      <w:tr w14:paraId="7A5194D5">
        <w:tblPrEx>
          <w:tblCellMar>
            <w:top w:w="0" w:type="dxa"/>
            <w:left w:w="108" w:type="dxa"/>
            <w:bottom w:w="0" w:type="dxa"/>
            <w:right w:w="108" w:type="dxa"/>
          </w:tblCellMar>
        </w:tblPrEx>
        <w:trPr>
          <w:trHeight w:val="486" w:hRule="exac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1ECD70F">
            <w:pPr>
              <w:pStyle w:val="6"/>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评分因素</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360B469A">
            <w:pPr>
              <w:pStyle w:val="6"/>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评分标准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3E3848F6">
            <w:pPr>
              <w:pStyle w:val="6"/>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备注</w:t>
            </w:r>
          </w:p>
        </w:tc>
      </w:tr>
      <w:tr w14:paraId="1B9BC52A">
        <w:tblPrEx>
          <w:tblCellMar>
            <w:top w:w="0" w:type="dxa"/>
            <w:left w:w="108" w:type="dxa"/>
            <w:bottom w:w="0" w:type="dxa"/>
            <w:right w:w="108" w:type="dxa"/>
          </w:tblCellMar>
        </w:tblPrEx>
        <w:trPr>
          <w:trHeight w:val="4632"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185B1871">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企业奖项</w:t>
            </w:r>
          </w:p>
          <w:p w14:paraId="516CDB93">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（10分）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如为联合体投标，由联合体牵头人提供）</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0C3744CE">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企业202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年1月1日至今获得</w:t>
            </w:r>
            <w:r>
              <w:rPr>
                <w:rFonts w:hint="eastAsia" w:ascii="宋体" w:hAnsi="宋体" w:eastAsia="宋体" w:cs="宋体"/>
                <w:color w:val="auto"/>
                <w:sz w:val="21"/>
                <w:szCs w:val="21"/>
                <w:highlight w:val="none"/>
                <w:u w:val="single"/>
                <w:lang w:val="en-US" w:eastAsia="zh-CN"/>
              </w:rPr>
              <w:t>市政</w:t>
            </w:r>
            <w:r>
              <w:rPr>
                <w:rFonts w:hint="eastAsia" w:ascii="宋体" w:hAnsi="宋体" w:eastAsia="宋体" w:cs="宋体"/>
                <w:color w:val="auto"/>
                <w:sz w:val="21"/>
                <w:szCs w:val="21"/>
                <w:highlight w:val="none"/>
                <w:u w:val="single"/>
              </w:rPr>
              <w:t>或</w:t>
            </w:r>
            <w:r>
              <w:rPr>
                <w:rFonts w:hint="eastAsia" w:ascii="宋体" w:hAnsi="宋体" w:eastAsia="宋体" w:cs="宋体"/>
                <w:color w:val="auto"/>
                <w:sz w:val="21"/>
                <w:szCs w:val="21"/>
                <w:highlight w:val="none"/>
                <w:u w:val="single"/>
                <w:lang w:val="en-US" w:eastAsia="zh-CN"/>
              </w:rPr>
              <w:t>建筑</w:t>
            </w:r>
            <w:r>
              <w:rPr>
                <w:rFonts w:hint="eastAsia" w:ascii="宋体" w:hAnsi="宋体" w:eastAsia="宋体" w:cs="宋体"/>
                <w:color w:val="auto"/>
                <w:sz w:val="21"/>
                <w:szCs w:val="21"/>
                <w:highlight w:val="none"/>
              </w:rPr>
              <w:t>工程类奖项情况：</w:t>
            </w:r>
          </w:p>
          <w:p w14:paraId="5CC864A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获得国家级奖项的，每个得</w:t>
            </w:r>
            <w:r>
              <w:rPr>
                <w:rFonts w:hint="eastAsia" w:ascii="宋体" w:hAnsi="宋体" w:eastAsia="宋体" w:cs="宋体"/>
                <w:color w:val="auto"/>
                <w:sz w:val="21"/>
                <w:szCs w:val="21"/>
                <w:highlight w:val="none"/>
                <w:u w:val="single"/>
              </w:rPr>
              <w:t>8</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rPr>
              <w:t>。</w:t>
            </w:r>
          </w:p>
          <w:p w14:paraId="3E10E8F1">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获得省级奖项的，每个得</w:t>
            </w:r>
            <w:r>
              <w:rPr>
                <w:rFonts w:hint="eastAsia" w:ascii="宋体" w:hAnsi="宋体" w:eastAsia="宋体" w:cs="宋体"/>
                <w:color w:val="auto"/>
                <w:sz w:val="21"/>
                <w:szCs w:val="21"/>
                <w:highlight w:val="none"/>
                <w:u w:val="single"/>
              </w:rPr>
              <w:t>4</w:t>
            </w:r>
            <w:r>
              <w:rPr>
                <w:rFonts w:hint="eastAsia" w:ascii="宋体" w:hAnsi="宋体" w:eastAsia="宋体" w:cs="宋体"/>
                <w:color w:val="auto"/>
                <w:sz w:val="21"/>
                <w:szCs w:val="21"/>
                <w:highlight w:val="none"/>
              </w:rPr>
              <w:t>分。</w:t>
            </w:r>
          </w:p>
          <w:p w14:paraId="533E468B">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获得地市级奖项的，每个得</w:t>
            </w:r>
            <w:r>
              <w:rPr>
                <w:rFonts w:hint="eastAsia" w:ascii="宋体" w:hAnsi="宋体" w:eastAsia="宋体" w:cs="宋体"/>
                <w:color w:val="auto"/>
                <w:sz w:val="21"/>
                <w:szCs w:val="21"/>
                <w:highlight w:val="none"/>
                <w:u w:val="single"/>
              </w:rPr>
              <w:t>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rPr>
              <w:t>。</w:t>
            </w:r>
          </w:p>
          <w:p w14:paraId="30E5E6C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以上奖项均未获得的，不予计分。</w:t>
            </w:r>
          </w:p>
          <w:p w14:paraId="294C8944">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本项最高得10分。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2DBF6DEA">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允许投标人提交多个</w:t>
            </w:r>
            <w:r>
              <w:rPr>
                <w:rFonts w:hint="eastAsia" w:ascii="宋体" w:hAnsi="宋体" w:eastAsia="宋体" w:cs="宋体"/>
                <w:snapToGrid w:val="0"/>
                <w:color w:val="auto"/>
                <w:kern w:val="0"/>
                <w:sz w:val="21"/>
                <w:szCs w:val="21"/>
                <w:highlight w:val="none"/>
                <w:lang w:val="en-US" w:eastAsia="zh-CN"/>
              </w:rPr>
              <w:t>业绩</w:t>
            </w:r>
            <w:r>
              <w:rPr>
                <w:rFonts w:hint="eastAsia" w:ascii="宋体" w:hAnsi="宋体" w:eastAsia="宋体" w:cs="宋体"/>
                <w:snapToGrid w:val="0"/>
                <w:color w:val="auto"/>
                <w:kern w:val="0"/>
                <w:sz w:val="21"/>
                <w:szCs w:val="21"/>
                <w:highlight w:val="none"/>
              </w:rPr>
              <w:t>，不同</w:t>
            </w:r>
            <w:r>
              <w:rPr>
                <w:rFonts w:hint="eastAsia" w:ascii="宋体" w:hAnsi="宋体" w:eastAsia="宋体" w:cs="宋体"/>
                <w:snapToGrid w:val="0"/>
                <w:color w:val="auto"/>
                <w:kern w:val="0"/>
                <w:sz w:val="21"/>
                <w:szCs w:val="21"/>
                <w:highlight w:val="none"/>
                <w:lang w:val="en-US" w:eastAsia="zh-CN"/>
              </w:rPr>
              <w:t>业绩</w:t>
            </w:r>
            <w:r>
              <w:rPr>
                <w:rFonts w:hint="eastAsia" w:ascii="宋体" w:hAnsi="宋体" w:eastAsia="宋体" w:cs="宋体"/>
                <w:snapToGrid w:val="0"/>
                <w:color w:val="auto"/>
                <w:kern w:val="0"/>
                <w:sz w:val="21"/>
                <w:szCs w:val="21"/>
                <w:highlight w:val="none"/>
              </w:rPr>
              <w:t>可以累加，但同一</w:t>
            </w:r>
            <w:r>
              <w:rPr>
                <w:rFonts w:hint="eastAsia" w:ascii="宋体" w:hAnsi="宋体" w:eastAsia="宋体" w:cs="宋体"/>
                <w:snapToGrid w:val="0"/>
                <w:color w:val="auto"/>
                <w:kern w:val="0"/>
                <w:sz w:val="21"/>
                <w:szCs w:val="21"/>
                <w:highlight w:val="none"/>
                <w:lang w:val="en-US" w:eastAsia="zh-CN"/>
              </w:rPr>
              <w:t>业绩</w:t>
            </w:r>
            <w:r>
              <w:rPr>
                <w:rFonts w:hint="eastAsia" w:ascii="宋体" w:hAnsi="宋体" w:eastAsia="宋体" w:cs="宋体"/>
                <w:snapToGrid w:val="0"/>
                <w:color w:val="auto"/>
                <w:kern w:val="0"/>
                <w:sz w:val="21"/>
                <w:szCs w:val="21"/>
                <w:highlight w:val="none"/>
              </w:rPr>
              <w:t>只按最高级别奖项计分一次。</w:t>
            </w:r>
          </w:p>
          <w:p w14:paraId="16EF10B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2．须附有关奖项证明彩色扫描件并加盖</w:t>
            </w:r>
            <w:r>
              <w:rPr>
                <w:rFonts w:hint="eastAsia" w:ascii="宋体" w:hAnsi="宋体" w:eastAsia="宋体" w:cs="宋体"/>
                <w:snapToGrid w:val="0"/>
                <w:color w:val="auto"/>
                <w:kern w:val="0"/>
                <w:sz w:val="21"/>
                <w:szCs w:val="21"/>
                <w:highlight w:val="none"/>
                <w:lang w:val="en-US" w:eastAsia="zh-CN"/>
              </w:rPr>
              <w:t>单位</w:t>
            </w:r>
            <w:r>
              <w:rPr>
                <w:rFonts w:hint="eastAsia" w:ascii="宋体" w:hAnsi="宋体" w:eastAsia="宋体" w:cs="宋体"/>
                <w:snapToGrid w:val="0"/>
                <w:color w:val="auto"/>
                <w:kern w:val="0"/>
                <w:sz w:val="21"/>
                <w:szCs w:val="21"/>
                <w:highlight w:val="none"/>
              </w:rPr>
              <w:t>公章。</w:t>
            </w:r>
          </w:p>
          <w:p w14:paraId="6E88E24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颁发机构限定以下范围：</w:t>
            </w:r>
          </w:p>
          <w:p w14:paraId="05B9D75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①国家级：国务院、住建部、国家级行业协会；（相关协会需经民政部门备案）</w:t>
            </w:r>
          </w:p>
          <w:p w14:paraId="29EE06D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②省级：省级人民政府、省级住建部门、省级行业协会；（相关协会需经民政部门备案）</w:t>
            </w:r>
          </w:p>
          <w:p w14:paraId="07A5F246">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③地市级：地市级人民政府、地市级住建部门、地市级行业协会；（相关协会需经民政部门备案）</w:t>
            </w:r>
          </w:p>
          <w:p w14:paraId="626623AD">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获奖时间以奖项证明的落款日期为准。</w:t>
            </w:r>
          </w:p>
          <w:p w14:paraId="3B74CFA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任一奖项有以下情形之一的，该奖项视为无效，不予计分：</w:t>
            </w:r>
          </w:p>
          <w:p w14:paraId="648281FB">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①奖项不属于指定类别的；</w:t>
            </w:r>
          </w:p>
          <w:p w14:paraId="2613CE3C">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②颁发机构不符合要求的；</w:t>
            </w:r>
          </w:p>
          <w:p w14:paraId="5F88CD4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③获奖时间不符合要求的。</w:t>
            </w:r>
          </w:p>
        </w:tc>
      </w:tr>
      <w:tr w14:paraId="3AE2FF1A">
        <w:tblPrEx>
          <w:tblCellMar>
            <w:top w:w="0" w:type="dxa"/>
            <w:left w:w="108" w:type="dxa"/>
            <w:bottom w:w="0" w:type="dxa"/>
            <w:right w:w="108" w:type="dxa"/>
          </w:tblCellMar>
        </w:tblPrEx>
        <w:trPr>
          <w:trHeight w:val="2316"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7EC3852">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4BF09662">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综合素质</w:t>
            </w:r>
          </w:p>
          <w:p w14:paraId="7BB0C3DD">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如为联合体投标，由联合体牵头人提供）</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2E21108B">
            <w:pPr>
              <w:keepNext w:val="0"/>
              <w:keepLines w:val="0"/>
              <w:pageBreakBefore w:val="0"/>
              <w:tabs>
                <w:tab w:val="left" w:pos="312"/>
              </w:tabs>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项目经理工程类技术职称情况：</w:t>
            </w:r>
          </w:p>
          <w:p w14:paraId="0271FF0E">
            <w:pPr>
              <w:keepNext w:val="0"/>
              <w:keepLines w:val="0"/>
              <w:pageBreakBefore w:val="0"/>
              <w:tabs>
                <w:tab w:val="left" w:pos="312"/>
              </w:tabs>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1.具备工程师职称的，得</w:t>
            </w:r>
            <w:r>
              <w:rPr>
                <w:rFonts w:hint="eastAsia" w:ascii="宋体" w:hAnsi="宋体" w:eastAsia="宋体" w:cs="宋体"/>
                <w:snapToGrid w:val="0"/>
                <w:color w:val="auto"/>
                <w:kern w:val="0"/>
                <w:sz w:val="21"/>
                <w:szCs w:val="21"/>
                <w:highlight w:val="none"/>
                <w:u w:val="single"/>
              </w:rPr>
              <w:t>10</w:t>
            </w:r>
            <w:r>
              <w:rPr>
                <w:rFonts w:hint="eastAsia" w:ascii="宋体" w:hAnsi="宋体" w:eastAsia="宋体" w:cs="宋体"/>
                <w:snapToGrid w:val="0"/>
                <w:color w:val="auto"/>
                <w:kern w:val="0"/>
                <w:sz w:val="21"/>
                <w:szCs w:val="21"/>
                <w:highlight w:val="none"/>
              </w:rPr>
              <w:t>分。</w:t>
            </w:r>
          </w:p>
          <w:p w14:paraId="5CE2273E">
            <w:pPr>
              <w:keepNext w:val="0"/>
              <w:keepLines w:val="0"/>
              <w:pageBreakBefore w:val="0"/>
              <w:tabs>
                <w:tab w:val="left" w:pos="312"/>
              </w:tabs>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2.具备助理工程师职称的，得</w:t>
            </w:r>
            <w:r>
              <w:rPr>
                <w:rFonts w:hint="eastAsia" w:ascii="宋体" w:hAnsi="宋体" w:eastAsia="宋体" w:cs="宋体"/>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rPr>
              <w:t>分。</w:t>
            </w:r>
          </w:p>
          <w:p w14:paraId="204A9BFA">
            <w:pPr>
              <w:keepNext w:val="0"/>
              <w:keepLines w:val="0"/>
              <w:pageBreakBefore w:val="0"/>
              <w:tabs>
                <w:tab w:val="left" w:pos="312"/>
              </w:tabs>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3.不具备以上职称的，不予计分。</w:t>
            </w:r>
          </w:p>
          <w:p w14:paraId="306CD79A">
            <w:pPr>
              <w:keepNext w:val="0"/>
              <w:keepLines w:val="0"/>
              <w:pageBreakBefore w:val="0"/>
              <w:tabs>
                <w:tab w:val="left" w:pos="312"/>
              </w:tabs>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4.本项最高得</w:t>
            </w:r>
            <w:r>
              <w:rPr>
                <w:rFonts w:hint="eastAsia" w:ascii="宋体" w:hAnsi="宋体" w:eastAsia="宋体" w:cs="宋体"/>
                <w:snapToGrid w:val="0"/>
                <w:color w:val="auto"/>
                <w:kern w:val="0"/>
                <w:sz w:val="21"/>
                <w:szCs w:val="21"/>
                <w:highlight w:val="none"/>
                <w:u w:val="single"/>
                <w:lang w:val="en-US" w:eastAsia="zh-CN"/>
              </w:rPr>
              <w:t>10</w:t>
            </w:r>
            <w:r>
              <w:rPr>
                <w:rFonts w:hint="eastAsia" w:ascii="宋体" w:hAnsi="宋体" w:eastAsia="宋体" w:cs="宋体"/>
                <w:snapToGrid w:val="0"/>
                <w:color w:val="auto"/>
                <w:kern w:val="0"/>
                <w:sz w:val="21"/>
                <w:szCs w:val="21"/>
                <w:highlight w:val="none"/>
                <w:lang w:val="en-US" w:eastAsia="zh-CN"/>
              </w:rPr>
              <w:t>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50F5C011">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须</w:t>
            </w:r>
            <w:r>
              <w:rPr>
                <w:rFonts w:hint="eastAsia" w:ascii="宋体" w:hAnsi="宋体" w:eastAsia="宋体" w:cs="宋体"/>
                <w:snapToGrid w:val="0"/>
                <w:color w:val="auto"/>
                <w:kern w:val="0"/>
                <w:sz w:val="21"/>
                <w:szCs w:val="21"/>
                <w:highlight w:val="none"/>
              </w:rPr>
              <w:t>附职称证彩色扫描件</w:t>
            </w:r>
            <w:r>
              <w:rPr>
                <w:rFonts w:hint="eastAsia" w:ascii="宋体" w:hAnsi="宋体" w:eastAsia="宋体" w:cs="宋体"/>
                <w:snapToGrid w:val="0"/>
                <w:color w:val="auto"/>
                <w:kern w:val="0"/>
                <w:sz w:val="21"/>
                <w:szCs w:val="21"/>
                <w:highlight w:val="none"/>
                <w:lang w:val="en-US" w:eastAsia="zh-CN"/>
              </w:rPr>
              <w:t>及</w:t>
            </w:r>
            <w:r>
              <w:rPr>
                <w:rFonts w:hint="eastAsia" w:ascii="宋体" w:hAnsi="宋体" w:eastAsia="宋体" w:cs="宋体"/>
                <w:color w:val="auto"/>
                <w:highlight w:val="none"/>
                <w:lang w:eastAsia="zh-CN"/>
              </w:rPr>
              <w:t>本单位缴纳社保的证明（至少为近3个月内任意1个月）彩色扫描件</w:t>
            </w:r>
            <w:r>
              <w:rPr>
                <w:rFonts w:hint="eastAsia" w:ascii="宋体" w:hAnsi="宋体" w:eastAsia="宋体" w:cs="宋体"/>
                <w:snapToGrid w:val="0"/>
                <w:color w:val="auto"/>
                <w:kern w:val="0"/>
                <w:sz w:val="21"/>
                <w:szCs w:val="21"/>
                <w:highlight w:val="none"/>
              </w:rPr>
              <w:t>并加盖</w:t>
            </w:r>
            <w:r>
              <w:rPr>
                <w:rFonts w:hint="eastAsia" w:ascii="宋体" w:hAnsi="宋体" w:eastAsia="宋体" w:cs="宋体"/>
                <w:snapToGrid w:val="0"/>
                <w:color w:val="auto"/>
                <w:kern w:val="0"/>
                <w:sz w:val="21"/>
                <w:szCs w:val="21"/>
                <w:highlight w:val="none"/>
                <w:lang w:val="en-US" w:eastAsia="zh-CN"/>
              </w:rPr>
              <w:t>单位</w:t>
            </w:r>
            <w:r>
              <w:rPr>
                <w:rFonts w:hint="eastAsia" w:ascii="宋体" w:hAnsi="宋体" w:eastAsia="宋体" w:cs="宋体"/>
                <w:snapToGrid w:val="0"/>
                <w:color w:val="auto"/>
                <w:kern w:val="0"/>
                <w:sz w:val="21"/>
                <w:szCs w:val="21"/>
                <w:highlight w:val="none"/>
              </w:rPr>
              <w:t>公章。</w:t>
            </w:r>
          </w:p>
        </w:tc>
      </w:tr>
      <w:tr w14:paraId="0F1E1618">
        <w:tblPrEx>
          <w:tblCellMar>
            <w:top w:w="0" w:type="dxa"/>
            <w:left w:w="108" w:type="dxa"/>
            <w:bottom w:w="0" w:type="dxa"/>
            <w:right w:w="108" w:type="dxa"/>
          </w:tblCellMar>
        </w:tblPrEx>
        <w:trPr>
          <w:trHeight w:val="3268"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12A94A8B">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企业业绩</w:t>
            </w:r>
          </w:p>
          <w:p w14:paraId="5AFD09A7">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如为联合体投标，由联合体牵头人提供）</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431282AE">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企业202</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年1月1日至今业绩情况：</w:t>
            </w:r>
          </w:p>
          <w:p w14:paraId="6FE01FE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u w:val="single"/>
              </w:rPr>
              <w:t xml:space="preserve"> 承接 </w:t>
            </w:r>
            <w:r>
              <w:rPr>
                <w:rFonts w:hint="eastAsia" w:ascii="宋体" w:hAnsi="宋体" w:eastAsia="宋体" w:cs="宋体"/>
                <w:snapToGrid w:val="0"/>
                <w:color w:val="auto"/>
                <w:kern w:val="0"/>
                <w:sz w:val="21"/>
                <w:szCs w:val="21"/>
                <w:highlight w:val="none"/>
              </w:rPr>
              <w:t>过类似工程的，每个得 5分。</w:t>
            </w:r>
          </w:p>
          <w:p w14:paraId="77CDA81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未</w:t>
            </w:r>
            <w:r>
              <w:rPr>
                <w:rFonts w:hint="eastAsia" w:ascii="宋体" w:hAnsi="宋体" w:eastAsia="宋体" w:cs="宋体"/>
                <w:snapToGrid w:val="0"/>
                <w:color w:val="auto"/>
                <w:kern w:val="0"/>
                <w:sz w:val="21"/>
                <w:szCs w:val="21"/>
                <w:highlight w:val="none"/>
                <w:u w:val="single"/>
              </w:rPr>
              <w:t xml:space="preserve"> 承接 </w:t>
            </w:r>
            <w:r>
              <w:rPr>
                <w:rFonts w:hint="eastAsia" w:ascii="宋体" w:hAnsi="宋体" w:eastAsia="宋体" w:cs="宋体"/>
                <w:snapToGrid w:val="0"/>
                <w:color w:val="auto"/>
                <w:kern w:val="0"/>
                <w:sz w:val="21"/>
                <w:szCs w:val="21"/>
                <w:highlight w:val="none"/>
              </w:rPr>
              <w:t>过类似工程的，不予计分。</w:t>
            </w:r>
          </w:p>
          <w:p w14:paraId="0392383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本项最高得10分。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200DEEF4">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1.类似工程指：</w:t>
            </w:r>
            <w:r>
              <w:rPr>
                <w:rFonts w:hint="eastAsia" w:ascii="宋体" w:hAnsi="宋体" w:eastAsia="宋体" w:cs="宋体"/>
                <w:snapToGrid w:val="0"/>
                <w:color w:val="auto"/>
                <w:kern w:val="0"/>
                <w:sz w:val="21"/>
                <w:szCs w:val="21"/>
                <w:highlight w:val="none"/>
                <w:u w:val="single"/>
                <w:lang w:eastAsia="zh-CN"/>
              </w:rPr>
              <w:t>市政公用工程</w:t>
            </w:r>
            <w:r>
              <w:rPr>
                <w:rFonts w:hint="eastAsia" w:ascii="宋体" w:hAnsi="宋体" w:eastAsia="宋体" w:cs="宋体"/>
                <w:snapToGrid w:val="0"/>
                <w:color w:val="auto"/>
                <w:kern w:val="0"/>
                <w:sz w:val="21"/>
                <w:szCs w:val="21"/>
                <w:highlight w:val="none"/>
                <w:u w:val="single"/>
                <w:lang w:val="en-US" w:eastAsia="zh-CN"/>
              </w:rPr>
              <w:t>或建筑</w:t>
            </w:r>
            <w:r>
              <w:rPr>
                <w:rFonts w:hint="eastAsia" w:ascii="宋体" w:hAnsi="宋体" w:eastAsia="宋体" w:cs="宋体"/>
                <w:snapToGrid w:val="0"/>
                <w:color w:val="auto"/>
                <w:kern w:val="0"/>
                <w:sz w:val="21"/>
                <w:szCs w:val="21"/>
                <w:highlight w:val="none"/>
                <w:u w:val="single"/>
                <w:lang w:eastAsia="zh-CN"/>
              </w:rPr>
              <w:t>工程</w:t>
            </w:r>
            <w:r>
              <w:rPr>
                <w:rFonts w:hint="eastAsia" w:ascii="宋体" w:hAnsi="宋体" w:eastAsia="宋体" w:cs="宋体"/>
                <w:snapToGrid w:val="0"/>
                <w:color w:val="auto"/>
                <w:kern w:val="0"/>
                <w:sz w:val="21"/>
                <w:szCs w:val="21"/>
                <w:highlight w:val="none"/>
                <w:lang w:eastAsia="zh-CN"/>
              </w:rPr>
              <w:t>（施工总承包或设计施工总承包</w:t>
            </w:r>
            <w:r>
              <w:rPr>
                <w:rFonts w:hint="eastAsia" w:ascii="宋体" w:hAnsi="宋体" w:eastAsia="宋体" w:cs="宋体"/>
                <w:snapToGrid w:val="0"/>
                <w:color w:val="auto"/>
                <w:kern w:val="0"/>
                <w:sz w:val="21"/>
                <w:szCs w:val="21"/>
                <w:highlight w:val="none"/>
                <w:lang w:val="en-US" w:eastAsia="zh-CN"/>
              </w:rPr>
              <w:t>或EPC或</w:t>
            </w:r>
            <w:r>
              <w:rPr>
                <w:rFonts w:hint="eastAsia" w:ascii="宋体" w:hAnsi="宋体" w:eastAsia="宋体" w:cs="宋体"/>
                <w:snapToGrid w:val="0"/>
                <w:color w:val="auto"/>
                <w:kern w:val="0"/>
                <w:sz w:val="21"/>
                <w:szCs w:val="21"/>
                <w:highlight w:val="none"/>
                <w:lang w:eastAsia="zh-CN"/>
              </w:rPr>
              <w:t>勘察设计施工总承包）中的施工单位身份承建的项目。</w:t>
            </w:r>
          </w:p>
          <w:p w14:paraId="46A3A4B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2</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须附有关业绩合同协议书关键页彩色扫描件（或打印件）并加盖</w:t>
            </w:r>
            <w:r>
              <w:rPr>
                <w:rFonts w:hint="eastAsia" w:ascii="宋体" w:hAnsi="宋体" w:eastAsia="宋体" w:cs="宋体"/>
                <w:snapToGrid w:val="0"/>
                <w:color w:val="auto"/>
                <w:kern w:val="0"/>
                <w:sz w:val="21"/>
                <w:szCs w:val="21"/>
                <w:highlight w:val="none"/>
                <w:lang w:val="en-US" w:eastAsia="zh-CN"/>
              </w:rPr>
              <w:t>单位</w:t>
            </w:r>
            <w:r>
              <w:rPr>
                <w:rFonts w:hint="eastAsia" w:ascii="宋体" w:hAnsi="宋体" w:eastAsia="宋体" w:cs="宋体"/>
                <w:snapToGrid w:val="0"/>
                <w:color w:val="auto"/>
                <w:kern w:val="0"/>
                <w:sz w:val="21"/>
                <w:szCs w:val="21"/>
                <w:highlight w:val="none"/>
                <w:lang w:eastAsia="zh-CN"/>
              </w:rPr>
              <w:t>公章。</w:t>
            </w:r>
          </w:p>
          <w:p w14:paraId="0ECE3442">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3.业绩时间以合同协议书日期为准。</w:t>
            </w:r>
          </w:p>
          <w:p w14:paraId="361DE20E">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4.任一业绩有以下情形之一的，该业绩视为无效，不予计分：</w:t>
            </w:r>
          </w:p>
          <w:p w14:paraId="4F2A59F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①业绩不属于类似工程的；</w:t>
            </w:r>
          </w:p>
          <w:p w14:paraId="36722ED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i/>
                <w:iCs/>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②业绩时间不符合要求的。</w:t>
            </w:r>
          </w:p>
        </w:tc>
      </w:tr>
      <w:tr w14:paraId="790A3B0A">
        <w:tblPrEx>
          <w:tblCellMar>
            <w:top w:w="0" w:type="dxa"/>
            <w:left w:w="108" w:type="dxa"/>
            <w:bottom w:w="0" w:type="dxa"/>
            <w:right w:w="108" w:type="dxa"/>
          </w:tblCellMar>
        </w:tblPrEx>
        <w:trPr>
          <w:trHeight w:val="90"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605D1CA0">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企业银行资信评级</w:t>
            </w:r>
          </w:p>
          <w:p w14:paraId="480800A4">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如为联合体投标，由联合体牵头人提供）</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0B0379CA">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企业202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年1月1日至今</w:t>
            </w:r>
            <w:r>
              <w:rPr>
                <w:rFonts w:hint="eastAsia" w:ascii="宋体" w:hAnsi="宋体" w:eastAsia="宋体" w:cs="宋体"/>
                <w:color w:val="auto"/>
                <w:sz w:val="21"/>
                <w:szCs w:val="21"/>
                <w:highlight w:val="none"/>
                <w:lang w:eastAsia="zh-CN"/>
              </w:rPr>
              <w:t>获得银行资信评级：</w:t>
            </w:r>
          </w:p>
          <w:p w14:paraId="55D323BA">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银行资信评级AAA的，得</w:t>
            </w:r>
            <w:r>
              <w:rPr>
                <w:rFonts w:hint="eastAsia" w:ascii="宋体" w:hAnsi="宋体" w:eastAsia="宋体" w:cs="宋体"/>
                <w:snapToGrid w:val="0"/>
                <w:color w:val="auto"/>
                <w:kern w:val="0"/>
                <w:sz w:val="21"/>
                <w:szCs w:val="21"/>
                <w:highlight w:val="none"/>
                <w:u w:val="single"/>
              </w:rPr>
              <w:t>10</w:t>
            </w:r>
            <w:r>
              <w:rPr>
                <w:rFonts w:hint="eastAsia" w:ascii="宋体" w:hAnsi="宋体" w:eastAsia="宋体" w:cs="宋体"/>
                <w:snapToGrid w:val="0"/>
                <w:color w:val="auto"/>
                <w:kern w:val="0"/>
                <w:sz w:val="21"/>
                <w:szCs w:val="21"/>
                <w:highlight w:val="none"/>
              </w:rPr>
              <w:t>分；</w:t>
            </w:r>
          </w:p>
          <w:p w14:paraId="02FCF3AD">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银行资信评级AA（含AA＋、AA－）的，得</w:t>
            </w:r>
            <w:r>
              <w:rPr>
                <w:rFonts w:hint="eastAsia" w:ascii="宋体" w:hAnsi="宋体" w:eastAsia="宋体" w:cs="宋体"/>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rPr>
              <w:t>分。</w:t>
            </w:r>
          </w:p>
          <w:p w14:paraId="3EE2D996">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银行资信评级A（含A＋、A－）的，得</w:t>
            </w:r>
            <w:r>
              <w:rPr>
                <w:rFonts w:hint="eastAsia" w:ascii="宋体" w:hAnsi="宋体" w:eastAsia="宋体" w:cs="宋体"/>
                <w:snapToGrid w:val="0"/>
                <w:color w:val="auto"/>
                <w:kern w:val="0"/>
                <w:sz w:val="21"/>
                <w:szCs w:val="21"/>
                <w:highlight w:val="none"/>
                <w:u w:val="single"/>
              </w:rPr>
              <w:t>1</w:t>
            </w:r>
            <w:r>
              <w:rPr>
                <w:rFonts w:hint="eastAsia" w:ascii="宋体" w:hAnsi="宋体" w:eastAsia="宋体" w:cs="宋体"/>
                <w:snapToGrid w:val="0"/>
                <w:color w:val="auto"/>
                <w:kern w:val="0"/>
                <w:sz w:val="21"/>
                <w:szCs w:val="21"/>
                <w:highlight w:val="none"/>
              </w:rPr>
              <w:t>分。</w:t>
            </w:r>
          </w:p>
          <w:p w14:paraId="4918A53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未获得过以上评级的，或评级证书无效的，不予计分。</w:t>
            </w:r>
          </w:p>
          <w:p w14:paraId="217C345E">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5.本项最高得10分。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0F719EE3">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1.须附在有效期内的资信评级证书（证明）彩色扫描件并加盖</w:t>
            </w:r>
            <w:r>
              <w:rPr>
                <w:rFonts w:hint="eastAsia" w:ascii="宋体" w:hAnsi="宋体" w:eastAsia="宋体" w:cs="宋体"/>
                <w:snapToGrid w:val="0"/>
                <w:color w:val="auto"/>
                <w:kern w:val="0"/>
                <w:sz w:val="21"/>
                <w:szCs w:val="21"/>
                <w:highlight w:val="none"/>
                <w:lang w:val="en-US" w:eastAsia="zh-CN"/>
              </w:rPr>
              <w:t>单位</w:t>
            </w:r>
            <w:r>
              <w:rPr>
                <w:rFonts w:hint="eastAsia" w:ascii="宋体" w:hAnsi="宋体" w:eastAsia="宋体" w:cs="宋体"/>
                <w:snapToGrid w:val="0"/>
                <w:color w:val="auto"/>
                <w:kern w:val="0"/>
                <w:sz w:val="21"/>
                <w:szCs w:val="21"/>
                <w:highlight w:val="none"/>
              </w:rPr>
              <w:t>公章。</w:t>
            </w:r>
          </w:p>
          <w:p w14:paraId="666A54E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2.评级证书（证明）须由</w:t>
            </w:r>
            <w:r>
              <w:rPr>
                <w:rFonts w:hint="eastAsia" w:ascii="宋体" w:hAnsi="宋体" w:eastAsia="宋体" w:cs="宋体"/>
                <w:snapToGrid w:val="0"/>
                <w:color w:val="auto"/>
                <w:kern w:val="0"/>
                <w:sz w:val="21"/>
                <w:szCs w:val="21"/>
                <w:highlight w:val="none"/>
                <w:u w:val="single"/>
              </w:rPr>
              <w:t xml:space="preserve"> 企业基本账户开户银行/市级或以上金融机构 </w:t>
            </w:r>
            <w:r>
              <w:rPr>
                <w:rFonts w:hint="eastAsia" w:ascii="宋体" w:hAnsi="宋体" w:eastAsia="宋体" w:cs="宋体"/>
                <w:snapToGrid w:val="0"/>
                <w:color w:val="auto"/>
                <w:kern w:val="0"/>
                <w:sz w:val="21"/>
                <w:szCs w:val="21"/>
                <w:highlight w:val="none"/>
              </w:rPr>
              <w:t>出具。</w:t>
            </w:r>
          </w:p>
          <w:p w14:paraId="48ED110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3.评级证书（证明）有以下情形之一的，视为无效：</w:t>
            </w:r>
          </w:p>
          <w:p w14:paraId="605BAF8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①评级证书(证明)不在有效期内的；</w:t>
            </w:r>
          </w:p>
          <w:p w14:paraId="0691DCC2">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②出具机构不符合要求的。</w:t>
            </w:r>
          </w:p>
        </w:tc>
      </w:tr>
      <w:tr w14:paraId="14DFC3C5">
        <w:tblPrEx>
          <w:tblCellMar>
            <w:top w:w="0" w:type="dxa"/>
            <w:left w:w="108" w:type="dxa"/>
            <w:bottom w:w="0" w:type="dxa"/>
            <w:right w:w="108" w:type="dxa"/>
          </w:tblCellMar>
        </w:tblPrEx>
        <w:trPr>
          <w:trHeight w:val="2936"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1DBB2552">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企业管理</w:t>
            </w:r>
          </w:p>
          <w:p w14:paraId="03F259FF">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体系认证</w:t>
            </w:r>
          </w:p>
          <w:p w14:paraId="462C72FC">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如为联合体投标，由联合体牵头人提供）</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09177879">
            <w:pPr>
              <w:keepNext w:val="0"/>
              <w:keepLines w:val="0"/>
              <w:pageBreakBefore w:val="0"/>
              <w:kinsoku/>
              <w:overflowPunct/>
              <w:topLinePunct w:val="0"/>
              <w:autoSpaceDE/>
              <w:autoSpaceDN/>
              <w:bidi w:val="0"/>
              <w:spacing w:line="240" w:lineRule="auto"/>
              <w:ind w:right="1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质量管理体系认证、职业健康安全管理体系认证、环境管理体系认证证书、工程施工现场环境与卫生控制规范认证证书、工程施工安全标准化体系认证证书；</w:t>
            </w:r>
          </w:p>
          <w:p w14:paraId="1B096FBC">
            <w:pPr>
              <w:keepNext w:val="0"/>
              <w:keepLines w:val="0"/>
              <w:pageBreakBefore w:val="0"/>
              <w:kinsoku/>
              <w:overflowPunct/>
              <w:topLinePunct w:val="0"/>
              <w:autoSpaceDE/>
              <w:autoSpaceDN/>
              <w:bidi w:val="0"/>
              <w:spacing w:line="240" w:lineRule="auto"/>
              <w:ind w:right="1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1.企业获得其中5项证书的得</w:t>
            </w:r>
            <w:r>
              <w:rPr>
                <w:rFonts w:hint="eastAsia" w:ascii="宋体" w:hAnsi="宋体" w:eastAsia="宋体" w:cs="宋体"/>
                <w:snapToGrid w:val="0"/>
                <w:color w:val="auto"/>
                <w:kern w:val="0"/>
                <w:sz w:val="21"/>
                <w:szCs w:val="21"/>
                <w:highlight w:val="none"/>
                <w:u w:val="single"/>
              </w:rPr>
              <w:t>1</w:t>
            </w:r>
            <w:r>
              <w:rPr>
                <w:rFonts w:hint="eastAsia" w:ascii="宋体" w:hAnsi="宋体" w:eastAsia="宋体" w:cs="宋体"/>
                <w:snapToGrid w:val="0"/>
                <w:color w:val="auto"/>
                <w:kern w:val="0"/>
                <w:sz w:val="21"/>
                <w:szCs w:val="21"/>
                <w:highlight w:val="none"/>
                <w:u w:val="single"/>
                <w:lang w:val="en-US" w:eastAsia="zh-CN"/>
              </w:rPr>
              <w:t>0</w:t>
            </w:r>
            <w:r>
              <w:rPr>
                <w:rFonts w:hint="eastAsia" w:ascii="宋体" w:hAnsi="宋体" w:eastAsia="宋体" w:cs="宋体"/>
                <w:snapToGrid w:val="0"/>
                <w:color w:val="auto"/>
                <w:kern w:val="0"/>
                <w:sz w:val="21"/>
                <w:szCs w:val="21"/>
                <w:highlight w:val="none"/>
              </w:rPr>
              <w:t xml:space="preserve">分。 </w:t>
            </w:r>
          </w:p>
          <w:p w14:paraId="53049784">
            <w:pPr>
              <w:keepNext w:val="0"/>
              <w:keepLines w:val="0"/>
              <w:pageBreakBefore w:val="0"/>
              <w:kinsoku/>
              <w:overflowPunct/>
              <w:topLinePunct w:val="0"/>
              <w:autoSpaceDE/>
              <w:autoSpaceDN/>
              <w:bidi w:val="0"/>
              <w:spacing w:line="240" w:lineRule="auto"/>
              <w:ind w:right="1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2.企业获得其中4项证书的得</w:t>
            </w:r>
            <w:r>
              <w:rPr>
                <w:rFonts w:hint="eastAsia" w:ascii="宋体" w:hAnsi="宋体" w:eastAsia="宋体" w:cs="宋体"/>
                <w:snapToGrid w:val="0"/>
                <w:color w:val="auto"/>
                <w:kern w:val="0"/>
                <w:sz w:val="21"/>
                <w:szCs w:val="21"/>
                <w:highlight w:val="none"/>
                <w:u w:val="single"/>
              </w:rPr>
              <w:t>6</w:t>
            </w:r>
            <w:r>
              <w:rPr>
                <w:rFonts w:hint="eastAsia" w:ascii="宋体" w:hAnsi="宋体" w:eastAsia="宋体" w:cs="宋体"/>
                <w:snapToGrid w:val="0"/>
                <w:color w:val="auto"/>
                <w:kern w:val="0"/>
                <w:sz w:val="21"/>
                <w:szCs w:val="21"/>
                <w:highlight w:val="none"/>
              </w:rPr>
              <w:t>分。</w:t>
            </w:r>
          </w:p>
          <w:p w14:paraId="25125377">
            <w:pPr>
              <w:keepNext w:val="0"/>
              <w:keepLines w:val="0"/>
              <w:pageBreakBefore w:val="0"/>
              <w:kinsoku/>
              <w:overflowPunct/>
              <w:topLinePunct w:val="0"/>
              <w:autoSpaceDE/>
              <w:autoSpaceDN/>
              <w:bidi w:val="0"/>
              <w:spacing w:line="240" w:lineRule="auto"/>
              <w:ind w:right="1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3.企业获得其中3项证书的得</w:t>
            </w:r>
            <w:r>
              <w:rPr>
                <w:rFonts w:hint="eastAsia" w:ascii="宋体" w:hAnsi="宋体" w:eastAsia="宋体" w:cs="宋体"/>
                <w:snapToGrid w:val="0"/>
                <w:color w:val="auto"/>
                <w:kern w:val="0"/>
                <w:sz w:val="21"/>
                <w:szCs w:val="21"/>
                <w:highlight w:val="none"/>
                <w:u w:val="single"/>
              </w:rPr>
              <w:t>4</w:t>
            </w:r>
            <w:r>
              <w:rPr>
                <w:rFonts w:hint="eastAsia" w:ascii="宋体" w:hAnsi="宋体" w:eastAsia="宋体" w:cs="宋体"/>
                <w:snapToGrid w:val="0"/>
                <w:color w:val="auto"/>
                <w:kern w:val="0"/>
                <w:sz w:val="21"/>
                <w:szCs w:val="21"/>
                <w:highlight w:val="none"/>
              </w:rPr>
              <w:t xml:space="preserve">分。 </w:t>
            </w:r>
          </w:p>
          <w:p w14:paraId="204E2880">
            <w:pPr>
              <w:keepNext w:val="0"/>
              <w:keepLines w:val="0"/>
              <w:pageBreakBefore w:val="0"/>
              <w:kinsoku/>
              <w:overflowPunct/>
              <w:topLinePunct w:val="0"/>
              <w:autoSpaceDE/>
              <w:autoSpaceDN/>
              <w:bidi w:val="0"/>
              <w:spacing w:line="240" w:lineRule="auto"/>
              <w:ind w:right="1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4.企业获得其中</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u w:val="single"/>
              </w:rPr>
              <w:t>2</w:t>
            </w:r>
            <w:r>
              <w:rPr>
                <w:rFonts w:hint="eastAsia" w:ascii="宋体" w:hAnsi="宋体" w:eastAsia="宋体" w:cs="宋体"/>
                <w:snapToGrid w:val="0"/>
                <w:color w:val="auto"/>
                <w:kern w:val="0"/>
                <w:sz w:val="21"/>
                <w:szCs w:val="21"/>
                <w:highlight w:val="none"/>
              </w:rPr>
              <w:t>项证书的得</w:t>
            </w:r>
            <w:r>
              <w:rPr>
                <w:rFonts w:hint="eastAsia" w:ascii="宋体" w:hAnsi="宋体" w:eastAsia="宋体" w:cs="宋体"/>
                <w:snapToGrid w:val="0"/>
                <w:color w:val="auto"/>
                <w:kern w:val="0"/>
                <w:sz w:val="21"/>
                <w:szCs w:val="21"/>
                <w:highlight w:val="none"/>
                <w:u w:val="single"/>
              </w:rPr>
              <w:t>2</w:t>
            </w:r>
            <w:r>
              <w:rPr>
                <w:rFonts w:hint="eastAsia" w:ascii="宋体" w:hAnsi="宋体" w:eastAsia="宋体" w:cs="宋体"/>
                <w:snapToGrid w:val="0"/>
                <w:color w:val="auto"/>
                <w:kern w:val="0"/>
                <w:sz w:val="21"/>
                <w:szCs w:val="21"/>
                <w:highlight w:val="none"/>
              </w:rPr>
              <w:t>分。</w:t>
            </w:r>
          </w:p>
          <w:p w14:paraId="2E7FAC23">
            <w:pPr>
              <w:keepNext w:val="0"/>
              <w:keepLines w:val="0"/>
              <w:pageBreakBefore w:val="0"/>
              <w:kinsoku/>
              <w:overflowPunct/>
              <w:topLinePunct w:val="0"/>
              <w:autoSpaceDE/>
              <w:autoSpaceDN/>
              <w:bidi w:val="0"/>
              <w:spacing w:line="240" w:lineRule="auto"/>
              <w:ind w:right="1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5.以上认证证书均未获得的，不予计分。</w:t>
            </w:r>
          </w:p>
          <w:p w14:paraId="5F87024C">
            <w:pPr>
              <w:keepNext w:val="0"/>
              <w:keepLines w:val="0"/>
              <w:pageBreakBefore w:val="0"/>
              <w:kinsoku/>
              <w:overflowPunct/>
              <w:topLinePunct w:val="0"/>
              <w:autoSpaceDE/>
              <w:autoSpaceDN/>
              <w:bidi w:val="0"/>
              <w:spacing w:line="240" w:lineRule="auto"/>
              <w:ind w:right="1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6.本项最高得10分。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162F60B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.须</w:t>
            </w:r>
            <w:r>
              <w:rPr>
                <w:rFonts w:hint="eastAsia" w:ascii="宋体" w:hAnsi="宋体" w:eastAsia="宋体" w:cs="宋体"/>
                <w:snapToGrid w:val="0"/>
                <w:color w:val="auto"/>
                <w:kern w:val="0"/>
                <w:sz w:val="21"/>
                <w:szCs w:val="21"/>
                <w:highlight w:val="none"/>
              </w:rPr>
              <w:t>附在有效期内的认证证书彩色扫描件并加盖</w:t>
            </w:r>
            <w:r>
              <w:rPr>
                <w:rFonts w:hint="eastAsia" w:ascii="宋体" w:hAnsi="宋体" w:eastAsia="宋体" w:cs="宋体"/>
                <w:snapToGrid w:val="0"/>
                <w:color w:val="auto"/>
                <w:kern w:val="0"/>
                <w:sz w:val="21"/>
                <w:szCs w:val="21"/>
                <w:highlight w:val="none"/>
                <w:lang w:val="en-US" w:eastAsia="zh-CN"/>
              </w:rPr>
              <w:t>单位</w:t>
            </w:r>
            <w:r>
              <w:rPr>
                <w:rFonts w:hint="eastAsia" w:ascii="宋体" w:hAnsi="宋体" w:eastAsia="宋体" w:cs="宋体"/>
                <w:snapToGrid w:val="0"/>
                <w:color w:val="auto"/>
                <w:kern w:val="0"/>
                <w:sz w:val="21"/>
                <w:szCs w:val="21"/>
                <w:highlight w:val="none"/>
              </w:rPr>
              <w:t>公章。</w:t>
            </w:r>
          </w:p>
          <w:p w14:paraId="693BA81E">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任一认证证书有以下情形的，该认证证书视为无效，不予计分：认证证书不在有效期内的。</w:t>
            </w:r>
          </w:p>
        </w:tc>
      </w:tr>
      <w:tr w14:paraId="5ECADCDB">
        <w:tblPrEx>
          <w:tblCellMar>
            <w:top w:w="0" w:type="dxa"/>
            <w:left w:w="108" w:type="dxa"/>
            <w:bottom w:w="0" w:type="dxa"/>
            <w:right w:w="108" w:type="dxa"/>
          </w:tblCellMar>
        </w:tblPrEx>
        <w:trPr>
          <w:trHeight w:val="305"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0EADD892">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w:t>
            </w:r>
          </w:p>
          <w:p w14:paraId="48DA16D0">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财务状况</w:t>
            </w:r>
          </w:p>
          <w:p w14:paraId="6E5898A8">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如为联合体投标，由联合体牵头人提供）</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5FBEED44">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提供不少于</w:t>
            </w:r>
            <w:r>
              <w:rPr>
                <w:rFonts w:hint="eastAsia" w:ascii="宋体" w:hAnsi="宋体" w:eastAsia="宋体" w:cs="宋体"/>
                <w:color w:val="auto"/>
                <w:sz w:val="21"/>
                <w:szCs w:val="21"/>
                <w:highlight w:val="none"/>
                <w:u w:val="single"/>
                <w:lang w:val="en-US" w:eastAsia="zh-CN"/>
              </w:rPr>
              <w:t>100</w:t>
            </w:r>
            <w:r>
              <w:rPr>
                <w:rFonts w:hint="eastAsia" w:ascii="宋体" w:hAnsi="宋体" w:eastAsia="宋体" w:cs="宋体"/>
                <w:color w:val="auto"/>
                <w:sz w:val="21"/>
                <w:szCs w:val="21"/>
                <w:highlight w:val="none"/>
              </w:rPr>
              <w:t>万元银行授信证明的，得</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分。</w:t>
            </w:r>
          </w:p>
          <w:p w14:paraId="4684E21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提供投标人基本账户在本项目招标公告发布之日起至投标截止时间期间出现过至少连续3日不少于</w:t>
            </w:r>
            <w:r>
              <w:rPr>
                <w:rFonts w:hint="eastAsia" w:ascii="宋体" w:hAnsi="宋体" w:eastAsia="宋体" w:cs="宋体"/>
                <w:color w:val="auto"/>
                <w:sz w:val="21"/>
                <w:szCs w:val="21"/>
                <w:highlight w:val="none"/>
                <w:u w:val="single"/>
                <w:lang w:val="en-US" w:eastAsia="zh-CN"/>
              </w:rPr>
              <w:t>100</w:t>
            </w:r>
            <w:r>
              <w:rPr>
                <w:rFonts w:hint="eastAsia" w:ascii="宋体" w:hAnsi="宋体" w:eastAsia="宋体" w:cs="宋体"/>
                <w:color w:val="auto"/>
                <w:sz w:val="21"/>
                <w:szCs w:val="21"/>
                <w:highlight w:val="none"/>
              </w:rPr>
              <w:t>万元存款余额资金流水证明的，得</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rPr>
              <w:t>分。</w:t>
            </w:r>
          </w:p>
          <w:p w14:paraId="2239708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未提供以上两项证明的，不予计分。</w:t>
            </w:r>
          </w:p>
          <w:p w14:paraId="5DDF2143">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4.本项最高得10分。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0B644A7B">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须附在有效期内的有关证明彩色扫描件并加盖</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公章。</w:t>
            </w:r>
          </w:p>
          <w:p w14:paraId="659F1CF3">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银行授信证明有以下情形之一的，视为无效，不予计分：</w:t>
            </w:r>
          </w:p>
          <w:p w14:paraId="200F6DF3">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①授信证明不在有效期内的；</w:t>
            </w:r>
          </w:p>
          <w:p w14:paraId="5E64F899">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②授信额度不符合要求的；</w:t>
            </w:r>
          </w:p>
          <w:p w14:paraId="280F143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存款余额资金流水证明有以下情形之一的，视为无效，不予计分：</w:t>
            </w:r>
          </w:p>
          <w:p w14:paraId="3514A04D">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①存款账户不是基本账户的；</w:t>
            </w:r>
          </w:p>
          <w:p w14:paraId="74CBC06C">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②存款时间不符合要求的；</w:t>
            </w:r>
          </w:p>
          <w:p w14:paraId="3CFAE44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③存款额度不符合要求的。</w:t>
            </w:r>
          </w:p>
        </w:tc>
      </w:tr>
      <w:tr w14:paraId="3EF6D5D9">
        <w:tblPrEx>
          <w:tblCellMar>
            <w:top w:w="0" w:type="dxa"/>
            <w:left w:w="108" w:type="dxa"/>
            <w:bottom w:w="0" w:type="dxa"/>
            <w:right w:w="108" w:type="dxa"/>
          </w:tblCellMar>
        </w:tblPrEx>
        <w:trPr>
          <w:trHeight w:val="1379" w:hRule="atLeast"/>
          <w:jc w:val="center"/>
        </w:trPr>
        <w:tc>
          <w:tcPr>
            <w:tcW w:w="1269" w:type="dxa"/>
            <w:vMerge w:val="restart"/>
            <w:tcBorders>
              <w:top w:val="single" w:color="auto" w:sz="4" w:space="0"/>
              <w:left w:val="single" w:color="auto" w:sz="4" w:space="0"/>
              <w:bottom w:val="single" w:color="auto" w:sz="4" w:space="0"/>
              <w:right w:val="single" w:color="auto" w:sz="4" w:space="0"/>
            </w:tcBorders>
            <w:noWrap w:val="0"/>
            <w:vAlign w:val="center"/>
          </w:tcPr>
          <w:p w14:paraId="60008A2F">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p w14:paraId="3FC5DD14">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自选项</w:t>
            </w:r>
          </w:p>
          <w:p w14:paraId="19508041">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如为联合体投标，由联合体牵头人提供）</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2CB37440">
            <w:pPr>
              <w:wordWrap w:val="0"/>
              <w:adjustRightInd w:val="0"/>
              <w:snapToGrid w:val="0"/>
              <w:spacing w:line="24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spacing w:val="12"/>
                <w:sz w:val="21"/>
                <w:szCs w:val="21"/>
                <w:highlight w:val="none"/>
                <w:lang w:val="en-US" w:eastAsia="zh-CN"/>
              </w:rPr>
              <w:t>投标人2021年1月1日至今</w:t>
            </w:r>
            <w:r>
              <w:rPr>
                <w:rFonts w:hint="eastAsia" w:ascii="宋体" w:hAnsi="宋体" w:eastAsia="宋体" w:cs="宋体"/>
                <w:color w:val="auto"/>
                <w:kern w:val="0"/>
                <w:sz w:val="21"/>
                <w:szCs w:val="21"/>
                <w:highlight w:val="none"/>
                <w:lang w:val="en-US" w:eastAsia="zh-CN"/>
              </w:rPr>
              <w:t>获得过省级或以上土木建筑学会颁发的科技创新先进企业证书的得5分；</w:t>
            </w:r>
          </w:p>
          <w:p w14:paraId="79A531FA">
            <w:pPr>
              <w:wordWrap w:val="0"/>
              <w:adjustRightInd w:val="0"/>
              <w:snapToGrid w:val="0"/>
              <w:spacing w:line="24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2.其他情形的，不予计分。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6DA24C5C">
            <w:pPr>
              <w:spacing w:line="240" w:lineRule="auto"/>
              <w:ind w:right="36"/>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证书由</w:t>
            </w:r>
            <w:r>
              <w:rPr>
                <w:rFonts w:hint="eastAsia" w:ascii="宋体" w:hAnsi="宋体" w:eastAsia="宋体" w:cs="宋体"/>
                <w:color w:val="auto"/>
                <w:kern w:val="0"/>
                <w:sz w:val="21"/>
                <w:szCs w:val="21"/>
                <w:highlight w:val="none"/>
                <w:lang w:val="en-US" w:eastAsia="zh-CN"/>
              </w:rPr>
              <w:t>省级或以上土木建筑学会</w:t>
            </w:r>
            <w:r>
              <w:rPr>
                <w:rFonts w:hint="eastAsia" w:ascii="宋体" w:hAnsi="宋体" w:eastAsia="宋体" w:cs="宋体"/>
                <w:color w:val="auto"/>
                <w:kern w:val="0"/>
                <w:sz w:val="21"/>
                <w:szCs w:val="21"/>
                <w:highlight w:val="none"/>
              </w:rPr>
              <w:t>颁发，须提供有关证书彩色扫描件</w:t>
            </w:r>
            <w:r>
              <w:rPr>
                <w:rFonts w:hint="eastAsia" w:ascii="宋体" w:hAnsi="宋体" w:eastAsia="宋体" w:cs="宋体"/>
                <w:color w:val="auto"/>
                <w:spacing w:val="6"/>
                <w:sz w:val="21"/>
                <w:szCs w:val="21"/>
                <w:highlight w:val="none"/>
              </w:rPr>
              <w:t>并加盖</w:t>
            </w:r>
            <w:r>
              <w:rPr>
                <w:rFonts w:hint="eastAsia" w:ascii="宋体" w:hAnsi="宋体" w:eastAsia="宋体" w:cs="宋体"/>
                <w:color w:val="auto"/>
                <w:spacing w:val="6"/>
                <w:sz w:val="21"/>
                <w:szCs w:val="21"/>
                <w:highlight w:val="none"/>
                <w:lang w:val="en-US" w:eastAsia="zh-CN"/>
              </w:rPr>
              <w:t>单位</w:t>
            </w:r>
            <w:r>
              <w:rPr>
                <w:rFonts w:hint="eastAsia" w:ascii="宋体" w:hAnsi="宋体" w:eastAsia="宋体" w:cs="宋体"/>
                <w:color w:val="auto"/>
                <w:spacing w:val="6"/>
                <w:sz w:val="21"/>
                <w:szCs w:val="21"/>
                <w:highlight w:val="none"/>
              </w:rPr>
              <w:t>公章。</w:t>
            </w:r>
          </w:p>
          <w:p w14:paraId="791C7451">
            <w:pPr>
              <w:wordWrap w:val="0"/>
              <w:adjustRightInd w:val="0"/>
              <w:snapToGrid w:val="0"/>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2.颁发机构</w:t>
            </w:r>
            <w:r>
              <w:rPr>
                <w:rFonts w:hint="eastAsia" w:ascii="宋体" w:hAnsi="宋体" w:eastAsia="宋体" w:cs="宋体"/>
                <w:color w:val="auto"/>
                <w:spacing w:val="6"/>
                <w:sz w:val="21"/>
                <w:szCs w:val="21"/>
                <w:highlight w:val="none"/>
              </w:rPr>
              <w:t>不符合评分标准和备注规定的，</w:t>
            </w:r>
            <w:r>
              <w:rPr>
                <w:rFonts w:hint="eastAsia" w:ascii="宋体" w:hAnsi="宋体" w:eastAsia="宋体" w:cs="宋体"/>
                <w:color w:val="auto"/>
                <w:kern w:val="0"/>
                <w:sz w:val="21"/>
                <w:szCs w:val="21"/>
                <w:highlight w:val="none"/>
                <w:lang w:val="en-US" w:eastAsia="zh-CN"/>
              </w:rPr>
              <w:t>不予得分。</w:t>
            </w:r>
          </w:p>
        </w:tc>
      </w:tr>
      <w:tr w14:paraId="5D65EBC0">
        <w:tblPrEx>
          <w:tblCellMar>
            <w:top w:w="0" w:type="dxa"/>
            <w:left w:w="108" w:type="dxa"/>
            <w:bottom w:w="0" w:type="dxa"/>
            <w:right w:w="108" w:type="dxa"/>
          </w:tblCellMar>
        </w:tblPrEx>
        <w:trPr>
          <w:trHeight w:val="335" w:hRule="atLeast"/>
          <w:jc w:val="center"/>
        </w:trPr>
        <w:tc>
          <w:tcPr>
            <w:tcW w:w="1269" w:type="dxa"/>
            <w:vMerge w:val="continue"/>
            <w:tcBorders>
              <w:top w:val="single" w:color="auto" w:sz="4" w:space="0"/>
              <w:left w:val="single" w:color="auto" w:sz="4" w:space="0"/>
              <w:bottom w:val="single" w:color="auto" w:sz="4" w:space="0"/>
              <w:right w:val="single" w:color="auto" w:sz="4" w:space="0"/>
            </w:tcBorders>
            <w:noWrap w:val="0"/>
            <w:vAlign w:val="center"/>
          </w:tcPr>
          <w:p w14:paraId="3A6E6146">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4086" w:type="dxa"/>
            <w:tcBorders>
              <w:top w:val="single" w:color="auto" w:sz="4" w:space="0"/>
              <w:left w:val="single" w:color="auto" w:sz="4" w:space="0"/>
              <w:bottom w:val="single" w:color="auto" w:sz="4" w:space="0"/>
              <w:right w:val="single" w:color="auto" w:sz="4" w:space="0"/>
            </w:tcBorders>
            <w:noWrap w:val="0"/>
            <w:vAlign w:val="center"/>
          </w:tcPr>
          <w:p w14:paraId="72FC2ECE">
            <w:pPr>
              <w:wordWrap w:val="0"/>
              <w:adjustRightInd w:val="0"/>
              <w:snapToGrid w:val="0"/>
              <w:spacing w:line="24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1.投标人2021年1月1日至今获得过省级或以上商业联合会颁发的诚信兴商证书的，得5分。本项最高得5分；</w:t>
            </w:r>
          </w:p>
          <w:p w14:paraId="33D6EDFB">
            <w:pPr>
              <w:wordWrap w:val="0"/>
              <w:adjustRightInd w:val="0"/>
              <w:snapToGrid w:val="0"/>
              <w:spacing w:line="24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2.其他情形的，不予计分。</w:t>
            </w:r>
          </w:p>
        </w:tc>
        <w:tc>
          <w:tcPr>
            <w:tcW w:w="4890" w:type="dxa"/>
            <w:tcBorders>
              <w:top w:val="single" w:color="auto" w:sz="4" w:space="0"/>
              <w:left w:val="single" w:color="auto" w:sz="4" w:space="0"/>
              <w:bottom w:val="single" w:color="auto" w:sz="4" w:space="0"/>
              <w:right w:val="single" w:color="auto" w:sz="4" w:space="0"/>
            </w:tcBorders>
            <w:noWrap w:val="0"/>
            <w:vAlign w:val="top"/>
          </w:tcPr>
          <w:p w14:paraId="723F2060">
            <w:pPr>
              <w:spacing w:line="240" w:lineRule="auto"/>
              <w:ind w:right="36"/>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1.证书由省级或以上商业联合会颁发，须提供有关证书彩色扫描件</w:t>
            </w:r>
            <w:r>
              <w:rPr>
                <w:rFonts w:hint="eastAsia" w:ascii="宋体" w:hAnsi="宋体" w:eastAsia="宋体" w:cs="宋体"/>
                <w:color w:val="auto"/>
                <w:kern w:val="0"/>
                <w:sz w:val="21"/>
                <w:szCs w:val="21"/>
                <w:highlight w:val="none"/>
              </w:rPr>
              <w:t>并加盖</w:t>
            </w:r>
            <w:r>
              <w:rPr>
                <w:rFonts w:hint="eastAsia" w:ascii="宋体" w:hAnsi="宋体" w:eastAsia="宋体" w:cs="宋体"/>
                <w:color w:val="auto"/>
                <w:kern w:val="0"/>
                <w:sz w:val="21"/>
                <w:szCs w:val="21"/>
                <w:highlight w:val="none"/>
                <w:lang w:val="en-US" w:eastAsia="zh-CN"/>
              </w:rPr>
              <w:t>单位</w:t>
            </w:r>
            <w:r>
              <w:rPr>
                <w:rFonts w:hint="eastAsia" w:ascii="宋体" w:hAnsi="宋体" w:eastAsia="宋体" w:cs="宋体"/>
                <w:color w:val="auto"/>
                <w:kern w:val="0"/>
                <w:sz w:val="21"/>
                <w:szCs w:val="21"/>
                <w:highlight w:val="none"/>
              </w:rPr>
              <w:t>公章</w:t>
            </w:r>
            <w:r>
              <w:rPr>
                <w:rFonts w:hint="eastAsia" w:ascii="宋体" w:hAnsi="宋体" w:eastAsia="宋体" w:cs="宋体"/>
                <w:color w:val="auto"/>
                <w:kern w:val="0"/>
                <w:sz w:val="21"/>
                <w:szCs w:val="21"/>
                <w:highlight w:val="none"/>
                <w:lang w:val="en-US" w:eastAsia="zh-CN"/>
              </w:rPr>
              <w:t>。获取时间以证书日期为准。</w:t>
            </w:r>
          </w:p>
          <w:p w14:paraId="74A98C7C">
            <w:pPr>
              <w:spacing w:line="240" w:lineRule="auto"/>
              <w:ind w:right="36"/>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2.获取时间，颁发机构不符合要求的，按第2项标准处理。</w:t>
            </w:r>
          </w:p>
        </w:tc>
      </w:tr>
      <w:tr w14:paraId="18C6D95E">
        <w:tblPrEx>
          <w:tblCellMar>
            <w:top w:w="0" w:type="dxa"/>
            <w:left w:w="108" w:type="dxa"/>
            <w:bottom w:w="0" w:type="dxa"/>
            <w:right w:w="108" w:type="dxa"/>
          </w:tblCellMar>
        </w:tblPrEx>
        <w:trPr>
          <w:trHeight w:val="1971" w:hRule="atLeast"/>
          <w:jc w:val="center"/>
        </w:trPr>
        <w:tc>
          <w:tcPr>
            <w:tcW w:w="1269" w:type="dxa"/>
            <w:vMerge w:val="continue"/>
            <w:tcBorders>
              <w:top w:val="single" w:color="auto" w:sz="4" w:space="0"/>
              <w:left w:val="single" w:color="auto" w:sz="4" w:space="0"/>
              <w:bottom w:val="single" w:color="auto" w:sz="4" w:space="0"/>
              <w:right w:val="single" w:color="auto" w:sz="4" w:space="0"/>
            </w:tcBorders>
            <w:noWrap w:val="0"/>
            <w:vAlign w:val="center"/>
          </w:tcPr>
          <w:p w14:paraId="272CC296">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4086" w:type="dxa"/>
            <w:tcBorders>
              <w:top w:val="single" w:color="auto" w:sz="4" w:space="0"/>
              <w:left w:val="single" w:color="auto" w:sz="4" w:space="0"/>
              <w:bottom w:val="single" w:color="auto" w:sz="4" w:space="0"/>
              <w:right w:val="single" w:color="auto" w:sz="4" w:space="0"/>
            </w:tcBorders>
            <w:noWrap w:val="0"/>
            <w:vAlign w:val="center"/>
          </w:tcPr>
          <w:p w14:paraId="109249CB">
            <w:pPr>
              <w:pStyle w:val="59"/>
              <w:numPr>
                <w:ilvl w:val="0"/>
                <w:numId w:val="0"/>
              </w:numPr>
              <w:spacing w:line="240" w:lineRule="auto"/>
              <w:rPr>
                <w:rFonts w:hint="eastAsia" w:ascii="宋体" w:hAnsi="宋体" w:eastAsia="宋体" w:cs="宋体"/>
                <w:color w:val="auto"/>
                <w:spacing w:val="12"/>
                <w:sz w:val="21"/>
                <w:szCs w:val="21"/>
                <w:highlight w:val="none"/>
              </w:rPr>
            </w:pPr>
            <w:r>
              <w:rPr>
                <w:rFonts w:hint="eastAsia" w:ascii="宋体" w:hAnsi="宋体" w:eastAsia="宋体" w:cs="宋体"/>
                <w:color w:val="auto"/>
                <w:kern w:val="0"/>
                <w:sz w:val="21"/>
                <w:szCs w:val="21"/>
                <w:highlight w:val="none"/>
                <w:lang w:val="en-US" w:eastAsia="zh-CN"/>
              </w:rPr>
              <w:t>1.投标人</w:t>
            </w:r>
            <w:r>
              <w:rPr>
                <w:rFonts w:hint="eastAsia" w:ascii="宋体" w:hAnsi="宋体" w:eastAsia="宋体" w:cs="宋体"/>
                <w:color w:val="auto"/>
                <w:spacing w:val="12"/>
                <w:sz w:val="21"/>
                <w:szCs w:val="21"/>
                <w:highlight w:val="none"/>
              </w:rPr>
              <w:t>连续</w:t>
            </w:r>
            <w:r>
              <w:rPr>
                <w:rFonts w:hint="eastAsia" w:ascii="宋体" w:hAnsi="宋体" w:eastAsia="宋体" w:cs="宋体"/>
                <w:color w:val="auto"/>
                <w:spacing w:val="12"/>
                <w:sz w:val="21"/>
                <w:szCs w:val="21"/>
                <w:highlight w:val="none"/>
                <w:lang w:val="en-US" w:eastAsia="zh-CN"/>
              </w:rPr>
              <w:t>5</w:t>
            </w:r>
            <w:r>
              <w:rPr>
                <w:rFonts w:hint="eastAsia" w:ascii="宋体" w:hAnsi="宋体" w:eastAsia="宋体" w:cs="宋体"/>
                <w:color w:val="auto"/>
                <w:spacing w:val="12"/>
                <w:sz w:val="21"/>
                <w:szCs w:val="21"/>
                <w:highlight w:val="none"/>
              </w:rPr>
              <w:t>年或</w:t>
            </w:r>
            <w:r>
              <w:rPr>
                <w:rFonts w:hint="eastAsia" w:ascii="宋体" w:hAnsi="宋体" w:eastAsia="宋体" w:cs="宋体"/>
                <w:color w:val="auto"/>
                <w:spacing w:val="12"/>
                <w:sz w:val="21"/>
                <w:szCs w:val="21"/>
                <w:highlight w:val="none"/>
                <w:lang w:val="en-US" w:eastAsia="zh-CN"/>
              </w:rPr>
              <w:t>5</w:t>
            </w:r>
            <w:r>
              <w:rPr>
                <w:rFonts w:hint="eastAsia" w:ascii="宋体" w:hAnsi="宋体" w:eastAsia="宋体" w:cs="宋体"/>
                <w:color w:val="auto"/>
                <w:spacing w:val="12"/>
                <w:sz w:val="21"/>
                <w:szCs w:val="21"/>
                <w:highlight w:val="none"/>
              </w:rPr>
              <w:t>年以上（含</w:t>
            </w:r>
            <w:r>
              <w:rPr>
                <w:rFonts w:hint="eastAsia" w:ascii="宋体" w:hAnsi="宋体" w:eastAsia="宋体" w:cs="宋体"/>
                <w:color w:val="auto"/>
                <w:spacing w:val="12"/>
                <w:sz w:val="21"/>
                <w:szCs w:val="21"/>
                <w:highlight w:val="none"/>
                <w:lang w:val="en-US" w:eastAsia="zh-CN"/>
              </w:rPr>
              <w:t>5</w:t>
            </w:r>
            <w:r>
              <w:rPr>
                <w:rFonts w:hint="eastAsia" w:ascii="宋体" w:hAnsi="宋体" w:eastAsia="宋体" w:cs="宋体"/>
                <w:color w:val="auto"/>
                <w:spacing w:val="12"/>
                <w:sz w:val="21"/>
                <w:szCs w:val="21"/>
                <w:highlight w:val="none"/>
              </w:rPr>
              <w:t>年）获得纳税信用A级纳税人的，得5分。(其中必须有202</w:t>
            </w:r>
            <w:r>
              <w:rPr>
                <w:rFonts w:hint="eastAsia" w:ascii="宋体" w:hAnsi="宋体" w:eastAsia="宋体" w:cs="宋体"/>
                <w:color w:val="auto"/>
                <w:spacing w:val="12"/>
                <w:sz w:val="21"/>
                <w:szCs w:val="21"/>
                <w:highlight w:val="none"/>
                <w:lang w:val="en-US" w:eastAsia="zh-CN"/>
              </w:rPr>
              <w:t>5</w:t>
            </w:r>
            <w:r>
              <w:rPr>
                <w:rFonts w:hint="eastAsia" w:ascii="宋体" w:hAnsi="宋体" w:eastAsia="宋体" w:cs="宋体"/>
                <w:color w:val="auto"/>
                <w:spacing w:val="12"/>
                <w:sz w:val="21"/>
                <w:szCs w:val="21"/>
                <w:highlight w:val="none"/>
              </w:rPr>
              <w:t>年度)</w:t>
            </w:r>
          </w:p>
          <w:p w14:paraId="0EFD8442">
            <w:pPr>
              <w:pStyle w:val="59"/>
              <w:numPr>
                <w:ilvl w:val="0"/>
                <w:numId w:val="0"/>
              </w:numPr>
              <w:spacing w:line="240" w:lineRule="auto"/>
              <w:rPr>
                <w:rFonts w:hint="eastAsia" w:ascii="宋体" w:hAnsi="宋体" w:eastAsia="宋体" w:cs="宋体"/>
                <w:color w:val="auto"/>
                <w:spacing w:val="12"/>
                <w:sz w:val="21"/>
                <w:szCs w:val="21"/>
                <w:highlight w:val="none"/>
              </w:rPr>
            </w:pPr>
            <w:r>
              <w:rPr>
                <w:rFonts w:hint="eastAsia" w:ascii="宋体" w:hAnsi="宋体" w:eastAsia="宋体" w:cs="宋体"/>
                <w:color w:val="auto"/>
                <w:kern w:val="0"/>
                <w:sz w:val="21"/>
                <w:szCs w:val="21"/>
                <w:highlight w:val="none"/>
                <w:lang w:val="en-US" w:eastAsia="zh-CN"/>
              </w:rPr>
              <w:t>2.其他情形的，不予计分。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424008F2">
            <w:pPr>
              <w:pStyle w:val="59"/>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1．必须提供企业纳税信用 A 级纳税人证明材料（或证书）</w:t>
            </w:r>
            <w:r>
              <w:rPr>
                <w:rFonts w:hint="eastAsia" w:ascii="宋体" w:hAnsi="宋体" w:eastAsia="宋体" w:cs="宋体"/>
                <w:color w:val="auto"/>
                <w:kern w:val="0"/>
                <w:sz w:val="21"/>
                <w:szCs w:val="21"/>
                <w:highlight w:val="none"/>
              </w:rPr>
              <w:t>彩色扫描件</w:t>
            </w:r>
            <w:r>
              <w:rPr>
                <w:rFonts w:hint="eastAsia" w:ascii="宋体" w:hAnsi="宋体" w:eastAsia="宋体" w:cs="宋体"/>
                <w:color w:val="auto"/>
                <w:sz w:val="21"/>
                <w:szCs w:val="21"/>
                <w:highlight w:val="none"/>
              </w:rPr>
              <w:t>及国家税务总局网上查询截图</w:t>
            </w:r>
            <w:r>
              <w:rPr>
                <w:rFonts w:hint="eastAsia" w:ascii="宋体" w:hAnsi="宋体" w:eastAsia="宋体" w:cs="宋体"/>
                <w:color w:val="auto"/>
                <w:kern w:val="0"/>
                <w:sz w:val="21"/>
                <w:szCs w:val="21"/>
                <w:highlight w:val="none"/>
              </w:rPr>
              <w:t>并加盖</w:t>
            </w:r>
            <w:r>
              <w:rPr>
                <w:rFonts w:hint="eastAsia" w:ascii="宋体" w:hAnsi="宋体" w:eastAsia="宋体" w:cs="宋体"/>
                <w:color w:val="auto"/>
                <w:kern w:val="0"/>
                <w:sz w:val="21"/>
                <w:szCs w:val="21"/>
                <w:highlight w:val="none"/>
                <w:lang w:val="en-US" w:eastAsia="zh-CN"/>
              </w:rPr>
              <w:t>单位</w:t>
            </w:r>
            <w:r>
              <w:rPr>
                <w:rFonts w:hint="eastAsia" w:ascii="宋体" w:hAnsi="宋体" w:eastAsia="宋体" w:cs="宋体"/>
                <w:color w:val="auto"/>
                <w:kern w:val="0"/>
                <w:sz w:val="21"/>
                <w:szCs w:val="21"/>
                <w:highlight w:val="none"/>
              </w:rPr>
              <w:t>公章</w:t>
            </w:r>
            <w:r>
              <w:rPr>
                <w:rFonts w:hint="eastAsia" w:ascii="宋体" w:hAnsi="宋体" w:eastAsia="宋体" w:cs="宋体"/>
                <w:color w:val="auto"/>
                <w:sz w:val="21"/>
                <w:szCs w:val="21"/>
                <w:highlight w:val="none"/>
              </w:rPr>
              <w:t>，否则不得分。</w:t>
            </w:r>
          </w:p>
          <w:p w14:paraId="5B349322">
            <w:pPr>
              <w:pStyle w:val="59"/>
              <w:spacing w:line="240" w:lineRule="auto"/>
              <w:ind w:right="-15" w:right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2．只计算投标人自身（不计算投标人的分公司、子公司及分支机构）。</w:t>
            </w:r>
          </w:p>
        </w:tc>
      </w:tr>
      <w:tr w14:paraId="5751F059">
        <w:tblPrEx>
          <w:tblCellMar>
            <w:top w:w="0" w:type="dxa"/>
            <w:left w:w="108" w:type="dxa"/>
            <w:bottom w:w="0" w:type="dxa"/>
            <w:right w:w="108" w:type="dxa"/>
          </w:tblCellMar>
        </w:tblPrEx>
        <w:trPr>
          <w:trHeight w:val="2083" w:hRule="atLeast"/>
          <w:jc w:val="center"/>
        </w:trPr>
        <w:tc>
          <w:tcPr>
            <w:tcW w:w="1269" w:type="dxa"/>
            <w:vMerge w:val="continue"/>
            <w:tcBorders>
              <w:top w:val="single" w:color="auto" w:sz="4" w:space="0"/>
              <w:left w:val="single" w:color="auto" w:sz="4" w:space="0"/>
              <w:bottom w:val="single" w:color="auto" w:sz="4" w:space="0"/>
              <w:right w:val="single" w:color="auto" w:sz="4" w:space="0"/>
            </w:tcBorders>
            <w:noWrap w:val="0"/>
            <w:vAlign w:val="center"/>
          </w:tcPr>
          <w:p w14:paraId="4A456CD2">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4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F9B9B6">
            <w:pPr>
              <w:pStyle w:val="6"/>
              <w:keepNext w:val="0"/>
              <w:keepLines/>
              <w:pageBreakBefore w:val="0"/>
              <w:widowControl/>
              <w:kinsoku/>
              <w:wordWrap w:val="0"/>
              <w:overflowPunct/>
              <w:topLinePunct w:val="0"/>
              <w:bidi w:val="0"/>
              <w:adjustRightInd w:val="0"/>
              <w:snapToGrid w:val="0"/>
              <w:spacing w:after="0" w:afterLines="0" w:line="24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1.投标人近年来（指2021年1月1日至今）未发生事故等级为一般事故及以上的生产安全事故、一般质量事故及以上的工程质量事故的，得5分；</w:t>
            </w:r>
          </w:p>
          <w:p w14:paraId="34568046">
            <w:pPr>
              <w:pStyle w:val="6"/>
              <w:keepNext w:val="0"/>
              <w:keepLines/>
              <w:pageBreakBefore w:val="0"/>
              <w:widowControl/>
              <w:kinsoku/>
              <w:wordWrap w:val="0"/>
              <w:overflowPunct/>
              <w:topLinePunct w:val="0"/>
              <w:bidi w:val="0"/>
              <w:adjustRightInd w:val="0"/>
              <w:snapToGrid w:val="0"/>
              <w:spacing w:after="0" w:afterLines="0"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2.其他情形的，不予计分。</w:t>
            </w:r>
          </w:p>
        </w:tc>
        <w:tc>
          <w:tcPr>
            <w:tcW w:w="48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FB2C08">
            <w:pPr>
              <w:pStyle w:val="6"/>
              <w:keepNext w:val="0"/>
              <w:keepLines/>
              <w:pageBreakBefore w:val="0"/>
              <w:widowControl/>
              <w:kinsoku/>
              <w:wordWrap w:val="0"/>
              <w:overflowPunct/>
              <w:topLinePunct w:val="0"/>
              <w:bidi w:val="0"/>
              <w:adjustRightInd w:val="0"/>
              <w:snapToGrid w:val="0"/>
              <w:spacing w:after="0" w:afterLines="0" w:line="240" w:lineRule="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rPr>
              <w:t>注：需提供本单位承诺书（格式自定）并加盖本单位公章。</w:t>
            </w:r>
          </w:p>
        </w:tc>
      </w:tr>
      <w:tr w14:paraId="51DED7F5">
        <w:tblPrEx>
          <w:tblCellMar>
            <w:top w:w="0" w:type="dxa"/>
            <w:left w:w="108" w:type="dxa"/>
            <w:bottom w:w="0" w:type="dxa"/>
            <w:right w:w="108" w:type="dxa"/>
          </w:tblCellMar>
        </w:tblPrEx>
        <w:trPr>
          <w:trHeight w:val="508" w:hRule="exact"/>
          <w:jc w:val="center"/>
        </w:trPr>
        <w:tc>
          <w:tcPr>
            <w:tcW w:w="10245"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F961DA">
            <w:pPr>
              <w:pStyle w:val="6"/>
              <w:keepNext w:val="0"/>
              <w:keepLines w:val="0"/>
              <w:pageBreakBefore w:val="0"/>
              <w:kinsoku/>
              <w:wordWrap w:val="0"/>
              <w:overflowPunct/>
              <w:topLinePunct w:val="0"/>
              <w:autoSpaceDE/>
              <w:autoSpaceDN/>
              <w:bidi w:val="0"/>
              <w:adjustRightInd w:val="0"/>
              <w:snapToGrid w:val="0"/>
              <w:spacing w:after="0" w:afterLines="0" w:line="240" w:lineRule="auto"/>
              <w:jc w:val="left"/>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技术部分（施工组织设计），满分：</w:t>
            </w:r>
            <w:r>
              <w:rPr>
                <w:rFonts w:hint="eastAsia" w:ascii="宋体" w:hAnsi="宋体" w:eastAsia="宋体" w:cs="宋体"/>
                <w:b/>
                <w:bCs/>
                <w:snapToGrid w:val="0"/>
                <w:color w:val="auto"/>
                <w:kern w:val="0"/>
                <w:sz w:val="21"/>
                <w:szCs w:val="21"/>
                <w:highlight w:val="none"/>
                <w:u w:val="single"/>
              </w:rPr>
              <w:t xml:space="preserve">  20  </w:t>
            </w:r>
            <w:r>
              <w:rPr>
                <w:rFonts w:hint="eastAsia" w:ascii="宋体" w:hAnsi="宋体" w:eastAsia="宋体" w:cs="宋体"/>
                <w:b/>
                <w:bCs/>
                <w:snapToGrid w:val="0"/>
                <w:color w:val="auto"/>
                <w:kern w:val="0"/>
                <w:sz w:val="21"/>
                <w:szCs w:val="21"/>
                <w:highlight w:val="none"/>
              </w:rPr>
              <w:t>分。</w:t>
            </w:r>
          </w:p>
        </w:tc>
      </w:tr>
      <w:tr w14:paraId="7658AEF9">
        <w:tblPrEx>
          <w:tblCellMar>
            <w:top w:w="0" w:type="dxa"/>
            <w:left w:w="108" w:type="dxa"/>
            <w:bottom w:w="0" w:type="dxa"/>
            <w:right w:w="108" w:type="dxa"/>
          </w:tblCellMar>
        </w:tblPrEx>
        <w:trPr>
          <w:trHeight w:val="466" w:hRule="exac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A56476D">
            <w:pPr>
              <w:pStyle w:val="6"/>
              <w:keepNext w:val="0"/>
              <w:keepLines w:val="0"/>
              <w:pageBreakBefore w:val="0"/>
              <w:kinsoku/>
              <w:wordWrap w:val="0"/>
              <w:overflowPunct/>
              <w:topLinePunct w:val="0"/>
              <w:autoSpaceDE/>
              <w:autoSpaceDN/>
              <w:bidi w:val="0"/>
              <w:adjustRightInd w:val="0"/>
              <w:snapToGrid w:val="0"/>
              <w:spacing w:after="0" w:afterLines="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评分因素</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407D951F">
            <w:pPr>
              <w:pStyle w:val="6"/>
              <w:keepNext w:val="0"/>
              <w:keepLines w:val="0"/>
              <w:pageBreakBefore w:val="0"/>
              <w:kinsoku/>
              <w:wordWrap w:val="0"/>
              <w:overflowPunct/>
              <w:topLinePunct w:val="0"/>
              <w:autoSpaceDE/>
              <w:autoSpaceDN/>
              <w:bidi w:val="0"/>
              <w:adjustRightInd w:val="0"/>
              <w:snapToGrid w:val="0"/>
              <w:spacing w:after="0" w:afterLines="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评分标准</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56D18D7D">
            <w:pPr>
              <w:pStyle w:val="6"/>
              <w:keepNext w:val="0"/>
              <w:keepLines w:val="0"/>
              <w:pageBreakBefore w:val="0"/>
              <w:kinsoku/>
              <w:wordWrap w:val="0"/>
              <w:overflowPunct/>
              <w:topLinePunct w:val="0"/>
              <w:autoSpaceDE/>
              <w:autoSpaceDN/>
              <w:bidi w:val="0"/>
              <w:adjustRightInd w:val="0"/>
              <w:snapToGrid w:val="0"/>
              <w:spacing w:after="0" w:afterLines="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备注</w:t>
            </w:r>
          </w:p>
        </w:tc>
      </w:tr>
      <w:tr w14:paraId="5323F21E">
        <w:tblPrEx>
          <w:tblCellMar>
            <w:top w:w="0" w:type="dxa"/>
            <w:left w:w="108" w:type="dxa"/>
            <w:bottom w:w="0" w:type="dxa"/>
            <w:right w:w="108" w:type="dxa"/>
          </w:tblCellMar>
        </w:tblPrEx>
        <w:trPr>
          <w:trHeight w:val="2550"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C81680E">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总体概述</w:t>
            </w:r>
          </w:p>
          <w:p w14:paraId="73DB3557">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01F2D8C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7BC557DA">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40024C53">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2EE071F2">
            <w:pPr>
              <w:keepNext w:val="0"/>
              <w:keepLines w:val="0"/>
              <w:pageBreakBefore w:val="0"/>
              <w:kinsoku/>
              <w:wordWrap w:val="0"/>
              <w:overflowPunct/>
              <w:topLinePunct w:val="0"/>
              <w:autoSpaceDE/>
              <w:autoSpaceDN/>
              <w:bidi w:val="0"/>
              <w:adjustRightInd w:val="0"/>
              <w:snapToGrid w:val="0"/>
              <w:spacing w:line="24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5925D1FB">
            <w:pPr>
              <w:keepNext w:val="0"/>
              <w:keepLines w:val="0"/>
              <w:pageBreakBefore w:val="0"/>
              <w:widowControl/>
              <w:kinsoku/>
              <w:wordWrap w:val="0"/>
              <w:overflowPunct/>
              <w:topLinePunct w:val="0"/>
              <w:autoSpaceDE/>
              <w:autoSpaceDN/>
              <w:bidi w:val="0"/>
              <w:adjustRightInd w:val="0"/>
              <w:snapToGrid w:val="0"/>
              <w:spacing w:line="240" w:lineRule="auto"/>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1F90B2FF">
            <w:pPr>
              <w:keepNext w:val="0"/>
              <w:keepLines w:val="0"/>
              <w:pageBreakBefore w:val="0"/>
              <w:widowControl/>
              <w:kinsoku/>
              <w:wordWrap w:val="0"/>
              <w:overflowPunct/>
              <w:topLinePunct w:val="0"/>
              <w:autoSpaceDE/>
              <w:autoSpaceDN/>
              <w:bidi w:val="0"/>
              <w:adjustRightInd w:val="0"/>
              <w:snapToGrid w:val="0"/>
              <w:spacing w:line="240" w:lineRule="auto"/>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【良】对项目总体有一定认识，表述清晰、完整，措施具体有效；施工段划分呼应总体表述，划分清晰，符合规范要求。</w:t>
            </w:r>
          </w:p>
          <w:p w14:paraId="49193DCC">
            <w:pPr>
              <w:keepNext w:val="0"/>
              <w:keepLines w:val="0"/>
              <w:pageBreakBefore w:val="0"/>
              <w:widowControl/>
              <w:kinsoku/>
              <w:wordWrap w:val="0"/>
              <w:overflowPunct/>
              <w:topLinePunct w:val="0"/>
              <w:autoSpaceDE/>
              <w:autoSpaceDN/>
              <w:bidi w:val="0"/>
              <w:adjustRightInd w:val="0"/>
              <w:snapToGrid w:val="0"/>
              <w:spacing w:line="240" w:lineRule="auto"/>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【中】对项目总体有认识，有一定的措施但部分不具体；施工段划分较合理，符合规范要求。</w:t>
            </w:r>
          </w:p>
          <w:p w14:paraId="477D7FC1">
            <w:pPr>
              <w:keepNext w:val="0"/>
              <w:keepLines w:val="0"/>
              <w:pageBreakBefore w:val="0"/>
              <w:widowControl/>
              <w:kinsoku/>
              <w:wordWrap w:val="0"/>
              <w:overflowPunct/>
              <w:topLinePunct w:val="0"/>
              <w:autoSpaceDE/>
              <w:autoSpaceDN/>
              <w:bidi w:val="0"/>
              <w:adjustRightInd w:val="0"/>
              <w:snapToGrid w:val="0"/>
              <w:spacing w:line="240" w:lineRule="auto"/>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【差】对项目认识不足，表述不清晰，措施不具体；施工段划分不合理。</w:t>
            </w:r>
          </w:p>
        </w:tc>
      </w:tr>
      <w:tr w14:paraId="2811CA5D">
        <w:tblPrEx>
          <w:tblCellMar>
            <w:top w:w="0" w:type="dxa"/>
            <w:left w:w="108" w:type="dxa"/>
            <w:bottom w:w="0" w:type="dxa"/>
            <w:right w:w="108" w:type="dxa"/>
          </w:tblCellMar>
        </w:tblPrEx>
        <w:trPr>
          <w:trHeight w:val="457"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1663052">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14:paraId="7C5AB494">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14:paraId="042D0A1A">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53FF9F00">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single"/>
              </w:rPr>
              <w:t xml:space="preserve">3 </w:t>
            </w:r>
            <w:r>
              <w:rPr>
                <w:rFonts w:hint="eastAsia" w:ascii="宋体" w:hAnsi="宋体" w:eastAsia="宋体" w:cs="宋体"/>
                <w:snapToGrid w:val="0"/>
                <w:color w:val="auto"/>
                <w:kern w:val="0"/>
                <w:sz w:val="21"/>
                <w:szCs w:val="21"/>
                <w:highlight w:val="none"/>
              </w:rPr>
              <w:t>分）</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031017D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0368A922">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7E16DB6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5392588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650D0C8C">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20E5CD5E">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011BDAA2">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176F73E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7E4DCFF9">
        <w:tblPrEx>
          <w:tblCellMar>
            <w:top w:w="0" w:type="dxa"/>
            <w:left w:w="108" w:type="dxa"/>
            <w:bottom w:w="0" w:type="dxa"/>
            <w:right w:w="108" w:type="dxa"/>
          </w:tblCellMar>
        </w:tblPrEx>
        <w:trPr>
          <w:trHeight w:val="90"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1DC133A7">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7B1B855E">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1F51F229">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4</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分）</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51083FD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213F150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24D29CA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17589AC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5EEF86D9">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【优】应用新技术、新工艺、新材料、新设备，针对项目实际提出先进、可行、具体的保证措施。超过招标文件的质量要求。</w:t>
            </w:r>
          </w:p>
          <w:p w14:paraId="6B2EEA8F">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【良】针对项目实际提出先进、可行、具体的保证措施。满足招标文件的质量要求。</w:t>
            </w:r>
          </w:p>
          <w:p w14:paraId="548076F4">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【中】具体措施可行。满足招标文件的质量要求。</w:t>
            </w:r>
          </w:p>
          <w:p w14:paraId="540AED0C">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p>
        </w:tc>
      </w:tr>
      <w:tr w14:paraId="1385DA1B">
        <w:tblPrEx>
          <w:tblCellMar>
            <w:top w:w="0" w:type="dxa"/>
            <w:left w:w="108" w:type="dxa"/>
            <w:bottom w:w="0" w:type="dxa"/>
            <w:right w:w="108" w:type="dxa"/>
          </w:tblCellMar>
        </w:tblPrEx>
        <w:trPr>
          <w:trHeight w:val="1242"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24DD28DC">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14:paraId="61BDAE53">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14:paraId="71F40EB7">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2C1CBEC9">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0CD12BAD">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25BB82A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6F04AC4C">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5FE8D1FA">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557B3AC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21FFEB73">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80BE51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0D8187BD">
        <w:tblPrEx>
          <w:tblCellMar>
            <w:top w:w="0" w:type="dxa"/>
            <w:left w:w="108" w:type="dxa"/>
            <w:bottom w:w="0" w:type="dxa"/>
            <w:right w:w="108" w:type="dxa"/>
          </w:tblCellMar>
        </w:tblPrEx>
        <w:trPr>
          <w:trHeight w:val="2623"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344062EA">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绿色施工、安全防护、文明施工措施计划</w:t>
            </w:r>
          </w:p>
          <w:p w14:paraId="3B41BCFB">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2BACA2EC">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2E34C69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4B2C0C7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594CE7CC">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1B3F02AE">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14:paraId="75C7E13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14:paraId="47C318BA">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14:paraId="05215312">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14:paraId="17B3B7D3">
        <w:tblPrEx>
          <w:tblCellMar>
            <w:top w:w="0" w:type="dxa"/>
            <w:left w:w="108" w:type="dxa"/>
            <w:bottom w:w="0" w:type="dxa"/>
            <w:right w:w="108" w:type="dxa"/>
          </w:tblCellMar>
        </w:tblPrEx>
        <w:trPr>
          <w:trHeight w:val="2723"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76715DE">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14:paraId="6DA4EFA3">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14:paraId="1A690095">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3864BBE6">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4076016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53A8C705">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5C3BA549">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0B545726">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14:paraId="3192C9F4">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14:paraId="44B86EEA">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14:paraId="325357D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14:paraId="412438BA">
        <w:tblPrEx>
          <w:tblCellMar>
            <w:top w:w="0" w:type="dxa"/>
            <w:left w:w="108" w:type="dxa"/>
            <w:bottom w:w="0" w:type="dxa"/>
            <w:right w:w="108" w:type="dxa"/>
          </w:tblCellMar>
        </w:tblPrEx>
        <w:trPr>
          <w:trHeight w:val="314"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032C30C4">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26C47F3E">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373C5DF6">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4086" w:type="dxa"/>
            <w:tcBorders>
              <w:top w:val="single" w:color="auto" w:sz="4" w:space="0"/>
              <w:left w:val="single" w:color="auto" w:sz="4" w:space="0"/>
              <w:bottom w:val="single" w:color="auto" w:sz="4" w:space="0"/>
              <w:right w:val="single" w:color="auto" w:sz="4" w:space="0"/>
            </w:tcBorders>
            <w:noWrap w:val="0"/>
            <w:vAlign w:val="center"/>
          </w:tcPr>
          <w:p w14:paraId="613E0304">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61280E51">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4E45CC12">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60A01B13">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1FAB6DD8">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项目管理人员内高级职称人员20%（含20%）以上、中级及以上职称人员60%（含60%）以上。</w:t>
            </w:r>
          </w:p>
          <w:p w14:paraId="4FC5513E">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【良】组织机构形式合理，指挥系统，生产及质量、绿色施工、安全、文明施工、创优达标监控系统、联络协调系统齐全，项目管理人员内高级职称人员15%～20%（含15%）、中级及以上职称人员50%～60%（含50%）。</w:t>
            </w:r>
          </w:p>
          <w:p w14:paraId="052F7D20">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【中】组织机构形式基本合理，有指挥系统，生产及质量、绿色施工、安全、文明施工、创优达标监控系统、联络协调系统，项目管理人员内高级职称人员10%～15%（含10%）、中级及以上职称人员40%～50%（含40%）。</w:t>
            </w:r>
          </w:p>
          <w:p w14:paraId="5F6749DD">
            <w:pPr>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【差】组织机构形式合理，指挥系统，生产及质量、绿色施工、安全、文明施工、创优达标监控系统、联络协调系统不齐全，项目管理人员内高级职称人员10%以下、中级及以上职称人员40%以下。</w:t>
            </w:r>
          </w:p>
        </w:tc>
      </w:tr>
      <w:tr w14:paraId="0B0E876F">
        <w:tblPrEx>
          <w:tblCellMar>
            <w:top w:w="0" w:type="dxa"/>
            <w:left w:w="108" w:type="dxa"/>
            <w:bottom w:w="0" w:type="dxa"/>
            <w:right w:w="108" w:type="dxa"/>
          </w:tblCellMar>
        </w:tblPrEx>
        <w:trPr>
          <w:trHeight w:val="545" w:hRule="exact"/>
          <w:jc w:val="center"/>
        </w:trPr>
        <w:tc>
          <w:tcPr>
            <w:tcW w:w="10245"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405CD938">
            <w:pPr>
              <w:pStyle w:val="34"/>
              <w:wordWrap w:val="0"/>
              <w:adjustRightInd w:val="0"/>
              <w:snapToGrid w:val="0"/>
              <w:spacing w:line="240" w:lineRule="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投标报价部分，满分：100分。</w:t>
            </w:r>
          </w:p>
        </w:tc>
      </w:tr>
      <w:tr w14:paraId="45F96D45">
        <w:tblPrEx>
          <w:tblCellMar>
            <w:top w:w="0" w:type="dxa"/>
            <w:left w:w="108" w:type="dxa"/>
            <w:bottom w:w="0" w:type="dxa"/>
            <w:right w:w="108" w:type="dxa"/>
          </w:tblCellMar>
        </w:tblPrEx>
        <w:trPr>
          <w:trHeight w:val="564" w:hRule="exac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28EAB89C">
            <w:pPr>
              <w:pStyle w:val="6"/>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评分事项</w:t>
            </w:r>
          </w:p>
        </w:tc>
        <w:tc>
          <w:tcPr>
            <w:tcW w:w="8976" w:type="dxa"/>
            <w:gridSpan w:val="2"/>
            <w:tcBorders>
              <w:top w:val="single" w:color="auto" w:sz="4" w:space="0"/>
              <w:left w:val="single" w:color="auto" w:sz="4" w:space="0"/>
              <w:bottom w:val="single" w:color="auto" w:sz="4" w:space="0"/>
              <w:right w:val="single" w:color="auto" w:sz="4" w:space="0"/>
            </w:tcBorders>
            <w:noWrap w:val="0"/>
            <w:vAlign w:val="center"/>
          </w:tcPr>
          <w:p w14:paraId="59D1751E">
            <w:pPr>
              <w:pStyle w:val="6"/>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评分方法</w:t>
            </w:r>
          </w:p>
        </w:tc>
      </w:tr>
      <w:tr w14:paraId="79C7ECCA">
        <w:tblPrEx>
          <w:tblCellMar>
            <w:top w:w="0" w:type="dxa"/>
            <w:left w:w="108" w:type="dxa"/>
            <w:bottom w:w="0" w:type="dxa"/>
            <w:right w:w="108" w:type="dxa"/>
          </w:tblCellMar>
        </w:tblPrEx>
        <w:trPr>
          <w:trHeight w:val="4928"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0B785228">
            <w:pPr>
              <w:pStyle w:val="33"/>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评标基准价D</w:t>
            </w:r>
          </w:p>
        </w:tc>
        <w:tc>
          <w:tcPr>
            <w:tcW w:w="8976" w:type="dxa"/>
            <w:gridSpan w:val="2"/>
            <w:tcBorders>
              <w:top w:val="single" w:color="auto" w:sz="4" w:space="0"/>
              <w:left w:val="single" w:color="auto" w:sz="4" w:space="0"/>
              <w:bottom w:val="single" w:color="auto" w:sz="4" w:space="0"/>
              <w:right w:val="single" w:color="auto" w:sz="4" w:space="0"/>
            </w:tcBorders>
            <w:noWrap w:val="0"/>
            <w:vAlign w:val="center"/>
          </w:tcPr>
          <w:p w14:paraId="7A609FC8">
            <w:pPr>
              <w:keepNext w:val="0"/>
              <w:keepLines w:val="0"/>
              <w:pageBreakBefore w:val="0"/>
              <w:widowControl w:val="0"/>
              <w:numPr>
                <w:ilvl w:val="0"/>
                <w:numId w:val="2"/>
              </w:numPr>
              <w:kinsoku/>
              <w:wordWrap w:val="0"/>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次，每次抽取1个号码，抽出的号球不参与下次抽取。所抽取的3个号码对应下浮系数的算术平均值作为最高投标限价下浮系数n。具体号码对应的下浮系数详见下表：</w:t>
            </w:r>
          </w:p>
          <w:tbl>
            <w:tblPr>
              <w:tblStyle w:val="17"/>
              <w:tblW w:w="8166" w:type="dxa"/>
              <w:tblInd w:w="-6" w:type="dxa"/>
              <w:tblLayout w:type="fixed"/>
              <w:tblCellMar>
                <w:top w:w="0" w:type="dxa"/>
                <w:left w:w="108" w:type="dxa"/>
                <w:bottom w:w="0" w:type="dxa"/>
                <w:right w:w="108" w:type="dxa"/>
              </w:tblCellMar>
            </w:tblPr>
            <w:tblGrid>
              <w:gridCol w:w="1669"/>
              <w:gridCol w:w="928"/>
              <w:gridCol w:w="928"/>
              <w:gridCol w:w="928"/>
              <w:gridCol w:w="928"/>
              <w:gridCol w:w="928"/>
              <w:gridCol w:w="928"/>
              <w:gridCol w:w="929"/>
            </w:tblGrid>
            <w:tr w14:paraId="59F9F8B8">
              <w:tblPrEx>
                <w:tblCellMar>
                  <w:top w:w="0" w:type="dxa"/>
                  <w:left w:w="108" w:type="dxa"/>
                  <w:bottom w:w="0" w:type="dxa"/>
                  <w:right w:w="108" w:type="dxa"/>
                </w:tblCellMar>
              </w:tblPrEx>
              <w:trPr>
                <w:trHeight w:val="482" w:hRule="atLeast"/>
              </w:trPr>
              <w:tc>
                <w:tcPr>
                  <w:tcW w:w="1669"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321797D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号球</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2EC36F7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26114DD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2</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1067C85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3</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676E8B0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4</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4B07A4A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5</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3C75748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6</w:t>
                  </w:r>
                </w:p>
              </w:tc>
              <w:tc>
                <w:tcPr>
                  <w:tcW w:w="929"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4BD7FFD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7</w:t>
                  </w:r>
                </w:p>
              </w:tc>
            </w:tr>
            <w:tr w14:paraId="593B3995">
              <w:tblPrEx>
                <w:tblCellMar>
                  <w:top w:w="0" w:type="dxa"/>
                  <w:left w:w="108" w:type="dxa"/>
                  <w:bottom w:w="0" w:type="dxa"/>
                  <w:right w:w="108" w:type="dxa"/>
                </w:tblCellMar>
              </w:tblPrEx>
              <w:trPr>
                <w:trHeight w:val="482" w:hRule="atLeast"/>
              </w:trPr>
              <w:tc>
                <w:tcPr>
                  <w:tcW w:w="1669" w:type="dxa"/>
                  <w:tcBorders>
                    <w:top w:val="single" w:color="000000" w:sz="4" w:space="0"/>
                    <w:left w:val="single" w:color="000000" w:sz="4" w:space="0"/>
                    <w:bottom w:val="single" w:color="000000" w:sz="4" w:space="0"/>
                    <w:right w:val="single" w:color="000000" w:sz="4" w:space="0"/>
                  </w:tcBorders>
                  <w:noWrap w:val="0"/>
                  <w:vAlign w:val="center"/>
                </w:tcPr>
                <w:p w14:paraId="00A2B68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下浮系数（%）</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28B369E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1.0</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18232CB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CA752C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1.2</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89538F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1.3</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780B11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1.4</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77BF381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1.5</w:t>
                  </w:r>
                </w:p>
              </w:tc>
              <w:tc>
                <w:tcPr>
                  <w:tcW w:w="929" w:type="dxa"/>
                  <w:tcBorders>
                    <w:top w:val="single" w:color="000000" w:sz="4" w:space="0"/>
                    <w:left w:val="single" w:color="000000" w:sz="4" w:space="0"/>
                    <w:bottom w:val="single" w:color="000000" w:sz="4" w:space="0"/>
                    <w:right w:val="single" w:color="000000" w:sz="4" w:space="0"/>
                  </w:tcBorders>
                  <w:noWrap w:val="0"/>
                  <w:vAlign w:val="center"/>
                </w:tcPr>
                <w:p w14:paraId="54926E1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1.6</w:t>
                  </w:r>
                </w:p>
              </w:tc>
            </w:tr>
            <w:tr w14:paraId="371CDE42">
              <w:tblPrEx>
                <w:tblCellMar>
                  <w:top w:w="0" w:type="dxa"/>
                  <w:left w:w="108" w:type="dxa"/>
                  <w:bottom w:w="0" w:type="dxa"/>
                  <w:right w:w="108" w:type="dxa"/>
                </w:tblCellMar>
              </w:tblPrEx>
              <w:trPr>
                <w:trHeight w:val="482" w:hRule="atLeast"/>
              </w:trPr>
              <w:tc>
                <w:tcPr>
                  <w:tcW w:w="1669"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4E9E741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号球</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375B192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8</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50CFE5E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9</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24A1B6D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10</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57D7898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11</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69E14D8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12</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2DDB328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13</w:t>
                  </w:r>
                </w:p>
              </w:tc>
              <w:tc>
                <w:tcPr>
                  <w:tcW w:w="929"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1F4875E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14</w:t>
                  </w:r>
                </w:p>
              </w:tc>
            </w:tr>
            <w:tr w14:paraId="67106E6E">
              <w:tblPrEx>
                <w:tblCellMar>
                  <w:top w:w="0" w:type="dxa"/>
                  <w:left w:w="108" w:type="dxa"/>
                  <w:bottom w:w="0" w:type="dxa"/>
                  <w:right w:w="108" w:type="dxa"/>
                </w:tblCellMar>
              </w:tblPrEx>
              <w:trPr>
                <w:trHeight w:val="482" w:hRule="atLeast"/>
              </w:trPr>
              <w:tc>
                <w:tcPr>
                  <w:tcW w:w="1669" w:type="dxa"/>
                  <w:tcBorders>
                    <w:top w:val="single" w:color="000000" w:sz="4" w:space="0"/>
                    <w:left w:val="single" w:color="000000" w:sz="4" w:space="0"/>
                    <w:bottom w:val="single" w:color="000000" w:sz="4" w:space="0"/>
                    <w:right w:val="single" w:color="000000" w:sz="4" w:space="0"/>
                  </w:tcBorders>
                  <w:noWrap w:val="0"/>
                  <w:vAlign w:val="center"/>
                </w:tcPr>
                <w:p w14:paraId="007D4C5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下浮系数（%）</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5956183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1.7</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5D3DE2D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1.8</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1B2CEA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1.9</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858D8C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2.0</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3677B66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1543B0B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2.2</w:t>
                  </w:r>
                </w:p>
              </w:tc>
              <w:tc>
                <w:tcPr>
                  <w:tcW w:w="929" w:type="dxa"/>
                  <w:tcBorders>
                    <w:top w:val="single" w:color="000000" w:sz="4" w:space="0"/>
                    <w:left w:val="single" w:color="000000" w:sz="4" w:space="0"/>
                    <w:bottom w:val="single" w:color="000000" w:sz="4" w:space="0"/>
                    <w:right w:val="single" w:color="000000" w:sz="4" w:space="0"/>
                  </w:tcBorders>
                  <w:noWrap w:val="0"/>
                  <w:vAlign w:val="center"/>
                </w:tcPr>
                <w:p w14:paraId="1CCAC85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2.3</w:t>
                  </w:r>
                </w:p>
              </w:tc>
            </w:tr>
            <w:tr w14:paraId="2CF28E6F">
              <w:tblPrEx>
                <w:tblCellMar>
                  <w:top w:w="0" w:type="dxa"/>
                  <w:left w:w="108" w:type="dxa"/>
                  <w:bottom w:w="0" w:type="dxa"/>
                  <w:right w:w="108" w:type="dxa"/>
                </w:tblCellMar>
              </w:tblPrEx>
              <w:trPr>
                <w:trHeight w:val="482" w:hRule="atLeast"/>
              </w:trPr>
              <w:tc>
                <w:tcPr>
                  <w:tcW w:w="1669"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6A65C68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号球</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6D231BD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15</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4115196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16</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513F2DE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17</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55B2FED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18</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0C2EEB9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19</w:t>
                  </w:r>
                </w:p>
              </w:tc>
              <w:tc>
                <w:tcPr>
                  <w:tcW w:w="92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352DF53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20</w:t>
                  </w:r>
                </w:p>
              </w:tc>
              <w:tc>
                <w:tcPr>
                  <w:tcW w:w="929"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vAlign w:val="center"/>
                </w:tcPr>
                <w:p w14:paraId="0FECA87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21</w:t>
                  </w:r>
                </w:p>
              </w:tc>
            </w:tr>
            <w:tr w14:paraId="0E713FB0">
              <w:tblPrEx>
                <w:tblCellMar>
                  <w:top w:w="0" w:type="dxa"/>
                  <w:left w:w="108" w:type="dxa"/>
                  <w:bottom w:w="0" w:type="dxa"/>
                  <w:right w:w="108" w:type="dxa"/>
                </w:tblCellMar>
              </w:tblPrEx>
              <w:trPr>
                <w:trHeight w:val="482" w:hRule="atLeast"/>
              </w:trPr>
              <w:tc>
                <w:tcPr>
                  <w:tcW w:w="1669" w:type="dxa"/>
                  <w:tcBorders>
                    <w:top w:val="single" w:color="000000" w:sz="4" w:space="0"/>
                    <w:left w:val="single" w:color="000000" w:sz="4" w:space="0"/>
                    <w:bottom w:val="single" w:color="000000" w:sz="4" w:space="0"/>
                    <w:right w:val="single" w:color="000000" w:sz="4" w:space="0"/>
                  </w:tcBorders>
                  <w:noWrap w:val="0"/>
                  <w:vAlign w:val="center"/>
                </w:tcPr>
                <w:p w14:paraId="383A7BC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下浮系数（%）</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1B33792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2.4</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77CD253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2.5</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19D106A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2.6</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21E75EF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2.7</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2B7795C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2.8</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614680A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2.9</w:t>
                  </w:r>
                </w:p>
              </w:tc>
              <w:tc>
                <w:tcPr>
                  <w:tcW w:w="929" w:type="dxa"/>
                  <w:tcBorders>
                    <w:top w:val="single" w:color="000000" w:sz="4" w:space="0"/>
                    <w:left w:val="single" w:color="000000" w:sz="4" w:space="0"/>
                    <w:bottom w:val="single" w:color="000000" w:sz="4" w:space="0"/>
                    <w:right w:val="single" w:color="000000" w:sz="4" w:space="0"/>
                  </w:tcBorders>
                  <w:noWrap w:val="0"/>
                  <w:vAlign w:val="center"/>
                </w:tcPr>
                <w:p w14:paraId="66CCF82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3.0</w:t>
                  </w:r>
                </w:p>
              </w:tc>
            </w:tr>
          </w:tbl>
          <w:p w14:paraId="21E70A9D">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（2）评标基准价D＝最高投标限价×（1－n）</w:t>
            </w:r>
          </w:p>
        </w:tc>
      </w:tr>
      <w:tr w14:paraId="7C0849FF">
        <w:tblPrEx>
          <w:tblCellMar>
            <w:top w:w="0" w:type="dxa"/>
            <w:left w:w="108" w:type="dxa"/>
            <w:bottom w:w="0" w:type="dxa"/>
            <w:right w:w="108" w:type="dxa"/>
          </w:tblCellMar>
        </w:tblPrEx>
        <w:trPr>
          <w:trHeight w:val="2389"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6E8DC8F6">
            <w:pPr>
              <w:pStyle w:val="33"/>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14:paraId="76DCEE0C">
            <w:pPr>
              <w:pStyle w:val="33"/>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8976" w:type="dxa"/>
            <w:gridSpan w:val="2"/>
            <w:tcBorders>
              <w:top w:val="single" w:color="auto" w:sz="4" w:space="0"/>
              <w:left w:val="single" w:color="auto" w:sz="4" w:space="0"/>
              <w:bottom w:val="single" w:color="auto" w:sz="4" w:space="0"/>
              <w:right w:val="single" w:color="auto" w:sz="4" w:space="0"/>
            </w:tcBorders>
            <w:noWrap w:val="0"/>
            <w:vAlign w:val="center"/>
          </w:tcPr>
          <w:p w14:paraId="5A889F0F">
            <w:pPr>
              <w:wordWrap w:val="0"/>
              <w:adjustRightInd w:val="0"/>
              <w:snapToGrid w:val="0"/>
              <w:spacing w:line="24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044BE167">
            <w:pPr>
              <w:wordWrap w:val="0"/>
              <w:adjustRightInd w:val="0"/>
              <w:snapToGrid w:val="0"/>
              <w:spacing w:line="24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6A1350C0">
            <w:pPr>
              <w:wordWrap w:val="0"/>
              <w:adjustRightInd w:val="0"/>
              <w:snapToGrid w:val="0"/>
              <w:spacing w:line="24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式中：D为评标基准价；Di为某投标人的投标总价；E为扣分因子，当Di＞D时，E＝1；当Di＜D时，E＝0.5。</w:t>
            </w:r>
          </w:p>
        </w:tc>
      </w:tr>
    </w:tbl>
    <w:p w14:paraId="37B21C64">
      <w:pPr>
        <w:spacing w:before="155" w:line="211" w:lineRule="auto"/>
        <w:ind w:firstLine="410" w:firstLineChars="200"/>
        <w:outlineLvl w:val="9"/>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15.</w:t>
      </w:r>
      <w:r>
        <w:rPr>
          <w:rFonts w:hint="eastAsia" w:ascii="宋体" w:hAnsi="宋体" w:eastAsia="宋体" w:cs="宋体"/>
          <w:b/>
          <w:bCs/>
          <w:color w:val="auto"/>
          <w:spacing w:val="-3"/>
          <w:sz w:val="21"/>
          <w:szCs w:val="21"/>
          <w:highlight w:val="none"/>
          <w:lang w:val="en-US" w:eastAsia="zh-CN"/>
        </w:rPr>
        <w:t>6</w:t>
      </w:r>
      <w:r>
        <w:rPr>
          <w:rFonts w:hint="eastAsia" w:ascii="宋体" w:hAnsi="宋体" w:eastAsia="宋体" w:cs="宋体"/>
          <w:b/>
          <w:bCs/>
          <w:color w:val="auto"/>
          <w:spacing w:val="-3"/>
          <w:sz w:val="21"/>
          <w:szCs w:val="21"/>
          <w:highlight w:val="none"/>
        </w:rPr>
        <w:t xml:space="preserve">.2  </w:t>
      </w:r>
      <w:r>
        <w:rPr>
          <w:rFonts w:hint="eastAsia" w:ascii="宋体" w:hAnsi="宋体" w:eastAsia="宋体" w:cs="宋体"/>
          <w:color w:val="auto"/>
          <w:spacing w:val="-3"/>
          <w:sz w:val="21"/>
          <w:szCs w:val="21"/>
          <w:highlight w:val="none"/>
        </w:rPr>
        <w:t>否决投标说明</w:t>
      </w:r>
      <w:bookmarkEnd w:id="137"/>
      <w:bookmarkEnd w:id="138"/>
      <w:bookmarkEnd w:id="139"/>
      <w:bookmarkEnd w:id="140"/>
    </w:p>
    <w:p w14:paraId="3A277E6B">
      <w:pPr>
        <w:spacing w:before="150" w:line="332" w:lineRule="auto"/>
        <w:ind w:left="10" w:right="195" w:firstLine="564"/>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详细评审阶段否决投标的全部条件，在本章第四节“否决投标条件 ”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1"/>
          <w:szCs w:val="21"/>
          <w:highlight w:val="none"/>
        </w:rPr>
        <w:t>量化标准（或评分标准）处理，但不否决投标。</w:t>
      </w:r>
    </w:p>
    <w:p w14:paraId="634CACC5">
      <w:pPr>
        <w:pStyle w:val="4"/>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1"/>
          <w:szCs w:val="21"/>
          <w:highlight w:val="none"/>
        </w:rPr>
      </w:pPr>
      <w:bookmarkStart w:id="141" w:name="bookmark138"/>
      <w:bookmarkEnd w:id="141"/>
      <w:bookmarkStart w:id="142" w:name="bookmark137"/>
      <w:bookmarkEnd w:id="142"/>
      <w:bookmarkStart w:id="143" w:name="_Toc19232"/>
      <w:bookmarkStart w:id="144" w:name="_Toc13897"/>
      <w:bookmarkStart w:id="145" w:name="_Toc7762"/>
      <w:bookmarkStart w:id="146" w:name="_Toc2769"/>
      <w:bookmarkStart w:id="147" w:name="_Toc18711"/>
      <w:bookmarkStart w:id="148" w:name="_Toc21365"/>
      <w:bookmarkStart w:id="149" w:name="_Toc10900"/>
      <w:r>
        <w:rPr>
          <w:rFonts w:hint="eastAsia" w:ascii="宋体" w:hAnsi="宋体" w:eastAsia="宋体" w:cs="宋体"/>
          <w:b/>
          <w:snapToGrid w:val="0"/>
          <w:color w:val="auto"/>
          <w:sz w:val="21"/>
          <w:szCs w:val="21"/>
          <w:highlight w:val="none"/>
          <w:lang w:eastAsia="zh-CN"/>
        </w:rPr>
        <w:t>16.</w:t>
      </w:r>
      <w:bookmarkEnd w:id="143"/>
      <w:bookmarkEnd w:id="144"/>
      <w:bookmarkEnd w:id="145"/>
      <w:bookmarkEnd w:id="146"/>
      <w:bookmarkEnd w:id="147"/>
      <w:r>
        <w:rPr>
          <w:rFonts w:hint="eastAsia" w:ascii="宋体" w:hAnsi="宋体" w:eastAsia="宋体" w:cs="宋体"/>
          <w:b/>
          <w:snapToGrid w:val="0"/>
          <w:color w:val="auto"/>
          <w:sz w:val="21"/>
          <w:szCs w:val="21"/>
          <w:highlight w:val="none"/>
          <w:lang w:eastAsia="zh-CN"/>
        </w:rPr>
        <w:t>评标结果公示</w:t>
      </w:r>
      <w:bookmarkEnd w:id="148"/>
      <w:bookmarkEnd w:id="149"/>
    </w:p>
    <w:p w14:paraId="34EE0DBD">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color w:val="auto"/>
          <w:spacing w:val="-3"/>
          <w:sz w:val="21"/>
          <w:szCs w:val="21"/>
          <w:highlight w:val="none"/>
        </w:rPr>
      </w:pPr>
      <w:r>
        <w:rPr>
          <w:rFonts w:hint="eastAsia" w:ascii="宋体" w:hAnsi="宋体" w:eastAsia="宋体" w:cs="宋体"/>
          <w:b/>
          <w:bCs/>
          <w:snapToGrid w:val="0"/>
          <w:color w:val="auto"/>
          <w:kern w:val="0"/>
          <w:sz w:val="21"/>
          <w:szCs w:val="21"/>
          <w:highlight w:val="none"/>
        </w:rPr>
        <w:t>16.1</w:t>
      </w:r>
      <w:r>
        <w:rPr>
          <w:rFonts w:hint="eastAsia" w:ascii="宋体" w:hAnsi="宋体" w:eastAsia="宋体" w:cs="宋体"/>
          <w:snapToGrid w:val="0"/>
          <w:color w:val="auto"/>
          <w:kern w:val="0"/>
          <w:sz w:val="21"/>
          <w:szCs w:val="21"/>
          <w:highlight w:val="none"/>
        </w:rPr>
        <w:t xml:space="preserve"> 评标委员会按照</w:t>
      </w:r>
      <w:r>
        <w:rPr>
          <w:rFonts w:hint="eastAsia" w:ascii="宋体" w:hAnsi="宋体" w:eastAsia="宋体" w:cs="宋体"/>
          <w:snapToGrid w:val="0"/>
          <w:color w:val="auto"/>
          <w:kern w:val="0"/>
          <w:sz w:val="21"/>
          <w:szCs w:val="21"/>
          <w:highlight w:val="none"/>
          <w:lang w:eastAsia="zh-CN"/>
        </w:rPr>
        <w:t>投标人</w:t>
      </w:r>
      <w:r>
        <w:rPr>
          <w:rFonts w:hint="eastAsia" w:ascii="宋体" w:hAnsi="宋体" w:eastAsia="宋体" w:cs="宋体"/>
          <w:snapToGrid w:val="0"/>
          <w:color w:val="auto"/>
          <w:kern w:val="0"/>
          <w:sz w:val="21"/>
          <w:szCs w:val="21"/>
          <w:highlight w:val="none"/>
        </w:rPr>
        <w:t>评审综合总得分</w:t>
      </w:r>
      <w:r>
        <w:rPr>
          <w:rFonts w:hint="eastAsia" w:ascii="宋体" w:hAnsi="宋体" w:eastAsia="宋体" w:cs="宋体"/>
          <w:snapToGrid w:val="0"/>
          <w:color w:val="auto"/>
          <w:kern w:val="0"/>
          <w:sz w:val="21"/>
          <w:szCs w:val="21"/>
          <w:highlight w:val="none"/>
          <w:lang w:eastAsia="zh-CN"/>
        </w:rPr>
        <w:t>由</w:t>
      </w:r>
      <w:r>
        <w:rPr>
          <w:rFonts w:hint="eastAsia" w:ascii="宋体" w:hAnsi="宋体" w:eastAsia="宋体" w:cs="宋体"/>
          <w:snapToGrid w:val="0"/>
          <w:color w:val="auto"/>
          <w:kern w:val="0"/>
          <w:sz w:val="21"/>
          <w:szCs w:val="21"/>
          <w:highlight w:val="none"/>
        </w:rPr>
        <w:t>高</w:t>
      </w:r>
      <w:r>
        <w:rPr>
          <w:rFonts w:hint="eastAsia" w:ascii="宋体" w:hAnsi="宋体" w:eastAsia="宋体" w:cs="宋体"/>
          <w:snapToGrid w:val="0"/>
          <w:color w:val="auto"/>
          <w:kern w:val="0"/>
          <w:sz w:val="21"/>
          <w:szCs w:val="21"/>
          <w:highlight w:val="none"/>
          <w:lang w:eastAsia="zh-CN"/>
        </w:rPr>
        <w:t>到</w:t>
      </w:r>
      <w:r>
        <w:rPr>
          <w:rFonts w:hint="eastAsia" w:ascii="宋体" w:hAnsi="宋体" w:eastAsia="宋体" w:cs="宋体"/>
          <w:snapToGrid w:val="0"/>
          <w:color w:val="auto"/>
          <w:kern w:val="0"/>
          <w:sz w:val="21"/>
          <w:szCs w:val="21"/>
          <w:highlight w:val="none"/>
        </w:rPr>
        <w:t>低的</w:t>
      </w:r>
      <w:r>
        <w:rPr>
          <w:rFonts w:hint="eastAsia" w:ascii="宋体" w:hAnsi="宋体" w:eastAsia="宋体" w:cs="宋体"/>
          <w:snapToGrid w:val="0"/>
          <w:color w:val="auto"/>
          <w:kern w:val="0"/>
          <w:sz w:val="21"/>
          <w:szCs w:val="21"/>
          <w:highlight w:val="none"/>
          <w:lang w:eastAsia="zh-CN"/>
        </w:rPr>
        <w:t>原则，</w:t>
      </w:r>
      <w:r>
        <w:rPr>
          <w:rFonts w:hint="eastAsia" w:ascii="宋体" w:hAnsi="宋体" w:eastAsia="宋体" w:cs="宋体"/>
          <w:snapToGrid w:val="0"/>
          <w:color w:val="auto"/>
          <w:kern w:val="0"/>
          <w:sz w:val="21"/>
          <w:szCs w:val="21"/>
          <w:highlight w:val="none"/>
        </w:rPr>
        <w:t>向招标人推荐</w:t>
      </w:r>
      <w:r>
        <w:rPr>
          <w:rFonts w:hint="eastAsia" w:ascii="宋体" w:hAnsi="宋体" w:eastAsia="宋体" w:cs="宋体"/>
          <w:snapToGrid w:val="0"/>
          <w:color w:val="auto"/>
          <w:kern w:val="0"/>
          <w:sz w:val="21"/>
          <w:szCs w:val="21"/>
          <w:highlight w:val="none"/>
          <w:lang w:val="en-US" w:eastAsia="zh-CN"/>
        </w:rPr>
        <w:t>已明确的</w:t>
      </w:r>
      <w:r>
        <w:rPr>
          <w:rFonts w:hint="eastAsia" w:ascii="宋体" w:hAnsi="宋体" w:eastAsia="宋体" w:cs="宋体"/>
          <w:snapToGrid w:val="0"/>
          <w:color w:val="auto"/>
          <w:kern w:val="0"/>
          <w:sz w:val="21"/>
          <w:szCs w:val="21"/>
          <w:highlight w:val="none"/>
        </w:rPr>
        <w:t>定标候选人</w:t>
      </w:r>
      <w:r>
        <w:rPr>
          <w:rFonts w:hint="eastAsia" w:ascii="宋体" w:hAnsi="宋体" w:eastAsia="宋体" w:cs="宋体"/>
          <w:snapToGrid w:val="0"/>
          <w:color w:val="auto"/>
          <w:kern w:val="0"/>
          <w:sz w:val="21"/>
          <w:szCs w:val="21"/>
          <w:highlight w:val="none"/>
          <w:lang w:eastAsia="zh-CN"/>
        </w:rPr>
        <w:t>数量</w:t>
      </w:r>
      <w:r>
        <w:rPr>
          <w:rFonts w:hint="eastAsia" w:ascii="宋体" w:hAnsi="宋体" w:eastAsia="宋体" w:cs="宋体"/>
          <w:snapToGrid w:val="0"/>
          <w:color w:val="auto"/>
          <w:kern w:val="0"/>
          <w:sz w:val="21"/>
          <w:szCs w:val="21"/>
          <w:highlight w:val="none"/>
        </w:rPr>
        <w:t>（不</w:t>
      </w:r>
      <w:r>
        <w:rPr>
          <w:rFonts w:hint="eastAsia" w:ascii="宋体" w:hAnsi="宋体" w:eastAsia="宋体" w:cs="宋体"/>
          <w:snapToGrid w:val="0"/>
          <w:color w:val="auto"/>
          <w:kern w:val="0"/>
          <w:sz w:val="21"/>
          <w:szCs w:val="21"/>
          <w:highlight w:val="none"/>
          <w:lang w:val="en-US" w:eastAsia="zh-CN"/>
        </w:rPr>
        <w:t>标明</w:t>
      </w:r>
      <w:r>
        <w:rPr>
          <w:rFonts w:hint="eastAsia" w:ascii="宋体" w:hAnsi="宋体" w:eastAsia="宋体" w:cs="宋体"/>
          <w:snapToGrid w:val="0"/>
          <w:color w:val="auto"/>
          <w:kern w:val="0"/>
          <w:sz w:val="21"/>
          <w:szCs w:val="21"/>
          <w:highlight w:val="none"/>
        </w:rPr>
        <w:t>排序）</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评标委员会推荐定标候选人后，</w:t>
      </w:r>
      <w:r>
        <w:rPr>
          <w:rFonts w:hint="eastAsia" w:ascii="宋体" w:hAnsi="宋体" w:eastAsia="宋体" w:cs="宋体"/>
          <w:snapToGrid w:val="0"/>
          <w:color w:val="auto"/>
          <w:kern w:val="0"/>
          <w:sz w:val="21"/>
          <w:szCs w:val="21"/>
          <w:highlight w:val="none"/>
          <w:lang w:val="en-US" w:eastAsia="zh-CN" w:bidi="ar-SA"/>
        </w:rPr>
        <w:t>招标人应在收到评标报告</w:t>
      </w:r>
      <w:r>
        <w:rPr>
          <w:rFonts w:hint="eastAsia" w:ascii="宋体" w:hAnsi="宋体" w:eastAsia="宋体" w:cs="宋体"/>
          <w:snapToGrid w:val="0"/>
          <w:color w:val="auto"/>
          <w:kern w:val="0"/>
          <w:sz w:val="21"/>
          <w:szCs w:val="21"/>
          <w:highlight w:val="none"/>
          <w:lang w:eastAsia="zh-CN"/>
        </w:rPr>
        <w:t>后</w:t>
      </w:r>
      <w:r>
        <w:rPr>
          <w:rFonts w:hint="eastAsia" w:ascii="宋体" w:hAnsi="宋体" w:eastAsia="宋体" w:cs="宋体"/>
          <w:snapToGrid w:val="0"/>
          <w:color w:val="auto"/>
          <w:kern w:val="0"/>
          <w:sz w:val="21"/>
          <w:szCs w:val="21"/>
          <w:highlight w:val="none"/>
          <w:lang w:val="en-US" w:eastAsia="zh-CN"/>
        </w:rPr>
        <w:t>3日内将</w:t>
      </w:r>
      <w:r>
        <w:rPr>
          <w:rFonts w:hint="eastAsia" w:ascii="宋体" w:hAnsi="宋体" w:eastAsia="宋体" w:cs="宋体"/>
          <w:snapToGrid w:val="0"/>
          <w:color w:val="auto"/>
          <w:kern w:val="0"/>
          <w:sz w:val="21"/>
          <w:szCs w:val="21"/>
          <w:highlight w:val="none"/>
          <w:lang w:eastAsia="zh-CN"/>
        </w:rPr>
        <w:t>定</w:t>
      </w:r>
      <w:r>
        <w:rPr>
          <w:rFonts w:hint="eastAsia" w:ascii="宋体" w:hAnsi="宋体" w:eastAsia="宋体" w:cs="宋体"/>
          <w:snapToGrid w:val="0"/>
          <w:color w:val="auto"/>
          <w:kern w:val="0"/>
          <w:sz w:val="21"/>
          <w:szCs w:val="21"/>
          <w:highlight w:val="none"/>
        </w:rPr>
        <w:t>标候选</w:t>
      </w:r>
      <w:r>
        <w:rPr>
          <w:rFonts w:hint="eastAsia" w:ascii="宋体" w:hAnsi="宋体" w:eastAsia="宋体" w:cs="宋体"/>
          <w:snapToGrid w:val="0"/>
          <w:color w:val="auto"/>
          <w:kern w:val="0"/>
          <w:sz w:val="21"/>
          <w:szCs w:val="21"/>
          <w:highlight w:val="none"/>
          <w:lang w:eastAsia="zh-CN"/>
        </w:rPr>
        <w:t>人和评标情况</w:t>
      </w:r>
      <w:r>
        <w:rPr>
          <w:rFonts w:hint="eastAsia" w:ascii="宋体" w:hAnsi="宋体" w:eastAsia="宋体" w:cs="宋体"/>
          <w:snapToGrid w:val="0"/>
          <w:color w:val="auto"/>
          <w:kern w:val="0"/>
          <w:sz w:val="21"/>
          <w:szCs w:val="21"/>
          <w:highlight w:val="none"/>
          <w:lang w:val="en-US" w:eastAsia="zh-CN"/>
        </w:rPr>
        <w:t>在广东省招标投标监管网和</w:t>
      </w:r>
      <w:r>
        <w:rPr>
          <w:rFonts w:hint="eastAsia" w:ascii="宋体" w:hAnsi="宋体" w:eastAsia="宋体" w:cs="宋体"/>
          <w:snapToGrid w:val="0"/>
          <w:color w:val="auto"/>
          <w:kern w:val="0"/>
          <w:sz w:val="21"/>
          <w:szCs w:val="21"/>
          <w:highlight w:val="none"/>
        </w:rPr>
        <w:t>韶关市公共资源交易中心</w:t>
      </w:r>
      <w:r>
        <w:rPr>
          <w:rFonts w:hint="eastAsia" w:ascii="宋体" w:hAnsi="宋体" w:eastAsia="宋体" w:cs="宋体"/>
          <w:snapToGrid w:val="0"/>
          <w:color w:val="auto"/>
          <w:kern w:val="0"/>
          <w:sz w:val="21"/>
          <w:szCs w:val="21"/>
          <w:highlight w:val="none"/>
          <w:lang w:eastAsia="zh-CN"/>
        </w:rPr>
        <w:t>建设工程交易系统</w:t>
      </w:r>
      <w:r>
        <w:rPr>
          <w:rFonts w:hint="eastAsia" w:ascii="宋体" w:hAnsi="宋体" w:eastAsia="宋体" w:cs="宋体"/>
          <w:snapToGrid w:val="0"/>
          <w:color w:val="auto"/>
          <w:kern w:val="0"/>
          <w:sz w:val="21"/>
          <w:szCs w:val="21"/>
          <w:highlight w:val="none"/>
          <w:lang w:val="en-US" w:eastAsia="zh-CN"/>
        </w:rPr>
        <w:t>上</w:t>
      </w:r>
      <w:r>
        <w:rPr>
          <w:rFonts w:hint="eastAsia" w:ascii="宋体" w:hAnsi="宋体" w:eastAsia="宋体" w:cs="宋体"/>
          <w:snapToGrid w:val="0"/>
          <w:color w:val="auto"/>
          <w:kern w:val="0"/>
          <w:sz w:val="21"/>
          <w:szCs w:val="21"/>
          <w:highlight w:val="none"/>
        </w:rPr>
        <w:t>公示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公示时间不少于3日。</w:t>
      </w:r>
      <w:r>
        <w:rPr>
          <w:rFonts w:hint="eastAsia" w:ascii="宋体" w:hAnsi="宋体" w:eastAsia="宋体" w:cs="宋体"/>
          <w:snapToGrid w:val="0"/>
          <w:color w:val="auto"/>
          <w:kern w:val="0"/>
          <w:sz w:val="21"/>
          <w:szCs w:val="21"/>
          <w:highlight w:val="none"/>
          <w:lang w:eastAsia="zh-CN"/>
        </w:rPr>
        <w:t>公示主要内容包括：（</w:t>
      </w:r>
      <w:r>
        <w:rPr>
          <w:rFonts w:hint="eastAsia" w:ascii="宋体" w:hAnsi="宋体" w:eastAsia="宋体" w:cs="宋体"/>
          <w:snapToGrid w:val="0"/>
          <w:color w:val="auto"/>
          <w:kern w:val="0"/>
          <w:sz w:val="21"/>
          <w:szCs w:val="21"/>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5C1476C7">
      <w:pPr>
        <w:spacing w:before="78" w:line="220" w:lineRule="auto"/>
        <w:ind w:left="9"/>
        <w:jc w:val="center"/>
        <w:outlineLvl w:val="1"/>
        <w:rPr>
          <w:rFonts w:hint="eastAsia" w:ascii="宋体" w:hAnsi="宋体" w:eastAsia="宋体" w:cs="宋体"/>
          <w:color w:val="auto"/>
          <w:sz w:val="21"/>
          <w:szCs w:val="21"/>
          <w:highlight w:val="none"/>
        </w:rPr>
      </w:pPr>
      <w:bookmarkStart w:id="150" w:name="_Toc32577"/>
      <w:r>
        <w:rPr>
          <w:rFonts w:hint="eastAsia" w:ascii="宋体" w:hAnsi="宋体" w:eastAsia="宋体" w:cs="宋体"/>
          <w:b/>
          <w:bCs/>
          <w:color w:val="auto"/>
          <w:spacing w:val="-3"/>
          <w:sz w:val="21"/>
          <w:szCs w:val="21"/>
          <w:highlight w:val="none"/>
        </w:rPr>
        <w:t>第四节</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否决投标条件</w:t>
      </w:r>
      <w:bookmarkEnd w:id="150"/>
    </w:p>
    <w:p w14:paraId="2637533F">
      <w:pPr>
        <w:pStyle w:val="6"/>
        <w:spacing w:line="256" w:lineRule="auto"/>
        <w:rPr>
          <w:rFonts w:hint="eastAsia" w:ascii="宋体" w:hAnsi="宋体" w:eastAsia="宋体" w:cs="宋体"/>
          <w:color w:val="auto"/>
          <w:sz w:val="21"/>
          <w:szCs w:val="21"/>
          <w:highlight w:val="none"/>
        </w:rPr>
      </w:pPr>
    </w:p>
    <w:p w14:paraId="16FA277C">
      <w:pPr>
        <w:spacing w:before="78" w:line="330" w:lineRule="auto"/>
        <w:ind w:left="10" w:right="65" w:firstLine="48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本节所集中列示的否决投标条件，是本章第三节“投标人须知正文</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3"/>
          <w:sz w:val="21"/>
          <w:szCs w:val="21"/>
          <w:highlight w:val="none"/>
        </w:rPr>
        <w:t>”的组成部分，</w:t>
      </w:r>
      <w:r>
        <w:rPr>
          <w:rFonts w:hint="eastAsia" w:ascii="宋体" w:hAnsi="宋体" w:eastAsia="宋体" w:cs="宋体"/>
          <w:color w:val="auto"/>
          <w:spacing w:val="-2"/>
          <w:sz w:val="21"/>
          <w:szCs w:val="21"/>
          <w:highlight w:val="none"/>
        </w:rPr>
        <w:t>是对本章第三节所规定的否决投标条件的总</w:t>
      </w:r>
      <w:r>
        <w:rPr>
          <w:rFonts w:hint="eastAsia" w:ascii="宋体" w:hAnsi="宋体" w:eastAsia="宋体" w:cs="宋体"/>
          <w:color w:val="auto"/>
          <w:spacing w:val="-3"/>
          <w:sz w:val="21"/>
          <w:szCs w:val="21"/>
          <w:highlight w:val="none"/>
        </w:rPr>
        <w:t>结和补充。</w:t>
      </w:r>
      <w:r>
        <w:rPr>
          <w:rFonts w:hint="eastAsia" w:ascii="宋体" w:hAnsi="宋体" w:eastAsia="宋体" w:cs="宋体"/>
          <w:b/>
          <w:bCs/>
          <w:color w:val="auto"/>
          <w:spacing w:val="-3"/>
          <w:sz w:val="21"/>
          <w:szCs w:val="21"/>
          <w:highlight w:val="none"/>
        </w:rPr>
        <w:t>投标人未有列入本节情形的，评</w:t>
      </w:r>
      <w:r>
        <w:rPr>
          <w:rFonts w:hint="eastAsia" w:ascii="宋体" w:hAnsi="宋体" w:eastAsia="宋体" w:cs="宋体"/>
          <w:b/>
          <w:bCs/>
          <w:color w:val="auto"/>
          <w:spacing w:val="-2"/>
          <w:sz w:val="21"/>
          <w:szCs w:val="21"/>
          <w:highlight w:val="none"/>
        </w:rPr>
        <w:t>标时一律不得否决其投标。</w:t>
      </w:r>
      <w:r>
        <w:rPr>
          <w:rFonts w:hint="eastAsia" w:ascii="宋体" w:hAnsi="宋体" w:eastAsia="宋体" w:cs="宋体"/>
          <w:color w:val="auto"/>
          <w:spacing w:val="-2"/>
          <w:sz w:val="21"/>
          <w:szCs w:val="21"/>
          <w:highlight w:val="none"/>
        </w:rPr>
        <w:t>本节所称“规定</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”均指招标文件的规</w:t>
      </w:r>
      <w:r>
        <w:rPr>
          <w:rFonts w:hint="eastAsia" w:ascii="宋体" w:hAnsi="宋体" w:eastAsia="宋体" w:cs="宋体"/>
          <w:color w:val="auto"/>
          <w:spacing w:val="-3"/>
          <w:sz w:val="21"/>
          <w:szCs w:val="21"/>
          <w:highlight w:val="none"/>
        </w:rPr>
        <w:t>定。</w:t>
      </w:r>
    </w:p>
    <w:p w14:paraId="3B6FE9A6">
      <w:pPr>
        <w:spacing w:before="34" w:line="220" w:lineRule="auto"/>
        <w:ind w:left="495"/>
        <w:outlineLvl w:val="2"/>
        <w:rPr>
          <w:rFonts w:hint="eastAsia" w:ascii="宋体" w:hAnsi="宋体" w:eastAsia="宋体" w:cs="宋体"/>
          <w:color w:val="auto"/>
          <w:sz w:val="21"/>
          <w:szCs w:val="21"/>
          <w:highlight w:val="none"/>
        </w:rPr>
      </w:pPr>
      <w:bookmarkStart w:id="151" w:name="_Toc17305"/>
      <w:r>
        <w:rPr>
          <w:rFonts w:hint="eastAsia" w:ascii="宋体" w:hAnsi="宋体" w:eastAsia="宋体" w:cs="宋体"/>
          <w:b/>
          <w:bCs/>
          <w:color w:val="auto"/>
          <w:spacing w:val="-8"/>
          <w:sz w:val="21"/>
          <w:szCs w:val="21"/>
          <w:highlight w:val="none"/>
        </w:rPr>
        <w:t>1</w:t>
      </w:r>
      <w:r>
        <w:rPr>
          <w:rFonts w:hint="eastAsia" w:ascii="宋体" w:hAnsi="宋体" w:eastAsia="宋体" w:cs="宋体"/>
          <w:b/>
          <w:bCs/>
          <w:color w:val="auto"/>
          <w:spacing w:val="-26"/>
          <w:sz w:val="21"/>
          <w:szCs w:val="21"/>
          <w:highlight w:val="none"/>
        </w:rPr>
        <w:t xml:space="preserve"> </w:t>
      </w:r>
      <w:r>
        <w:rPr>
          <w:rFonts w:hint="eastAsia" w:ascii="宋体" w:hAnsi="宋体" w:eastAsia="宋体" w:cs="宋体"/>
          <w:b/>
          <w:bCs/>
          <w:color w:val="auto"/>
          <w:spacing w:val="-8"/>
          <w:sz w:val="21"/>
          <w:szCs w:val="21"/>
          <w:highlight w:val="none"/>
        </w:rPr>
        <w:t>．资格评审环节</w:t>
      </w:r>
      <w:bookmarkEnd w:id="151"/>
    </w:p>
    <w:p w14:paraId="51ABE522">
      <w:pPr>
        <w:spacing w:before="150" w:line="280" w:lineRule="auto"/>
        <w:ind w:right="200" w:firstLine="492"/>
        <w:rPr>
          <w:rFonts w:hint="eastAsia" w:ascii="宋体" w:hAnsi="宋体" w:eastAsia="宋体" w:cs="宋体"/>
          <w:color w:val="auto"/>
          <w:spacing w:val="-3"/>
          <w:sz w:val="21"/>
          <w:szCs w:val="21"/>
          <w:highlight w:val="none"/>
        </w:rPr>
      </w:pPr>
      <w:r>
        <w:rPr>
          <w:rFonts w:hint="eastAsia" w:ascii="宋体" w:hAnsi="宋体" w:eastAsia="宋体" w:cs="宋体"/>
          <w:color w:val="auto"/>
          <w:spacing w:val="-2"/>
          <w:sz w:val="21"/>
          <w:szCs w:val="21"/>
          <w:highlight w:val="none"/>
        </w:rPr>
        <w:t>投标人有下列情形之一的，评标委员会应否决其投标。被否决的投标人，不进入形</w:t>
      </w:r>
      <w:r>
        <w:rPr>
          <w:rFonts w:hint="eastAsia" w:ascii="宋体" w:hAnsi="宋体" w:eastAsia="宋体" w:cs="宋体"/>
          <w:color w:val="auto"/>
          <w:spacing w:val="-3"/>
          <w:sz w:val="21"/>
          <w:szCs w:val="21"/>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（2）投标人资质不符合规定的；</w:t>
      </w:r>
    </w:p>
    <w:p w14:paraId="19664B7F">
      <w:pPr>
        <w:keepNext w:val="0"/>
        <w:keepLines w:val="0"/>
        <w:pageBreakBefore w:val="0"/>
        <w:widowControl/>
        <w:kinsoku w:val="0"/>
        <w:wordWrap w:val="0"/>
        <w:overflowPunct/>
        <w:topLinePunct w:val="0"/>
        <w:autoSpaceDE w:val="0"/>
        <w:autoSpaceDN w:val="0"/>
        <w:bidi w:val="0"/>
        <w:adjustRightInd w:val="0"/>
        <w:snapToGrid w:val="0"/>
        <w:spacing w:line="360" w:lineRule="auto"/>
        <w:ind w:right="198" w:firstLine="493"/>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10" w:firstLineChars="1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项目经理简历表》中拟派项目经理与《开标一览表》不一致的；拟派的项目经理未在投标文件《项目经理简历表》中签字确认；一级建造师的注册证书不是国家住建部颁发的；二级建造师的电子注册证书不是</w:t>
      </w:r>
      <w:r>
        <w:rPr>
          <w:rFonts w:hint="eastAsia" w:ascii="宋体" w:hAnsi="宋体" w:eastAsia="宋体" w:cs="宋体"/>
          <w:color w:val="auto"/>
          <w:sz w:val="21"/>
          <w:szCs w:val="21"/>
          <w:highlight w:val="none"/>
          <w:lang w:eastAsia="zh-CN"/>
        </w:rPr>
        <w:t>省住建厅</w:t>
      </w:r>
      <w:r>
        <w:rPr>
          <w:rFonts w:hint="eastAsia" w:ascii="宋体" w:hAnsi="宋体" w:eastAsia="宋体" w:cs="宋体"/>
          <w:color w:val="auto"/>
          <w:sz w:val="21"/>
          <w:szCs w:val="21"/>
          <w:highlight w:val="none"/>
        </w:rPr>
        <w:t>颁发的；建造师的注册单位与投标人不一致的；项目管理班子组成人员的各类证书、证件、证明不在有效期内的（建造师注册证书不在使用有效期内的）；擅自修改、遗漏《项目经理任职声明》实质性内容的；</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标人已经工商变更，但其员工执业资格注册证书的注册单位名称未完成变更的，不得否决其投标。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（6）联合体投标，未提交《联合体协议书》的；擅自修改、遗漏《联合体协议书》实质性内容的；联合体成员的数量、资质不符合规定的；联合体成员同时以自己名义单独投标或者参加其他联合体投标的；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1"/>
          <w:szCs w:val="21"/>
          <w:highlight w:val="none"/>
        </w:rPr>
      </w:pPr>
      <w:bookmarkStart w:id="152" w:name="_Toc3275"/>
      <w:r>
        <w:rPr>
          <w:rFonts w:hint="eastAsia" w:ascii="宋体" w:hAnsi="宋体" w:eastAsia="宋体" w:cs="宋体"/>
          <w:b/>
          <w:bCs/>
          <w:color w:val="auto"/>
          <w:spacing w:val="-7"/>
          <w:sz w:val="21"/>
          <w:szCs w:val="21"/>
          <w:highlight w:val="none"/>
        </w:rPr>
        <w:t>2</w:t>
      </w:r>
      <w:r>
        <w:rPr>
          <w:rFonts w:hint="eastAsia" w:ascii="宋体" w:hAnsi="宋体" w:eastAsia="宋体" w:cs="宋体"/>
          <w:b/>
          <w:bCs/>
          <w:color w:val="auto"/>
          <w:spacing w:val="-24"/>
          <w:sz w:val="21"/>
          <w:szCs w:val="21"/>
          <w:highlight w:val="none"/>
        </w:rPr>
        <w:t xml:space="preserve"> </w:t>
      </w:r>
      <w:r>
        <w:rPr>
          <w:rFonts w:hint="eastAsia" w:ascii="宋体" w:hAnsi="宋体" w:eastAsia="宋体" w:cs="宋体"/>
          <w:b/>
          <w:bCs/>
          <w:color w:val="auto"/>
          <w:spacing w:val="-7"/>
          <w:sz w:val="21"/>
          <w:szCs w:val="21"/>
          <w:highlight w:val="none"/>
        </w:rPr>
        <w:t>．形式评审环节</w:t>
      </w:r>
      <w:bookmarkEnd w:id="152"/>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（2）本章第三节第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b/>
          <w:bCs/>
          <w:color w:val="auto"/>
          <w:spacing w:val="-8"/>
          <w:sz w:val="21"/>
          <w:szCs w:val="21"/>
          <w:highlight w:val="none"/>
        </w:rPr>
        <w:t>10.2.2</w:t>
      </w:r>
      <w:r>
        <w:rPr>
          <w:rFonts w:hint="eastAsia" w:ascii="宋体" w:hAnsi="宋体" w:eastAsia="宋体" w:cs="宋体"/>
          <w:color w:val="auto"/>
          <w:spacing w:val="-8"/>
          <w:sz w:val="21"/>
          <w:szCs w:val="21"/>
          <w:highlight w:val="none"/>
        </w:rPr>
        <w:t xml:space="preserve"> 目、第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b/>
          <w:bCs/>
          <w:color w:val="auto"/>
          <w:spacing w:val="-8"/>
          <w:sz w:val="21"/>
          <w:szCs w:val="21"/>
          <w:highlight w:val="none"/>
        </w:rPr>
        <w:t>10.3.2</w:t>
      </w:r>
      <w:r>
        <w:rPr>
          <w:rFonts w:hint="eastAsia" w:ascii="宋体" w:hAnsi="宋体" w:eastAsia="宋体" w:cs="宋体"/>
          <w:color w:val="auto"/>
          <w:spacing w:val="-8"/>
          <w:sz w:val="21"/>
          <w:szCs w:val="21"/>
          <w:highlight w:val="none"/>
        </w:rPr>
        <w:t xml:space="preserve"> 目、第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b/>
          <w:bCs/>
          <w:color w:val="auto"/>
          <w:spacing w:val="-8"/>
          <w:sz w:val="21"/>
          <w:szCs w:val="21"/>
          <w:highlight w:val="none"/>
        </w:rPr>
        <w:t>10.4.3</w:t>
      </w:r>
      <w:r>
        <w:rPr>
          <w:rFonts w:hint="eastAsia" w:ascii="宋体" w:hAnsi="宋体" w:eastAsia="宋体" w:cs="宋体"/>
          <w:color w:val="auto"/>
          <w:spacing w:val="-8"/>
          <w:sz w:val="21"/>
          <w:szCs w:val="21"/>
          <w:highlight w:val="none"/>
        </w:rPr>
        <w:t xml:space="preserve"> 目中规定的“所有投标人</w:t>
      </w:r>
      <w:r>
        <w:rPr>
          <w:rFonts w:hint="eastAsia" w:ascii="宋体" w:hAnsi="宋体" w:eastAsia="宋体" w:cs="宋体"/>
          <w:color w:val="auto"/>
          <w:spacing w:val="-1"/>
          <w:sz w:val="21"/>
          <w:szCs w:val="21"/>
          <w:highlight w:val="none"/>
        </w:rPr>
        <w:t>均应提供</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”的组成内容（包括该组成内容的所附资料）中，</w:t>
      </w:r>
      <w:r>
        <w:rPr>
          <w:rFonts w:hint="eastAsia" w:ascii="宋体" w:hAnsi="宋体" w:eastAsia="宋体" w:cs="宋体"/>
          <w:color w:val="auto"/>
          <w:spacing w:val="-2"/>
          <w:sz w:val="21"/>
          <w:szCs w:val="21"/>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（3）关键字迹模糊、无法辨认，且该种过错将导致评标委员会无法判断投标文件是</w:t>
      </w:r>
      <w:r>
        <w:rPr>
          <w:rFonts w:hint="eastAsia" w:ascii="宋体" w:hAnsi="宋体" w:eastAsia="宋体" w:cs="宋体"/>
          <w:color w:val="auto"/>
          <w:spacing w:val="-2"/>
          <w:sz w:val="21"/>
          <w:szCs w:val="21"/>
          <w:highlight w:val="none"/>
        </w:rPr>
        <w:t>否响应招标文件实质性要求的；有涂改、行间插字或删除，但未加盖单</w:t>
      </w:r>
      <w:r>
        <w:rPr>
          <w:rFonts w:hint="eastAsia" w:ascii="宋体" w:hAnsi="宋体" w:eastAsia="宋体" w:cs="宋体"/>
          <w:color w:val="auto"/>
          <w:spacing w:val="-2"/>
          <w:sz w:val="21"/>
          <w:szCs w:val="21"/>
          <w:highlight w:val="none"/>
          <w:lang w:eastAsia="zh-CN"/>
        </w:rPr>
        <w:t>位公</w:t>
      </w:r>
      <w:r>
        <w:rPr>
          <w:rFonts w:hint="eastAsia" w:ascii="宋体" w:hAnsi="宋体" w:eastAsia="宋体" w:cs="宋体"/>
          <w:color w:val="auto"/>
          <w:spacing w:val="-2"/>
          <w:sz w:val="21"/>
          <w:szCs w:val="21"/>
          <w:highlight w:val="none"/>
        </w:rPr>
        <w:t>章或由投标人</w:t>
      </w:r>
      <w:r>
        <w:rPr>
          <w:rFonts w:hint="eastAsia" w:ascii="宋体" w:hAnsi="宋体" w:eastAsia="宋体" w:cs="宋体"/>
          <w:color w:val="auto"/>
          <w:spacing w:val="-1"/>
          <w:sz w:val="21"/>
          <w:szCs w:val="21"/>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1"/>
          <w:szCs w:val="21"/>
          <w:highlight w:val="none"/>
        </w:rPr>
      </w:pPr>
      <w:bookmarkStart w:id="153" w:name="_Toc26166"/>
      <w:r>
        <w:rPr>
          <w:rFonts w:hint="eastAsia" w:ascii="宋体" w:hAnsi="宋体" w:eastAsia="宋体" w:cs="宋体"/>
          <w:b/>
          <w:bCs/>
          <w:color w:val="auto"/>
          <w:spacing w:val="-6"/>
          <w:sz w:val="21"/>
          <w:szCs w:val="21"/>
          <w:highlight w:val="none"/>
        </w:rPr>
        <w:t>3</w:t>
      </w:r>
      <w:r>
        <w:rPr>
          <w:rFonts w:hint="eastAsia" w:ascii="宋体" w:hAnsi="宋体" w:eastAsia="宋体" w:cs="宋体"/>
          <w:b/>
          <w:bCs/>
          <w:color w:val="auto"/>
          <w:spacing w:val="-24"/>
          <w:sz w:val="21"/>
          <w:szCs w:val="21"/>
          <w:highlight w:val="none"/>
        </w:rPr>
        <w:t xml:space="preserve"> </w:t>
      </w:r>
      <w:r>
        <w:rPr>
          <w:rFonts w:hint="eastAsia" w:ascii="宋体" w:hAnsi="宋体" w:eastAsia="宋体" w:cs="宋体"/>
          <w:b/>
          <w:bCs/>
          <w:color w:val="auto"/>
          <w:spacing w:val="-6"/>
          <w:sz w:val="21"/>
          <w:szCs w:val="21"/>
          <w:highlight w:val="none"/>
        </w:rPr>
        <w:t>．响应性评审环节</w:t>
      </w:r>
      <w:bookmarkEnd w:id="153"/>
    </w:p>
    <w:p w14:paraId="4686AB01">
      <w:pPr>
        <w:spacing w:before="151" w:line="327" w:lineRule="auto"/>
        <w:ind w:left="1" w:right="200"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（1）承诺的投标有效期短于规定的；质量标准低于规定的；工期超出规定的；擅</w:t>
      </w:r>
      <w:r>
        <w:rPr>
          <w:rFonts w:hint="eastAsia" w:ascii="宋体" w:hAnsi="宋体" w:eastAsia="宋体" w:cs="宋体"/>
          <w:color w:val="auto"/>
          <w:spacing w:val="-2"/>
          <w:sz w:val="21"/>
          <w:szCs w:val="21"/>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（2）编制《投标总价》的造价工程师，其注册证书不是</w:t>
      </w:r>
      <w:r>
        <w:rPr>
          <w:rFonts w:hint="eastAsia" w:ascii="宋体" w:hAnsi="宋体" w:eastAsia="宋体" w:cs="宋体"/>
          <w:b/>
          <w:bCs/>
          <w:color w:val="auto"/>
          <w:spacing w:val="1"/>
          <w:sz w:val="21"/>
          <w:szCs w:val="21"/>
          <w:highlight w:val="none"/>
        </w:rPr>
        <w:t>住建部门</w:t>
      </w:r>
      <w:r>
        <w:rPr>
          <w:rFonts w:hint="eastAsia" w:ascii="宋体" w:hAnsi="宋体" w:eastAsia="宋体" w:cs="宋体"/>
          <w:color w:val="auto"/>
          <w:spacing w:val="1"/>
          <w:sz w:val="21"/>
          <w:szCs w:val="21"/>
          <w:highlight w:val="none"/>
        </w:rPr>
        <w:t>颁发的；其注册</w:t>
      </w:r>
      <w:r>
        <w:rPr>
          <w:rFonts w:hint="eastAsia" w:ascii="宋体" w:hAnsi="宋体" w:eastAsia="宋体" w:cs="宋体"/>
          <w:color w:val="auto"/>
          <w:sz w:val="21"/>
          <w:szCs w:val="21"/>
          <w:highlight w:val="none"/>
        </w:rPr>
        <w:t>单位与投标人（或造价咨询人）不一致的；</w:t>
      </w:r>
      <w:r>
        <w:rPr>
          <w:rFonts w:hint="eastAsia" w:ascii="宋体" w:hAnsi="宋体" w:eastAsia="宋体" w:cs="宋体"/>
          <w:color w:val="auto"/>
          <w:spacing w:val="-1"/>
          <w:sz w:val="21"/>
          <w:szCs w:val="21"/>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注：投标人（或造价咨询人）已经工商变更，但其员工的执业资格注</w:t>
      </w:r>
      <w:r>
        <w:rPr>
          <w:rFonts w:hint="eastAsia" w:ascii="宋体" w:hAnsi="宋体" w:eastAsia="宋体" w:cs="宋体"/>
          <w:b/>
          <w:bCs/>
          <w:color w:val="auto"/>
          <w:spacing w:val="-5"/>
          <w:sz w:val="21"/>
          <w:szCs w:val="21"/>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（3）投标人委托造价咨询单位编制《投标总价》，但未在《投标总价扉页》“投标人</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1"/>
          <w:sz w:val="21"/>
          <w:szCs w:val="21"/>
          <w:highlight w:val="none"/>
        </w:rPr>
        <w:t>”栏目加盖造价咨询人公章的；未提</w:t>
      </w:r>
      <w:r>
        <w:rPr>
          <w:rFonts w:hint="eastAsia" w:ascii="宋体" w:hAnsi="宋体" w:eastAsia="宋体" w:cs="宋体"/>
          <w:color w:val="auto"/>
          <w:sz w:val="21"/>
          <w:szCs w:val="21"/>
          <w:highlight w:val="none"/>
        </w:rPr>
        <w:t>供造价咨询人的营业执照副本彩</w:t>
      </w:r>
      <w:r>
        <w:rPr>
          <w:rFonts w:hint="eastAsia" w:ascii="宋体" w:hAnsi="宋体" w:eastAsia="宋体" w:cs="宋体"/>
          <w:color w:val="auto"/>
          <w:spacing w:val="-3"/>
          <w:sz w:val="21"/>
          <w:szCs w:val="21"/>
          <w:highlight w:val="none"/>
        </w:rPr>
        <w:t>色扫描件；</w:t>
      </w:r>
    </w:p>
    <w:p w14:paraId="3D7914BD">
      <w:pPr>
        <w:spacing w:before="151" w:line="360" w:lineRule="auto"/>
        <w:ind w:right="21" w:firstLine="49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（4）出现两个或两个以上投标总价的（同一个投标总价大、小写不一致的除外</w:t>
      </w:r>
      <w:r>
        <w:rPr>
          <w:rFonts w:hint="eastAsia" w:ascii="宋体" w:hAnsi="宋体" w:eastAsia="宋体" w:cs="宋体"/>
          <w:color w:val="auto"/>
          <w:spacing w:val="-31"/>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投标总价超出</w:t>
      </w:r>
      <w:r>
        <w:rPr>
          <w:rFonts w:hint="eastAsia" w:ascii="宋体" w:hAnsi="宋体" w:eastAsia="宋体" w:cs="宋体"/>
          <w:b/>
          <w:bCs/>
          <w:color w:val="auto"/>
          <w:spacing w:val="-2"/>
          <w:sz w:val="21"/>
          <w:szCs w:val="21"/>
          <w:highlight w:val="none"/>
          <w:lang w:eastAsia="zh-CN"/>
        </w:rPr>
        <w:t>最高投标限价</w:t>
      </w:r>
      <w:r>
        <w:rPr>
          <w:rFonts w:hint="eastAsia" w:ascii="宋体" w:hAnsi="宋体" w:eastAsia="宋体" w:cs="宋体"/>
          <w:color w:val="auto"/>
          <w:spacing w:val="-2"/>
          <w:sz w:val="21"/>
          <w:szCs w:val="21"/>
          <w:highlight w:val="none"/>
        </w:rPr>
        <w:t>的；</w:t>
      </w:r>
      <w:r>
        <w:rPr>
          <w:rFonts w:hint="eastAsia" w:ascii="宋体" w:hAnsi="宋体" w:eastAsia="宋体" w:cs="宋体"/>
          <w:b/>
          <w:bCs/>
          <w:color w:val="auto"/>
          <w:spacing w:val="-2"/>
          <w:sz w:val="21"/>
          <w:szCs w:val="21"/>
          <w:highlight w:val="none"/>
          <w:lang w:val="en-US" w:eastAsia="zh-CN"/>
        </w:rPr>
        <w:t>安全生产措施费</w:t>
      </w:r>
      <w:r>
        <w:rPr>
          <w:rFonts w:hint="eastAsia" w:ascii="宋体" w:hAnsi="宋体" w:eastAsia="宋体" w:cs="宋体"/>
          <w:color w:val="auto"/>
          <w:spacing w:val="-2"/>
          <w:sz w:val="21"/>
          <w:szCs w:val="21"/>
          <w:highlight w:val="none"/>
        </w:rPr>
        <w:t>少于规定的；暂列金额、暂估</w:t>
      </w:r>
      <w:r>
        <w:rPr>
          <w:rFonts w:hint="eastAsia" w:ascii="宋体" w:hAnsi="宋体" w:eastAsia="宋体" w:cs="宋体"/>
          <w:color w:val="auto"/>
          <w:spacing w:val="-3"/>
          <w:sz w:val="21"/>
          <w:szCs w:val="21"/>
          <w:highlight w:val="none"/>
        </w:rPr>
        <w:t>价未按照招标工程量清单统一报价的；投标总价下浮率超过</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3"/>
          <w:sz w:val="21"/>
          <w:szCs w:val="21"/>
          <w:highlight w:val="none"/>
        </w:rPr>
        <w:t>15%，又未提供相应书面说</w:t>
      </w:r>
      <w:r>
        <w:rPr>
          <w:rFonts w:hint="eastAsia" w:ascii="宋体" w:hAnsi="宋体" w:eastAsia="宋体" w:cs="宋体"/>
          <w:color w:val="auto"/>
          <w:spacing w:val="-2"/>
          <w:sz w:val="21"/>
          <w:szCs w:val="21"/>
          <w:highlight w:val="none"/>
        </w:rPr>
        <w:t>明和佐证材料或提供的书面说明和佐证材料不能令人信服，被评标委员会认定以低于成</w:t>
      </w:r>
      <w:r>
        <w:rPr>
          <w:rFonts w:hint="eastAsia" w:ascii="宋体" w:hAnsi="宋体" w:eastAsia="宋体" w:cs="宋体"/>
          <w:color w:val="auto"/>
          <w:sz w:val="21"/>
          <w:szCs w:val="21"/>
          <w:highlight w:val="none"/>
        </w:rPr>
        <w:t>本报价竞标的；擅自修改、增减招标工程量清单</w:t>
      </w:r>
      <w:r>
        <w:rPr>
          <w:rFonts w:hint="eastAsia" w:ascii="宋体" w:hAnsi="宋体" w:eastAsia="宋体" w:cs="宋体"/>
          <w:color w:val="auto"/>
          <w:spacing w:val="-1"/>
          <w:sz w:val="21"/>
          <w:szCs w:val="21"/>
          <w:highlight w:val="none"/>
        </w:rPr>
        <w:t>项目（包括措施项目）的；</w:t>
      </w:r>
    </w:p>
    <w:p w14:paraId="7BE05ED8">
      <w:pPr>
        <w:spacing w:before="156" w:line="299" w:lineRule="auto"/>
        <w:ind w:right="81" w:firstLine="49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（5）在施工组织设计评审中，评标委员会认定质量、进度保障措施与国家和省市</w:t>
      </w:r>
      <w:r>
        <w:rPr>
          <w:rFonts w:hint="eastAsia" w:ascii="宋体" w:hAnsi="宋体" w:eastAsia="宋体" w:cs="宋体"/>
          <w:color w:val="auto"/>
          <w:spacing w:val="-3"/>
          <w:sz w:val="21"/>
          <w:szCs w:val="21"/>
          <w:highlight w:val="none"/>
        </w:rPr>
        <w:t>现行有关规范、规定、标准有重大偏差，</w:t>
      </w:r>
      <w:r>
        <w:rPr>
          <w:rFonts w:hint="eastAsia" w:ascii="宋体" w:hAnsi="宋体" w:eastAsia="宋体" w:cs="宋体"/>
          <w:b/>
          <w:bCs/>
          <w:color w:val="auto"/>
          <w:spacing w:val="-3"/>
          <w:sz w:val="21"/>
          <w:szCs w:val="21"/>
          <w:highlight w:val="none"/>
        </w:rPr>
        <w:t>且该种过错将导致工程质量、进度管理目标无</w:t>
      </w:r>
      <w:r>
        <w:rPr>
          <w:rFonts w:hint="eastAsia" w:ascii="宋体" w:hAnsi="宋体" w:eastAsia="宋体" w:cs="宋体"/>
          <w:b/>
          <w:bCs/>
          <w:color w:val="auto"/>
          <w:spacing w:val="-4"/>
          <w:sz w:val="21"/>
          <w:szCs w:val="21"/>
          <w:highlight w:val="none"/>
        </w:rPr>
        <w:t>法实现的</w:t>
      </w:r>
      <w:r>
        <w:rPr>
          <w:rFonts w:hint="eastAsia" w:ascii="宋体" w:hAnsi="宋体" w:eastAsia="宋体" w:cs="宋体"/>
          <w:color w:val="auto"/>
          <w:spacing w:val="-4"/>
          <w:sz w:val="21"/>
          <w:szCs w:val="21"/>
          <w:highlight w:val="none"/>
        </w:rPr>
        <w:t>。</w:t>
      </w:r>
    </w:p>
    <w:p w14:paraId="1F2CAFD7">
      <w:pPr>
        <w:spacing w:before="151" w:line="221" w:lineRule="auto"/>
        <w:ind w:left="476"/>
        <w:outlineLvl w:val="2"/>
        <w:rPr>
          <w:rFonts w:hint="eastAsia" w:ascii="宋体" w:hAnsi="宋体" w:eastAsia="宋体" w:cs="宋体"/>
          <w:color w:val="auto"/>
          <w:sz w:val="21"/>
          <w:szCs w:val="21"/>
          <w:highlight w:val="none"/>
        </w:rPr>
      </w:pPr>
      <w:bookmarkStart w:id="154" w:name="_Toc5087"/>
      <w:r>
        <w:rPr>
          <w:rFonts w:hint="eastAsia" w:ascii="宋体" w:hAnsi="宋体" w:eastAsia="宋体" w:cs="宋体"/>
          <w:b/>
          <w:bCs/>
          <w:color w:val="auto"/>
          <w:spacing w:val="-11"/>
          <w:sz w:val="21"/>
          <w:szCs w:val="21"/>
          <w:highlight w:val="none"/>
        </w:rPr>
        <w:t>4</w:t>
      </w:r>
      <w:r>
        <w:rPr>
          <w:rFonts w:hint="eastAsia" w:ascii="宋体" w:hAnsi="宋体" w:eastAsia="宋体" w:cs="宋体"/>
          <w:b/>
          <w:bCs/>
          <w:color w:val="auto"/>
          <w:spacing w:val="-29"/>
          <w:sz w:val="21"/>
          <w:szCs w:val="21"/>
          <w:highlight w:val="none"/>
        </w:rPr>
        <w:t xml:space="preserve"> </w:t>
      </w:r>
      <w:r>
        <w:rPr>
          <w:rFonts w:hint="eastAsia" w:ascii="宋体" w:hAnsi="宋体" w:eastAsia="宋体" w:cs="宋体"/>
          <w:b/>
          <w:bCs/>
          <w:color w:val="auto"/>
          <w:spacing w:val="-11"/>
          <w:sz w:val="21"/>
          <w:szCs w:val="21"/>
          <w:highlight w:val="none"/>
        </w:rPr>
        <w:t>．其他</w:t>
      </w:r>
      <w:bookmarkEnd w:id="154"/>
    </w:p>
    <w:p w14:paraId="4300F4C0">
      <w:pPr>
        <w:spacing w:before="153" w:line="326" w:lineRule="auto"/>
        <w:ind w:firstLine="47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在任何评标环节（或阶段</w:t>
      </w:r>
      <w:r>
        <w:rPr>
          <w:rFonts w:hint="eastAsia" w:ascii="宋体" w:hAnsi="宋体" w:eastAsia="宋体" w:cs="宋体"/>
          <w:color w:val="auto"/>
          <w:spacing w:val="-36"/>
          <w:sz w:val="21"/>
          <w:szCs w:val="21"/>
          <w:highlight w:val="none"/>
        </w:rPr>
        <w:t>），</w:t>
      </w:r>
      <w:r>
        <w:rPr>
          <w:rFonts w:hint="eastAsia" w:ascii="宋体" w:hAnsi="宋体" w:eastAsia="宋体" w:cs="宋体"/>
          <w:color w:val="auto"/>
          <w:spacing w:val="-4"/>
          <w:sz w:val="21"/>
          <w:szCs w:val="21"/>
          <w:highlight w:val="none"/>
        </w:rPr>
        <w:t>投标人有下列情形之一的，评标委员会应否</w:t>
      </w:r>
      <w:r>
        <w:rPr>
          <w:rFonts w:hint="eastAsia" w:ascii="宋体" w:hAnsi="宋体" w:eastAsia="宋体" w:cs="宋体"/>
          <w:color w:val="auto"/>
          <w:spacing w:val="-5"/>
          <w:sz w:val="21"/>
          <w:szCs w:val="21"/>
          <w:highlight w:val="none"/>
        </w:rPr>
        <w:t>决其投标。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被否决的投标人，不进入下一环节（或阶段）。</w:t>
      </w:r>
    </w:p>
    <w:p w14:paraId="780DC4D6">
      <w:pPr>
        <w:spacing w:before="33" w:line="219" w:lineRule="auto"/>
        <w:ind w:left="49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（1）不按评标委员会要求澄清、说明或补正的；</w:t>
      </w:r>
    </w:p>
    <w:p w14:paraId="1BD88C6E">
      <w:pPr>
        <w:spacing w:before="154" w:line="219" w:lineRule="auto"/>
        <w:ind w:left="49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②不同投标人的投标总价相近且各分项报价、综合单价分析表内容混乱不能相互对</w:t>
      </w:r>
      <w:r>
        <w:rPr>
          <w:rFonts w:hint="eastAsia" w:ascii="宋体" w:hAnsi="宋体" w:eastAsia="宋体" w:cs="宋体"/>
          <w:color w:val="auto"/>
          <w:spacing w:val="-6"/>
          <w:sz w:val="21"/>
          <w:szCs w:val="21"/>
          <w:highlight w:val="none"/>
        </w:rPr>
        <w:t>应、乱调乱压或乱抬的，而在询标时没有合理的解释或者不能提供计算依据和</w:t>
      </w:r>
      <w:r>
        <w:rPr>
          <w:rFonts w:hint="eastAsia" w:ascii="宋体" w:hAnsi="宋体" w:eastAsia="宋体" w:cs="宋体"/>
          <w:color w:val="auto"/>
          <w:spacing w:val="-7"/>
          <w:sz w:val="21"/>
          <w:szCs w:val="21"/>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③不同投标人的投标各项报价存在异常一致</w:t>
      </w:r>
      <w:r>
        <w:rPr>
          <w:rFonts w:hint="eastAsia" w:ascii="宋体" w:hAnsi="宋体" w:eastAsia="宋体" w:cs="宋体"/>
          <w:color w:val="auto"/>
          <w:spacing w:val="-1"/>
          <w:sz w:val="21"/>
          <w:szCs w:val="21"/>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⑤不同投标人的投标文件中投标资料（包括电子资料）相互混装或项目班子成员出</w:t>
      </w:r>
      <w:r>
        <w:rPr>
          <w:rFonts w:hint="eastAsia" w:ascii="宋体" w:hAnsi="宋体" w:eastAsia="宋体" w:cs="宋体"/>
          <w:color w:val="auto"/>
          <w:spacing w:val="-3"/>
          <w:sz w:val="21"/>
          <w:szCs w:val="21"/>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⑥不同投标人的投标文件由同一电脑编制或同一台附属设备打印，或投标报价用同</w:t>
      </w:r>
      <w:r>
        <w:rPr>
          <w:rFonts w:hint="eastAsia" w:ascii="宋体" w:hAnsi="宋体" w:eastAsia="宋体" w:cs="宋体"/>
          <w:color w:val="auto"/>
          <w:spacing w:val="-1"/>
          <w:sz w:val="21"/>
          <w:szCs w:val="21"/>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⑧不同投标人委托同一个人或注册在同一家企业的注册人员或同一家企业为其投</w:t>
      </w:r>
      <w:r>
        <w:rPr>
          <w:rFonts w:hint="eastAsia" w:ascii="宋体" w:hAnsi="宋体" w:eastAsia="宋体" w:cs="宋体"/>
          <w:color w:val="auto"/>
          <w:spacing w:val="-2"/>
          <w:sz w:val="21"/>
          <w:szCs w:val="21"/>
          <w:highlight w:val="none"/>
        </w:rPr>
        <w:t>标提供投标咨询、商务报价、技术咨询（招标项目本身要求采用专有技术的除外）等服</w:t>
      </w:r>
      <w:r>
        <w:rPr>
          <w:rFonts w:hint="eastAsia" w:ascii="宋体" w:hAnsi="宋体" w:eastAsia="宋体" w:cs="宋体"/>
          <w:color w:val="auto"/>
          <w:spacing w:val="-6"/>
          <w:sz w:val="21"/>
          <w:szCs w:val="21"/>
          <w:highlight w:val="none"/>
        </w:rPr>
        <w:t>务</w:t>
      </w:r>
      <w:r>
        <w:rPr>
          <w:rFonts w:hint="eastAsia" w:ascii="宋体" w:hAnsi="宋体" w:eastAsia="宋体" w:cs="宋体"/>
          <w:color w:val="auto"/>
          <w:spacing w:val="-6"/>
          <w:sz w:val="21"/>
          <w:szCs w:val="21"/>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1"/>
          <w:szCs w:val="21"/>
          <w:highlight w:val="none"/>
          <w:lang w:eastAsia="zh-CN"/>
        </w:rPr>
        <w:sectPr>
          <w:headerReference r:id="rId6" w:type="default"/>
          <w:footerReference r:id="rId7"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1"/>
          <w:szCs w:val="21"/>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1"/>
          <w:szCs w:val="21"/>
          <w:highlight w:val="none"/>
          <w:lang w:eastAsia="zh-CN"/>
        </w:rPr>
        <w:t>。</w:t>
      </w: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5" w:name="bookmark57"/>
      <w:bookmarkEnd w:id="155"/>
      <w:bookmarkStart w:id="156" w:name="_Toc4690"/>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6"/>
    </w:p>
    <w:p w14:paraId="68BF1814">
      <w:pPr>
        <w:pStyle w:val="6"/>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22" w:firstLineChars="200"/>
        <w:rPr>
          <w:rStyle w:val="26"/>
          <w:rFonts w:hint="eastAsia" w:ascii="宋体" w:hAnsi="宋体" w:eastAsia="宋体" w:cs="宋体"/>
          <w:b/>
          <w:bCs/>
          <w:color w:val="auto"/>
          <w:kern w:val="0"/>
          <w:sz w:val="21"/>
          <w:szCs w:val="21"/>
          <w:highlight w:val="none"/>
        </w:rPr>
      </w:pPr>
      <w:r>
        <w:rPr>
          <w:rStyle w:val="26"/>
          <w:rFonts w:hint="eastAsia" w:ascii="宋体" w:hAnsi="宋体" w:eastAsia="宋体" w:cs="宋体"/>
          <w:b/>
          <w:bCs/>
          <w:color w:val="auto"/>
          <w:kern w:val="0"/>
          <w:sz w:val="21"/>
          <w:szCs w:val="21"/>
          <w:highlight w:val="none"/>
          <w:lang w:val="en-US" w:eastAsia="zh-CN"/>
        </w:rPr>
        <w:t>1.</w:t>
      </w:r>
      <w:r>
        <w:rPr>
          <w:rStyle w:val="26"/>
          <w:rFonts w:hint="eastAsia" w:ascii="宋体" w:hAnsi="宋体" w:eastAsia="宋体" w:cs="宋体"/>
          <w:b/>
          <w:bCs/>
          <w:color w:val="auto"/>
          <w:kern w:val="0"/>
          <w:sz w:val="21"/>
          <w:szCs w:val="21"/>
          <w:highlight w:val="none"/>
          <w:lang w:eastAsia="zh-CN"/>
        </w:rPr>
        <w:t>确定</w:t>
      </w:r>
      <w:r>
        <w:rPr>
          <w:rStyle w:val="26"/>
          <w:rFonts w:hint="eastAsia" w:ascii="宋体" w:hAnsi="宋体" w:eastAsia="宋体" w:cs="宋体"/>
          <w:b/>
          <w:bCs/>
          <w:color w:val="auto"/>
          <w:kern w:val="0"/>
          <w:sz w:val="21"/>
          <w:szCs w:val="21"/>
          <w:highlight w:val="none"/>
        </w:rPr>
        <w:t>定标时间</w:t>
      </w:r>
    </w:p>
    <w:p w14:paraId="7C93EC99">
      <w:pPr>
        <w:spacing w:line="360" w:lineRule="auto"/>
        <w:ind w:firstLine="420" w:firstLineChars="200"/>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lang w:eastAsia="zh-CN"/>
        </w:rPr>
        <w:t>招标人应自定标候选人公示期满后5个工作日内进入公共资源交易平台（与评标阶段公共资源交易平台相同）进行定标，定标委员会根据定标方案确定1名中标人或排名第1名至第3名的中标候选人，并向招标人提交书面定标报告，定标委员会全体成员在报告上签字确认。招标监督小组全员同时参加定标会议，全程监督，并在定标报告上的招标监督小组处签字。</w:t>
      </w:r>
      <w:r>
        <w:rPr>
          <w:rStyle w:val="26"/>
          <w:rFonts w:hint="eastAsia" w:ascii="宋体" w:hAnsi="宋体" w:eastAsia="宋体" w:cs="宋体"/>
          <w:color w:val="auto"/>
          <w:sz w:val="21"/>
          <w:szCs w:val="21"/>
          <w:highlight w:val="none"/>
          <w:lang w:val="en-US" w:eastAsia="zh-CN"/>
        </w:rPr>
        <w:t>项目业主单位</w:t>
      </w:r>
      <w:r>
        <w:rPr>
          <w:rStyle w:val="26"/>
          <w:rFonts w:hint="eastAsia" w:ascii="宋体" w:hAnsi="宋体" w:eastAsia="宋体" w:cs="宋体"/>
          <w:color w:val="auto"/>
          <w:sz w:val="21"/>
          <w:szCs w:val="21"/>
          <w:highlight w:val="none"/>
          <w:lang w:eastAsia="zh-CN"/>
        </w:rPr>
        <w:t>应对定标过程进行记录，形成定标会议记录，存档备查。定标会议全过程录音录像。招标人需要延期定标的，应通过公共资源交易平台公布延期原因和定标时间。</w:t>
      </w:r>
    </w:p>
    <w:p w14:paraId="5FB42728">
      <w:pPr>
        <w:keepNext w:val="0"/>
        <w:keepLines w:val="0"/>
        <w:pageBreakBefore w:val="0"/>
        <w:wordWrap/>
        <w:overflowPunct/>
        <w:topLinePunct w:val="0"/>
        <w:bidi w:val="0"/>
        <w:spacing w:line="360" w:lineRule="auto"/>
        <w:ind w:firstLine="422" w:firstLineChars="200"/>
        <w:rPr>
          <w:rStyle w:val="26"/>
          <w:rFonts w:hint="eastAsia" w:ascii="宋体" w:hAnsi="宋体" w:eastAsia="宋体" w:cs="宋体"/>
          <w:b/>
          <w:bCs/>
          <w:color w:val="auto"/>
          <w:kern w:val="0"/>
          <w:sz w:val="21"/>
          <w:szCs w:val="21"/>
          <w:highlight w:val="none"/>
          <w:lang w:eastAsia="zh-CN"/>
        </w:rPr>
      </w:pPr>
      <w:r>
        <w:rPr>
          <w:rStyle w:val="26"/>
          <w:rFonts w:hint="eastAsia" w:ascii="宋体" w:hAnsi="宋体" w:eastAsia="宋体" w:cs="宋体"/>
          <w:b/>
          <w:bCs/>
          <w:color w:val="auto"/>
          <w:kern w:val="0"/>
          <w:sz w:val="21"/>
          <w:szCs w:val="21"/>
          <w:highlight w:val="none"/>
          <w:lang w:val="en-US" w:eastAsia="zh-CN"/>
        </w:rPr>
        <w:t>2</w:t>
      </w:r>
      <w:r>
        <w:rPr>
          <w:rStyle w:val="26"/>
          <w:rFonts w:hint="eastAsia" w:ascii="宋体" w:hAnsi="宋体" w:eastAsia="宋体" w:cs="宋体"/>
          <w:b/>
          <w:bCs/>
          <w:color w:val="auto"/>
          <w:kern w:val="0"/>
          <w:sz w:val="21"/>
          <w:szCs w:val="21"/>
          <w:highlight w:val="none"/>
        </w:rPr>
        <w:t>.</w:t>
      </w:r>
      <w:r>
        <w:rPr>
          <w:rStyle w:val="26"/>
          <w:rFonts w:hint="eastAsia" w:ascii="宋体" w:hAnsi="宋体" w:eastAsia="宋体" w:cs="宋体"/>
          <w:b/>
          <w:bCs/>
          <w:color w:val="auto"/>
          <w:kern w:val="0"/>
          <w:sz w:val="21"/>
          <w:szCs w:val="21"/>
          <w:highlight w:val="none"/>
          <w:lang w:eastAsia="zh-CN"/>
        </w:rPr>
        <w:t>定标委员会</w:t>
      </w:r>
    </w:p>
    <w:p w14:paraId="0790C59B">
      <w:pPr>
        <w:spacing w:line="360" w:lineRule="auto"/>
        <w:ind w:firstLine="420" w:firstLineChars="200"/>
        <w:rPr>
          <w:rStyle w:val="26"/>
          <w:rFonts w:hint="eastAsia" w:ascii="宋体" w:hAnsi="宋体" w:eastAsia="宋体" w:cs="宋体"/>
          <w:color w:val="auto"/>
          <w:sz w:val="21"/>
          <w:szCs w:val="21"/>
          <w:highlight w:val="none"/>
          <w:lang w:val="en-US" w:eastAsia="zh-CN"/>
        </w:rPr>
      </w:pPr>
      <w:r>
        <w:rPr>
          <w:rStyle w:val="26"/>
          <w:rFonts w:hint="eastAsia" w:ascii="宋体" w:hAnsi="宋体" w:eastAsia="宋体" w:cs="宋体"/>
          <w:color w:val="auto"/>
          <w:sz w:val="21"/>
          <w:szCs w:val="21"/>
          <w:highlight w:val="none"/>
          <w:lang w:eastAsia="zh-CN"/>
        </w:rPr>
        <w:t>2.1定标委员会由项目业主单位或招标人负责组建和管理，由项目业主单位的法定代表人或者主要负责人担任组长。定标委员会的组成方式和人员由招标人按相关规定自行确定。招标项目对技术、商务等有特别要求的可从广东省综合评标评审专家库（韶关区域）抽取专家(外部人员）参与，成员数量为7人及以上单数，成员数量应在招标文件中明确。专家人数原则上不超过2人。定标委员会成员数量在投标人须知前附表约定。</w:t>
      </w:r>
    </w:p>
    <w:p w14:paraId="139597F1">
      <w:pPr>
        <w:spacing w:line="360" w:lineRule="auto"/>
        <w:ind w:firstLine="420" w:firstLineChars="200"/>
        <w:rPr>
          <w:rStyle w:val="26"/>
          <w:rFonts w:hint="eastAsia" w:ascii="宋体" w:hAnsi="宋体" w:eastAsia="宋体" w:cs="宋体"/>
          <w:color w:val="auto"/>
          <w:sz w:val="21"/>
          <w:szCs w:val="21"/>
          <w:highlight w:val="none"/>
          <w:lang w:eastAsia="zh-CN"/>
        </w:rPr>
      </w:pPr>
      <w:r>
        <w:rPr>
          <w:rStyle w:val="26"/>
          <w:rFonts w:hint="eastAsia" w:ascii="宋体" w:hAnsi="宋体" w:eastAsia="宋体" w:cs="宋体"/>
          <w:color w:val="auto"/>
          <w:sz w:val="21"/>
          <w:szCs w:val="21"/>
          <w:highlight w:val="none"/>
          <w:lang w:eastAsia="zh-CN"/>
        </w:rPr>
        <w:t>2.2定标委员会应当根据招标文件规定的定标方法和细则，对定标候选人进行系统的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r>
        <w:rPr>
          <w:rFonts w:hint="eastAsia" w:ascii="宋体" w:hAnsi="宋体" w:eastAsia="宋体" w:cs="宋体"/>
          <w:color w:val="auto"/>
          <w:sz w:val="21"/>
          <w:szCs w:val="21"/>
          <w:highlight w:val="none"/>
          <w:u w:val="none"/>
          <w:lang w:val="en-US" w:eastAsia="zh-CN"/>
        </w:rPr>
        <w:t>并向招标人提交书面定标报告。</w:t>
      </w:r>
      <w:r>
        <w:rPr>
          <w:rStyle w:val="26"/>
          <w:rFonts w:hint="eastAsia" w:ascii="宋体" w:hAnsi="宋体" w:eastAsia="宋体" w:cs="宋体"/>
          <w:color w:val="auto"/>
          <w:sz w:val="21"/>
          <w:szCs w:val="21"/>
          <w:highlight w:val="none"/>
          <w:lang w:eastAsia="zh-CN"/>
        </w:rPr>
        <w:t>。</w:t>
      </w:r>
    </w:p>
    <w:p w14:paraId="6CF2A3DB">
      <w:pPr>
        <w:spacing w:line="360" w:lineRule="auto"/>
        <w:ind w:firstLine="420" w:firstLineChars="200"/>
        <w:rPr>
          <w:rStyle w:val="26"/>
          <w:rFonts w:hint="eastAsia" w:ascii="宋体" w:hAnsi="宋体" w:eastAsia="宋体" w:cs="宋体"/>
          <w:color w:val="auto"/>
          <w:sz w:val="21"/>
          <w:szCs w:val="21"/>
          <w:highlight w:val="none"/>
          <w:lang w:eastAsia="zh-CN"/>
        </w:rPr>
      </w:pPr>
      <w:r>
        <w:rPr>
          <w:rStyle w:val="26"/>
          <w:rFonts w:hint="eastAsia" w:ascii="宋体" w:hAnsi="宋体" w:eastAsia="宋体" w:cs="宋体"/>
          <w:color w:val="auto"/>
          <w:sz w:val="21"/>
          <w:szCs w:val="21"/>
          <w:highlight w:val="none"/>
          <w:lang w:eastAsia="zh-CN"/>
        </w:rPr>
        <w:t>2.3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22" w:firstLineChars="200"/>
        <w:rPr>
          <w:rStyle w:val="26"/>
          <w:rFonts w:hint="eastAsia" w:ascii="宋体" w:hAnsi="宋体" w:eastAsia="宋体" w:cs="宋体"/>
          <w:b/>
          <w:bCs/>
          <w:color w:val="auto"/>
          <w:kern w:val="0"/>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3</w:t>
      </w:r>
      <w:r>
        <w:rPr>
          <w:rStyle w:val="26"/>
          <w:rFonts w:hint="eastAsia" w:ascii="宋体" w:hAnsi="宋体" w:eastAsia="宋体" w:cs="宋体"/>
          <w:b/>
          <w:bCs/>
          <w:color w:val="auto"/>
          <w:kern w:val="0"/>
          <w:sz w:val="21"/>
          <w:szCs w:val="21"/>
          <w:highlight w:val="none"/>
        </w:rPr>
        <w:t>.</w:t>
      </w:r>
      <w:r>
        <w:rPr>
          <w:rStyle w:val="26"/>
          <w:rFonts w:hint="eastAsia" w:ascii="宋体" w:hAnsi="宋体" w:eastAsia="宋体" w:cs="宋体"/>
          <w:b/>
          <w:bCs/>
          <w:color w:val="auto"/>
          <w:kern w:val="0"/>
          <w:sz w:val="21"/>
          <w:szCs w:val="21"/>
          <w:highlight w:val="none"/>
          <w:lang w:val="en-US" w:eastAsia="zh-CN"/>
        </w:rPr>
        <w:t>组建招标监督小组</w:t>
      </w:r>
    </w:p>
    <w:p w14:paraId="62B1E486">
      <w:pPr>
        <w:keepNext w:val="0"/>
        <w:keepLines w:val="0"/>
        <w:pageBreakBefore w:val="0"/>
        <w:wordWrap/>
        <w:overflowPunct/>
        <w:topLinePunct w:val="0"/>
        <w:bidi w:val="0"/>
        <w:spacing w:line="360" w:lineRule="auto"/>
        <w:ind w:firstLine="420" w:firstLineChars="200"/>
        <w:jc w:val="left"/>
        <w:rPr>
          <w:rStyle w:val="26"/>
          <w:rFonts w:hint="eastAsia" w:ascii="宋体" w:hAnsi="宋体" w:eastAsia="宋体" w:cs="宋体"/>
          <w:b w:val="0"/>
          <w:bCs w:val="0"/>
          <w:color w:val="auto"/>
          <w:kern w:val="0"/>
          <w:sz w:val="21"/>
          <w:szCs w:val="21"/>
          <w:highlight w:val="none"/>
          <w:lang w:val="en-US" w:eastAsia="zh-CN"/>
        </w:rPr>
      </w:pPr>
      <w:r>
        <w:rPr>
          <w:rStyle w:val="26"/>
          <w:rFonts w:hint="eastAsia" w:ascii="宋体" w:hAnsi="宋体" w:eastAsia="宋体" w:cs="宋体"/>
          <w:b w:val="0"/>
          <w:bCs w:val="0"/>
          <w:color w:val="auto"/>
          <w:kern w:val="0"/>
          <w:sz w:val="21"/>
          <w:szCs w:val="21"/>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22" w:firstLineChars="200"/>
        <w:jc w:val="left"/>
        <w:rPr>
          <w:rStyle w:val="26"/>
          <w:rFonts w:hint="eastAsia" w:ascii="宋体" w:hAnsi="宋体" w:eastAsia="宋体" w:cs="宋体"/>
          <w:b/>
          <w:bCs/>
          <w:color w:val="auto"/>
          <w:kern w:val="0"/>
          <w:sz w:val="21"/>
          <w:szCs w:val="21"/>
          <w:highlight w:val="none"/>
          <w:lang w:eastAsia="zh-CN"/>
        </w:rPr>
      </w:pPr>
      <w:r>
        <w:rPr>
          <w:rStyle w:val="26"/>
          <w:rFonts w:hint="eastAsia" w:ascii="宋体" w:hAnsi="宋体" w:eastAsia="宋体" w:cs="宋体"/>
          <w:b/>
          <w:bCs/>
          <w:color w:val="auto"/>
          <w:kern w:val="0"/>
          <w:sz w:val="21"/>
          <w:szCs w:val="21"/>
          <w:highlight w:val="none"/>
          <w:lang w:val="en-US" w:eastAsia="zh-CN"/>
        </w:rPr>
        <w:t>4</w:t>
      </w:r>
      <w:r>
        <w:rPr>
          <w:rStyle w:val="26"/>
          <w:rFonts w:hint="eastAsia" w:ascii="宋体" w:hAnsi="宋体" w:eastAsia="宋体" w:cs="宋体"/>
          <w:b/>
          <w:bCs/>
          <w:color w:val="auto"/>
          <w:kern w:val="0"/>
          <w:sz w:val="21"/>
          <w:szCs w:val="21"/>
          <w:highlight w:val="none"/>
        </w:rPr>
        <w:t>.</w:t>
      </w:r>
      <w:r>
        <w:rPr>
          <w:rStyle w:val="26"/>
          <w:rFonts w:hint="eastAsia" w:ascii="宋体" w:hAnsi="宋体" w:eastAsia="宋体" w:cs="宋体"/>
          <w:b/>
          <w:bCs/>
          <w:color w:val="auto"/>
          <w:kern w:val="0"/>
          <w:sz w:val="21"/>
          <w:szCs w:val="21"/>
          <w:highlight w:val="none"/>
          <w:lang w:eastAsia="zh-CN"/>
        </w:rPr>
        <w:t>定标办法</w:t>
      </w:r>
    </w:p>
    <w:p w14:paraId="7DD44814">
      <w:pPr>
        <w:spacing w:line="360" w:lineRule="auto"/>
        <w:ind w:firstLine="420" w:firstLineChars="200"/>
        <w:rPr>
          <w:rStyle w:val="26"/>
          <w:rFonts w:hint="eastAsia" w:ascii="宋体" w:hAnsi="宋体" w:eastAsia="宋体" w:cs="宋体"/>
          <w:color w:val="auto"/>
          <w:sz w:val="21"/>
          <w:szCs w:val="21"/>
          <w:highlight w:val="none"/>
          <w:lang w:eastAsia="zh-CN"/>
        </w:rPr>
      </w:pPr>
      <w:r>
        <w:rPr>
          <w:rStyle w:val="26"/>
          <w:rFonts w:hint="eastAsia" w:ascii="宋体" w:hAnsi="宋体" w:eastAsia="宋体" w:cs="宋体"/>
          <w:color w:val="auto"/>
          <w:sz w:val="21"/>
          <w:szCs w:val="21"/>
          <w:highlight w:val="none"/>
          <w:lang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22" w:firstLineChars="200"/>
        <w:rPr>
          <w:rFonts w:hint="eastAsia" w:ascii="宋体" w:hAnsi="宋体" w:eastAsia="宋体" w:cs="宋体"/>
          <w:color w:val="auto"/>
          <w:sz w:val="21"/>
          <w:szCs w:val="21"/>
          <w:highlight w:val="none"/>
        </w:rPr>
      </w:pPr>
      <w:bookmarkStart w:id="157" w:name="OLE_LINK3"/>
      <w:r>
        <w:rPr>
          <w:rFonts w:hint="eastAsia" w:ascii="宋体" w:hAnsi="宋体" w:eastAsia="宋体" w:cs="宋体"/>
          <w:b/>
          <w:bCs/>
          <w:color w:val="auto"/>
          <w:sz w:val="21"/>
          <w:szCs w:val="21"/>
          <w:highlight w:val="none"/>
          <w:lang w:val="en-US" w:eastAsia="zh-CN"/>
        </w:rPr>
        <w:t>本项目</w:t>
      </w:r>
      <w:bookmarkEnd w:id="157"/>
      <w:r>
        <w:rPr>
          <w:rFonts w:hint="eastAsia" w:ascii="宋体" w:hAnsi="宋体" w:eastAsia="宋体" w:cs="宋体"/>
          <w:b/>
          <w:bCs/>
          <w:color w:val="auto"/>
          <w:sz w:val="21"/>
          <w:szCs w:val="21"/>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22" w:firstLineChars="200"/>
        <w:rPr>
          <w:rStyle w:val="26"/>
          <w:rFonts w:hint="eastAsia" w:ascii="宋体" w:hAnsi="宋体" w:eastAsia="宋体" w:cs="宋体"/>
          <w:b/>
          <w:bCs/>
          <w:color w:val="auto"/>
          <w:kern w:val="0"/>
          <w:sz w:val="21"/>
          <w:szCs w:val="21"/>
          <w:highlight w:val="none"/>
          <w:lang w:val="en-US" w:eastAsia="zh-CN"/>
        </w:rPr>
      </w:pPr>
      <w:r>
        <w:rPr>
          <w:rStyle w:val="26"/>
          <w:rFonts w:hint="eastAsia" w:ascii="宋体" w:hAnsi="宋体" w:eastAsia="宋体" w:cs="宋体"/>
          <w:b/>
          <w:bCs/>
          <w:color w:val="auto"/>
          <w:kern w:val="0"/>
          <w:sz w:val="21"/>
          <w:szCs w:val="21"/>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eastAsia="zh-CN"/>
        </w:rPr>
      </w:pPr>
      <w:r>
        <w:rPr>
          <w:rFonts w:hint="eastAsia" w:ascii="宋体" w:hAnsi="宋体" w:eastAsia="宋体" w:cs="宋体"/>
          <w:b/>
          <w:bCs/>
          <w:color w:val="auto"/>
          <w:spacing w:val="0"/>
          <w:position w:val="0"/>
          <w:sz w:val="21"/>
          <w:szCs w:val="21"/>
          <w:highlight w:val="none"/>
          <w:u w:val="none" w:color="auto"/>
          <w:lang w:val="en-US" w:eastAsia="zh-CN"/>
        </w:rPr>
        <w:t>5.1票决数量法程序</w:t>
      </w:r>
    </w:p>
    <w:p w14:paraId="7868D775">
      <w:pPr>
        <w:keepNext w:val="0"/>
        <w:keepLines w:val="0"/>
        <w:pageBreakBefore w:val="0"/>
        <w:shd w:val="clear" w:color="auto" w:fill="auto"/>
        <w:kinsoku/>
        <w:wordWrap w:val="0"/>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定标委员会根据定标因素对定标候选人进行评审比较后，每名定标委员会成员有且仅有投出1票的权利，1票只能投1名定标候选人，进行票决排名确定排序的中标候选人。即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w:t>
      </w:r>
      <w:r>
        <w:rPr>
          <w:rFonts w:hint="eastAsia" w:ascii="宋体" w:hAnsi="宋体" w:eastAsia="宋体" w:cs="宋体"/>
          <w:color w:val="auto"/>
          <w:sz w:val="21"/>
          <w:szCs w:val="21"/>
          <w:highlight w:val="none"/>
          <w:u w:val="none"/>
          <w:lang w:eastAsia="zh-CN"/>
        </w:rPr>
        <w:t>有效定标候选人不少于3家的，确定带排序的前3名中标候选人；有效定标候选人仅为2家且满足法定要求的，确定带排序的前2名中标候选人</w:t>
      </w:r>
      <w:r>
        <w:rPr>
          <w:rFonts w:hint="eastAsia" w:ascii="宋体" w:hAnsi="宋体" w:eastAsia="宋体" w:cs="宋体"/>
          <w:color w:val="auto"/>
          <w:sz w:val="21"/>
          <w:szCs w:val="21"/>
          <w:highlight w:val="none"/>
          <w:u w:val="none"/>
          <w:lang w:val="en-US" w:eastAsia="zh-CN"/>
        </w:rPr>
        <w:t>。若定标候选人中没有符合评审要求的中标候选人，则宣告本次招标失败。票决采用记名方式并注明投票理由。</w:t>
      </w:r>
    </w:p>
    <w:p w14:paraId="2232929B">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val="0"/>
          <w:i w:val="0"/>
          <w:snapToGrid/>
          <w:color w:val="auto"/>
          <w:sz w:val="21"/>
          <w:szCs w:val="21"/>
          <w:highlight w:val="none"/>
          <w:u w:val="none"/>
          <w:shd w:val="clear" w:color="auto" w:fill="FFFFFF"/>
          <w:lang w:val="en-US" w:eastAsia="zh-CN"/>
        </w:rPr>
      </w:pP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5.1.1.</w:t>
      </w:r>
      <w:r>
        <w:rPr>
          <w:rFonts w:hint="eastAsia" w:ascii="宋体" w:hAnsi="宋体" w:eastAsia="宋体" w:cs="宋体"/>
          <w:b/>
          <w:bCs/>
          <w:color w:val="auto"/>
          <w:sz w:val="21"/>
          <w:szCs w:val="21"/>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eastAsia="zh-CN"/>
        </w:rPr>
      </w:pPr>
      <w:r>
        <w:rPr>
          <w:rFonts w:hint="eastAsia" w:ascii="宋体" w:hAnsi="宋体" w:eastAsia="宋体" w:cs="宋体"/>
          <w:b w:val="0"/>
          <w:bCs w:val="0"/>
          <w:color w:val="auto"/>
          <w:spacing w:val="0"/>
          <w:position w:val="0"/>
          <w:sz w:val="21"/>
          <w:szCs w:val="21"/>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val="en-US" w:eastAsia="zh-CN"/>
        </w:rPr>
      </w:pPr>
      <w:r>
        <w:rPr>
          <w:rFonts w:hint="eastAsia" w:ascii="宋体" w:hAnsi="宋体" w:eastAsia="宋体" w:cs="宋体"/>
          <w:b/>
          <w:bCs/>
          <w:color w:val="auto"/>
          <w:spacing w:val="0"/>
          <w:position w:val="0"/>
          <w:sz w:val="21"/>
          <w:szCs w:val="21"/>
          <w:highlight w:val="none"/>
          <w:u w:val="none" w:color="auto"/>
          <w:lang w:val="en-US" w:eastAsia="zh-CN"/>
        </w:rPr>
        <w:t>5.1.2.</w:t>
      </w:r>
      <w:r>
        <w:rPr>
          <w:rFonts w:hint="eastAsia" w:ascii="宋体" w:hAnsi="宋体" w:eastAsia="宋体" w:cs="宋体"/>
          <w:b/>
          <w:bCs/>
          <w:color w:val="auto"/>
          <w:sz w:val="21"/>
          <w:szCs w:val="21"/>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eastAsia="zh-CN"/>
        </w:rPr>
      </w:pPr>
      <w:r>
        <w:rPr>
          <w:rFonts w:hint="eastAsia" w:ascii="宋体" w:hAnsi="宋体" w:eastAsia="宋体" w:cs="宋体"/>
          <w:b w:val="0"/>
          <w:bCs w:val="0"/>
          <w:color w:val="auto"/>
          <w:spacing w:val="0"/>
          <w:position w:val="0"/>
          <w:sz w:val="21"/>
          <w:szCs w:val="21"/>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1"/>
          <w:szCs w:val="21"/>
          <w:highlight w:val="none"/>
          <w:u w:val="none" w:color="auto"/>
          <w:lang w:val="en-US" w:eastAsia="zh-CN"/>
        </w:rPr>
        <w:t>聚焦于项目需求与候选人能力的匹配度</w:t>
      </w:r>
      <w:r>
        <w:rPr>
          <w:rFonts w:hint="eastAsia" w:ascii="宋体" w:hAnsi="宋体" w:eastAsia="宋体" w:cs="宋体"/>
          <w:color w:val="auto"/>
          <w:sz w:val="21"/>
          <w:szCs w:val="21"/>
          <w:highlight w:val="none"/>
          <w:u w:val="none"/>
          <w:shd w:val="clear" w:color="auto" w:fill="FFFFFF"/>
          <w:lang w:eastAsia="zh-CN"/>
        </w:rPr>
        <w:t>。</w:t>
      </w:r>
    </w:p>
    <w:p w14:paraId="28D62039">
      <w:pPr>
        <w:pStyle w:val="14"/>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22" w:firstLine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5.1.3.</w:t>
      </w:r>
      <w:r>
        <w:rPr>
          <w:rFonts w:hint="eastAsia" w:ascii="宋体" w:hAnsi="宋体" w:eastAsia="宋体" w:cs="宋体"/>
          <w:b/>
          <w:bCs/>
          <w:color w:val="auto"/>
          <w:sz w:val="21"/>
          <w:szCs w:val="21"/>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color w:val="auto"/>
          <w:sz w:val="21"/>
          <w:szCs w:val="21"/>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bCs/>
          <w:color w:val="auto"/>
          <w:kern w:val="0"/>
          <w:sz w:val="21"/>
          <w:szCs w:val="21"/>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color w:val="auto"/>
          <w:sz w:val="21"/>
          <w:szCs w:val="21"/>
          <w:highlight w:val="none"/>
          <w:lang w:eastAsia="zh-CN"/>
        </w:rPr>
        <w:t>点票工作完成后，定标委员会组长汇总定标结果，编制定标报告，确定中标候选人，全体成员签名。</w:t>
      </w:r>
    </w:p>
    <w:p w14:paraId="73597560">
      <w:pPr>
        <w:pStyle w:val="14"/>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5.1.6.</w:t>
      </w:r>
      <w:r>
        <w:rPr>
          <w:rFonts w:hint="eastAsia" w:ascii="宋体" w:hAnsi="宋体" w:eastAsia="宋体" w:cs="宋体"/>
          <w:b/>
          <w:bCs/>
          <w:color w:val="auto"/>
          <w:sz w:val="21"/>
          <w:szCs w:val="21"/>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val="en-US" w:eastAsia="zh-CN"/>
        </w:rPr>
      </w:pPr>
      <w:r>
        <w:rPr>
          <w:rFonts w:hint="eastAsia" w:ascii="宋体" w:hAnsi="宋体" w:eastAsia="宋体" w:cs="宋体"/>
          <w:b/>
          <w:bCs/>
          <w:color w:val="auto"/>
          <w:spacing w:val="0"/>
          <w:position w:val="0"/>
          <w:sz w:val="21"/>
          <w:szCs w:val="21"/>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i/>
          <w:iCs/>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定标因素和相对标准有以下几个方面：</w:t>
      </w:r>
    </w:p>
    <w:p w14:paraId="2168FDA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1、拟派团队管理能力与水平（履约能力）</w:t>
      </w:r>
    </w:p>
    <w:p w14:paraId="38F2F1A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相对标准：拟派团队管理能力与水平（履约能力）强的定标候选人优于拟派团队管理能力与水平（履约能力）一般的定标候选人。</w:t>
      </w:r>
    </w:p>
    <w:p w14:paraId="6D5E2D3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2、企业信誉</w:t>
      </w:r>
    </w:p>
    <w:p w14:paraId="62EB308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相对标准:企业信誉评价好的定标候选人优于企业信誉评价一般的定标候选人。</w:t>
      </w:r>
    </w:p>
    <w:p w14:paraId="6A49499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3、企业社会贡献（助力百千万工程社会公益项目）</w:t>
      </w:r>
    </w:p>
    <w:p w14:paraId="7FE3BF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相对标准：参与过百千万工程社会公益项目的定标候选人优于未参与过的定标候选人（提供相关佐证）。</w:t>
      </w:r>
    </w:p>
    <w:p w14:paraId="0CC8118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4、评标报告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1C9D455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5、农民工工资保障情况</w:t>
      </w:r>
    </w:p>
    <w:p w14:paraId="177BC29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相对标准:农民工工资保障情况好的定标候选人优于农民工工资保障情况差的定标候选人(结合定标候选人提交的证明材料和招标人查询的材料进行评审)。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Style w:val="26"/>
          <w:rFonts w:hint="eastAsia" w:ascii="宋体" w:hAnsi="宋体" w:eastAsia="宋体" w:cs="宋体"/>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定标委员会完成定标</w:t>
      </w:r>
      <w:r>
        <w:rPr>
          <w:rStyle w:val="26"/>
          <w:rFonts w:hint="eastAsia" w:ascii="宋体" w:hAnsi="宋体" w:eastAsia="宋体" w:cs="宋体"/>
          <w:b w:val="0"/>
          <w:bCs w:val="0"/>
          <w:color w:val="auto"/>
          <w:kern w:val="0"/>
          <w:sz w:val="21"/>
          <w:szCs w:val="21"/>
          <w:highlight w:val="none"/>
          <w:lang w:val="en-US" w:eastAsia="zh-CN"/>
        </w:rPr>
        <w:t>后</w:t>
      </w:r>
      <w:r>
        <w:rPr>
          <w:rStyle w:val="26"/>
          <w:rFonts w:hint="eastAsia" w:ascii="宋体" w:hAnsi="宋体" w:eastAsia="宋体" w:cs="宋体"/>
          <w:color w:val="auto"/>
          <w:kern w:val="0"/>
          <w:sz w:val="21"/>
          <w:szCs w:val="21"/>
          <w:highlight w:val="none"/>
          <w:lang w:val="en-US" w:eastAsia="zh-CN"/>
        </w:rPr>
        <w:t>，招标人应于定标会结束后3日内将中标候选人和定标情况在广东省招标投标监管网和韶关市公共资源交易中心工程交易系统上公示，公示时间不少于3日。公示主要内容包括：定标报告（定标成员信息除外）、中标人候选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2"/>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2"/>
        <w:rPr>
          <w:rFonts w:hint="eastAsia" w:ascii="宋体" w:hAnsi="宋体" w:eastAsia="宋体" w:cs="宋体"/>
          <w:b/>
          <w:bCs/>
          <w:color w:val="auto"/>
          <w:spacing w:val="-7"/>
          <w:sz w:val="24"/>
          <w:szCs w:val="24"/>
          <w:highlight w:val="none"/>
        </w:rPr>
      </w:pPr>
    </w:p>
    <w:p w14:paraId="3E0887B7">
      <w:pPr>
        <w:rPr>
          <w:rFonts w:hint="eastAsia" w:ascii="宋体" w:hAnsi="宋体" w:eastAsia="宋体" w:cs="宋体"/>
          <w:b/>
          <w:bCs/>
          <w:color w:val="auto"/>
          <w:spacing w:val="-7"/>
          <w:sz w:val="24"/>
          <w:szCs w:val="24"/>
          <w:highlight w:val="none"/>
        </w:rPr>
      </w:pPr>
    </w:p>
    <w:p w14:paraId="294A6DDB">
      <w:pPr>
        <w:pStyle w:val="2"/>
        <w:rPr>
          <w:rFonts w:hint="eastAsia" w:ascii="宋体" w:hAnsi="宋体" w:eastAsia="宋体" w:cs="宋体"/>
          <w:b/>
          <w:bCs/>
          <w:color w:val="auto"/>
          <w:spacing w:val="-7"/>
          <w:sz w:val="24"/>
          <w:szCs w:val="24"/>
          <w:highlight w:val="none"/>
        </w:rPr>
      </w:pPr>
    </w:p>
    <w:p w14:paraId="2A2A542D">
      <w:pPr>
        <w:rPr>
          <w:rFonts w:hint="eastAsia" w:ascii="宋体" w:hAnsi="宋体" w:eastAsia="宋体" w:cs="宋体"/>
          <w:b/>
          <w:bCs/>
          <w:color w:val="auto"/>
          <w:spacing w:val="-7"/>
          <w:sz w:val="24"/>
          <w:szCs w:val="24"/>
          <w:highlight w:val="none"/>
        </w:rPr>
      </w:pPr>
    </w:p>
    <w:p w14:paraId="714978FE">
      <w:pPr>
        <w:pStyle w:val="2"/>
        <w:rPr>
          <w:rFonts w:hint="eastAsia" w:ascii="宋体" w:hAnsi="宋体" w:eastAsia="宋体" w:cs="宋体"/>
          <w:b/>
          <w:bCs/>
          <w:color w:val="auto"/>
          <w:spacing w:val="-7"/>
          <w:sz w:val="24"/>
          <w:szCs w:val="24"/>
          <w:highlight w:val="none"/>
        </w:rPr>
      </w:pPr>
    </w:p>
    <w:p w14:paraId="4C6625BE">
      <w:pPr>
        <w:rPr>
          <w:rFonts w:hint="eastAsia" w:ascii="宋体" w:hAnsi="宋体" w:eastAsia="宋体" w:cs="宋体"/>
          <w:b/>
          <w:bCs/>
          <w:color w:val="auto"/>
          <w:spacing w:val="-7"/>
          <w:sz w:val="24"/>
          <w:szCs w:val="24"/>
          <w:highlight w:val="none"/>
        </w:rPr>
      </w:pPr>
    </w:p>
    <w:p w14:paraId="39B006FF">
      <w:pPr>
        <w:pStyle w:val="2"/>
        <w:rPr>
          <w:rFonts w:hint="eastAsia" w:ascii="宋体" w:hAnsi="宋体" w:eastAsia="宋体" w:cs="宋体"/>
          <w:b/>
          <w:bCs/>
          <w:color w:val="auto"/>
          <w:spacing w:val="-7"/>
          <w:sz w:val="24"/>
          <w:szCs w:val="24"/>
          <w:highlight w:val="none"/>
        </w:rPr>
      </w:pPr>
    </w:p>
    <w:p w14:paraId="0FC64B23">
      <w:pPr>
        <w:rPr>
          <w:rFonts w:hint="eastAsia" w:ascii="宋体" w:hAnsi="宋体" w:eastAsia="宋体" w:cs="宋体"/>
          <w:b/>
          <w:bCs/>
          <w:color w:val="auto"/>
          <w:spacing w:val="-7"/>
          <w:sz w:val="24"/>
          <w:szCs w:val="24"/>
          <w:highlight w:val="none"/>
        </w:rPr>
      </w:pPr>
    </w:p>
    <w:p w14:paraId="07E90822">
      <w:pPr>
        <w:pStyle w:val="2"/>
        <w:rPr>
          <w:rFonts w:hint="eastAsia" w:ascii="宋体" w:hAnsi="宋体" w:eastAsia="宋体" w:cs="宋体"/>
          <w:b/>
          <w:bCs/>
          <w:color w:val="auto"/>
          <w:spacing w:val="-7"/>
          <w:sz w:val="24"/>
          <w:szCs w:val="24"/>
          <w:highlight w:val="none"/>
        </w:rPr>
      </w:pPr>
    </w:p>
    <w:p w14:paraId="302CED87">
      <w:pPr>
        <w:rPr>
          <w:rFonts w:hint="eastAsia" w:ascii="宋体" w:hAnsi="宋体" w:eastAsia="宋体" w:cs="宋体"/>
          <w:b/>
          <w:bCs/>
          <w:color w:val="auto"/>
          <w:spacing w:val="-7"/>
          <w:sz w:val="24"/>
          <w:szCs w:val="24"/>
          <w:highlight w:val="none"/>
        </w:rPr>
      </w:pPr>
    </w:p>
    <w:p w14:paraId="46CBAE9B">
      <w:pPr>
        <w:pStyle w:val="2"/>
        <w:rPr>
          <w:rFonts w:hint="eastAsia" w:ascii="宋体" w:hAnsi="宋体" w:eastAsia="宋体" w:cs="宋体"/>
          <w:b/>
          <w:bCs/>
          <w:color w:val="auto"/>
          <w:spacing w:val="-7"/>
          <w:sz w:val="24"/>
          <w:szCs w:val="24"/>
          <w:highlight w:val="none"/>
        </w:rPr>
      </w:pPr>
    </w:p>
    <w:p w14:paraId="5B7CC1F6">
      <w:pPr>
        <w:rPr>
          <w:rFonts w:hint="eastAsia" w:ascii="宋体" w:hAnsi="宋体" w:eastAsia="宋体" w:cs="宋体"/>
          <w:b/>
          <w:bCs/>
          <w:color w:val="auto"/>
          <w:spacing w:val="-7"/>
          <w:sz w:val="24"/>
          <w:szCs w:val="24"/>
          <w:highlight w:val="none"/>
        </w:rPr>
      </w:pPr>
    </w:p>
    <w:p w14:paraId="4E1C34B0">
      <w:pPr>
        <w:pStyle w:val="2"/>
        <w:rPr>
          <w:rFonts w:hint="eastAsia" w:ascii="宋体" w:hAnsi="宋体" w:eastAsia="宋体" w:cs="宋体"/>
          <w:b/>
          <w:bCs/>
          <w:color w:val="auto"/>
          <w:spacing w:val="-7"/>
          <w:sz w:val="24"/>
          <w:szCs w:val="24"/>
          <w:highlight w:val="none"/>
        </w:rPr>
      </w:pPr>
    </w:p>
    <w:p w14:paraId="40CACE73">
      <w:pPr>
        <w:rPr>
          <w:rFonts w:hint="eastAsia" w:ascii="宋体" w:hAnsi="宋体" w:eastAsia="宋体" w:cs="宋体"/>
          <w:b/>
          <w:bCs/>
          <w:color w:val="auto"/>
          <w:spacing w:val="-7"/>
          <w:sz w:val="24"/>
          <w:szCs w:val="24"/>
          <w:highlight w:val="none"/>
        </w:rPr>
      </w:pPr>
    </w:p>
    <w:p w14:paraId="136E043A">
      <w:pPr>
        <w:pStyle w:val="2"/>
        <w:rPr>
          <w:rFonts w:hint="eastAsia" w:ascii="宋体" w:hAnsi="宋体" w:eastAsia="宋体" w:cs="宋体"/>
          <w:b/>
          <w:bCs/>
          <w:color w:val="auto"/>
          <w:spacing w:val="-7"/>
          <w:sz w:val="24"/>
          <w:szCs w:val="24"/>
          <w:highlight w:val="none"/>
        </w:rPr>
      </w:pPr>
    </w:p>
    <w:p w14:paraId="0B6A651F">
      <w:pPr>
        <w:rPr>
          <w:rFonts w:hint="eastAsia"/>
          <w:color w:val="auto"/>
          <w:highlight w:val="none"/>
        </w:rPr>
      </w:pPr>
    </w:p>
    <w:p w14:paraId="31DF38DE">
      <w:pPr>
        <w:rPr>
          <w:rFonts w:hint="eastAsia" w:ascii="宋体" w:hAnsi="宋体" w:eastAsia="宋体" w:cs="宋体"/>
          <w:b/>
          <w:bCs/>
          <w:color w:val="auto"/>
          <w:spacing w:val="-7"/>
          <w:sz w:val="24"/>
          <w:szCs w:val="24"/>
          <w:highlight w:val="none"/>
        </w:rPr>
      </w:pPr>
    </w:p>
    <w:p w14:paraId="4B2C26F0">
      <w:pPr>
        <w:rPr>
          <w:rFonts w:hint="eastAsia"/>
          <w:color w:val="auto"/>
          <w:highlight w:val="none"/>
        </w:rPr>
      </w:pPr>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58" w:name="_Toc209"/>
      <w:bookmarkStart w:id="159" w:name="_Toc8482"/>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8"/>
      <w:bookmarkEnd w:id="159"/>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1.1 中标候选人公示期满且无异议的，招标人确认排名第一的中标候选人为中标人并在招标公告发布媒介发布中标结果公示。</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1"/>
          <w:szCs w:val="21"/>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4"/>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22" w:firstLineChars="200"/>
        <w:jc w:val="both"/>
        <w:textAlignment w:val="auto"/>
        <w:outlineLvl w:val="9"/>
        <w:rPr>
          <w:rFonts w:hint="eastAsia" w:ascii="宋体" w:hAnsi="宋体" w:eastAsia="宋体" w:cs="宋体"/>
          <w:b/>
          <w:bCs/>
          <w:i/>
          <w:color w:val="auto"/>
          <w:sz w:val="21"/>
          <w:szCs w:val="21"/>
          <w:highlight w:val="none"/>
        </w:rPr>
      </w:pPr>
      <w:bookmarkStart w:id="160" w:name="_Toc236550039"/>
      <w:r>
        <w:rPr>
          <w:rStyle w:val="21"/>
          <w:rFonts w:hint="eastAsia" w:ascii="宋体" w:hAnsi="宋体" w:eastAsia="宋体" w:cs="宋体"/>
          <w:b/>
          <w:bCs/>
          <w:i w:val="0"/>
          <w:color w:val="auto"/>
          <w:sz w:val="21"/>
          <w:szCs w:val="21"/>
          <w:highlight w:val="none"/>
          <w:lang w:val="en-US" w:eastAsia="zh-CN"/>
        </w:rPr>
        <w:t>3.</w:t>
      </w:r>
      <w:r>
        <w:rPr>
          <w:rStyle w:val="21"/>
          <w:rFonts w:hint="eastAsia" w:ascii="宋体" w:hAnsi="宋体" w:eastAsia="宋体" w:cs="宋体"/>
          <w:b/>
          <w:bCs/>
          <w:i w:val="0"/>
          <w:color w:val="auto"/>
          <w:sz w:val="21"/>
          <w:szCs w:val="21"/>
          <w:highlight w:val="none"/>
        </w:rPr>
        <w:t>废除授标</w:t>
      </w:r>
      <w:bookmarkEnd w:id="160"/>
      <w:r>
        <w:rPr>
          <w:rStyle w:val="21"/>
          <w:rFonts w:hint="eastAsia" w:ascii="宋体" w:hAnsi="宋体" w:eastAsia="宋体" w:cs="宋体"/>
          <w:b/>
          <w:bCs/>
          <w:i w:val="0"/>
          <w:color w:val="auto"/>
          <w:sz w:val="21"/>
          <w:szCs w:val="21"/>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Style w:val="26"/>
          <w:rFonts w:hint="eastAsia" w:ascii="宋体" w:hAnsi="宋体" w:eastAsia="宋体" w:cs="宋体"/>
          <w:color w:val="auto"/>
          <w:kern w:val="0"/>
          <w:sz w:val="21"/>
          <w:szCs w:val="21"/>
          <w:highlight w:val="none"/>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1"/>
          <w:szCs w:val="21"/>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61" w:name="_Toc13547"/>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61"/>
    </w:p>
    <w:p w14:paraId="1E6041E1">
      <w:pPr>
        <w:pStyle w:val="4"/>
        <w:wordWrap w:val="0"/>
        <w:autoSpaceDE/>
        <w:autoSpaceDN/>
        <w:snapToGrid w:val="0"/>
        <w:spacing w:line="440" w:lineRule="exact"/>
        <w:ind w:firstLine="480"/>
        <w:jc w:val="both"/>
        <w:rPr>
          <w:rFonts w:hint="eastAsia" w:ascii="宋体" w:hAnsi="宋体" w:eastAsia="宋体" w:cs="宋体"/>
          <w:b/>
          <w:snapToGrid w:val="0"/>
          <w:color w:val="auto"/>
          <w:sz w:val="21"/>
          <w:szCs w:val="21"/>
          <w:highlight w:val="none"/>
        </w:rPr>
      </w:pPr>
      <w:bookmarkStart w:id="162" w:name="_Toc23768"/>
      <w:bookmarkStart w:id="163" w:name="_Toc25076"/>
      <w:r>
        <w:rPr>
          <w:rFonts w:hint="eastAsia" w:ascii="宋体" w:hAnsi="宋体" w:eastAsia="宋体" w:cs="宋体"/>
          <w:b/>
          <w:snapToGrid w:val="0"/>
          <w:color w:val="auto"/>
          <w:sz w:val="21"/>
          <w:szCs w:val="21"/>
          <w:highlight w:val="none"/>
          <w:lang w:eastAsia="zh-CN"/>
        </w:rPr>
        <w:t>1.</w:t>
      </w:r>
      <w:r>
        <w:rPr>
          <w:rFonts w:hint="eastAsia" w:ascii="宋体" w:hAnsi="宋体" w:eastAsia="宋体" w:cs="宋体"/>
          <w:b/>
          <w:snapToGrid w:val="0"/>
          <w:color w:val="auto"/>
          <w:sz w:val="21"/>
          <w:szCs w:val="21"/>
          <w:highlight w:val="none"/>
        </w:rPr>
        <w:t>中标通知书</w:t>
      </w:r>
      <w:bookmarkEnd w:id="162"/>
      <w:bookmarkEnd w:id="163"/>
    </w:p>
    <w:p w14:paraId="13689720">
      <w:pPr>
        <w:wordWrap w:val="0"/>
        <w:adjustRightInd w:val="0"/>
        <w:snapToGrid w:val="0"/>
        <w:spacing w:line="440" w:lineRule="exac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57A6345">
      <w:pPr>
        <w:pStyle w:val="4"/>
        <w:wordWrap w:val="0"/>
        <w:autoSpaceDE/>
        <w:autoSpaceDN/>
        <w:snapToGrid w:val="0"/>
        <w:spacing w:line="440" w:lineRule="exact"/>
        <w:ind w:firstLine="480"/>
        <w:jc w:val="both"/>
        <w:rPr>
          <w:rFonts w:hint="eastAsia" w:ascii="宋体" w:hAnsi="宋体" w:eastAsia="宋体" w:cs="宋体"/>
          <w:b/>
          <w:snapToGrid w:val="0"/>
          <w:color w:val="auto"/>
          <w:sz w:val="21"/>
          <w:szCs w:val="21"/>
          <w:highlight w:val="none"/>
        </w:rPr>
      </w:pPr>
      <w:bookmarkStart w:id="164" w:name="_Toc29921"/>
      <w:bookmarkStart w:id="165" w:name="_Toc3946"/>
      <w:r>
        <w:rPr>
          <w:rFonts w:hint="eastAsia" w:ascii="宋体" w:hAnsi="宋体" w:eastAsia="宋体" w:cs="宋体"/>
          <w:b/>
          <w:snapToGrid w:val="0"/>
          <w:color w:val="auto"/>
          <w:sz w:val="21"/>
          <w:szCs w:val="21"/>
          <w:highlight w:val="none"/>
          <w:lang w:eastAsia="zh-CN"/>
        </w:rPr>
        <w:t>2.</w:t>
      </w:r>
      <w:r>
        <w:rPr>
          <w:rFonts w:hint="eastAsia" w:ascii="宋体" w:hAnsi="宋体" w:eastAsia="宋体" w:cs="宋体"/>
          <w:b/>
          <w:snapToGrid w:val="0"/>
          <w:color w:val="auto"/>
          <w:sz w:val="21"/>
          <w:szCs w:val="21"/>
          <w:highlight w:val="none"/>
        </w:rPr>
        <w:t>中标结果公示</w:t>
      </w:r>
      <w:bookmarkEnd w:id="164"/>
      <w:bookmarkEnd w:id="165"/>
    </w:p>
    <w:p w14:paraId="0FDEFC52">
      <w:pPr>
        <w:wordWrap w:val="0"/>
        <w:adjustRightInd w:val="0"/>
        <w:snapToGrid w:val="0"/>
        <w:spacing w:line="440" w:lineRule="exac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中标通知书发出后15日内，招标人应将中标结果在广东省招标投标监管网（</w:t>
      </w:r>
      <w:r>
        <w:rPr>
          <w:rFonts w:hint="eastAsia" w:ascii="宋体" w:hAnsi="宋体" w:eastAsia="宋体" w:cs="宋体"/>
          <w:snapToGrid w:val="0"/>
          <w:color w:val="auto"/>
          <w:kern w:val="0"/>
          <w:sz w:val="21"/>
          <w:szCs w:val="21"/>
          <w:highlight w:val="none"/>
          <w:lang w:eastAsia="zh-CN"/>
        </w:rPr>
        <w:t>http://zbtb.gd.gov.cn</w:t>
      </w:r>
      <w:r>
        <w:rPr>
          <w:rFonts w:hint="eastAsia" w:ascii="宋体" w:hAnsi="宋体" w:eastAsia="宋体" w:cs="宋体"/>
          <w:snapToGrid w:val="0"/>
          <w:color w:val="auto"/>
          <w:kern w:val="0"/>
          <w:sz w:val="21"/>
          <w:szCs w:val="21"/>
          <w:highlight w:val="none"/>
        </w:rPr>
        <w:t>）及全国公共资源交易平台（广东省·韶关市）（https://ygp.gdzwfw.gov.cn/ggzy-portal/#/440200/index）进行公示。</w:t>
      </w:r>
    </w:p>
    <w:p w14:paraId="7D35C8CC">
      <w:pPr>
        <w:pStyle w:val="4"/>
        <w:wordWrap w:val="0"/>
        <w:autoSpaceDE/>
        <w:autoSpaceDN/>
        <w:snapToGrid w:val="0"/>
        <w:spacing w:line="440" w:lineRule="exact"/>
        <w:ind w:firstLine="480"/>
        <w:jc w:val="both"/>
        <w:rPr>
          <w:rFonts w:hint="eastAsia" w:ascii="宋体" w:hAnsi="宋体" w:eastAsia="宋体" w:cs="宋体"/>
          <w:b/>
          <w:snapToGrid w:val="0"/>
          <w:color w:val="auto"/>
          <w:sz w:val="21"/>
          <w:szCs w:val="21"/>
          <w:highlight w:val="none"/>
          <w:lang w:eastAsia="zh-CN"/>
        </w:rPr>
      </w:pPr>
      <w:bookmarkStart w:id="166" w:name="_Toc15380"/>
      <w:bookmarkStart w:id="167" w:name="_Toc15196"/>
      <w:r>
        <w:rPr>
          <w:rFonts w:hint="eastAsia" w:ascii="宋体" w:hAnsi="宋体" w:eastAsia="宋体" w:cs="宋体"/>
          <w:b/>
          <w:snapToGrid w:val="0"/>
          <w:color w:val="auto"/>
          <w:sz w:val="21"/>
          <w:szCs w:val="21"/>
          <w:highlight w:val="none"/>
          <w:lang w:eastAsia="zh-CN"/>
        </w:rPr>
        <w:t>3.</w:t>
      </w:r>
      <w:r>
        <w:rPr>
          <w:rFonts w:hint="eastAsia" w:ascii="宋体" w:hAnsi="宋体" w:eastAsia="宋体" w:cs="宋体"/>
          <w:b/>
          <w:snapToGrid w:val="0"/>
          <w:color w:val="auto"/>
          <w:sz w:val="21"/>
          <w:szCs w:val="21"/>
          <w:highlight w:val="none"/>
        </w:rPr>
        <w:t>履约保证</w:t>
      </w:r>
      <w:bookmarkEnd w:id="166"/>
      <w:bookmarkEnd w:id="167"/>
      <w:r>
        <w:rPr>
          <w:rFonts w:hint="eastAsia" w:cs="宋体"/>
          <w:b/>
          <w:snapToGrid w:val="0"/>
          <w:color w:val="auto"/>
          <w:sz w:val="21"/>
          <w:szCs w:val="21"/>
          <w:highlight w:val="none"/>
          <w:lang w:eastAsia="zh-CN"/>
        </w:rPr>
        <w:t>（</w:t>
      </w:r>
      <w:r>
        <w:rPr>
          <w:rFonts w:hint="eastAsia" w:ascii="宋体" w:hAnsi="宋体" w:cs="宋体"/>
          <w:snapToGrid w:val="0"/>
          <w:color w:val="auto"/>
          <w:kern w:val="0"/>
          <w:sz w:val="21"/>
          <w:szCs w:val="21"/>
          <w:highlight w:val="none"/>
        </w:rPr>
        <w:t>联合体投标的，由联合体牵头人缴纳</w:t>
      </w:r>
      <w:r>
        <w:rPr>
          <w:rFonts w:hint="eastAsia" w:ascii="宋体" w:hAnsi="宋体" w:cs="宋体"/>
          <w:snapToGrid w:val="0"/>
          <w:color w:val="auto"/>
          <w:kern w:val="0"/>
          <w:sz w:val="21"/>
          <w:szCs w:val="21"/>
          <w:highlight w:val="none"/>
          <w:lang w:eastAsia="zh-CN"/>
        </w:rPr>
        <w:t>）</w:t>
      </w:r>
    </w:p>
    <w:p w14:paraId="5BFD5753">
      <w:pPr>
        <w:wordWrap w:val="0"/>
        <w:adjustRightInd w:val="0"/>
        <w:snapToGrid w:val="0"/>
        <w:spacing w:line="440" w:lineRule="exact"/>
        <w:ind w:firstLine="562"/>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lang w:val="en-US" w:eastAsia="zh-CN"/>
        </w:rPr>
        <w:t>中标人须在领取中标通知书之日起5个工作日内、签订合同前向招标人提交金额为中标价</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lang w:val="en-US" w:eastAsia="zh-CN"/>
        </w:rPr>
        <w:t>% 的履约保证金；如采用履约保证担保、履约保证保险的，中标人须在签订合同后10个工作日内向招标人提交金额为中标价</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lang w:val="en-US" w:eastAsia="zh-CN"/>
        </w:rPr>
        <w:t>% 的履约保证担保或履约保证保险</w:t>
      </w:r>
      <w:r>
        <w:rPr>
          <w:rFonts w:hint="eastAsia" w:ascii="宋体" w:hAnsi="宋体" w:eastAsia="宋体" w:cs="宋体"/>
          <w:snapToGrid w:val="0"/>
          <w:color w:val="auto"/>
          <w:kern w:val="0"/>
          <w:sz w:val="21"/>
          <w:szCs w:val="21"/>
          <w:highlight w:val="none"/>
        </w:rPr>
        <w:t>。</w:t>
      </w:r>
    </w:p>
    <w:p w14:paraId="5182C81C">
      <w:pPr>
        <w:wordWrap w:val="0"/>
        <w:adjustRightInd w:val="0"/>
        <w:snapToGrid w:val="0"/>
        <w:spacing w:line="440" w:lineRule="exact"/>
        <w:ind w:firstLine="562"/>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3.2 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 28 天止。项目竣工后，由招标人发起退保。</w:t>
      </w:r>
    </w:p>
    <w:p w14:paraId="444A5128">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中标人在领取中标通知书之日起</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个工作日内仍未提交履约保证</w:t>
      </w:r>
      <w:r>
        <w:rPr>
          <w:rFonts w:hint="eastAsia" w:ascii="宋体" w:hAnsi="宋体" w:eastAsia="宋体" w:cs="宋体"/>
          <w:snapToGrid w:val="0"/>
          <w:color w:val="auto"/>
          <w:kern w:val="0"/>
          <w:sz w:val="21"/>
          <w:szCs w:val="21"/>
          <w:highlight w:val="none"/>
          <w:lang w:val="en-US" w:eastAsia="zh-CN"/>
        </w:rPr>
        <w:t>金</w:t>
      </w:r>
      <w:r>
        <w:rPr>
          <w:rFonts w:hint="eastAsia" w:ascii="宋体" w:hAnsi="宋体" w:eastAsia="宋体" w:cs="宋体"/>
          <w:snapToGrid w:val="0"/>
          <w:color w:val="auto"/>
          <w:kern w:val="0"/>
          <w:sz w:val="21"/>
          <w:szCs w:val="21"/>
          <w:highlight w:val="none"/>
        </w:rPr>
        <w:t>的</w:t>
      </w:r>
      <w:r>
        <w:rPr>
          <w:rFonts w:hint="eastAsia" w:ascii="宋体" w:hAnsi="宋体" w:eastAsia="宋体" w:cs="宋体"/>
          <w:snapToGrid w:val="0"/>
          <w:color w:val="auto"/>
          <w:kern w:val="0"/>
          <w:sz w:val="21"/>
          <w:szCs w:val="21"/>
          <w:highlight w:val="none"/>
          <w:lang w:val="en-US" w:eastAsia="zh-CN"/>
        </w:rPr>
        <w:t>或签订合同后10个工作日内</w:t>
      </w:r>
      <w:r>
        <w:rPr>
          <w:rFonts w:hint="eastAsia" w:ascii="宋体" w:hAnsi="宋体" w:eastAsia="宋体" w:cs="宋体"/>
          <w:snapToGrid w:val="0"/>
          <w:color w:val="auto"/>
          <w:kern w:val="0"/>
          <w:sz w:val="21"/>
          <w:szCs w:val="21"/>
          <w:highlight w:val="none"/>
        </w:rPr>
        <w:t>仍未提交</w:t>
      </w:r>
      <w:r>
        <w:rPr>
          <w:rFonts w:hint="eastAsia" w:ascii="宋体" w:hAnsi="宋体" w:eastAsia="宋体" w:cs="宋体"/>
          <w:snapToGrid w:val="0"/>
          <w:color w:val="auto"/>
          <w:kern w:val="0"/>
          <w:sz w:val="21"/>
          <w:szCs w:val="21"/>
          <w:highlight w:val="none"/>
          <w:lang w:val="en-US" w:eastAsia="zh-CN"/>
        </w:rPr>
        <w:t>履约保证担保、履约保证保险的</w:t>
      </w:r>
      <w:r>
        <w:rPr>
          <w:rFonts w:hint="eastAsia" w:ascii="宋体" w:hAnsi="宋体" w:eastAsia="宋体" w:cs="宋体"/>
          <w:snapToGrid w:val="0"/>
          <w:color w:val="auto"/>
          <w:kern w:val="0"/>
          <w:sz w:val="21"/>
          <w:szCs w:val="21"/>
          <w:highlight w:val="none"/>
        </w:rPr>
        <w:t>，招标人发出第一次提醒函；在领取中标通知书之日起15个工作日内仍未提交履约保证</w:t>
      </w:r>
      <w:r>
        <w:rPr>
          <w:rFonts w:hint="eastAsia" w:ascii="宋体" w:hAnsi="宋体" w:eastAsia="宋体" w:cs="宋体"/>
          <w:snapToGrid w:val="0"/>
          <w:color w:val="auto"/>
          <w:kern w:val="0"/>
          <w:sz w:val="21"/>
          <w:szCs w:val="21"/>
          <w:highlight w:val="none"/>
          <w:lang w:val="en-US" w:eastAsia="zh-CN"/>
        </w:rPr>
        <w:t>金</w:t>
      </w:r>
      <w:r>
        <w:rPr>
          <w:rFonts w:hint="eastAsia" w:ascii="宋体" w:hAnsi="宋体" w:eastAsia="宋体" w:cs="宋体"/>
          <w:snapToGrid w:val="0"/>
          <w:color w:val="auto"/>
          <w:kern w:val="0"/>
          <w:sz w:val="21"/>
          <w:szCs w:val="21"/>
          <w:highlight w:val="none"/>
        </w:rPr>
        <w:t>的</w:t>
      </w:r>
      <w:r>
        <w:rPr>
          <w:rFonts w:hint="eastAsia" w:ascii="宋体" w:hAnsi="宋体" w:eastAsia="宋体" w:cs="宋体"/>
          <w:snapToGrid w:val="0"/>
          <w:color w:val="auto"/>
          <w:kern w:val="0"/>
          <w:sz w:val="21"/>
          <w:szCs w:val="21"/>
          <w:highlight w:val="none"/>
          <w:lang w:val="en-US" w:eastAsia="zh-CN"/>
        </w:rPr>
        <w:t>或签订合同后20个工作日内</w:t>
      </w:r>
      <w:r>
        <w:rPr>
          <w:rFonts w:hint="eastAsia" w:ascii="宋体" w:hAnsi="宋体" w:eastAsia="宋体" w:cs="宋体"/>
          <w:snapToGrid w:val="0"/>
          <w:color w:val="auto"/>
          <w:kern w:val="0"/>
          <w:sz w:val="21"/>
          <w:szCs w:val="21"/>
          <w:highlight w:val="none"/>
        </w:rPr>
        <w:t>仍未提交</w:t>
      </w:r>
      <w:r>
        <w:rPr>
          <w:rFonts w:hint="eastAsia" w:ascii="宋体" w:hAnsi="宋体" w:eastAsia="宋体" w:cs="宋体"/>
          <w:snapToGrid w:val="0"/>
          <w:color w:val="auto"/>
          <w:kern w:val="0"/>
          <w:sz w:val="21"/>
          <w:szCs w:val="21"/>
          <w:highlight w:val="none"/>
          <w:lang w:val="en-US" w:eastAsia="zh-CN"/>
        </w:rPr>
        <w:t>履约保证担保、履约保证保险的</w:t>
      </w:r>
      <w:r>
        <w:rPr>
          <w:rFonts w:hint="eastAsia" w:ascii="宋体" w:hAnsi="宋体" w:eastAsia="宋体" w:cs="宋体"/>
          <w:snapToGrid w:val="0"/>
          <w:color w:val="auto"/>
          <w:kern w:val="0"/>
          <w:sz w:val="21"/>
          <w:szCs w:val="21"/>
          <w:highlight w:val="none"/>
        </w:rPr>
        <w:t>，招标人发出第二次提醒函；在领取中标通知书之日起2</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个工作日仍未提交履约保证</w:t>
      </w:r>
      <w:r>
        <w:rPr>
          <w:rFonts w:hint="eastAsia" w:ascii="宋体" w:hAnsi="宋体" w:eastAsia="宋体" w:cs="宋体"/>
          <w:snapToGrid w:val="0"/>
          <w:color w:val="auto"/>
          <w:kern w:val="0"/>
          <w:sz w:val="21"/>
          <w:szCs w:val="21"/>
          <w:highlight w:val="none"/>
          <w:lang w:val="en-US" w:eastAsia="zh-CN"/>
        </w:rPr>
        <w:t>金</w:t>
      </w:r>
      <w:r>
        <w:rPr>
          <w:rFonts w:hint="eastAsia" w:ascii="宋体" w:hAnsi="宋体" w:eastAsia="宋体" w:cs="宋体"/>
          <w:snapToGrid w:val="0"/>
          <w:color w:val="auto"/>
          <w:kern w:val="0"/>
          <w:sz w:val="21"/>
          <w:szCs w:val="21"/>
          <w:highlight w:val="none"/>
        </w:rPr>
        <w:t>的</w:t>
      </w:r>
      <w:r>
        <w:rPr>
          <w:rFonts w:hint="eastAsia" w:ascii="宋体" w:hAnsi="宋体" w:eastAsia="宋体" w:cs="宋体"/>
          <w:snapToGrid w:val="0"/>
          <w:color w:val="auto"/>
          <w:kern w:val="0"/>
          <w:sz w:val="21"/>
          <w:szCs w:val="21"/>
          <w:highlight w:val="none"/>
          <w:lang w:val="en-US" w:eastAsia="zh-CN"/>
        </w:rPr>
        <w:t>或签订合同后30个工作日</w:t>
      </w:r>
      <w:r>
        <w:rPr>
          <w:rFonts w:hint="eastAsia" w:ascii="宋体" w:hAnsi="宋体" w:eastAsia="宋体" w:cs="宋体"/>
          <w:snapToGrid w:val="0"/>
          <w:color w:val="auto"/>
          <w:kern w:val="0"/>
          <w:sz w:val="21"/>
          <w:szCs w:val="21"/>
          <w:highlight w:val="none"/>
        </w:rPr>
        <w:t>仍未提交</w:t>
      </w:r>
      <w:r>
        <w:rPr>
          <w:rFonts w:hint="eastAsia" w:ascii="宋体" w:hAnsi="宋体" w:eastAsia="宋体" w:cs="宋体"/>
          <w:snapToGrid w:val="0"/>
          <w:color w:val="auto"/>
          <w:kern w:val="0"/>
          <w:sz w:val="21"/>
          <w:szCs w:val="21"/>
          <w:highlight w:val="none"/>
          <w:lang w:val="en-US" w:eastAsia="zh-CN"/>
        </w:rPr>
        <w:t>履约保证担保、履约保证保险的</w:t>
      </w:r>
      <w:r>
        <w:rPr>
          <w:rFonts w:hint="eastAsia" w:ascii="宋体" w:hAnsi="宋体" w:eastAsia="宋体" w:cs="宋体"/>
          <w:snapToGrid w:val="0"/>
          <w:color w:val="auto"/>
          <w:kern w:val="0"/>
          <w:sz w:val="21"/>
          <w:szCs w:val="21"/>
          <w:highlight w:val="none"/>
        </w:rPr>
        <w:t>，视其放弃中标，并由招标人通报建设行政管理部门。如采用银行保函或保险合同方式缴纳履约保证金，在保函或保险合同到期前一个月，中标人须主动办理续期手续或提交新的银行保函或保险合同；如中标人未及时主动办理续期手续或提交新的银行保函或保险合同，招标人有权扣留与履约保证金等额的施工进度款，直至中标人完成续期手续或提交新的银行保函或保险合同止。</w:t>
      </w:r>
    </w:p>
    <w:p w14:paraId="2F56EA3D">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在工程实施过程中，如果承包人（即招标阶段的中标人，下同）由于自身的资金、技术、质量、非不可抗力等原因给发包人（即招标阶段的招标人，下同）造成经济损失，发包人有权扣划相应金额的履约保证。</w:t>
      </w:r>
    </w:p>
    <w:p w14:paraId="375FD8E6">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项目通过竣工验收之日后28天内，发包人将履约保证退还给承包人。</w:t>
      </w:r>
    </w:p>
    <w:p w14:paraId="16EB10D6">
      <w:pPr>
        <w:pStyle w:val="4"/>
        <w:wordWrap w:val="0"/>
        <w:autoSpaceDE/>
        <w:autoSpaceDN/>
        <w:snapToGrid w:val="0"/>
        <w:spacing w:line="440" w:lineRule="exact"/>
        <w:ind w:firstLine="480"/>
        <w:jc w:val="both"/>
        <w:rPr>
          <w:rFonts w:hint="eastAsia" w:ascii="宋体" w:hAnsi="宋体" w:eastAsia="宋体" w:cs="宋体"/>
          <w:b/>
          <w:snapToGrid w:val="0"/>
          <w:color w:val="auto"/>
          <w:sz w:val="21"/>
          <w:szCs w:val="21"/>
          <w:highlight w:val="none"/>
        </w:rPr>
      </w:pPr>
      <w:bookmarkStart w:id="168" w:name="_Toc26519"/>
      <w:bookmarkStart w:id="169" w:name="_Toc24225"/>
      <w:r>
        <w:rPr>
          <w:rFonts w:hint="eastAsia" w:ascii="宋体" w:hAnsi="宋体" w:eastAsia="宋体" w:cs="宋体"/>
          <w:b/>
          <w:snapToGrid w:val="0"/>
          <w:color w:val="auto"/>
          <w:sz w:val="21"/>
          <w:szCs w:val="21"/>
          <w:highlight w:val="none"/>
          <w:lang w:eastAsia="zh-CN"/>
        </w:rPr>
        <w:t>4.</w:t>
      </w:r>
      <w:r>
        <w:rPr>
          <w:rFonts w:hint="eastAsia" w:ascii="宋体" w:hAnsi="宋体" w:eastAsia="宋体" w:cs="宋体"/>
          <w:b/>
          <w:snapToGrid w:val="0"/>
          <w:color w:val="auto"/>
          <w:sz w:val="21"/>
          <w:szCs w:val="21"/>
          <w:highlight w:val="none"/>
        </w:rPr>
        <w:t>合同订立</w:t>
      </w:r>
      <w:bookmarkEnd w:id="168"/>
      <w:bookmarkEnd w:id="169"/>
    </w:p>
    <w:p w14:paraId="6366C833">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4.1</w:t>
      </w:r>
      <w:r>
        <w:rPr>
          <w:rFonts w:hint="eastAsia" w:ascii="宋体" w:hAnsi="宋体" w:eastAsia="宋体" w:cs="宋体"/>
          <w:snapToGrid w:val="0"/>
          <w:color w:val="auto"/>
          <w:kern w:val="0"/>
          <w:sz w:val="21"/>
          <w:szCs w:val="21"/>
          <w:highlight w:val="none"/>
        </w:rPr>
        <w:t xml:space="preserve"> 招标人应当自中标通知书发出之日起</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rPr>
        <w:t>日内，按照招标文件、中标人的投标文件与中标人订立书面合同。</w:t>
      </w:r>
    </w:p>
    <w:p w14:paraId="22E8C8E9">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w:t>
      </w:r>
      <w:r>
        <w:rPr>
          <w:rFonts w:hint="eastAsia" w:ascii="宋体" w:hAnsi="宋体" w:eastAsia="宋体" w:cs="宋体"/>
          <w:snapToGrid w:val="0"/>
          <w:color w:val="auto"/>
          <w:kern w:val="0"/>
          <w:sz w:val="21"/>
          <w:szCs w:val="21"/>
          <w:highlight w:val="none"/>
        </w:rPr>
        <w:t xml:space="preserve"> 不正常报价的梳理和确认</w:t>
      </w:r>
    </w:p>
    <w:p w14:paraId="12863354">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4.2.1</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snapToGrid w:val="0"/>
          <w:color w:val="auto"/>
          <w:kern w:val="0"/>
          <w:sz w:val="21"/>
          <w:szCs w:val="21"/>
          <w:highlight w:val="none"/>
        </w:rPr>
        <w:t>招标人不具备以上能力的，可授权编制本项目招标控制价的造价咨询单位实施。</w:t>
      </w:r>
    </w:p>
    <w:p w14:paraId="7B8AB6C3">
      <w:pPr>
        <w:wordWrap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4.2.2</w:t>
      </w:r>
      <w:r>
        <w:rPr>
          <w:rFonts w:hint="eastAsia" w:ascii="宋体" w:hAnsi="宋体" w:eastAsia="宋体" w:cs="宋体"/>
          <w:snapToGrid w:val="0"/>
          <w:color w:val="auto"/>
          <w:kern w:val="0"/>
          <w:sz w:val="21"/>
          <w:szCs w:val="21"/>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75838E85">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4.2.3</w:t>
      </w:r>
      <w:r>
        <w:rPr>
          <w:rFonts w:hint="eastAsia" w:ascii="宋体" w:hAnsi="宋体" w:eastAsia="宋体" w:cs="宋体"/>
          <w:snapToGrid w:val="0"/>
          <w:color w:val="auto"/>
          <w:kern w:val="0"/>
          <w:sz w:val="21"/>
          <w:szCs w:val="21"/>
          <w:highlight w:val="none"/>
        </w:rPr>
        <w:t xml:space="preserve"> 错漏项的认定。中标人已标价工程量清单中，任一清单项目未填报价格或价格为零的，视为错漏项。</w:t>
      </w:r>
    </w:p>
    <w:p w14:paraId="6ADAC617">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4.2.4</w:t>
      </w:r>
      <w:r>
        <w:rPr>
          <w:rFonts w:hint="eastAsia" w:ascii="宋体" w:hAnsi="宋体" w:eastAsia="宋体" w:cs="宋体"/>
          <w:snapToGrid w:val="0"/>
          <w:color w:val="auto"/>
          <w:kern w:val="0"/>
          <w:sz w:val="21"/>
          <w:szCs w:val="21"/>
          <w:highlight w:val="none"/>
        </w:rPr>
        <w:t xml:space="preserve"> 不平衡报价的认定。经修正算术性错误后的中标人已标价工程量清单中，</w:t>
      </w:r>
      <w:r>
        <w:rPr>
          <w:rFonts w:hint="eastAsia" w:ascii="宋体" w:hAnsi="宋体" w:eastAsia="宋体" w:cs="宋体"/>
          <w:snapToGrid w:val="0"/>
          <w:color w:val="auto"/>
          <w:kern w:val="0"/>
          <w:sz w:val="21"/>
          <w:szCs w:val="21"/>
          <w:highlight w:val="none"/>
          <w:u w:val="single"/>
        </w:rPr>
        <w:t>分部分项工程量清单项目的投标综合单价与招标控制价分部分项工程量清单项目的综合单价偏差≥20%的清单项目，视为不平衡报价项目。</w:t>
      </w:r>
    </w:p>
    <w:p w14:paraId="4A79E3C1">
      <w:pPr>
        <w:wordWrap w:val="0"/>
        <w:adjustRightInd w:val="0"/>
        <w:snapToGrid w:val="0"/>
        <w:spacing w:line="44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rPr>
        <w:t>4.2.5</w:t>
      </w:r>
      <w:r>
        <w:rPr>
          <w:rFonts w:hint="eastAsia" w:ascii="宋体" w:hAnsi="宋体" w:eastAsia="宋体" w:cs="宋体"/>
          <w:color w:val="auto"/>
          <w:sz w:val="21"/>
          <w:szCs w:val="21"/>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08C1883B">
      <w:pPr>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w:t>
      </w:r>
      <w:r>
        <w:rPr>
          <w:rFonts w:hint="eastAsia" w:ascii="宋体" w:hAnsi="宋体" w:eastAsia="宋体" w:cs="宋体"/>
          <w:b/>
          <w:bCs/>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 xml:space="preserve"> 施工合同签订前，招标人或其授权的造价咨询单位应就发现的以上所有不平衡报价进行修正，形成《不平衡报价修正报告》，并由招标人和中标人共同签章确认，构成施工合同的组成部分。</w:t>
      </w:r>
    </w:p>
    <w:p w14:paraId="3D6A1876">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w:t>
      </w:r>
      <w:r>
        <w:rPr>
          <w:rFonts w:hint="eastAsia" w:ascii="宋体" w:hAnsi="宋体" w:eastAsia="宋体" w:cs="宋体"/>
          <w:b/>
          <w:bCs/>
          <w:snapToGrid w:val="0"/>
          <w:color w:val="auto"/>
          <w:kern w:val="0"/>
          <w:sz w:val="21"/>
          <w:szCs w:val="21"/>
          <w:highlight w:val="none"/>
          <w:lang w:val="en-US" w:eastAsia="zh-CN"/>
        </w:rPr>
        <w:t>7</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合同履行过程中，被认定为错漏项的清单项目，结算时按照第三章“拟签订合同的主要条款”规定处理。</w:t>
      </w:r>
    </w:p>
    <w:p w14:paraId="6CC0B70D">
      <w:pPr>
        <w:wordWrap w:val="0"/>
        <w:adjustRightInd w:val="0"/>
        <w:snapToGrid w:val="0"/>
        <w:spacing w:line="440" w:lineRule="exact"/>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w:t>
      </w:r>
      <w:r>
        <w:rPr>
          <w:rFonts w:hint="eastAsia" w:ascii="宋体" w:hAnsi="宋体" w:eastAsia="宋体" w:cs="宋体"/>
          <w:b/>
          <w:bCs/>
          <w:snapToGrid w:val="0"/>
          <w:color w:val="auto"/>
          <w:kern w:val="0"/>
          <w:sz w:val="21"/>
          <w:szCs w:val="21"/>
          <w:highlight w:val="none"/>
          <w:lang w:val="en-US" w:eastAsia="zh-CN"/>
        </w:rPr>
        <w:t>8</w:t>
      </w:r>
      <w:r>
        <w:rPr>
          <w:rFonts w:hint="eastAsia" w:ascii="宋体" w:hAnsi="宋体" w:eastAsia="宋体" w:cs="宋体"/>
          <w:b/>
          <w:bCs/>
          <w:snapToGrid w:val="0"/>
          <w:color w:val="auto"/>
          <w:kern w:val="0"/>
          <w:sz w:val="21"/>
          <w:szCs w:val="21"/>
          <w:highlight w:val="none"/>
        </w:rPr>
        <w:t xml:space="preserve">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14:paraId="278B6E0C">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4.3 </w:t>
      </w:r>
      <w:r>
        <w:rPr>
          <w:rFonts w:hint="eastAsia" w:ascii="宋体" w:hAnsi="宋体" w:eastAsia="宋体" w:cs="宋体"/>
          <w:snapToGrid w:val="0"/>
          <w:color w:val="auto"/>
          <w:kern w:val="0"/>
          <w:sz w:val="21"/>
          <w:szCs w:val="21"/>
          <w:highlight w:val="none"/>
        </w:rPr>
        <w:t>本招标项目合同计价方式为：</w:t>
      </w:r>
      <w:r>
        <w:rPr>
          <w:rFonts w:hint="eastAsia" w:ascii="宋体" w:hAnsi="宋体" w:eastAsia="宋体" w:cs="宋体"/>
          <w:snapToGrid w:val="0"/>
          <w:color w:val="auto"/>
          <w:kern w:val="0"/>
          <w:sz w:val="21"/>
          <w:szCs w:val="21"/>
          <w:highlight w:val="none"/>
          <w:u w:val="single"/>
        </w:rPr>
        <w:t xml:space="preserve"> 单价 </w:t>
      </w:r>
      <w:r>
        <w:rPr>
          <w:rFonts w:hint="eastAsia" w:ascii="宋体" w:hAnsi="宋体" w:eastAsia="宋体" w:cs="宋体"/>
          <w:snapToGrid w:val="0"/>
          <w:color w:val="auto"/>
          <w:kern w:val="0"/>
          <w:sz w:val="21"/>
          <w:szCs w:val="21"/>
          <w:highlight w:val="none"/>
        </w:rPr>
        <w:t>合同。</w:t>
      </w:r>
    </w:p>
    <w:p w14:paraId="4867DC24">
      <w:pPr>
        <w:wordWrap w:val="0"/>
        <w:adjustRightInd w:val="0"/>
        <w:snapToGrid w:val="0"/>
        <w:spacing w:line="440" w:lineRule="exact"/>
        <w:ind w:firstLine="422" w:firstLineChars="200"/>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4.4</w:t>
      </w:r>
      <w:r>
        <w:rPr>
          <w:rFonts w:hint="eastAsia" w:ascii="宋体" w:hAnsi="宋体" w:eastAsia="宋体" w:cs="宋体"/>
          <w:snapToGrid w:val="0"/>
          <w:color w:val="auto"/>
          <w:kern w:val="0"/>
          <w:sz w:val="21"/>
          <w:szCs w:val="21"/>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297E459D">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4.5</w:t>
      </w:r>
      <w:r>
        <w:rPr>
          <w:rFonts w:hint="eastAsia" w:ascii="宋体" w:hAnsi="宋体" w:eastAsia="宋体" w:cs="宋体"/>
          <w:snapToGrid w:val="0"/>
          <w:color w:val="auto"/>
          <w:kern w:val="0"/>
          <w:sz w:val="21"/>
          <w:szCs w:val="21"/>
          <w:highlight w:val="none"/>
        </w:rPr>
        <w:t xml:space="preserve">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117A246F">
      <w:pPr>
        <w:wordWrap w:val="0"/>
        <w:adjustRightInd w:val="0"/>
        <w:snapToGrid w:val="0"/>
        <w:spacing w:line="44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4.6</w:t>
      </w:r>
      <w:r>
        <w:rPr>
          <w:rFonts w:hint="eastAsia" w:ascii="宋体" w:hAnsi="宋体" w:eastAsia="宋体" w:cs="宋体"/>
          <w:snapToGrid w:val="0"/>
          <w:color w:val="auto"/>
          <w:kern w:val="0"/>
          <w:sz w:val="21"/>
          <w:szCs w:val="21"/>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5B519DAF">
      <w:pPr>
        <w:pStyle w:val="4"/>
        <w:wordWrap w:val="0"/>
        <w:autoSpaceDE/>
        <w:autoSpaceDN/>
        <w:snapToGrid w:val="0"/>
        <w:spacing w:line="440" w:lineRule="exact"/>
        <w:ind w:firstLine="480"/>
        <w:jc w:val="both"/>
        <w:rPr>
          <w:rFonts w:hint="eastAsia" w:ascii="宋体" w:hAnsi="宋体" w:eastAsia="宋体" w:cs="宋体"/>
          <w:b/>
          <w:snapToGrid w:val="0"/>
          <w:color w:val="auto"/>
          <w:sz w:val="21"/>
          <w:szCs w:val="21"/>
          <w:highlight w:val="none"/>
        </w:rPr>
      </w:pPr>
      <w:bookmarkStart w:id="170" w:name="_Toc23627"/>
      <w:bookmarkStart w:id="171" w:name="_Toc11149"/>
      <w:r>
        <w:rPr>
          <w:rFonts w:hint="eastAsia" w:ascii="宋体" w:hAnsi="宋体" w:eastAsia="宋体" w:cs="宋体"/>
          <w:b/>
          <w:snapToGrid w:val="0"/>
          <w:color w:val="auto"/>
          <w:sz w:val="21"/>
          <w:szCs w:val="21"/>
          <w:highlight w:val="none"/>
          <w:lang w:eastAsia="zh-CN"/>
        </w:rPr>
        <w:t>5.</w:t>
      </w:r>
      <w:r>
        <w:rPr>
          <w:rFonts w:hint="eastAsia" w:ascii="宋体" w:hAnsi="宋体" w:eastAsia="宋体" w:cs="宋体"/>
          <w:b/>
          <w:snapToGrid w:val="0"/>
          <w:color w:val="auto"/>
          <w:sz w:val="21"/>
          <w:szCs w:val="21"/>
          <w:highlight w:val="none"/>
        </w:rPr>
        <w:t>放弃中标的处理</w:t>
      </w:r>
      <w:bookmarkEnd w:id="170"/>
      <w:bookmarkEnd w:id="171"/>
    </w:p>
    <w:p w14:paraId="290962F3">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5.1</w:t>
      </w:r>
      <w:r>
        <w:rPr>
          <w:rFonts w:hint="eastAsia" w:ascii="宋体" w:hAnsi="宋体" w:eastAsia="宋体" w:cs="宋体"/>
          <w:snapToGrid w:val="0"/>
          <w:color w:val="auto"/>
          <w:kern w:val="0"/>
          <w:sz w:val="21"/>
          <w:szCs w:val="21"/>
          <w:highlight w:val="none"/>
        </w:rPr>
        <w:t xml:space="preserve"> 中标人</w:t>
      </w:r>
      <w:r>
        <w:rPr>
          <w:rFonts w:hint="eastAsia" w:ascii="宋体" w:hAnsi="宋体" w:eastAsia="宋体" w:cs="宋体"/>
          <w:snapToGrid w:val="0"/>
          <w:color w:val="auto"/>
          <w:sz w:val="21"/>
          <w:szCs w:val="21"/>
          <w:highlight w:val="none"/>
        </w:rPr>
        <w:t>无正当理由放弃中标的，</w:t>
      </w:r>
      <w:r>
        <w:rPr>
          <w:rFonts w:hint="eastAsia" w:ascii="宋体" w:hAnsi="宋体" w:eastAsia="宋体" w:cs="宋体"/>
          <w:snapToGrid w:val="0"/>
          <w:color w:val="auto"/>
          <w:kern w:val="0"/>
          <w:sz w:val="21"/>
          <w:szCs w:val="21"/>
          <w:highlight w:val="none"/>
        </w:rPr>
        <w:t>取消其中标资格，其投标保</w:t>
      </w:r>
      <w:r>
        <w:rPr>
          <w:rFonts w:hint="eastAsia" w:ascii="宋体" w:hAnsi="宋体" w:eastAsia="宋体" w:cs="宋体"/>
          <w:snapToGrid w:val="0"/>
          <w:color w:val="auto"/>
          <w:kern w:val="0"/>
          <w:sz w:val="21"/>
          <w:szCs w:val="21"/>
          <w:highlight w:val="none"/>
          <w:lang w:eastAsia="zh-CN"/>
        </w:rPr>
        <w:t>证金</w:t>
      </w:r>
      <w:r>
        <w:rPr>
          <w:rFonts w:hint="eastAsia" w:ascii="宋体" w:hAnsi="宋体" w:eastAsia="宋体" w:cs="宋体"/>
          <w:snapToGrid w:val="0"/>
          <w:color w:val="auto"/>
          <w:kern w:val="0"/>
          <w:sz w:val="21"/>
          <w:szCs w:val="21"/>
          <w:highlight w:val="none"/>
        </w:rPr>
        <w:t>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1"/>
          <w:szCs w:val="21"/>
          <w:highlight w:val="none"/>
        </w:rPr>
        <w:t>因此种情况造成招标人重新招标的</w:t>
      </w:r>
      <w:r>
        <w:rPr>
          <w:rFonts w:hint="eastAsia" w:ascii="宋体" w:hAnsi="宋体" w:eastAsia="宋体" w:cs="宋体"/>
          <w:snapToGrid w:val="0"/>
          <w:color w:val="auto"/>
          <w:kern w:val="0"/>
          <w:sz w:val="21"/>
          <w:szCs w:val="21"/>
          <w:highlight w:val="none"/>
        </w:rPr>
        <w:t>，招标人可不接受该弃标人再次投标。同时，招标人应将该弃标人的失信行为向行政监督部门报告。</w:t>
      </w:r>
    </w:p>
    <w:p w14:paraId="0B2D8183">
      <w:pPr>
        <w:wordWrap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中标人因不可抗力提出不能履行合同的，须在领取中标通知书之日起10天内提供有关证明文件或资料，其投标保证予以退还，招标人可按照</w:t>
      </w:r>
      <w:r>
        <w:rPr>
          <w:rFonts w:hint="eastAsia" w:ascii="宋体" w:hAnsi="宋体" w:eastAsia="宋体" w:cs="宋体"/>
          <w:snapToGrid w:val="0"/>
          <w:color w:val="auto"/>
          <w:kern w:val="0"/>
          <w:sz w:val="21"/>
          <w:szCs w:val="21"/>
          <w:highlight w:val="none"/>
          <w:lang w:val="en-US" w:eastAsia="zh-CN"/>
        </w:rPr>
        <w:t>定标</w:t>
      </w:r>
      <w:r>
        <w:rPr>
          <w:rFonts w:hint="eastAsia" w:ascii="宋体" w:hAnsi="宋体" w:eastAsia="宋体" w:cs="宋体"/>
          <w:snapToGrid w:val="0"/>
          <w:color w:val="auto"/>
          <w:kern w:val="0"/>
          <w:sz w:val="21"/>
          <w:szCs w:val="21"/>
          <w:highlight w:val="none"/>
        </w:rPr>
        <w:t>委员会提出的中标候选人名单排序依次确定其他中标候选人为中标人。如果招标人认为其他中标候选人的条件明显不利于招标人的，也可以重新招标。</w:t>
      </w:r>
    </w:p>
    <w:p w14:paraId="1DF29DAD">
      <w:pPr>
        <w:pStyle w:val="4"/>
        <w:wordWrap w:val="0"/>
        <w:autoSpaceDE/>
        <w:autoSpaceDN/>
        <w:snapToGrid w:val="0"/>
        <w:spacing w:line="440" w:lineRule="exact"/>
        <w:ind w:firstLine="480"/>
        <w:jc w:val="both"/>
        <w:rPr>
          <w:rFonts w:hint="eastAsia" w:ascii="宋体" w:hAnsi="宋体" w:eastAsia="宋体" w:cs="宋体"/>
          <w:b/>
          <w:strike/>
          <w:snapToGrid w:val="0"/>
          <w:color w:val="auto"/>
          <w:sz w:val="24"/>
          <w:szCs w:val="24"/>
          <w:highlight w:val="none"/>
        </w:rPr>
      </w:pPr>
      <w:bookmarkStart w:id="172" w:name="_Toc2577"/>
      <w:bookmarkStart w:id="173" w:name="_Toc9766"/>
      <w:bookmarkStart w:id="174" w:name="_Toc22158"/>
    </w:p>
    <w:p w14:paraId="78A14DF5">
      <w:pPr>
        <w:rPr>
          <w:rFonts w:hint="eastAsia" w:ascii="宋体" w:hAnsi="宋体" w:eastAsia="宋体" w:cs="宋体"/>
          <w:b/>
          <w:strike/>
          <w:snapToGrid w:val="0"/>
          <w:color w:val="auto"/>
          <w:sz w:val="24"/>
          <w:szCs w:val="24"/>
          <w:highlight w:val="none"/>
        </w:rPr>
      </w:pPr>
    </w:p>
    <w:p w14:paraId="38FFD311">
      <w:pPr>
        <w:pStyle w:val="2"/>
        <w:rPr>
          <w:rFonts w:hint="eastAsia" w:ascii="宋体" w:hAnsi="宋体" w:eastAsia="宋体" w:cs="宋体"/>
          <w:b/>
          <w:strike/>
          <w:snapToGrid w:val="0"/>
          <w:color w:val="auto"/>
          <w:sz w:val="24"/>
          <w:szCs w:val="24"/>
          <w:highlight w:val="none"/>
        </w:rPr>
      </w:pPr>
    </w:p>
    <w:p w14:paraId="31C96F6D">
      <w:pPr>
        <w:pStyle w:val="2"/>
        <w:rPr>
          <w:rFonts w:hint="eastAsia"/>
          <w:color w:val="auto"/>
          <w:highlight w:val="none"/>
        </w:rPr>
      </w:pPr>
    </w:p>
    <w:bookmarkEnd w:id="172"/>
    <w:bookmarkEnd w:id="173"/>
    <w:bookmarkEnd w:id="174"/>
    <w:p w14:paraId="1301D50C">
      <w:pPr>
        <w:spacing w:before="78" w:line="219" w:lineRule="auto"/>
        <w:ind w:left="0"/>
        <w:jc w:val="center"/>
        <w:outlineLvl w:val="0"/>
        <w:rPr>
          <w:rFonts w:hint="eastAsia" w:ascii="宋体" w:hAnsi="宋体" w:eastAsia="宋体" w:cs="宋体"/>
          <w:b/>
          <w:bCs/>
          <w:color w:val="auto"/>
          <w:spacing w:val="-3"/>
          <w:sz w:val="24"/>
          <w:szCs w:val="24"/>
          <w:highlight w:val="none"/>
        </w:rPr>
      </w:pPr>
      <w:bookmarkStart w:id="175" w:name="bookmark86"/>
      <w:bookmarkEnd w:id="175"/>
      <w:bookmarkStart w:id="176" w:name="_Toc18594"/>
    </w:p>
    <w:p w14:paraId="10B3EAE0">
      <w:pPr>
        <w:spacing w:before="78" w:line="219" w:lineRule="auto"/>
        <w:ind w:left="0"/>
        <w:jc w:val="center"/>
        <w:outlineLvl w:val="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76"/>
    </w:p>
    <w:p w14:paraId="5C534CD3">
      <w:pPr>
        <w:pStyle w:val="6"/>
        <w:spacing w:line="257" w:lineRule="auto"/>
        <w:rPr>
          <w:rFonts w:hint="eastAsia" w:ascii="宋体" w:hAnsi="宋体" w:eastAsia="宋体" w:cs="宋体"/>
          <w:color w:val="auto"/>
          <w:highlight w:val="none"/>
        </w:rPr>
      </w:pPr>
    </w:p>
    <w:p w14:paraId="69498346">
      <w:pPr>
        <w:pStyle w:val="6"/>
        <w:spacing w:line="257" w:lineRule="auto"/>
        <w:rPr>
          <w:rFonts w:hint="eastAsia" w:ascii="宋体" w:hAnsi="宋体" w:eastAsia="宋体" w:cs="宋体"/>
          <w:color w:val="auto"/>
          <w:highlight w:val="none"/>
        </w:rPr>
      </w:pPr>
    </w:p>
    <w:p w14:paraId="70F6C702">
      <w:pPr>
        <w:wordWrap w:val="0"/>
        <w:autoSpaceDE/>
        <w:autoSpaceDN/>
        <w:snapToGrid w:val="0"/>
        <w:spacing w:line="360" w:lineRule="auto"/>
        <w:ind w:firstLine="422" w:firstLineChars="200"/>
        <w:jc w:val="both"/>
        <w:outlineLvl w:val="9"/>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lang w:eastAsia="zh-CN"/>
        </w:rPr>
        <w:t>1.</w:t>
      </w:r>
      <w:r>
        <w:rPr>
          <w:rFonts w:hint="eastAsia" w:ascii="宋体" w:hAnsi="宋体" w:eastAsia="宋体" w:cs="宋体"/>
          <w:b/>
          <w:snapToGrid w:val="0"/>
          <w:color w:val="auto"/>
          <w:sz w:val="21"/>
          <w:szCs w:val="21"/>
          <w:highlight w:val="none"/>
        </w:rPr>
        <w:t>工程承包方式</w:t>
      </w:r>
    </w:p>
    <w:p w14:paraId="70BC0202">
      <w:pPr>
        <w:wordWrap w:val="0"/>
        <w:adjustRightInd w:val="0"/>
        <w:snapToGrid w:val="0"/>
        <w:spacing w:line="360" w:lineRule="auto"/>
        <w:ind w:firstLine="422"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r>
        <w:rPr>
          <w:rFonts w:hint="eastAsia" w:ascii="宋体" w:hAnsi="宋体" w:eastAsia="宋体" w:cs="宋体"/>
          <w:snapToGrid w:val="0"/>
          <w:color w:val="auto"/>
          <w:kern w:val="0"/>
          <w:sz w:val="21"/>
          <w:szCs w:val="21"/>
          <w:highlight w:val="none"/>
        </w:rPr>
        <w:t xml:space="preserve"> 承包人以中标价按包工包料、包质量、包安全包文明施工、包工期方式总承包施工，不允许转包和违法分包，如果确需分包须与发包人协商，在得到发包人和监理单位同意后报建设行政主管部门备案。</w:t>
      </w:r>
    </w:p>
    <w:p w14:paraId="1D235C7C">
      <w:pPr>
        <w:wordWrap w:val="0"/>
        <w:adjustRightInd w:val="0"/>
        <w:snapToGrid w:val="0"/>
        <w:spacing w:line="360" w:lineRule="auto"/>
        <w:ind w:firstLine="56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1.1.1</w:t>
      </w:r>
      <w:r>
        <w:rPr>
          <w:rFonts w:hint="eastAsia" w:ascii="宋体" w:hAnsi="宋体" w:eastAsia="宋体" w:cs="宋体"/>
          <w:snapToGrid w:val="0"/>
          <w:color w:val="auto"/>
          <w:kern w:val="0"/>
          <w:sz w:val="21"/>
          <w:szCs w:val="21"/>
          <w:highlight w:val="none"/>
        </w:rPr>
        <w:t xml:space="preserve"> 包工包料：材料符合招标文件要求并报验使用；办理用工保险。</w:t>
      </w:r>
    </w:p>
    <w:p w14:paraId="5B02858A">
      <w:pPr>
        <w:wordWrap w:val="0"/>
        <w:adjustRightInd w:val="0"/>
        <w:snapToGrid w:val="0"/>
        <w:spacing w:line="360" w:lineRule="auto"/>
        <w:ind w:firstLine="56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1.1.2</w:t>
      </w:r>
      <w:r>
        <w:rPr>
          <w:rFonts w:hint="eastAsia" w:ascii="宋体" w:hAnsi="宋体" w:eastAsia="宋体" w:cs="宋体"/>
          <w:snapToGrid w:val="0"/>
          <w:color w:val="auto"/>
          <w:kern w:val="0"/>
          <w:sz w:val="21"/>
          <w:szCs w:val="21"/>
          <w:highlight w:val="none"/>
        </w:rPr>
        <w:t xml:space="preserve"> 包质量：符合招标文件要求。</w:t>
      </w:r>
    </w:p>
    <w:p w14:paraId="166AE910">
      <w:pPr>
        <w:wordWrap w:val="0"/>
        <w:adjustRightInd w:val="0"/>
        <w:snapToGrid w:val="0"/>
        <w:spacing w:line="360" w:lineRule="auto"/>
        <w:ind w:firstLine="56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1.1.3</w:t>
      </w:r>
      <w:r>
        <w:rPr>
          <w:rFonts w:hint="eastAsia" w:ascii="宋体" w:hAnsi="宋体" w:eastAsia="宋体" w:cs="宋体"/>
          <w:snapToGrid w:val="0"/>
          <w:color w:val="auto"/>
          <w:kern w:val="0"/>
          <w:sz w:val="21"/>
          <w:szCs w:val="21"/>
          <w:highlight w:val="none"/>
        </w:rPr>
        <w:t xml:space="preserve"> 包安全包文明施工：符合招标文件要求。</w:t>
      </w:r>
    </w:p>
    <w:p w14:paraId="676A0A2D">
      <w:pPr>
        <w:wordWrap w:val="0"/>
        <w:adjustRightInd w:val="0"/>
        <w:snapToGrid w:val="0"/>
        <w:spacing w:line="360" w:lineRule="auto"/>
        <w:ind w:firstLine="56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1.1.4 </w:t>
      </w:r>
      <w:r>
        <w:rPr>
          <w:rFonts w:hint="eastAsia" w:ascii="宋体" w:hAnsi="宋体" w:eastAsia="宋体" w:cs="宋体"/>
          <w:snapToGrid w:val="0"/>
          <w:color w:val="auto"/>
          <w:kern w:val="0"/>
          <w:sz w:val="21"/>
          <w:szCs w:val="21"/>
          <w:highlight w:val="none"/>
        </w:rPr>
        <w:t>包工期：本招标项目施工必须在招标工期内完成。</w:t>
      </w:r>
    </w:p>
    <w:p w14:paraId="50755051">
      <w:pPr>
        <w:wordWrap w:val="0"/>
        <w:autoSpaceDE/>
        <w:autoSpaceDN/>
        <w:snapToGrid w:val="0"/>
        <w:spacing w:line="360" w:lineRule="auto"/>
        <w:ind w:firstLine="480"/>
        <w:jc w:val="both"/>
        <w:outlineLvl w:val="9"/>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lang w:eastAsia="zh-CN"/>
        </w:rPr>
        <w:t>2.</w:t>
      </w:r>
      <w:r>
        <w:rPr>
          <w:rFonts w:hint="eastAsia" w:ascii="宋体" w:hAnsi="宋体" w:eastAsia="宋体" w:cs="宋体"/>
          <w:b/>
          <w:snapToGrid w:val="0"/>
          <w:color w:val="auto"/>
          <w:sz w:val="21"/>
          <w:szCs w:val="21"/>
          <w:highlight w:val="none"/>
        </w:rPr>
        <w:t>工程结算原则</w:t>
      </w:r>
    </w:p>
    <w:p w14:paraId="6DE26D63">
      <w:pPr>
        <w:wordWrap w:val="0"/>
        <w:adjustRightInd w:val="0"/>
        <w:snapToGrid w:val="0"/>
        <w:spacing w:line="360" w:lineRule="auto"/>
        <w:ind w:firstLine="482"/>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承包人的投标总价为中标价，即为签约合同价。</w:t>
      </w:r>
    </w:p>
    <w:p w14:paraId="094E03BE">
      <w:pPr>
        <w:wordWrap w:val="0"/>
        <w:adjustRightInd w:val="0"/>
        <w:snapToGrid w:val="0"/>
        <w:spacing w:line="360" w:lineRule="auto"/>
        <w:ind w:firstLine="482"/>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招标工程量清单标明的工程量是投标人投标报价的共同基础，竣工结算的工程量按《建设工程工程量清单计价规范》（</w:t>
      </w:r>
      <w:r>
        <w:rPr>
          <w:rFonts w:hint="eastAsia" w:ascii="宋体" w:hAnsi="宋体" w:eastAsia="宋体" w:cs="宋体"/>
          <w:snapToGrid w:val="0"/>
          <w:color w:val="auto"/>
          <w:kern w:val="0"/>
          <w:sz w:val="21"/>
          <w:szCs w:val="21"/>
          <w:highlight w:val="none"/>
          <w:lang w:eastAsia="zh-CN"/>
        </w:rPr>
        <w:t>GBT50500-2024</w:t>
      </w:r>
      <w:r>
        <w:rPr>
          <w:rFonts w:hint="eastAsia" w:ascii="宋体" w:hAnsi="宋体" w:eastAsia="宋体" w:cs="宋体"/>
          <w:snapToGrid w:val="0"/>
          <w:color w:val="auto"/>
          <w:kern w:val="0"/>
          <w:sz w:val="21"/>
          <w:szCs w:val="21"/>
          <w:highlight w:val="none"/>
        </w:rPr>
        <w:t>）对工程计量的规定进行计量，必须以承包人完成合同工程应予计量的工程量确定。施工中进行工程计量，当发现招标工程量清单中出现缺项、工程量偏差</w:t>
      </w:r>
      <w:r>
        <w:rPr>
          <w:rFonts w:hint="eastAsia" w:ascii="宋体" w:hAnsi="宋体" w:eastAsia="宋体" w:cs="宋体"/>
          <w:snapToGrid w:val="0"/>
          <w:color w:val="auto"/>
          <w:kern w:val="0"/>
          <w:sz w:val="21"/>
          <w:szCs w:val="21"/>
          <w:highlight w:val="none"/>
          <w:lang w:eastAsia="zh-CN"/>
        </w:rPr>
        <w:t>或</w:t>
      </w:r>
      <w:r>
        <w:rPr>
          <w:rFonts w:hint="eastAsia" w:ascii="宋体" w:hAnsi="宋体" w:eastAsia="宋体" w:cs="宋体"/>
          <w:snapToGrid w:val="0"/>
          <w:color w:val="auto"/>
          <w:kern w:val="0"/>
          <w:sz w:val="21"/>
          <w:szCs w:val="21"/>
          <w:highlight w:val="none"/>
        </w:rPr>
        <w:t>因工程变更引起工程量增减时，应按承包人在履行合同义务中完成的工程量计算。因承包人原因造成的超出合同工程范围施工或返工的工程量，发包人不予计量。</w:t>
      </w:r>
    </w:p>
    <w:p w14:paraId="75EA2B7C">
      <w:pPr>
        <w:wordWrap w:val="0"/>
        <w:adjustRightInd w:val="0"/>
        <w:snapToGrid w:val="0"/>
        <w:spacing w:line="360" w:lineRule="auto"/>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w:t>
      </w:r>
      <w:r>
        <w:rPr>
          <w:rFonts w:hint="eastAsia" w:ascii="宋体" w:hAnsi="宋体" w:eastAsia="宋体" w:cs="宋体"/>
          <w:snapToGrid w:val="0"/>
          <w:color w:val="auto"/>
          <w:kern w:val="0"/>
          <w:sz w:val="21"/>
          <w:szCs w:val="21"/>
          <w:highlight w:val="none"/>
        </w:rPr>
        <w:t xml:space="preserve"> 施工合同履行期间，若出现下列情形的，发、承包双方应当按照以下规定调整合同价款：</w:t>
      </w:r>
    </w:p>
    <w:p w14:paraId="045EBF3C">
      <w:pPr>
        <w:wordWrap w:val="0"/>
        <w:adjustRightInd w:val="0"/>
        <w:snapToGrid w:val="0"/>
        <w:spacing w:line="360" w:lineRule="auto"/>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w:t>
      </w:r>
      <w:r>
        <w:rPr>
          <w:rFonts w:hint="eastAsia" w:ascii="宋体" w:hAnsi="宋体" w:eastAsia="宋体" w:cs="宋体"/>
          <w:snapToGrid w:val="0"/>
          <w:color w:val="auto"/>
          <w:kern w:val="0"/>
          <w:sz w:val="21"/>
          <w:szCs w:val="21"/>
          <w:highlight w:val="none"/>
        </w:rPr>
        <w:t xml:space="preserve"> 法律法规变化</w:t>
      </w:r>
    </w:p>
    <w:p w14:paraId="5950D712">
      <w:pPr>
        <w:wordWrap w:val="0"/>
        <w:adjustRightInd w:val="0"/>
        <w:snapToGrid w:val="0"/>
        <w:spacing w:line="360" w:lineRule="auto"/>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 xml:space="preserve"> 基准日之后，因国家</w:t>
      </w:r>
      <w:r>
        <w:rPr>
          <w:rFonts w:hint="eastAsia" w:ascii="宋体" w:hAnsi="宋体" w:eastAsia="宋体" w:cs="宋体"/>
          <w:snapToGrid w:val="0"/>
          <w:color w:val="auto"/>
          <w:kern w:val="0"/>
          <w:sz w:val="21"/>
          <w:szCs w:val="21"/>
          <w:highlight w:val="none"/>
          <w:lang w:eastAsia="zh-CN"/>
        </w:rPr>
        <w:t>法律法规</w:t>
      </w:r>
      <w:r>
        <w:rPr>
          <w:rFonts w:hint="eastAsia" w:ascii="宋体" w:hAnsi="宋体" w:eastAsia="宋体" w:cs="宋体"/>
          <w:snapToGrid w:val="0"/>
          <w:color w:val="auto"/>
          <w:kern w:val="0"/>
          <w:sz w:val="21"/>
          <w:szCs w:val="21"/>
          <w:highlight w:val="none"/>
        </w:rPr>
        <w:t>、规章和政策发生变化引起工程造价增减变化时，发、承包双方应按照省级建设主管部门（或省级行业主管部门）或其授权的工程造价管理机构据此发布的最新规定调整合同价款。</w:t>
      </w:r>
    </w:p>
    <w:p w14:paraId="2AB1FF70">
      <w:pPr>
        <w:wordWrap w:val="0"/>
        <w:adjustRightInd w:val="0"/>
        <w:snapToGrid w:val="0"/>
        <w:spacing w:line="360" w:lineRule="auto"/>
        <w:ind w:firstLine="482"/>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注：本招标文件所称“基准日”，均指投标文件递交截止时间（见第一章第二节“重要事项时间地点一览表”）前28天。</w:t>
      </w:r>
    </w:p>
    <w:p w14:paraId="5ECD78DF">
      <w:pPr>
        <w:wordWrap w:val="0"/>
        <w:adjustRightInd w:val="0"/>
        <w:snapToGrid w:val="0"/>
        <w:spacing w:line="360" w:lineRule="auto"/>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2.3.1.2</w:t>
      </w:r>
      <w:r>
        <w:rPr>
          <w:rFonts w:hint="eastAsia" w:ascii="宋体" w:hAnsi="宋体" w:eastAsia="宋体" w:cs="宋体"/>
          <w:snapToGrid w:val="0"/>
          <w:color w:val="auto"/>
          <w:kern w:val="0"/>
          <w:sz w:val="21"/>
          <w:szCs w:val="21"/>
          <w:highlight w:val="none"/>
        </w:rPr>
        <w:t xml:space="preserve"> 因承包人原因导致工程延误，本章第</w:t>
      </w: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子目中的法定机构根据国家法律法规变化发布新规的时间在合同工程原定竣工时间之后的，合同价款调增的不予调整，合同价款调减的予以调整。</w:t>
      </w:r>
    </w:p>
    <w:p w14:paraId="321964BF">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w:t>
      </w:r>
      <w:r>
        <w:rPr>
          <w:rFonts w:hint="eastAsia" w:ascii="宋体" w:hAnsi="宋体" w:eastAsia="宋体" w:cs="宋体"/>
          <w:snapToGrid w:val="0"/>
          <w:color w:val="auto"/>
          <w:kern w:val="0"/>
          <w:sz w:val="21"/>
          <w:szCs w:val="21"/>
          <w:highlight w:val="none"/>
        </w:rPr>
        <w:t xml:space="preserve"> 工程量偏差或变化</w:t>
      </w:r>
    </w:p>
    <w:p w14:paraId="264CB560">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16617939">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snapToGrid w:val="0"/>
          <w:color w:val="auto"/>
          <w:kern w:val="0"/>
          <w:sz w:val="21"/>
          <w:szCs w:val="21"/>
          <w:highlight w:val="none"/>
          <w:lang w:eastAsia="zh-CN"/>
        </w:rPr>
        <w:t>。</w:t>
      </w:r>
    </w:p>
    <w:p w14:paraId="3A4C6605">
      <w:pPr>
        <w:wordWrap w:val="0"/>
        <w:adjustRightInd w:val="0"/>
        <w:snapToGrid w:val="0"/>
        <w:spacing w:line="360" w:lineRule="auto"/>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对于按照第二章“</w:t>
      </w:r>
      <w:r>
        <w:rPr>
          <w:rFonts w:hint="eastAsia" w:ascii="宋体" w:hAnsi="宋体" w:eastAsia="宋体" w:cs="宋体"/>
          <w:b/>
          <w:bCs/>
          <w:snapToGrid w:val="0"/>
          <w:color w:val="auto"/>
          <w:kern w:val="0"/>
          <w:sz w:val="21"/>
          <w:szCs w:val="21"/>
          <w:highlight w:val="none"/>
          <w:lang w:val="en-US" w:eastAsia="zh-CN"/>
        </w:rPr>
        <w:t>中标人</w:t>
      </w:r>
      <w:r>
        <w:rPr>
          <w:rFonts w:hint="eastAsia" w:ascii="宋体" w:hAnsi="宋体" w:eastAsia="宋体" w:cs="宋体"/>
          <w:b/>
          <w:bCs/>
          <w:snapToGrid w:val="0"/>
          <w:color w:val="auto"/>
          <w:kern w:val="0"/>
          <w:sz w:val="21"/>
          <w:szCs w:val="21"/>
          <w:highlight w:val="none"/>
        </w:rPr>
        <w:t>须知”第4.2条被认定为不平衡报价的清单项目，其综合单价按照以下方法调整：</w:t>
      </w:r>
    </w:p>
    <w:p w14:paraId="2A3198E1">
      <w:pPr>
        <w:wordWrap w:val="0"/>
        <w:adjustRightInd w:val="0"/>
        <w:snapToGrid w:val="0"/>
        <w:spacing w:line="360" w:lineRule="auto"/>
        <w:ind w:firstLine="422" w:firstLineChars="200"/>
        <w:rPr>
          <w:rFonts w:hint="eastAsia" w:ascii="宋体" w:hAnsi="宋体" w:eastAsia="宋体" w:cs="宋体"/>
          <w:b/>
          <w:bCs/>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u w:val="single"/>
        </w:rPr>
        <w:t>以</w:t>
      </w:r>
      <w:r>
        <w:rPr>
          <w:rFonts w:hint="eastAsia" w:ascii="宋体" w:hAnsi="宋体" w:eastAsia="宋体" w:cs="宋体"/>
          <w:b/>
          <w:bCs/>
          <w:color w:val="auto"/>
          <w:spacing w:val="-3"/>
          <w:sz w:val="21"/>
          <w:szCs w:val="21"/>
          <w:highlight w:val="none"/>
          <w:lang w:val="en-US" w:eastAsia="zh-CN"/>
        </w:rPr>
        <w:t>最高投标限价</w:t>
      </w:r>
      <w:r>
        <w:rPr>
          <w:rFonts w:hint="eastAsia" w:ascii="宋体" w:hAnsi="宋体" w:eastAsia="宋体" w:cs="宋体"/>
          <w:b/>
          <w:bCs/>
          <w:snapToGrid w:val="0"/>
          <w:color w:val="auto"/>
          <w:kern w:val="0"/>
          <w:sz w:val="21"/>
          <w:szCs w:val="21"/>
          <w:highlight w:val="none"/>
          <w:u w:val="single"/>
        </w:rPr>
        <w:t>中的《分部分项工程和单价措施项目清单与计价表》子目相对应综合单价×（1</w:t>
      </w:r>
      <w:r>
        <w:rPr>
          <w:rFonts w:hint="eastAsia" w:ascii="宋体" w:hAnsi="宋体" w:eastAsia="宋体" w:cs="宋体"/>
          <w:b/>
          <w:bCs/>
          <w:snapToGrid w:val="0"/>
          <w:color w:val="auto"/>
          <w:kern w:val="0"/>
          <w:sz w:val="21"/>
          <w:szCs w:val="21"/>
          <w:highlight w:val="none"/>
          <w:u w:val="single"/>
          <w:lang w:eastAsia="zh-CN"/>
        </w:rPr>
        <w:t>－</w:t>
      </w:r>
      <w:r>
        <w:rPr>
          <w:rFonts w:hint="eastAsia" w:ascii="宋体" w:hAnsi="宋体" w:eastAsia="宋体" w:cs="宋体"/>
          <w:b/>
          <w:bCs/>
          <w:snapToGrid w:val="0"/>
          <w:color w:val="auto"/>
          <w:kern w:val="0"/>
          <w:sz w:val="21"/>
          <w:szCs w:val="21"/>
          <w:highlight w:val="none"/>
          <w:u w:val="single"/>
        </w:rPr>
        <w:t>中标下浮率）。</w:t>
      </w:r>
    </w:p>
    <w:p w14:paraId="3B03C11E">
      <w:pPr>
        <w:widowControl w:val="0"/>
        <w:kinsoku/>
        <w:wordWrap w:val="0"/>
        <w:topLinePunct/>
        <w:autoSpaceDE/>
        <w:autoSpaceDN/>
        <w:adjustRightInd w:val="0"/>
        <w:snapToGrid w:val="0"/>
        <w:spacing w:line="360" w:lineRule="auto"/>
        <w:ind w:left="11" w:right="84" w:rightChars="40" w:firstLine="476" w:firstLineChars="0"/>
        <w:jc w:val="both"/>
        <w:rPr>
          <w:rFonts w:hint="eastAsia" w:ascii="宋体" w:hAnsi="宋体" w:eastAsia="宋体" w:cs="宋体"/>
          <w:b/>
          <w:bCs/>
          <w:snapToGrid w:val="0"/>
          <w:color w:val="auto"/>
          <w:kern w:val="0"/>
          <w:sz w:val="21"/>
          <w:szCs w:val="21"/>
          <w:highlight w:val="none"/>
          <w:u w:val="single"/>
        </w:rPr>
      </w:pPr>
      <w:bookmarkStart w:id="177" w:name="_Toc12035"/>
      <w:bookmarkStart w:id="178" w:name="_Toc18478"/>
      <w:bookmarkStart w:id="179" w:name="_Toc30068"/>
      <w:r>
        <w:rPr>
          <w:rFonts w:hint="eastAsia" w:ascii="宋体" w:hAnsi="宋体" w:eastAsia="宋体" w:cs="宋体"/>
          <w:b/>
          <w:bCs/>
          <w:color w:val="auto"/>
          <w:spacing w:val="-4"/>
          <w:sz w:val="21"/>
          <w:szCs w:val="21"/>
          <w:highlight w:val="none"/>
        </w:rPr>
        <w:t>中标下浮率=[1-（中标价-中标</w:t>
      </w:r>
      <w:r>
        <w:rPr>
          <w:rFonts w:hint="eastAsia" w:ascii="宋体" w:hAnsi="宋体" w:eastAsia="宋体" w:cs="宋体"/>
          <w:b/>
          <w:bCs/>
          <w:color w:val="auto"/>
          <w:spacing w:val="-4"/>
          <w:sz w:val="21"/>
          <w:szCs w:val="21"/>
          <w:highlight w:val="none"/>
          <w:lang w:eastAsia="zh-CN"/>
        </w:rPr>
        <w:t>安全生产措施费</w:t>
      </w:r>
      <w:r>
        <w:rPr>
          <w:rFonts w:hint="eastAsia" w:ascii="宋体" w:hAnsi="宋体" w:eastAsia="宋体" w:cs="宋体"/>
          <w:b/>
          <w:bCs/>
          <w:color w:val="auto"/>
          <w:spacing w:val="-4"/>
          <w:sz w:val="21"/>
          <w:szCs w:val="21"/>
          <w:highlight w:val="none"/>
        </w:rPr>
        <w:t>-暂列金额-暂估价）/（</w:t>
      </w:r>
      <w:bookmarkEnd w:id="177"/>
      <w:bookmarkEnd w:id="178"/>
      <w:bookmarkStart w:id="180" w:name="_Toc13602"/>
      <w:bookmarkStart w:id="181" w:name="_Toc15512"/>
      <w:r>
        <w:rPr>
          <w:rFonts w:hint="eastAsia" w:ascii="宋体" w:hAnsi="宋体" w:eastAsia="宋体" w:cs="宋体"/>
          <w:b/>
          <w:bCs/>
          <w:color w:val="auto"/>
          <w:spacing w:val="-4"/>
          <w:sz w:val="21"/>
          <w:szCs w:val="21"/>
          <w:highlight w:val="none"/>
          <w:lang w:val="en-US" w:eastAsia="zh-CN"/>
        </w:rPr>
        <w:t>最高投标限价</w:t>
      </w:r>
      <w:r>
        <w:rPr>
          <w:rFonts w:hint="eastAsia" w:ascii="宋体" w:hAnsi="宋体" w:eastAsia="宋体" w:cs="宋体"/>
          <w:b/>
          <w:bCs/>
          <w:color w:val="auto"/>
          <w:spacing w:val="-4"/>
          <w:sz w:val="21"/>
          <w:szCs w:val="21"/>
          <w:highlight w:val="none"/>
        </w:rPr>
        <w:t>-</w:t>
      </w:r>
      <w:r>
        <w:rPr>
          <w:rFonts w:hint="eastAsia" w:ascii="宋体" w:hAnsi="宋体" w:eastAsia="宋体" w:cs="宋体"/>
          <w:b/>
          <w:bCs/>
          <w:color w:val="auto"/>
          <w:spacing w:val="-3"/>
          <w:sz w:val="21"/>
          <w:szCs w:val="21"/>
          <w:highlight w:val="none"/>
          <w:lang w:val="en-US" w:eastAsia="zh-CN"/>
        </w:rPr>
        <w:t>投标</w:t>
      </w:r>
      <w:r>
        <w:rPr>
          <w:rFonts w:hint="eastAsia" w:ascii="宋体" w:hAnsi="宋体" w:eastAsia="宋体" w:cs="宋体"/>
          <w:b/>
          <w:bCs/>
          <w:color w:val="auto"/>
          <w:spacing w:val="-4"/>
          <w:sz w:val="21"/>
          <w:szCs w:val="21"/>
          <w:highlight w:val="none"/>
          <w:lang w:val="en-US" w:eastAsia="zh-CN"/>
        </w:rPr>
        <w:t>限价</w:t>
      </w:r>
      <w:r>
        <w:rPr>
          <w:rFonts w:hint="eastAsia" w:ascii="宋体" w:hAnsi="宋体" w:eastAsia="宋体" w:cs="宋体"/>
          <w:b/>
          <w:bCs/>
          <w:color w:val="auto"/>
          <w:spacing w:val="-4"/>
          <w:sz w:val="21"/>
          <w:szCs w:val="21"/>
          <w:highlight w:val="none"/>
          <w:lang w:eastAsia="zh-CN"/>
        </w:rPr>
        <w:t>安全生产措施费</w:t>
      </w:r>
      <w:r>
        <w:rPr>
          <w:rFonts w:hint="eastAsia" w:ascii="宋体" w:hAnsi="宋体" w:eastAsia="宋体" w:cs="宋体"/>
          <w:b/>
          <w:bCs/>
          <w:color w:val="auto"/>
          <w:spacing w:val="-4"/>
          <w:sz w:val="21"/>
          <w:szCs w:val="21"/>
          <w:highlight w:val="none"/>
        </w:rPr>
        <w:t>-暂列金额-暂估价）]×100%</w:t>
      </w:r>
      <w:bookmarkEnd w:id="179"/>
      <w:bookmarkEnd w:id="180"/>
      <w:bookmarkEnd w:id="181"/>
    </w:p>
    <w:p w14:paraId="43AE0454">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2.3.2.2</w:t>
      </w:r>
      <w:r>
        <w:rPr>
          <w:rFonts w:hint="eastAsia" w:ascii="宋体" w:hAnsi="宋体" w:eastAsia="宋体" w:cs="宋体"/>
          <w:snapToGrid w:val="0"/>
          <w:color w:val="auto"/>
          <w:kern w:val="0"/>
          <w:sz w:val="21"/>
          <w:szCs w:val="21"/>
          <w:highlight w:val="none"/>
        </w:rPr>
        <w:t xml:space="preserve"> 如果工程量出现本章第</w:t>
      </w: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子目的变化，且该变化引起相关措施项目相应发生变化时，按系数计价的，工程量增加的措施项目费调增，工程量减少的措施项目费调减。单一总价方式计价的，</w:t>
      </w:r>
      <w:r>
        <w:rPr>
          <w:rFonts w:hint="eastAsia" w:ascii="宋体" w:hAnsi="宋体" w:eastAsia="宋体" w:cs="宋体"/>
          <w:snapToGrid w:val="0"/>
          <w:color w:val="auto"/>
          <w:kern w:val="0"/>
          <w:sz w:val="21"/>
          <w:szCs w:val="21"/>
          <w:highlight w:val="none"/>
          <w:lang w:val="en-US" w:eastAsia="zh-CN"/>
        </w:rPr>
        <w:t>不调整价格。</w:t>
      </w:r>
    </w:p>
    <w:p w14:paraId="4C4BC164">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工程变更</w:t>
      </w:r>
    </w:p>
    <w:p w14:paraId="511ED97B">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 xml:space="preserve"> 合同履行期间，因工程变更引起已标价工程量清单项目发生变化时，按照以下规定调整：</w:t>
      </w:r>
    </w:p>
    <w:p w14:paraId="396D5353">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（1）已标价工程量清单中有适用于变更工程项目的，采用该项目的单价。</w:t>
      </w:r>
      <w:r>
        <w:rPr>
          <w:rFonts w:hint="eastAsia" w:ascii="宋体" w:hAnsi="宋体" w:eastAsia="宋体" w:cs="宋体"/>
          <w:b/>
          <w:bCs/>
          <w:color w:val="auto"/>
          <w:spacing w:val="1"/>
          <w:sz w:val="21"/>
          <w:szCs w:val="21"/>
          <w:highlight w:val="none"/>
        </w:rPr>
        <w:t>但如果</w:t>
      </w:r>
      <w:bookmarkStart w:id="182" w:name="bookmark143"/>
      <w:bookmarkEnd w:id="182"/>
      <w:r>
        <w:rPr>
          <w:rFonts w:hint="eastAsia" w:ascii="宋体" w:hAnsi="宋体" w:eastAsia="宋体" w:cs="宋体"/>
          <w:b/>
          <w:bCs/>
          <w:color w:val="auto"/>
          <w:spacing w:val="-7"/>
          <w:sz w:val="21"/>
          <w:szCs w:val="21"/>
          <w:highlight w:val="none"/>
        </w:rPr>
        <w:t>被采用的项目属于按照第二章“中标人须知</w:t>
      </w:r>
      <w:r>
        <w:rPr>
          <w:rFonts w:hint="eastAsia" w:ascii="宋体" w:hAnsi="宋体" w:eastAsia="宋体" w:cs="宋体"/>
          <w:color w:val="auto"/>
          <w:spacing w:val="-88"/>
          <w:sz w:val="21"/>
          <w:szCs w:val="21"/>
          <w:highlight w:val="none"/>
        </w:rPr>
        <w:t xml:space="preserve"> </w:t>
      </w:r>
      <w:r>
        <w:rPr>
          <w:rFonts w:hint="eastAsia" w:ascii="宋体" w:hAnsi="宋体" w:eastAsia="宋体" w:cs="宋体"/>
          <w:b/>
          <w:bCs/>
          <w:color w:val="auto"/>
          <w:spacing w:val="-7"/>
          <w:sz w:val="21"/>
          <w:szCs w:val="21"/>
          <w:highlight w:val="none"/>
        </w:rPr>
        <w:t>”第</w:t>
      </w:r>
      <w:r>
        <w:rPr>
          <w:rFonts w:hint="eastAsia" w:ascii="宋体" w:hAnsi="宋体" w:eastAsia="宋体" w:cs="宋体"/>
          <w:color w:val="auto"/>
          <w:spacing w:val="-54"/>
          <w:sz w:val="21"/>
          <w:szCs w:val="21"/>
          <w:highlight w:val="none"/>
        </w:rPr>
        <w:t xml:space="preserve"> </w:t>
      </w:r>
      <w:r>
        <w:rPr>
          <w:rFonts w:hint="eastAsia" w:ascii="宋体" w:hAnsi="宋体" w:eastAsia="宋体" w:cs="宋体"/>
          <w:b/>
          <w:bCs/>
          <w:color w:val="auto"/>
          <w:spacing w:val="-8"/>
          <w:sz w:val="21"/>
          <w:szCs w:val="21"/>
          <w:highlight w:val="none"/>
        </w:rPr>
        <w:t>4.2条被认定为不平衡报价的清单项目，</w:t>
      </w:r>
      <w:r>
        <w:rPr>
          <w:rFonts w:hint="eastAsia" w:ascii="宋体" w:hAnsi="宋体" w:eastAsia="宋体" w:cs="宋体"/>
          <w:b/>
          <w:bCs/>
          <w:color w:val="auto"/>
          <w:spacing w:val="-2"/>
          <w:sz w:val="21"/>
          <w:szCs w:val="21"/>
          <w:highlight w:val="none"/>
        </w:rPr>
        <w:t>变更工程项目的单价按照</w:t>
      </w:r>
      <w:r>
        <w:rPr>
          <w:rFonts w:hint="eastAsia" w:ascii="宋体" w:hAnsi="宋体" w:eastAsia="宋体" w:cs="宋体"/>
          <w:b/>
          <w:bCs/>
          <w:color w:val="auto"/>
          <w:spacing w:val="-7"/>
          <w:sz w:val="21"/>
          <w:szCs w:val="21"/>
          <w:highlight w:val="none"/>
        </w:rPr>
        <w:t>本章2.3.2.1的</w:t>
      </w:r>
      <w:r>
        <w:rPr>
          <w:rFonts w:hint="eastAsia" w:ascii="宋体" w:hAnsi="宋体" w:eastAsia="宋体" w:cs="宋体"/>
          <w:b/>
          <w:bCs/>
          <w:color w:val="auto"/>
          <w:spacing w:val="-2"/>
          <w:sz w:val="21"/>
          <w:szCs w:val="21"/>
          <w:highlight w:val="none"/>
        </w:rPr>
        <w:t>方法调整</w:t>
      </w:r>
      <w:r>
        <w:rPr>
          <w:rFonts w:hint="eastAsia" w:ascii="宋体" w:hAnsi="宋体" w:eastAsia="宋体" w:cs="宋体"/>
          <w:b/>
          <w:bCs/>
          <w:color w:val="auto"/>
          <w:spacing w:val="-2"/>
          <w:sz w:val="21"/>
          <w:szCs w:val="21"/>
          <w:highlight w:val="none"/>
          <w:lang w:eastAsia="zh-CN"/>
        </w:rPr>
        <w:t>】</w:t>
      </w:r>
    </w:p>
    <w:p w14:paraId="72A7C4B6">
      <w:pPr>
        <w:wordWrap w:val="0"/>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（2）已标价工程量清单中没有适用但有类似于变更工程项目的，可在合理范围内参照类似项目的单价。</w:t>
      </w:r>
      <w:r>
        <w:rPr>
          <w:rFonts w:hint="eastAsia" w:ascii="宋体" w:hAnsi="宋体" w:eastAsia="宋体" w:cs="宋体"/>
          <w:b/>
          <w:bCs/>
          <w:color w:val="auto"/>
          <w:spacing w:val="-3"/>
          <w:sz w:val="21"/>
          <w:szCs w:val="21"/>
          <w:highlight w:val="none"/>
        </w:rPr>
        <w:t>但如果被参考的类似项目属于按照第二章“</w:t>
      </w:r>
      <w:r>
        <w:rPr>
          <w:rFonts w:hint="eastAsia" w:ascii="宋体" w:hAnsi="宋体" w:eastAsia="宋体" w:cs="宋体"/>
          <w:color w:val="auto"/>
          <w:spacing w:val="-88"/>
          <w:sz w:val="21"/>
          <w:szCs w:val="21"/>
          <w:highlight w:val="none"/>
        </w:rPr>
        <w:t xml:space="preserve"> </w:t>
      </w:r>
      <w:r>
        <w:rPr>
          <w:rFonts w:hint="eastAsia" w:ascii="宋体" w:hAnsi="宋体" w:eastAsia="宋体" w:cs="宋体"/>
          <w:b/>
          <w:bCs/>
          <w:color w:val="auto"/>
          <w:spacing w:val="-4"/>
          <w:sz w:val="21"/>
          <w:szCs w:val="21"/>
          <w:highlight w:val="none"/>
        </w:rPr>
        <w:t>中标人须知</w:t>
      </w:r>
      <w:r>
        <w:rPr>
          <w:rFonts w:hint="eastAsia" w:ascii="宋体" w:hAnsi="宋体" w:eastAsia="宋体" w:cs="宋体"/>
          <w:color w:val="auto"/>
          <w:spacing w:val="-85"/>
          <w:sz w:val="21"/>
          <w:szCs w:val="21"/>
          <w:highlight w:val="none"/>
        </w:rPr>
        <w:t xml:space="preserve"> </w:t>
      </w:r>
      <w:r>
        <w:rPr>
          <w:rFonts w:hint="eastAsia" w:ascii="宋体" w:hAnsi="宋体" w:eastAsia="宋体" w:cs="宋体"/>
          <w:b/>
          <w:bCs/>
          <w:color w:val="auto"/>
          <w:spacing w:val="-4"/>
          <w:sz w:val="21"/>
          <w:szCs w:val="21"/>
          <w:highlight w:val="none"/>
        </w:rPr>
        <w:t>”第</w:t>
      </w:r>
      <w:r>
        <w:rPr>
          <w:rFonts w:hint="eastAsia" w:ascii="宋体" w:hAnsi="宋体" w:eastAsia="宋体" w:cs="宋体"/>
          <w:color w:val="auto"/>
          <w:spacing w:val="-54"/>
          <w:sz w:val="21"/>
          <w:szCs w:val="21"/>
          <w:highlight w:val="none"/>
        </w:rPr>
        <w:t xml:space="preserve"> </w:t>
      </w:r>
      <w:r>
        <w:rPr>
          <w:rFonts w:hint="eastAsia" w:ascii="宋体" w:hAnsi="宋体" w:eastAsia="宋体" w:cs="宋体"/>
          <w:b/>
          <w:bCs/>
          <w:color w:val="auto"/>
          <w:spacing w:val="-4"/>
          <w:sz w:val="21"/>
          <w:szCs w:val="21"/>
          <w:highlight w:val="none"/>
        </w:rPr>
        <w:t>4.2条被认定为不平衡报价的清单项目，变更工程项目的单价按照本章2.3.2.1的方法调整。</w:t>
      </w:r>
    </w:p>
    <w:p w14:paraId="4FBE2C46">
      <w:pPr>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2E6C82D5">
      <w:pPr>
        <w:keepNext w:val="0"/>
        <w:keepLines w:val="0"/>
        <w:pageBreakBefore w:val="0"/>
        <w:widowControl w:val="0"/>
        <w:kinsoku/>
        <w:wordWrap w:val="0"/>
        <w:overflowPunct/>
        <w:topLinePunct/>
        <w:autoSpaceDE/>
        <w:autoSpaceDN/>
        <w:bidi w:val="0"/>
        <w:adjustRightInd w:val="0"/>
        <w:snapToGrid w:val="0"/>
        <w:spacing w:line="360" w:lineRule="auto"/>
        <w:ind w:left="28" w:right="84" w:rightChars="40" w:firstLine="505"/>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中标下浮率=[1-（中标价-中标</w:t>
      </w:r>
      <w:r>
        <w:rPr>
          <w:rFonts w:hint="eastAsia" w:ascii="宋体" w:hAnsi="宋体" w:eastAsia="宋体" w:cs="宋体"/>
          <w:b/>
          <w:bCs/>
          <w:color w:val="auto"/>
          <w:spacing w:val="-2"/>
          <w:sz w:val="21"/>
          <w:szCs w:val="21"/>
          <w:highlight w:val="none"/>
          <w:lang w:eastAsia="zh-CN"/>
        </w:rPr>
        <w:t>安全生产措施费</w:t>
      </w:r>
      <w:r>
        <w:rPr>
          <w:rFonts w:hint="eastAsia" w:ascii="宋体" w:hAnsi="宋体" w:eastAsia="宋体" w:cs="宋体"/>
          <w:b/>
          <w:bCs/>
          <w:color w:val="auto"/>
          <w:spacing w:val="-2"/>
          <w:sz w:val="21"/>
          <w:szCs w:val="21"/>
          <w:highlight w:val="none"/>
        </w:rPr>
        <w:t>-暂列</w:t>
      </w:r>
      <w:r>
        <w:rPr>
          <w:rFonts w:hint="eastAsia" w:ascii="宋体" w:hAnsi="宋体" w:eastAsia="宋体" w:cs="宋体"/>
          <w:b/>
          <w:bCs/>
          <w:color w:val="auto"/>
          <w:spacing w:val="-3"/>
          <w:sz w:val="21"/>
          <w:szCs w:val="21"/>
          <w:highlight w:val="none"/>
        </w:rPr>
        <w:t>金额-暂估价）/（</w:t>
      </w:r>
      <w:r>
        <w:rPr>
          <w:rFonts w:hint="eastAsia" w:ascii="宋体" w:hAnsi="宋体" w:eastAsia="宋体" w:cs="宋体"/>
          <w:b/>
          <w:bCs/>
          <w:color w:val="auto"/>
          <w:spacing w:val="-3"/>
          <w:sz w:val="21"/>
          <w:szCs w:val="21"/>
          <w:highlight w:val="none"/>
          <w:lang w:val="en-US" w:eastAsia="zh-CN"/>
        </w:rPr>
        <w:t>最高投标限价</w:t>
      </w:r>
      <w:r>
        <w:rPr>
          <w:rFonts w:hint="eastAsia" w:ascii="宋体" w:hAnsi="宋体" w:eastAsia="宋体" w:cs="宋体"/>
          <w:b/>
          <w:bCs/>
          <w:color w:val="auto"/>
          <w:spacing w:val="-3"/>
          <w:sz w:val="21"/>
          <w:szCs w:val="21"/>
          <w:highlight w:val="none"/>
        </w:rPr>
        <w:t>-</w:t>
      </w:r>
      <w:r>
        <w:rPr>
          <w:rFonts w:hint="eastAsia" w:ascii="宋体" w:hAnsi="宋体" w:eastAsia="宋体" w:cs="宋体"/>
          <w:b/>
          <w:bCs/>
          <w:color w:val="auto"/>
          <w:spacing w:val="-3"/>
          <w:sz w:val="21"/>
          <w:szCs w:val="21"/>
          <w:highlight w:val="none"/>
          <w:lang w:val="en-US" w:eastAsia="zh-CN"/>
        </w:rPr>
        <w:t>投标限价</w:t>
      </w:r>
      <w:r>
        <w:rPr>
          <w:rFonts w:hint="eastAsia" w:ascii="宋体" w:hAnsi="宋体" w:eastAsia="宋体" w:cs="宋体"/>
          <w:b/>
          <w:bCs/>
          <w:color w:val="auto"/>
          <w:spacing w:val="-3"/>
          <w:sz w:val="21"/>
          <w:szCs w:val="21"/>
          <w:highlight w:val="none"/>
          <w:lang w:eastAsia="zh-CN"/>
        </w:rPr>
        <w:t>安全生产措施费</w:t>
      </w:r>
      <w:r>
        <w:rPr>
          <w:rFonts w:hint="eastAsia" w:ascii="宋体" w:hAnsi="宋体" w:eastAsia="宋体" w:cs="宋体"/>
          <w:b/>
          <w:bCs/>
          <w:color w:val="auto"/>
          <w:spacing w:val="-3"/>
          <w:sz w:val="21"/>
          <w:szCs w:val="21"/>
          <w:highlight w:val="none"/>
        </w:rPr>
        <w:t>-暂列金额-暂估价）]</w:t>
      </w:r>
      <w:r>
        <w:rPr>
          <w:rFonts w:hint="eastAsia" w:ascii="宋体" w:hAnsi="宋体" w:eastAsia="宋体" w:cs="宋体"/>
          <w:color w:val="auto"/>
          <w:spacing w:val="-73"/>
          <w:sz w:val="21"/>
          <w:szCs w:val="21"/>
          <w:highlight w:val="none"/>
        </w:rPr>
        <w:t xml:space="preserve"> </w:t>
      </w:r>
      <w:r>
        <w:rPr>
          <w:rFonts w:hint="eastAsia" w:ascii="宋体" w:hAnsi="宋体" w:eastAsia="宋体" w:cs="宋体"/>
          <w:b/>
          <w:bCs/>
          <w:color w:val="auto"/>
          <w:spacing w:val="-3"/>
          <w:sz w:val="21"/>
          <w:szCs w:val="21"/>
          <w:highlight w:val="none"/>
        </w:rPr>
        <w:t>×100%</w:t>
      </w:r>
    </w:p>
    <w:p w14:paraId="575588A0">
      <w:pPr>
        <w:numPr>
          <w:ilvl w:val="0"/>
          <w:numId w:val="0"/>
        </w:numPr>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（4）已标价工程量清单中没有适用也没有类似于变更工程项目，且施工当月项目所在地工程造价管理机构发布的价格信息缺项的，由承包人根据变更工程资料、计量规则、计价办法和</w:t>
      </w:r>
      <w:r>
        <w:rPr>
          <w:rFonts w:hint="eastAsia" w:ascii="宋体" w:hAnsi="宋体" w:eastAsia="宋体" w:cs="宋体"/>
          <w:snapToGrid w:val="0"/>
          <w:color w:val="auto"/>
          <w:kern w:val="0"/>
          <w:sz w:val="21"/>
          <w:szCs w:val="21"/>
          <w:highlight w:val="none"/>
          <w:lang w:val="en-US" w:eastAsia="zh-CN"/>
        </w:rPr>
        <w:t>韶关市建设工程材料</w:t>
      </w:r>
      <w:r>
        <w:rPr>
          <w:rFonts w:hint="eastAsia" w:ascii="宋体" w:hAnsi="宋体" w:eastAsia="宋体" w:cs="宋体"/>
          <w:snapToGrid w:val="0"/>
          <w:color w:val="auto"/>
          <w:kern w:val="0"/>
          <w:sz w:val="21"/>
          <w:szCs w:val="21"/>
          <w:highlight w:val="none"/>
        </w:rPr>
        <w:t>信息价执行，若</w:t>
      </w:r>
      <w:r>
        <w:rPr>
          <w:rFonts w:hint="eastAsia" w:ascii="宋体" w:hAnsi="宋体" w:eastAsia="宋体" w:cs="宋体"/>
          <w:snapToGrid w:val="0"/>
          <w:color w:val="auto"/>
          <w:kern w:val="0"/>
          <w:sz w:val="21"/>
          <w:szCs w:val="21"/>
          <w:highlight w:val="none"/>
          <w:lang w:val="en-US" w:eastAsia="zh-CN"/>
        </w:rPr>
        <w:t>韶关市没有</w:t>
      </w:r>
      <w:r>
        <w:rPr>
          <w:rFonts w:hint="eastAsia" w:ascii="宋体" w:hAnsi="宋体" w:eastAsia="宋体" w:cs="宋体"/>
          <w:snapToGrid w:val="0"/>
          <w:color w:val="auto"/>
          <w:kern w:val="0"/>
          <w:sz w:val="21"/>
          <w:szCs w:val="21"/>
          <w:highlight w:val="none"/>
        </w:rPr>
        <w:t>信息价则按</w:t>
      </w:r>
      <w:r>
        <w:rPr>
          <w:rFonts w:hint="eastAsia" w:ascii="宋体" w:hAnsi="宋体" w:eastAsia="宋体" w:cs="宋体"/>
          <w:snapToGrid w:val="0"/>
          <w:color w:val="auto"/>
          <w:kern w:val="0"/>
          <w:sz w:val="21"/>
          <w:szCs w:val="21"/>
          <w:highlight w:val="none"/>
          <w:lang w:val="en-US" w:eastAsia="zh-CN"/>
        </w:rPr>
        <w:t>广东省其他城市信息价、</w:t>
      </w:r>
      <w:r>
        <w:rPr>
          <w:rFonts w:hint="eastAsia" w:ascii="宋体" w:hAnsi="宋体" w:eastAsia="宋体" w:cs="宋体"/>
          <w:snapToGrid w:val="0"/>
          <w:color w:val="auto"/>
          <w:kern w:val="0"/>
          <w:sz w:val="21"/>
          <w:szCs w:val="21"/>
          <w:highlight w:val="none"/>
        </w:rPr>
        <w:t>厂商信息价、市场调查、市场询价等取得有合法依据的市场价格提出变更工程项目的单价，报发包人确认后调整。</w:t>
      </w:r>
    </w:p>
    <w:p w14:paraId="3B2A6B64">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7652ACD9">
      <w:pPr>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应按照实际发生变化的措施项目计算。</w:t>
      </w:r>
    </w:p>
    <w:p w14:paraId="6A7E16A9">
      <w:pPr>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（2）采用单价计算的措施项目费，应按照实际发生变化的措施项目，按本章第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w:t>
      </w:r>
    </w:p>
    <w:p w14:paraId="37A85EEA">
      <w:pPr>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bidi="ar-SA"/>
        </w:rPr>
        <w:t>按系数计算的措施项目费，应按照实际发生变化的措施项目费调整并考虑中标下浮率因素，即调整金额＝按照实际变化调整后的金额×（1－中标下浮率），单一总价方式计价的，不调整价格。</w:t>
      </w:r>
    </w:p>
    <w:p w14:paraId="0CA5D4F8">
      <w:pPr>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如果承包人未事先将拟实施的方案提交发包人确认，视为工程变更不引起措施项目费的调整或承包人放弃调整措施项目费的权利。</w:t>
      </w:r>
    </w:p>
    <w:p w14:paraId="6667FA31">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2.3.4</w:t>
      </w:r>
      <w:r>
        <w:rPr>
          <w:rFonts w:hint="eastAsia" w:ascii="宋体" w:hAnsi="宋体" w:eastAsia="宋体" w:cs="宋体"/>
          <w:snapToGrid w:val="0"/>
          <w:color w:val="auto"/>
          <w:kern w:val="0"/>
          <w:sz w:val="21"/>
          <w:szCs w:val="21"/>
          <w:highlight w:val="none"/>
        </w:rPr>
        <w:t xml:space="preserve"> 项目特征不符</w:t>
      </w:r>
    </w:p>
    <w:p w14:paraId="50089629">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目相关条款的规定重新确定相应工程量清单项目的综合单价，并调整合同价款。</w:t>
      </w:r>
    </w:p>
    <w:p w14:paraId="6ACB09B8">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w:t>
      </w:r>
      <w:r>
        <w:rPr>
          <w:rFonts w:hint="eastAsia" w:ascii="宋体" w:hAnsi="宋体" w:eastAsia="宋体" w:cs="宋体"/>
          <w:snapToGrid w:val="0"/>
          <w:color w:val="auto"/>
          <w:kern w:val="0"/>
          <w:sz w:val="21"/>
          <w:szCs w:val="21"/>
          <w:highlight w:val="none"/>
        </w:rPr>
        <w:t xml:space="preserve"> 招标工程量清单缺项</w:t>
      </w:r>
    </w:p>
    <w:p w14:paraId="6E01230E">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2.3.5.1</w:t>
      </w:r>
      <w:r>
        <w:rPr>
          <w:rFonts w:hint="eastAsia" w:ascii="宋体" w:hAnsi="宋体" w:eastAsia="宋体" w:cs="宋体"/>
          <w:snapToGrid w:val="0"/>
          <w:color w:val="auto"/>
          <w:kern w:val="0"/>
          <w:sz w:val="21"/>
          <w:szCs w:val="21"/>
          <w:highlight w:val="none"/>
        </w:rPr>
        <w:t xml:space="preserve"> 合同履行期间，由于招标工程量清单中缺项，新增分部分项工程清单项目，应按照本章第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子目的规定确定单价，并调整合同价款。</w:t>
      </w:r>
    </w:p>
    <w:p w14:paraId="1EE99865">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2.3.5.2</w:t>
      </w:r>
      <w:r>
        <w:rPr>
          <w:rFonts w:hint="eastAsia" w:ascii="宋体" w:hAnsi="宋体" w:eastAsia="宋体" w:cs="宋体"/>
          <w:snapToGrid w:val="0"/>
          <w:color w:val="auto"/>
          <w:kern w:val="0"/>
          <w:sz w:val="21"/>
          <w:szCs w:val="21"/>
          <w:highlight w:val="none"/>
        </w:rPr>
        <w:t xml:space="preserve"> 新增分部分项工程清单项目后，引起措施项目发生变化的，应按照本章第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子目的规定，在承包人提交的实施方案被发包人批准后调整合同价款。</w:t>
      </w:r>
    </w:p>
    <w:p w14:paraId="17B41B9A">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2.3.5.3</w:t>
      </w:r>
      <w:r>
        <w:rPr>
          <w:rFonts w:hint="eastAsia" w:ascii="宋体" w:hAnsi="宋体" w:eastAsia="宋体" w:cs="宋体"/>
          <w:snapToGrid w:val="0"/>
          <w:color w:val="auto"/>
          <w:kern w:val="0"/>
          <w:sz w:val="21"/>
          <w:szCs w:val="21"/>
          <w:highlight w:val="none"/>
        </w:rPr>
        <w:t xml:space="preserve"> 由于招标工程量清单中措施项目缺项，承包人应将新增措施项目实施方案提交发包人批准后，按照本章第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子目的规定调整合同价款。</w:t>
      </w:r>
    </w:p>
    <w:p w14:paraId="1518DBE2">
      <w:pPr>
        <w:wordWrap w:val="0"/>
        <w:adjustRightInd w:val="0"/>
        <w:snapToGrid w:val="0"/>
        <w:spacing w:line="360" w:lineRule="auto"/>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w:t>
      </w:r>
      <w:r>
        <w:rPr>
          <w:rFonts w:hint="eastAsia" w:ascii="宋体" w:hAnsi="宋体" w:eastAsia="宋体" w:cs="宋体"/>
          <w:bCs/>
          <w:snapToGrid w:val="0"/>
          <w:color w:val="auto"/>
          <w:kern w:val="0"/>
          <w:sz w:val="21"/>
          <w:szCs w:val="21"/>
          <w:highlight w:val="none"/>
        </w:rPr>
        <w:t xml:space="preserve"> 物价变化</w:t>
      </w:r>
    </w:p>
    <w:p w14:paraId="73A54FAE">
      <w:pPr>
        <w:wordWrap w:val="0"/>
        <w:adjustRightInd w:val="0"/>
        <w:snapToGrid w:val="0"/>
        <w:spacing w:line="360" w:lineRule="auto"/>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2.3.6.1</w:t>
      </w:r>
      <w:r>
        <w:rPr>
          <w:rFonts w:hint="eastAsia" w:ascii="宋体" w:hAnsi="宋体" w:eastAsia="宋体" w:cs="宋体"/>
          <w:bCs/>
          <w:snapToGrid w:val="0"/>
          <w:color w:val="auto"/>
          <w:kern w:val="0"/>
          <w:sz w:val="21"/>
          <w:szCs w:val="21"/>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1"/>
          <w:szCs w:val="21"/>
          <w:highlight w:val="none"/>
        </w:rPr>
        <w:t>以下简称“</w:t>
      </w:r>
      <w:r>
        <w:rPr>
          <w:rFonts w:hint="eastAsia" w:ascii="宋体" w:hAnsi="宋体" w:eastAsia="宋体" w:cs="宋体"/>
          <w:snapToGrid w:val="0"/>
          <w:color w:val="auto"/>
          <w:kern w:val="0"/>
          <w:sz w:val="21"/>
          <w:szCs w:val="21"/>
          <w:highlight w:val="none"/>
          <w:lang w:eastAsia="zh-CN"/>
        </w:rPr>
        <w:t>承包人</w:t>
      </w:r>
      <w:r>
        <w:rPr>
          <w:rFonts w:hint="eastAsia" w:ascii="宋体" w:hAnsi="宋体" w:eastAsia="宋体" w:cs="宋体"/>
          <w:snapToGrid w:val="0"/>
          <w:color w:val="auto"/>
          <w:kern w:val="0"/>
          <w:sz w:val="21"/>
          <w:szCs w:val="21"/>
          <w:highlight w:val="none"/>
        </w:rPr>
        <w:t>工费”</w:t>
      </w:r>
      <w:r>
        <w:rPr>
          <w:rFonts w:hint="eastAsia" w:ascii="宋体" w:hAnsi="宋体" w:eastAsia="宋体" w:cs="宋体"/>
          <w:bCs/>
          <w:snapToGrid w:val="0"/>
          <w:color w:val="auto"/>
          <w:kern w:val="0"/>
          <w:sz w:val="21"/>
          <w:szCs w:val="21"/>
          <w:highlight w:val="none"/>
        </w:rPr>
        <w:t>）等于或超过施工当月经动态调整后的定额人工费，该清单项目</w:t>
      </w:r>
      <w:r>
        <w:rPr>
          <w:rFonts w:hint="eastAsia" w:ascii="宋体" w:hAnsi="宋体" w:eastAsia="宋体" w:cs="宋体"/>
          <w:bCs/>
          <w:snapToGrid w:val="0"/>
          <w:color w:val="auto"/>
          <w:kern w:val="0"/>
          <w:sz w:val="21"/>
          <w:szCs w:val="21"/>
          <w:highlight w:val="none"/>
          <w:lang w:eastAsia="zh-CN"/>
        </w:rPr>
        <w:t>承包人</w:t>
      </w:r>
      <w:r>
        <w:rPr>
          <w:rFonts w:hint="eastAsia" w:ascii="宋体" w:hAnsi="宋体" w:eastAsia="宋体" w:cs="宋体"/>
          <w:bCs/>
          <w:snapToGrid w:val="0"/>
          <w:color w:val="auto"/>
          <w:kern w:val="0"/>
          <w:sz w:val="21"/>
          <w:szCs w:val="21"/>
          <w:highlight w:val="none"/>
        </w:rPr>
        <w:t>工费不予调整；如果</w:t>
      </w:r>
      <w:r>
        <w:rPr>
          <w:rFonts w:hint="eastAsia" w:ascii="宋体" w:hAnsi="宋体" w:eastAsia="宋体" w:cs="宋体"/>
          <w:bCs/>
          <w:snapToGrid w:val="0"/>
          <w:color w:val="auto"/>
          <w:kern w:val="0"/>
          <w:sz w:val="21"/>
          <w:szCs w:val="21"/>
          <w:highlight w:val="none"/>
          <w:lang w:eastAsia="zh-CN"/>
        </w:rPr>
        <w:t>承包人</w:t>
      </w:r>
      <w:r>
        <w:rPr>
          <w:rFonts w:hint="eastAsia" w:ascii="宋体" w:hAnsi="宋体" w:eastAsia="宋体" w:cs="宋体"/>
          <w:bCs/>
          <w:snapToGrid w:val="0"/>
          <w:color w:val="auto"/>
          <w:kern w:val="0"/>
          <w:sz w:val="21"/>
          <w:szCs w:val="21"/>
          <w:highlight w:val="none"/>
        </w:rPr>
        <w:t>工费低于施工当月经动态调整后的定额人工费，该清单项目</w:t>
      </w:r>
      <w:r>
        <w:rPr>
          <w:rFonts w:hint="eastAsia" w:ascii="宋体" w:hAnsi="宋体" w:eastAsia="宋体" w:cs="宋体"/>
          <w:bCs/>
          <w:snapToGrid w:val="0"/>
          <w:color w:val="auto"/>
          <w:kern w:val="0"/>
          <w:sz w:val="21"/>
          <w:szCs w:val="21"/>
          <w:highlight w:val="none"/>
          <w:lang w:eastAsia="zh-CN"/>
        </w:rPr>
        <w:t>承包人</w:t>
      </w:r>
      <w:r>
        <w:rPr>
          <w:rFonts w:hint="eastAsia" w:ascii="宋体" w:hAnsi="宋体" w:eastAsia="宋体" w:cs="宋体"/>
          <w:bCs/>
          <w:snapToGrid w:val="0"/>
          <w:color w:val="auto"/>
          <w:kern w:val="0"/>
          <w:sz w:val="21"/>
          <w:szCs w:val="21"/>
          <w:highlight w:val="none"/>
        </w:rPr>
        <w:t>工费可以调整，相关费用按有关规定进行相应调整。结算人工费调整公式为：</w:t>
      </w:r>
    </w:p>
    <w:p w14:paraId="4B724438">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结算人工费＝</w:t>
      </w:r>
      <w:r>
        <w:rPr>
          <w:rFonts w:hint="eastAsia" w:ascii="宋体" w:hAnsi="宋体" w:eastAsia="宋体" w:cs="宋体"/>
          <w:bCs/>
          <w:snapToGrid w:val="0"/>
          <w:color w:val="auto"/>
          <w:kern w:val="0"/>
          <w:sz w:val="21"/>
          <w:szCs w:val="21"/>
          <w:highlight w:val="none"/>
          <w:lang w:eastAsia="zh-CN"/>
        </w:rPr>
        <w:t>承包人</w:t>
      </w:r>
      <w:r>
        <w:rPr>
          <w:rFonts w:hint="eastAsia" w:ascii="宋体" w:hAnsi="宋体" w:eastAsia="宋体" w:cs="宋体"/>
          <w:bCs/>
          <w:snapToGrid w:val="0"/>
          <w:color w:val="auto"/>
          <w:kern w:val="0"/>
          <w:sz w:val="21"/>
          <w:szCs w:val="21"/>
          <w:highlight w:val="none"/>
        </w:rPr>
        <w:t>工费×F</w:t>
      </w:r>
      <w:r>
        <w:rPr>
          <w:rFonts w:hint="eastAsia" w:ascii="宋体" w:hAnsi="宋体" w:eastAsia="宋体" w:cs="宋体"/>
          <w:bCs/>
          <w:snapToGrid w:val="0"/>
          <w:color w:val="auto"/>
          <w:kern w:val="0"/>
          <w:sz w:val="21"/>
          <w:szCs w:val="21"/>
          <w:highlight w:val="none"/>
          <w:vertAlign w:val="subscript"/>
        </w:rPr>
        <w:t>1</w:t>
      </w:r>
    </w:p>
    <w:p w14:paraId="7E84449F">
      <w:pPr>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式中，F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为施工当月项目所在地工程造价管理机构发布的动态人工调整系数。</w:t>
      </w:r>
    </w:p>
    <w:p w14:paraId="277E582B">
      <w:pPr>
        <w:keepNext w:val="0"/>
        <w:keepLines w:val="0"/>
        <w:widowControl/>
        <w:suppressLineNumbers w:val="0"/>
        <w:spacing w:line="36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2.3.6.2</w:t>
      </w:r>
      <w:r>
        <w:rPr>
          <w:rFonts w:hint="eastAsia" w:ascii="宋体" w:hAnsi="宋体" w:eastAsia="宋体" w:cs="宋体"/>
          <w:snapToGrid w:val="0"/>
          <w:color w:val="auto"/>
          <w:kern w:val="0"/>
          <w:sz w:val="21"/>
          <w:szCs w:val="21"/>
          <w:highlight w:val="none"/>
        </w:rPr>
        <w:t xml:space="preserve"> 本招</w:t>
      </w:r>
      <w:r>
        <w:rPr>
          <w:rFonts w:hint="eastAsia" w:ascii="宋体" w:hAnsi="宋体" w:eastAsia="宋体" w:cs="宋体"/>
          <w:color w:val="auto"/>
          <w:sz w:val="21"/>
          <w:szCs w:val="21"/>
          <w:highlight w:val="none"/>
        </w:rPr>
        <w:t>标项目约定，材料、工程设备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施工机具台班</w:t>
      </w:r>
      <w:r>
        <w:rPr>
          <w:rFonts w:hint="eastAsia" w:ascii="宋体" w:hAnsi="宋体" w:eastAsia="宋体" w:cs="宋体"/>
          <w:color w:val="auto"/>
          <w:sz w:val="21"/>
          <w:szCs w:val="21"/>
          <w:highlight w:val="none"/>
          <w:lang w:val="en-US" w:eastAsia="zh-CN"/>
        </w:rPr>
        <w:t>价格</w:t>
      </w:r>
      <w:r>
        <w:rPr>
          <w:rFonts w:hint="eastAsia" w:ascii="宋体" w:hAnsi="宋体" w:eastAsia="宋体" w:cs="宋体"/>
          <w:color w:val="auto"/>
          <w:sz w:val="21"/>
          <w:szCs w:val="21"/>
          <w:highlight w:val="none"/>
          <w:lang w:eastAsia="zh-CN"/>
        </w:rPr>
        <w:t>不予调整。</w:t>
      </w:r>
    </w:p>
    <w:p w14:paraId="34C14A64">
      <w:pPr>
        <w:wordWrap w:val="0"/>
        <w:adjustRightInd w:val="0"/>
        <w:snapToGrid w:val="0"/>
        <w:spacing w:line="360" w:lineRule="auto"/>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w:t>
      </w:r>
      <w:r>
        <w:rPr>
          <w:rFonts w:hint="eastAsia" w:ascii="宋体" w:hAnsi="宋体" w:eastAsia="宋体" w:cs="宋体"/>
          <w:bCs/>
          <w:snapToGrid w:val="0"/>
          <w:color w:val="auto"/>
          <w:kern w:val="0"/>
          <w:sz w:val="21"/>
          <w:szCs w:val="21"/>
          <w:highlight w:val="none"/>
        </w:rPr>
        <w:t xml:space="preserve"> 暂估价和暂列金额</w:t>
      </w:r>
    </w:p>
    <w:p w14:paraId="495CE9F6">
      <w:pPr>
        <w:wordWrap w:val="0"/>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snapToGrid w:val="0"/>
          <w:color w:val="auto"/>
          <w:kern w:val="0"/>
          <w:sz w:val="21"/>
          <w:szCs w:val="21"/>
          <w:highlight w:val="none"/>
        </w:rPr>
        <w:t>2.3.7.1</w:t>
      </w:r>
      <w:r>
        <w:rPr>
          <w:rFonts w:hint="eastAsia" w:ascii="宋体" w:hAnsi="宋体" w:eastAsia="宋体" w:cs="宋体"/>
          <w:bCs/>
          <w:snapToGrid w:val="0"/>
          <w:color w:val="auto"/>
          <w:kern w:val="0"/>
          <w:sz w:val="21"/>
          <w:szCs w:val="21"/>
          <w:highlight w:val="none"/>
        </w:rPr>
        <w:t xml:space="preserve"> </w:t>
      </w:r>
      <w:r>
        <w:rPr>
          <w:rFonts w:ascii="宋体" w:hAnsi="宋体" w:eastAsia="宋体" w:cs="宋体"/>
          <w:color w:val="auto"/>
          <w:spacing w:val="-2"/>
          <w:sz w:val="21"/>
          <w:szCs w:val="21"/>
          <w:highlight w:val="none"/>
        </w:rPr>
        <w:t>暂估价项目按第一章第三节“投标人须知正文</w:t>
      </w:r>
      <w:r>
        <w:rPr>
          <w:rFonts w:ascii="宋体" w:hAnsi="宋体" w:eastAsia="宋体" w:cs="宋体"/>
          <w:color w:val="auto"/>
          <w:spacing w:val="-88"/>
          <w:sz w:val="21"/>
          <w:szCs w:val="21"/>
          <w:highlight w:val="none"/>
        </w:rPr>
        <w:t xml:space="preserve"> </w:t>
      </w:r>
      <w:r>
        <w:rPr>
          <w:rFonts w:ascii="宋体" w:hAnsi="宋体" w:eastAsia="宋体" w:cs="宋体"/>
          <w:color w:val="auto"/>
          <w:spacing w:val="-2"/>
          <w:sz w:val="21"/>
          <w:szCs w:val="21"/>
          <w:highlight w:val="none"/>
        </w:rPr>
        <w:t>”第</w:t>
      </w:r>
      <w:r>
        <w:rPr>
          <w:rFonts w:ascii="宋体" w:hAnsi="宋体" w:eastAsia="宋体" w:cs="宋体"/>
          <w:color w:val="auto"/>
          <w:spacing w:val="-51"/>
          <w:sz w:val="21"/>
          <w:szCs w:val="21"/>
          <w:highlight w:val="none"/>
        </w:rPr>
        <w:t xml:space="preserve"> </w:t>
      </w:r>
      <w:r>
        <w:rPr>
          <w:rFonts w:ascii="Times New Roman" w:hAnsi="Times New Roman" w:eastAsia="Times New Roman" w:cs="Times New Roman"/>
          <w:b/>
          <w:bCs/>
          <w:color w:val="auto"/>
          <w:spacing w:val="-2"/>
          <w:sz w:val="21"/>
          <w:szCs w:val="21"/>
          <w:highlight w:val="none"/>
        </w:rPr>
        <w:t xml:space="preserve">8.5 </w:t>
      </w:r>
      <w:r>
        <w:rPr>
          <w:rFonts w:ascii="宋体" w:hAnsi="宋体" w:eastAsia="宋体" w:cs="宋体"/>
          <w:color w:val="auto"/>
          <w:spacing w:val="-2"/>
          <w:sz w:val="21"/>
          <w:szCs w:val="21"/>
          <w:highlight w:val="none"/>
        </w:rPr>
        <w:t>条</w:t>
      </w:r>
      <w:r>
        <w:rPr>
          <w:rFonts w:ascii="宋体" w:hAnsi="宋体" w:eastAsia="宋体" w:cs="宋体"/>
          <w:color w:val="auto"/>
          <w:spacing w:val="-3"/>
          <w:sz w:val="21"/>
          <w:szCs w:val="21"/>
          <w:highlight w:val="none"/>
        </w:rPr>
        <w:t>的规定确定专业工</w:t>
      </w:r>
      <w:r>
        <w:rPr>
          <w:rFonts w:ascii="宋体" w:hAnsi="宋体" w:eastAsia="宋体" w:cs="宋体"/>
          <w:color w:val="auto"/>
          <w:spacing w:val="-1"/>
          <w:sz w:val="21"/>
          <w:szCs w:val="21"/>
          <w:highlight w:val="none"/>
        </w:rPr>
        <w:t>程承包人（或材料供应商、工程设备供应商）后，将专业工</w:t>
      </w:r>
      <w:r>
        <w:rPr>
          <w:rFonts w:ascii="宋体" w:hAnsi="宋体" w:eastAsia="宋体" w:cs="宋体"/>
          <w:color w:val="auto"/>
          <w:spacing w:val="-2"/>
          <w:sz w:val="21"/>
          <w:szCs w:val="21"/>
          <w:highlight w:val="none"/>
        </w:rPr>
        <w:t>程合同价款（或材料单价、</w:t>
      </w:r>
      <w:r>
        <w:rPr>
          <w:rFonts w:ascii="宋体" w:hAnsi="宋体" w:eastAsia="宋体" w:cs="宋体"/>
          <w:color w:val="auto"/>
          <w:spacing w:val="-1"/>
          <w:sz w:val="21"/>
          <w:szCs w:val="21"/>
          <w:highlight w:val="none"/>
        </w:rPr>
        <w:t>工程设备单价）取代相应暂估价，并调整合同价款。</w:t>
      </w:r>
      <w:r>
        <w:rPr>
          <w:rFonts w:hint="eastAsia" w:ascii="宋体" w:hAnsi="宋体" w:eastAsia="宋体" w:cs="宋体"/>
          <w:color w:val="auto"/>
          <w:spacing w:val="-1"/>
          <w:sz w:val="21"/>
          <w:szCs w:val="21"/>
          <w:highlight w:val="none"/>
        </w:rPr>
        <w:t>结算时暂估价（若有）中所列的材料（设备）数量按实际发生数量计算；承包人须提供材料（设备）的发票及购销合同，以实际采购单价为</w:t>
      </w:r>
      <w:r>
        <w:rPr>
          <w:rFonts w:hint="eastAsia" w:ascii="宋体" w:hAnsi="宋体" w:eastAsia="宋体" w:cs="宋体"/>
          <w:color w:val="auto"/>
          <w:spacing w:val="-1"/>
          <w:sz w:val="21"/>
          <w:szCs w:val="21"/>
          <w:highlight w:val="none"/>
          <w:lang w:val="en-US" w:eastAsia="zh-CN"/>
        </w:rPr>
        <w:t>结算依据之一</w:t>
      </w:r>
      <w:r>
        <w:rPr>
          <w:rFonts w:hint="eastAsia" w:ascii="宋体" w:hAnsi="宋体" w:eastAsia="宋体" w:cs="宋体"/>
          <w:color w:val="auto"/>
          <w:spacing w:val="-1"/>
          <w:sz w:val="21"/>
          <w:szCs w:val="21"/>
          <w:highlight w:val="none"/>
        </w:rPr>
        <w:t>，但不得高于本次招标工程量清单中的材料（设备）单价</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各部分暂估价的结算价不得超过暂估价。</w:t>
      </w:r>
    </w:p>
    <w:p w14:paraId="31EE99A4">
      <w:pPr>
        <w:wordWrap w:val="0"/>
        <w:adjustRightInd w:val="0"/>
        <w:snapToGrid w:val="0"/>
        <w:spacing w:line="360" w:lineRule="auto"/>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2.3.7.2</w:t>
      </w:r>
      <w:r>
        <w:rPr>
          <w:rFonts w:hint="eastAsia" w:ascii="宋体" w:hAnsi="宋体" w:eastAsia="宋体" w:cs="宋体"/>
          <w:bCs/>
          <w:snapToGrid w:val="0"/>
          <w:color w:val="auto"/>
          <w:kern w:val="0"/>
          <w:sz w:val="21"/>
          <w:szCs w:val="21"/>
          <w:highlight w:val="none"/>
        </w:rPr>
        <w:t xml:space="preserve"> </w:t>
      </w:r>
      <w:r>
        <w:rPr>
          <w:rFonts w:ascii="宋体" w:hAnsi="宋体" w:eastAsia="宋体" w:cs="宋体"/>
          <w:color w:val="auto"/>
          <w:spacing w:val="-8"/>
          <w:sz w:val="21"/>
          <w:szCs w:val="21"/>
          <w:highlight w:val="none"/>
        </w:rPr>
        <w:t>暂列金额由发包人掌握和使用。暂列金额项目若有发</w:t>
      </w:r>
      <w:r>
        <w:rPr>
          <w:rFonts w:ascii="宋体" w:hAnsi="宋体" w:eastAsia="宋体" w:cs="宋体"/>
          <w:color w:val="auto"/>
          <w:spacing w:val="-9"/>
          <w:sz w:val="21"/>
          <w:szCs w:val="21"/>
          <w:highlight w:val="none"/>
        </w:rPr>
        <w:t>生，按第一章第三节“投</w:t>
      </w:r>
      <w:r>
        <w:rPr>
          <w:rFonts w:ascii="宋体" w:hAnsi="宋体" w:eastAsia="宋体" w:cs="宋体"/>
          <w:color w:val="auto"/>
          <w:spacing w:val="-5"/>
          <w:sz w:val="21"/>
          <w:szCs w:val="21"/>
          <w:highlight w:val="none"/>
        </w:rPr>
        <w:t>标人须知正文</w:t>
      </w:r>
      <w:r>
        <w:rPr>
          <w:rFonts w:ascii="宋体" w:hAnsi="宋体" w:eastAsia="宋体" w:cs="宋体"/>
          <w:color w:val="auto"/>
          <w:spacing w:val="-88"/>
          <w:sz w:val="21"/>
          <w:szCs w:val="21"/>
          <w:highlight w:val="none"/>
        </w:rPr>
        <w:t xml:space="preserve"> </w:t>
      </w:r>
      <w:r>
        <w:rPr>
          <w:rFonts w:ascii="宋体" w:hAnsi="宋体" w:eastAsia="宋体" w:cs="宋体"/>
          <w:color w:val="auto"/>
          <w:spacing w:val="-5"/>
          <w:sz w:val="21"/>
          <w:szCs w:val="21"/>
          <w:highlight w:val="none"/>
        </w:rPr>
        <w:t>”第</w:t>
      </w:r>
      <w:r>
        <w:rPr>
          <w:rFonts w:ascii="宋体" w:hAnsi="宋体" w:eastAsia="宋体" w:cs="宋体"/>
          <w:color w:val="auto"/>
          <w:spacing w:val="-51"/>
          <w:sz w:val="21"/>
          <w:szCs w:val="21"/>
          <w:highlight w:val="none"/>
        </w:rPr>
        <w:t xml:space="preserve"> </w:t>
      </w:r>
      <w:r>
        <w:rPr>
          <w:rFonts w:ascii="Times New Roman" w:hAnsi="Times New Roman" w:eastAsia="Times New Roman" w:cs="Times New Roman"/>
          <w:b/>
          <w:bCs/>
          <w:color w:val="auto"/>
          <w:spacing w:val="-5"/>
          <w:sz w:val="21"/>
          <w:szCs w:val="21"/>
          <w:highlight w:val="none"/>
        </w:rPr>
        <w:t xml:space="preserve">8.6 </w:t>
      </w:r>
      <w:r>
        <w:rPr>
          <w:rFonts w:ascii="宋体" w:hAnsi="宋体" w:eastAsia="宋体" w:cs="宋体"/>
          <w:color w:val="auto"/>
          <w:spacing w:val="-5"/>
          <w:sz w:val="21"/>
          <w:szCs w:val="21"/>
          <w:highlight w:val="none"/>
        </w:rPr>
        <w:t>条的规定确定材料供应商（或工程设备供</w:t>
      </w:r>
      <w:r>
        <w:rPr>
          <w:rFonts w:ascii="宋体" w:hAnsi="宋体" w:eastAsia="宋体" w:cs="宋体"/>
          <w:color w:val="auto"/>
          <w:spacing w:val="-6"/>
          <w:sz w:val="21"/>
          <w:szCs w:val="21"/>
          <w:highlight w:val="none"/>
        </w:rPr>
        <w:t>应商、服务供应商）后，</w:t>
      </w:r>
      <w:r>
        <w:rPr>
          <w:rFonts w:ascii="宋体" w:hAnsi="宋体" w:eastAsia="宋体" w:cs="宋体"/>
          <w:color w:val="auto"/>
          <w:spacing w:val="-2"/>
          <w:sz w:val="21"/>
          <w:szCs w:val="21"/>
          <w:highlight w:val="none"/>
        </w:rPr>
        <w:t>材料（或工程设备、服务）的合同价款从暂列金额中支付。暂列金额扣除已发生的暂列金额项目合同价款、已发生的合同约定调整因素出现时的调整价款、已发生的索赔以及</w:t>
      </w:r>
      <w:r>
        <w:rPr>
          <w:rFonts w:ascii="宋体" w:hAnsi="宋体" w:eastAsia="宋体" w:cs="宋体"/>
          <w:color w:val="auto"/>
          <w:spacing w:val="-1"/>
          <w:sz w:val="21"/>
          <w:szCs w:val="21"/>
          <w:highlight w:val="none"/>
        </w:rPr>
        <w:t>现场签证确认等的费用后，余额（若有）归发包人所有。</w:t>
      </w:r>
    </w:p>
    <w:p w14:paraId="23209EC8">
      <w:pPr>
        <w:keepNext w:val="0"/>
        <w:keepLines w:val="0"/>
        <w:widowControl/>
        <w:suppressLineNumbers w:val="0"/>
        <w:spacing w:line="36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2.3.8 </w:t>
      </w:r>
      <w:r>
        <w:rPr>
          <w:rFonts w:hint="eastAsia" w:ascii="宋体" w:hAnsi="宋体" w:eastAsia="宋体" w:cs="宋体"/>
          <w:b/>
          <w:snapToGrid w:val="0"/>
          <w:color w:val="auto"/>
          <w:kern w:val="0"/>
          <w:sz w:val="21"/>
          <w:szCs w:val="21"/>
          <w:highlight w:val="none"/>
        </w:rPr>
        <w:t xml:space="preserve"> </w:t>
      </w:r>
      <w:r>
        <w:rPr>
          <w:rFonts w:hint="eastAsia" w:ascii="宋体" w:hAnsi="宋体" w:eastAsia="宋体" w:cs="宋体"/>
          <w:b w:val="0"/>
          <w:snapToGrid w:val="0"/>
          <w:color w:val="auto"/>
          <w:kern w:val="0"/>
          <w:sz w:val="21"/>
          <w:szCs w:val="21"/>
          <w:highlight w:val="none"/>
        </w:rPr>
        <w:t>预算包干费：</w:t>
      </w:r>
      <w:r>
        <w:rPr>
          <w:rFonts w:hint="eastAsia" w:ascii="宋体" w:hAnsi="宋体" w:eastAsia="宋体" w:cs="宋体"/>
          <w:color w:val="auto"/>
          <w:sz w:val="21"/>
          <w:szCs w:val="21"/>
          <w:highlight w:val="none"/>
          <w:lang w:val="en-US" w:eastAsia="zh-CN"/>
        </w:rPr>
        <w:t>按</w:t>
      </w:r>
      <w:r>
        <w:rPr>
          <w:rFonts w:ascii="宋体" w:hAnsi="宋体" w:eastAsia="宋体" w:cs="宋体"/>
          <w:color w:val="auto"/>
          <w:sz w:val="21"/>
          <w:szCs w:val="21"/>
          <w:highlight w:val="none"/>
        </w:rPr>
        <w:t>《建设工程工程量清单计价标准》（GB/T 50500-2024）及《广东省建设工程计价依据（2018）》相关规定</w:t>
      </w:r>
      <w:r>
        <w:rPr>
          <w:rFonts w:hint="eastAsia" w:ascii="宋体" w:hAnsi="宋体" w:eastAsia="宋体" w:cs="宋体"/>
          <w:color w:val="auto"/>
          <w:sz w:val="21"/>
          <w:szCs w:val="21"/>
          <w:highlight w:val="none"/>
          <w:lang w:val="en-US" w:eastAsia="zh-CN"/>
        </w:rPr>
        <w:t>计算</w:t>
      </w:r>
      <w:r>
        <w:rPr>
          <w:rFonts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该</w:t>
      </w:r>
      <w:r>
        <w:rPr>
          <w:rFonts w:ascii="宋体" w:hAnsi="宋体" w:eastAsia="宋体" w:cs="宋体"/>
          <w:color w:val="auto"/>
          <w:sz w:val="21"/>
          <w:szCs w:val="21"/>
          <w:highlight w:val="none"/>
        </w:rPr>
        <w:t>费用已包含在分部分项工程项目清单的综合单价中。本工程的预算包干内容包括：施工雨水污水的排除；因地形（场地）影响造成的场内料具二次运输；工程用水加压措施；施工场地材料场地的整理；工程成品的保护；施工中的临时停水停电；基础埋深2米以内挖土方的塌方；日间照明施工增加费；完工后的场地清理等。对于以上预算包干内容，承包人不得提出额外付款或延长工期等要求。</w:t>
      </w:r>
    </w:p>
    <w:p w14:paraId="354C4C37">
      <w:pPr>
        <w:wordWrap w:val="0"/>
        <w:adjustRightInd w:val="0"/>
        <w:snapToGrid w:val="0"/>
        <w:spacing w:line="360" w:lineRule="auto"/>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2.3.9</w:t>
      </w:r>
      <w:r>
        <w:rPr>
          <w:rFonts w:hint="eastAsia" w:ascii="宋体" w:hAnsi="宋体" w:eastAsia="宋体" w:cs="宋体"/>
          <w:snapToGrid w:val="0"/>
          <w:color w:val="auto"/>
          <w:kern w:val="0"/>
          <w:sz w:val="21"/>
          <w:szCs w:val="21"/>
          <w:highlight w:val="none"/>
        </w:rPr>
        <w:t>其余事项（如不可抗力、索赔、现场签证等）的调整原则按照《建设工程工程量清单计价规范》（</w:t>
      </w:r>
      <w:r>
        <w:rPr>
          <w:rFonts w:hint="eastAsia" w:ascii="宋体" w:hAnsi="宋体" w:eastAsia="宋体" w:cs="宋体"/>
          <w:snapToGrid w:val="0"/>
          <w:color w:val="auto"/>
          <w:kern w:val="0"/>
          <w:sz w:val="21"/>
          <w:szCs w:val="21"/>
          <w:highlight w:val="none"/>
          <w:lang w:eastAsia="zh-CN"/>
        </w:rPr>
        <w:t>GBT50500-2024</w:t>
      </w:r>
      <w:r>
        <w:rPr>
          <w:rFonts w:hint="eastAsia" w:ascii="宋体" w:hAnsi="宋体" w:eastAsia="宋体" w:cs="宋体"/>
          <w:snapToGrid w:val="0"/>
          <w:color w:val="auto"/>
          <w:kern w:val="0"/>
          <w:sz w:val="21"/>
          <w:szCs w:val="21"/>
          <w:highlight w:val="none"/>
        </w:rPr>
        <w:t>）有关规定执行。</w:t>
      </w:r>
    </w:p>
    <w:p w14:paraId="471ADF54">
      <w:pPr>
        <w:wordWrap w:val="0"/>
        <w:adjustRightInd w:val="0"/>
        <w:snapToGrid w:val="0"/>
        <w:spacing w:line="360" w:lineRule="auto"/>
        <w:ind w:firstLine="422" w:firstLineChars="200"/>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 凡将引起合同价款调增的事项，承包人必须于拟实施14天前，将详细的报价书（含拟实施项目名称、变更部位、理由、预计造价等）报监理单位审核和发包人批准后方可实施。</w:t>
      </w:r>
    </w:p>
    <w:p w14:paraId="24B6F888">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2.5</w:t>
      </w:r>
      <w:r>
        <w:rPr>
          <w:rFonts w:hint="eastAsia" w:ascii="宋体" w:hAnsi="宋体" w:eastAsia="宋体" w:cs="宋体"/>
          <w:snapToGrid w:val="0"/>
          <w:color w:val="auto"/>
          <w:kern w:val="0"/>
          <w:sz w:val="21"/>
          <w:szCs w:val="21"/>
          <w:highlight w:val="none"/>
        </w:rPr>
        <w:t xml:space="preserve"> 承包人不得以不完全了解现场情况为理由，提出额外付款或延长工期等要求。对此类要求，发包人不作任何考虑及答复。</w:t>
      </w:r>
    </w:p>
    <w:p w14:paraId="12C9A4F2">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2.6</w:t>
      </w:r>
      <w:r>
        <w:rPr>
          <w:rFonts w:hint="eastAsia" w:ascii="宋体" w:hAnsi="宋体" w:eastAsia="宋体" w:cs="宋体"/>
          <w:snapToGrid w:val="0"/>
          <w:color w:val="auto"/>
          <w:kern w:val="0"/>
          <w:sz w:val="21"/>
          <w:szCs w:val="21"/>
          <w:highlight w:val="none"/>
        </w:rPr>
        <w:t xml:space="preserve"> 承包人已标价工程量清单中漏报、错报或少报的清单项目，其价格均视为已经包含在其它清单项目中，竣工结算时不得重新组价和调整。</w:t>
      </w:r>
    </w:p>
    <w:p w14:paraId="7485DE4F">
      <w:pPr>
        <w:wordWrap w:val="0"/>
        <w:adjustRightInd w:val="0"/>
        <w:snapToGrid w:val="0"/>
        <w:spacing w:line="360" w:lineRule="auto"/>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2.7</w:t>
      </w:r>
      <w:r>
        <w:rPr>
          <w:rFonts w:hint="eastAsia" w:ascii="宋体" w:hAnsi="宋体" w:eastAsia="宋体" w:cs="宋体"/>
          <w:snapToGrid w:val="0"/>
          <w:color w:val="auto"/>
          <w:kern w:val="0"/>
          <w:sz w:val="21"/>
          <w:szCs w:val="21"/>
          <w:highlight w:val="none"/>
        </w:rPr>
        <w:t xml:space="preserve"> 工程完工后，发、承包双方和受其委托具备相应资质的工程造价咨询单位必须按照《建设工程工程量清单计价规范》（</w:t>
      </w:r>
      <w:r>
        <w:rPr>
          <w:rFonts w:hint="eastAsia" w:ascii="宋体" w:hAnsi="宋体" w:eastAsia="宋体" w:cs="宋体"/>
          <w:snapToGrid w:val="0"/>
          <w:color w:val="auto"/>
          <w:kern w:val="0"/>
          <w:sz w:val="21"/>
          <w:szCs w:val="21"/>
          <w:highlight w:val="none"/>
          <w:lang w:eastAsia="zh-CN"/>
        </w:rPr>
        <w:t>GBT50500-2024</w:t>
      </w:r>
      <w:r>
        <w:rPr>
          <w:rFonts w:hint="eastAsia" w:ascii="宋体" w:hAnsi="宋体" w:eastAsia="宋体" w:cs="宋体"/>
          <w:snapToGrid w:val="0"/>
          <w:color w:val="auto"/>
          <w:kern w:val="0"/>
          <w:sz w:val="21"/>
          <w:szCs w:val="21"/>
          <w:highlight w:val="none"/>
        </w:rPr>
        <w:t>）和国家、省、市的有关规定办理竣工结算。</w:t>
      </w:r>
    </w:p>
    <w:p w14:paraId="25E4D1A5">
      <w:pPr>
        <w:wordWrap w:val="0"/>
        <w:adjustRightInd w:val="0"/>
        <w:snapToGrid w:val="0"/>
        <w:spacing w:line="360" w:lineRule="auto"/>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2.8</w:t>
      </w:r>
      <w:r>
        <w:rPr>
          <w:rFonts w:hint="eastAsia" w:ascii="宋体" w:hAnsi="宋体" w:eastAsia="宋体" w:cs="宋体"/>
          <w:snapToGrid w:val="0"/>
          <w:color w:val="auto"/>
          <w:kern w:val="0"/>
          <w:sz w:val="21"/>
          <w:szCs w:val="21"/>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593600DA">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2.9 </w:t>
      </w:r>
      <w:r>
        <w:rPr>
          <w:rFonts w:hint="eastAsia" w:ascii="宋体" w:hAnsi="宋体" w:eastAsia="宋体" w:cs="宋体"/>
          <w:color w:val="auto"/>
          <w:kern w:val="0"/>
          <w:sz w:val="21"/>
          <w:szCs w:val="21"/>
          <w:highlight w:val="none"/>
          <w:lang w:val="en-US" w:eastAsia="zh-CN" w:bidi="ar"/>
        </w:rPr>
        <w:t>承包人已标价工程量清单中没有的材料（或工程设备）结算价格确定原则：按施工当月项目所在地工程造价管理机构发布的信息价格；若当地信息价格缺项的，</w:t>
      </w:r>
      <w:r>
        <w:rPr>
          <w:rFonts w:hint="eastAsia" w:ascii="宋体" w:hAnsi="宋体" w:eastAsia="宋体" w:cs="宋体"/>
          <w:color w:val="auto"/>
          <w:highlight w:val="none"/>
          <w:lang w:eastAsia="zh-CN" w:bidi="ar"/>
        </w:rPr>
        <w:t>由承包人根据变更工程资料、计量规则、计价办法和韶关市建设工程材料信息价执行，若韶关市没有信息价则按广东省其他城市信息价、厂商信息价、市场调查、市场询价</w:t>
      </w:r>
      <w:r>
        <w:rPr>
          <w:rFonts w:hint="eastAsia" w:ascii="宋体" w:hAnsi="宋体" w:eastAsia="宋体" w:cs="宋体"/>
          <w:color w:val="auto"/>
          <w:kern w:val="0"/>
          <w:sz w:val="21"/>
          <w:szCs w:val="21"/>
          <w:highlight w:val="none"/>
          <w:lang w:val="en-US" w:eastAsia="zh-CN" w:bidi="ar"/>
        </w:rPr>
        <w:t>等方式取得有合法依据的市场价格，报发包人确认。</w:t>
      </w:r>
    </w:p>
    <w:p w14:paraId="2A2D34C0">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snapToGrid w:val="0"/>
          <w:color w:val="auto"/>
          <w:kern w:val="0"/>
          <w:sz w:val="21"/>
          <w:szCs w:val="21"/>
          <w:highlight w:val="none"/>
          <w:lang w:val="en-US" w:eastAsia="zh-CN" w:bidi="ar"/>
        </w:rPr>
        <w:t>2.10</w:t>
      </w:r>
      <w:r>
        <w:rPr>
          <w:rFonts w:hint="eastAsia" w:ascii="宋体" w:hAnsi="宋体" w:eastAsia="宋体" w:cs="宋体"/>
          <w:color w:val="auto"/>
          <w:kern w:val="0"/>
          <w:sz w:val="21"/>
          <w:szCs w:val="21"/>
          <w:highlight w:val="none"/>
          <w:lang w:val="en-US" w:eastAsia="zh-CN" w:bidi="ar"/>
        </w:rPr>
        <w:t>发包人有权根据本项目建设的实际情况调整建设规模或减少建设内容，如出现因特殊原因取消某子项目的建设，则该子项目未完成的工作内容及费用相应扣减，承包人不得因此向发包人提出额外的费用补偿或索赔，并且必须按调整后的规模及内容完成项目建设。</w:t>
      </w:r>
    </w:p>
    <w:p w14:paraId="138E4554">
      <w:pPr>
        <w:wordWrap w:val="0"/>
        <w:adjustRightInd w:val="0"/>
        <w:snapToGrid w:val="0"/>
        <w:spacing w:line="360" w:lineRule="auto"/>
        <w:ind w:firstLine="560"/>
        <w:rPr>
          <w:rFonts w:hint="eastAsia" w:ascii="宋体" w:hAnsi="宋体" w:eastAsia="宋体" w:cs="宋体"/>
          <w:color w:val="auto"/>
          <w:sz w:val="21"/>
          <w:szCs w:val="21"/>
          <w:highlight w:val="none"/>
          <w:lang w:val="en-US" w:eastAsia="zh-CN"/>
        </w:rPr>
      </w:pPr>
      <w:r>
        <w:rPr>
          <w:rFonts w:hint="eastAsia" w:ascii="宋体" w:hAnsi="宋体" w:eastAsia="宋体" w:cs="宋体"/>
          <w:b/>
          <w:bCs w:val="0"/>
          <w:snapToGrid w:val="0"/>
          <w:color w:val="auto"/>
          <w:kern w:val="0"/>
          <w:sz w:val="21"/>
          <w:szCs w:val="21"/>
          <w:highlight w:val="none"/>
          <w:lang w:val="en-US" w:eastAsia="zh-CN" w:bidi="ar-SA"/>
        </w:rPr>
        <w:t>2.11</w:t>
      </w:r>
      <w:r>
        <w:rPr>
          <w:rFonts w:hint="eastAsia" w:ascii="宋体" w:hAnsi="宋体" w:eastAsia="宋体" w:cs="宋体"/>
          <w:color w:val="auto"/>
          <w:kern w:val="2"/>
          <w:sz w:val="21"/>
          <w:szCs w:val="21"/>
          <w:highlight w:val="none"/>
          <w:lang w:val="en-US" w:eastAsia="zh-CN" w:bidi="ar-SA"/>
        </w:rPr>
        <w:t>如项目实施过程中发生了工程变更及工程签证，承包人需根据发包人发布的 《工程变更管理办法》和《工程签证管理办法》完善工程变更签证相关程序。</w:t>
      </w:r>
    </w:p>
    <w:p w14:paraId="0CB971E9">
      <w:pPr>
        <w:wordWrap w:val="0"/>
        <w:adjustRightInd w:val="0"/>
        <w:snapToGrid w:val="0"/>
        <w:spacing w:line="360" w:lineRule="auto"/>
        <w:ind w:firstLine="560"/>
        <w:rPr>
          <w:rFonts w:hint="eastAsia" w:ascii="宋体" w:hAnsi="宋体" w:eastAsia="宋体" w:cs="宋体"/>
          <w:b/>
          <w:bCs/>
          <w:color w:val="auto"/>
          <w:sz w:val="21"/>
          <w:szCs w:val="21"/>
          <w:highlight w:val="none"/>
          <w:u w:val="single"/>
        </w:rPr>
      </w:pPr>
      <w:r>
        <w:rPr>
          <w:rFonts w:hint="eastAsia" w:ascii="宋体" w:hAnsi="宋体" w:eastAsia="宋体" w:cs="宋体"/>
          <w:b/>
          <w:bCs w:val="0"/>
          <w:snapToGrid w:val="0"/>
          <w:color w:val="auto"/>
          <w:kern w:val="0"/>
          <w:sz w:val="21"/>
          <w:szCs w:val="21"/>
          <w:highlight w:val="none"/>
        </w:rPr>
        <w:t>2.</w:t>
      </w:r>
      <w:r>
        <w:rPr>
          <w:rFonts w:hint="eastAsia" w:ascii="宋体" w:hAnsi="宋体" w:eastAsia="宋体" w:cs="宋体"/>
          <w:b/>
          <w:bCs w:val="0"/>
          <w:snapToGrid w:val="0"/>
          <w:color w:val="auto"/>
          <w:kern w:val="0"/>
          <w:sz w:val="21"/>
          <w:szCs w:val="21"/>
          <w:highlight w:val="none"/>
          <w:lang w:val="en-US" w:eastAsia="zh-CN"/>
        </w:rPr>
        <w:t>12</w:t>
      </w:r>
      <w:r>
        <w:rPr>
          <w:rFonts w:hint="eastAsia" w:ascii="宋体" w:hAnsi="宋体" w:eastAsia="宋体" w:cs="宋体"/>
          <w:b/>
          <w:bCs w:val="0"/>
          <w:snapToGrid w:val="0"/>
          <w:color w:val="auto"/>
          <w:kern w:val="0"/>
          <w:sz w:val="21"/>
          <w:szCs w:val="21"/>
          <w:highlight w:val="none"/>
          <w:u w:val="none"/>
          <w:lang w:val="en-US" w:eastAsia="zh-CN"/>
        </w:rPr>
        <w:t xml:space="preserve"> </w:t>
      </w:r>
      <w:r>
        <w:rPr>
          <w:rFonts w:hint="eastAsia" w:ascii="宋体" w:hAnsi="宋体" w:eastAsia="宋体" w:cs="宋体"/>
          <w:b/>
          <w:bCs/>
          <w:color w:val="auto"/>
          <w:sz w:val="21"/>
          <w:szCs w:val="21"/>
          <w:highlight w:val="none"/>
          <w:u w:val="single"/>
        </w:rPr>
        <w:t>项目实施过程中涉及工程造价控制、计量、价差调整等事项，最终以</w:t>
      </w:r>
      <w:r>
        <w:rPr>
          <w:rFonts w:hint="eastAsia" w:ascii="宋体" w:hAnsi="宋体" w:eastAsia="宋体" w:cs="宋体"/>
          <w:b/>
          <w:bCs/>
          <w:color w:val="auto"/>
          <w:sz w:val="21"/>
          <w:szCs w:val="21"/>
          <w:highlight w:val="none"/>
          <w:u w:val="single"/>
          <w:lang w:eastAsia="zh-CN"/>
        </w:rPr>
        <w:t>发包人</w:t>
      </w:r>
      <w:r>
        <w:rPr>
          <w:rFonts w:hint="eastAsia" w:ascii="宋体" w:hAnsi="宋体" w:eastAsia="宋体" w:cs="宋体"/>
          <w:b/>
          <w:bCs/>
          <w:color w:val="auto"/>
          <w:sz w:val="21"/>
          <w:szCs w:val="21"/>
          <w:highlight w:val="none"/>
          <w:u w:val="single"/>
        </w:rPr>
        <w:t>或其指定的审核机构的审定意见为准。</w:t>
      </w:r>
    </w:p>
    <w:p w14:paraId="09453DF6">
      <w:pPr>
        <w:pStyle w:val="40"/>
        <w:wordWrap w:val="0"/>
        <w:adjustRightInd w:val="0"/>
        <w:snapToGrid w:val="0"/>
        <w:spacing w:line="440" w:lineRule="exact"/>
        <w:ind w:firstLine="560"/>
        <w:rPr>
          <w:rFonts w:hint="eastAsia" w:ascii="宋体" w:hAnsi="宋体" w:eastAsia="宋体" w:cs="宋体"/>
          <w:b/>
          <w:bCs/>
          <w:color w:val="auto"/>
          <w:sz w:val="21"/>
          <w:szCs w:val="21"/>
          <w:highlight w:val="none"/>
          <w:u w:val="single"/>
        </w:rPr>
      </w:pPr>
      <w:r>
        <w:rPr>
          <w:rFonts w:hint="eastAsia" w:ascii="宋体" w:hAnsi="宋体" w:eastAsia="宋体" w:cs="宋体"/>
          <w:b/>
          <w:bCs w:val="0"/>
          <w:snapToGrid w:val="0"/>
          <w:color w:val="auto"/>
          <w:kern w:val="0"/>
          <w:sz w:val="21"/>
          <w:szCs w:val="21"/>
          <w:highlight w:val="none"/>
          <w:u w:val="none"/>
          <w:lang w:val="en-US" w:eastAsia="en-US"/>
        </w:rPr>
        <w:t>2.1</w:t>
      </w:r>
      <w:r>
        <w:rPr>
          <w:rFonts w:hint="eastAsia" w:hAnsi="宋体" w:cs="宋体"/>
          <w:b/>
          <w:bCs w:val="0"/>
          <w:snapToGrid w:val="0"/>
          <w:color w:val="auto"/>
          <w:kern w:val="0"/>
          <w:sz w:val="21"/>
          <w:szCs w:val="21"/>
          <w:highlight w:val="none"/>
          <w:u w:val="none"/>
          <w:lang w:val="en-US" w:eastAsia="zh-CN"/>
        </w:rPr>
        <w:t>3</w:t>
      </w:r>
      <w:r>
        <w:rPr>
          <w:rFonts w:hint="eastAsia"/>
          <w:color w:val="auto"/>
          <w:sz w:val="21"/>
          <w:szCs w:val="21"/>
          <w:highlight w:val="none"/>
        </w:rPr>
        <w:t>为防止</w:t>
      </w:r>
      <w:r>
        <w:rPr>
          <w:rFonts w:hint="eastAsia"/>
          <w:color w:val="auto"/>
          <w:sz w:val="21"/>
          <w:szCs w:val="21"/>
          <w:highlight w:val="none"/>
          <w:lang w:val="en-US" w:eastAsia="zh-CN"/>
        </w:rPr>
        <w:t>承包人</w:t>
      </w:r>
      <w:r>
        <w:rPr>
          <w:rFonts w:hint="eastAsia"/>
          <w:color w:val="auto"/>
          <w:sz w:val="21"/>
          <w:szCs w:val="21"/>
          <w:highlight w:val="none"/>
        </w:rPr>
        <w:t>高估冒算，如属于</w:t>
      </w:r>
      <w:r>
        <w:rPr>
          <w:rFonts w:hint="eastAsia"/>
          <w:color w:val="auto"/>
          <w:sz w:val="21"/>
          <w:szCs w:val="21"/>
          <w:highlight w:val="none"/>
          <w:lang w:val="en-US" w:eastAsia="zh-CN"/>
        </w:rPr>
        <w:t>承包人</w:t>
      </w:r>
      <w:r>
        <w:rPr>
          <w:rFonts w:hint="eastAsia"/>
          <w:color w:val="auto"/>
          <w:sz w:val="21"/>
          <w:szCs w:val="21"/>
          <w:highlight w:val="none"/>
        </w:rPr>
        <w:t>或者其委托造价咨询企业原因造成所申报结算款超出</w:t>
      </w:r>
      <w:r>
        <w:rPr>
          <w:rFonts w:hint="eastAsia"/>
          <w:color w:val="auto"/>
          <w:sz w:val="21"/>
          <w:szCs w:val="21"/>
          <w:highlight w:val="none"/>
          <w:lang w:eastAsia="zh-CN"/>
        </w:rPr>
        <w:t>发包人</w:t>
      </w:r>
      <w:r>
        <w:rPr>
          <w:rFonts w:hint="eastAsia"/>
          <w:color w:val="auto"/>
          <w:sz w:val="21"/>
          <w:szCs w:val="21"/>
          <w:highlight w:val="none"/>
        </w:rPr>
        <w:t>核对或者</w:t>
      </w:r>
      <w:r>
        <w:rPr>
          <w:rFonts w:hint="eastAsia"/>
          <w:color w:val="auto"/>
          <w:sz w:val="21"/>
          <w:szCs w:val="21"/>
          <w:highlight w:val="none"/>
          <w:lang w:eastAsia="zh-CN"/>
        </w:rPr>
        <w:t>发包人</w:t>
      </w:r>
      <w:r>
        <w:rPr>
          <w:rFonts w:hint="eastAsia"/>
          <w:color w:val="auto"/>
          <w:sz w:val="21"/>
          <w:szCs w:val="21"/>
          <w:highlight w:val="none"/>
        </w:rPr>
        <w:t>委托的第三方最终审定结算款的5%时，</w:t>
      </w:r>
      <w:r>
        <w:rPr>
          <w:rFonts w:hint="eastAsia"/>
          <w:color w:val="auto"/>
          <w:sz w:val="21"/>
          <w:szCs w:val="21"/>
          <w:highlight w:val="none"/>
          <w:lang w:val="en-US" w:eastAsia="zh-CN"/>
        </w:rPr>
        <w:t>承包人</w:t>
      </w:r>
      <w:r>
        <w:rPr>
          <w:rFonts w:hint="eastAsia"/>
          <w:color w:val="auto"/>
          <w:sz w:val="21"/>
          <w:szCs w:val="21"/>
          <w:highlight w:val="none"/>
        </w:rPr>
        <w:t>必须承担超出5%部分的</w:t>
      </w:r>
      <w:r>
        <w:rPr>
          <w:rFonts w:hint="eastAsia"/>
          <w:color w:val="auto"/>
          <w:sz w:val="21"/>
          <w:szCs w:val="21"/>
          <w:highlight w:val="none"/>
          <w:lang w:val="en-US" w:eastAsia="zh-CN"/>
        </w:rPr>
        <w:t>审核</w:t>
      </w:r>
      <w:r>
        <w:rPr>
          <w:rFonts w:hint="eastAsia"/>
          <w:color w:val="auto"/>
          <w:sz w:val="21"/>
          <w:szCs w:val="21"/>
          <w:highlight w:val="none"/>
        </w:rPr>
        <w:t>费用（须向发包人委托的第三方咨询单位支付因此产生的效益收费，收费标准按核减额的4%予以计取），</w:t>
      </w:r>
      <w:r>
        <w:rPr>
          <w:rFonts w:hint="eastAsia"/>
          <w:color w:val="auto"/>
          <w:sz w:val="21"/>
          <w:szCs w:val="21"/>
          <w:highlight w:val="none"/>
          <w:lang w:val="en-US" w:eastAsia="zh-CN"/>
        </w:rPr>
        <w:t>发包</w:t>
      </w:r>
      <w:r>
        <w:rPr>
          <w:rFonts w:hint="eastAsia"/>
          <w:color w:val="auto"/>
          <w:sz w:val="21"/>
          <w:szCs w:val="21"/>
          <w:highlight w:val="none"/>
        </w:rPr>
        <w:t>人有权就结算文件质量偏差率超过规定的5%的情况向市住房城乡建设主管部门进行举报。</w:t>
      </w:r>
    </w:p>
    <w:p w14:paraId="28B086BA">
      <w:pPr>
        <w:wordWrap w:val="0"/>
        <w:autoSpaceDE/>
        <w:autoSpaceDN/>
        <w:snapToGrid w:val="0"/>
        <w:spacing w:line="360" w:lineRule="auto"/>
        <w:ind w:firstLine="480"/>
        <w:jc w:val="both"/>
        <w:outlineLvl w:val="9"/>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lang w:eastAsia="zh-CN"/>
        </w:rPr>
        <w:t>3.</w:t>
      </w:r>
      <w:r>
        <w:rPr>
          <w:rFonts w:hint="eastAsia" w:ascii="宋体" w:hAnsi="宋体" w:eastAsia="宋体" w:cs="宋体"/>
          <w:b/>
          <w:snapToGrid w:val="0"/>
          <w:color w:val="auto"/>
          <w:sz w:val="21"/>
          <w:szCs w:val="21"/>
          <w:highlight w:val="none"/>
        </w:rPr>
        <w:t>工程付款办法</w:t>
      </w:r>
    </w:p>
    <w:p w14:paraId="0CDAAB6C">
      <w:pPr>
        <w:wordWrap w:val="0"/>
        <w:adjustRightInd w:val="0"/>
        <w:snapToGrid w:val="0"/>
        <w:spacing w:line="360" w:lineRule="auto"/>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本招标项目</w:t>
      </w:r>
      <w:r>
        <w:rPr>
          <w:rFonts w:hint="eastAsia" w:ascii="宋体" w:hAnsi="宋体" w:eastAsia="宋体" w:cs="宋体"/>
          <w:snapToGrid w:val="0"/>
          <w:color w:val="auto"/>
          <w:kern w:val="0"/>
          <w:sz w:val="21"/>
          <w:szCs w:val="21"/>
          <w:highlight w:val="none"/>
          <w:u w:val="single"/>
        </w:rPr>
        <w:t xml:space="preserve"> 支付</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施工预付款。</w:t>
      </w:r>
    </w:p>
    <w:p w14:paraId="551352B1">
      <w:pPr>
        <w:wordWrap w:val="0"/>
        <w:adjustRightInd w:val="0"/>
        <w:snapToGrid w:val="0"/>
        <w:spacing w:line="360" w:lineRule="auto"/>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施工预付款必须专用于合同工程，并按以下原则支付和抵扣：</w:t>
      </w:r>
    </w:p>
    <w:p w14:paraId="44EB7FAF">
      <w:pPr>
        <w:wordWrap w:val="0"/>
        <w:adjustRightInd w:val="0"/>
        <w:snapToGrid w:val="0"/>
        <w:spacing w:line="360" w:lineRule="auto"/>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3.2.1</w:t>
      </w:r>
      <w:r>
        <w:rPr>
          <w:rFonts w:hint="eastAsia" w:ascii="宋体" w:hAnsi="宋体" w:eastAsia="宋体" w:cs="宋体"/>
          <w:snapToGrid w:val="0"/>
          <w:color w:val="auto"/>
          <w:kern w:val="0"/>
          <w:sz w:val="21"/>
          <w:szCs w:val="21"/>
          <w:highlight w:val="none"/>
        </w:rPr>
        <w:t xml:space="preserve"> 施工预付款支付比例为：按施工合同价的</w:t>
      </w:r>
      <w:r>
        <w:rPr>
          <w:rFonts w:hint="eastAsia" w:ascii="宋体" w:hAnsi="宋体" w:eastAsia="宋体" w:cs="宋体"/>
          <w:snapToGrid w:val="0"/>
          <w:color w:val="auto"/>
          <w:kern w:val="0"/>
          <w:sz w:val="21"/>
          <w:szCs w:val="21"/>
          <w:highlight w:val="none"/>
          <w:u w:val="single"/>
          <w:lang w:val="en-US" w:eastAsia="zh-CN"/>
        </w:rPr>
        <w:t>30</w:t>
      </w:r>
      <w:r>
        <w:rPr>
          <w:rFonts w:hint="eastAsia" w:ascii="宋体" w:hAnsi="宋体" w:eastAsia="宋体" w:cs="宋体"/>
          <w:snapToGrid w:val="0"/>
          <w:color w:val="auto"/>
          <w:kern w:val="0"/>
          <w:sz w:val="21"/>
          <w:szCs w:val="21"/>
          <w:highlight w:val="none"/>
          <w:u w:val="single"/>
        </w:rPr>
        <w:t>%</w:t>
      </w:r>
      <w:r>
        <w:rPr>
          <w:rFonts w:hint="eastAsia" w:ascii="宋体" w:hAnsi="宋体" w:eastAsia="宋体" w:cs="宋体"/>
          <w:snapToGrid w:val="0"/>
          <w:color w:val="auto"/>
          <w:kern w:val="0"/>
          <w:sz w:val="21"/>
          <w:szCs w:val="21"/>
          <w:highlight w:val="none"/>
        </w:rPr>
        <w:t>支付</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color w:val="auto"/>
          <w:highlight w:val="none"/>
          <w:lang w:eastAsia="zh-CN"/>
        </w:rPr>
        <w:t>暂列金额、专业工程暂估价除外，</w:t>
      </w:r>
      <w:r>
        <w:rPr>
          <w:rFonts w:hint="eastAsia" w:ascii="宋体" w:hAnsi="宋体" w:eastAsia="宋体" w:cs="宋体"/>
          <w:snapToGrid w:val="0"/>
          <w:color w:val="auto"/>
          <w:kern w:val="0"/>
          <w:sz w:val="21"/>
          <w:szCs w:val="21"/>
          <w:highlight w:val="none"/>
        </w:rPr>
        <w:t>预付款总额的2</w:t>
      </w:r>
      <w:r>
        <w:rPr>
          <w:rFonts w:hint="eastAsia" w:ascii="宋体" w:hAnsi="宋体" w:eastAsia="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rPr>
        <w:t>%须作为农民工工资专项预付款，由发包人单独、足额拨付至承包人设立的农民工工资专用账户</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w:t>
      </w:r>
    </w:p>
    <w:p w14:paraId="0EDC6E94">
      <w:pPr>
        <w:wordWrap w:val="0"/>
        <w:adjustRightInd w:val="0"/>
        <w:snapToGrid w:val="0"/>
        <w:spacing w:line="360" w:lineRule="auto"/>
        <w:ind w:firstLine="560"/>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3.2.2 </w:t>
      </w:r>
      <w:r>
        <w:rPr>
          <w:rFonts w:hint="eastAsia" w:ascii="宋体" w:hAnsi="宋体" w:eastAsia="宋体" w:cs="宋体"/>
          <w:snapToGrid w:val="0"/>
          <w:color w:val="auto"/>
          <w:kern w:val="0"/>
          <w:sz w:val="21"/>
          <w:szCs w:val="21"/>
          <w:highlight w:val="none"/>
        </w:rPr>
        <w:t>本招标项目</w:t>
      </w:r>
      <w:r>
        <w:rPr>
          <w:rFonts w:hint="eastAsia" w:ascii="宋体" w:hAnsi="宋体" w:eastAsia="宋体" w:cs="宋体"/>
          <w:snapToGrid w:val="0"/>
          <w:color w:val="auto"/>
          <w:kern w:val="0"/>
          <w:sz w:val="21"/>
          <w:szCs w:val="21"/>
          <w:highlight w:val="none"/>
          <w:u w:val="single"/>
        </w:rPr>
        <w:t xml:space="preserve"> 要求 </w:t>
      </w:r>
      <w:r>
        <w:rPr>
          <w:rFonts w:hint="eastAsia" w:ascii="宋体" w:hAnsi="宋体" w:eastAsia="宋体" w:cs="宋体"/>
          <w:snapToGrid w:val="0"/>
          <w:color w:val="auto"/>
          <w:kern w:val="0"/>
          <w:sz w:val="21"/>
          <w:szCs w:val="21"/>
          <w:highlight w:val="none"/>
        </w:rPr>
        <w:t>承包人提供与预付款等额的预付款保函（预付款保函格式按《住房和城乡建设部关于印发工程保函示范文本的通知》（建市〔2021〕11号）执行，为不可撤销、不可转让的见索即付独立保函，且不得有任何附加条件）</w:t>
      </w:r>
      <w:r>
        <w:rPr>
          <w:rFonts w:hint="eastAsia" w:ascii="宋体" w:hAnsi="宋体" w:eastAsia="宋体" w:cs="宋体"/>
          <w:b/>
          <w:snapToGrid w:val="0"/>
          <w:color w:val="auto"/>
          <w:sz w:val="21"/>
          <w:szCs w:val="21"/>
          <w:highlight w:val="none"/>
        </w:rPr>
        <w:t>或预付款保险</w:t>
      </w:r>
      <w:r>
        <w:rPr>
          <w:rFonts w:hint="eastAsia" w:ascii="宋体" w:hAnsi="宋体" w:eastAsia="宋体" w:cs="宋体"/>
          <w:snapToGrid w:val="0"/>
          <w:color w:val="auto"/>
          <w:kern w:val="0"/>
          <w:sz w:val="21"/>
          <w:szCs w:val="21"/>
          <w:highlight w:val="none"/>
        </w:rPr>
        <w:t>，</w:t>
      </w:r>
      <w:r>
        <w:rPr>
          <w:rFonts w:hint="eastAsia" w:ascii="宋体" w:hAnsi="宋体" w:eastAsia="宋体" w:cs="宋体"/>
          <w:b/>
          <w:snapToGrid w:val="0"/>
          <w:color w:val="auto"/>
          <w:kern w:val="0"/>
          <w:sz w:val="21"/>
          <w:szCs w:val="21"/>
          <w:highlight w:val="none"/>
        </w:rPr>
        <w:t>且预付款保函期限原则上不少于总工期的一半，承包单位的预付款保函有效期应保证在扣回预付款前有效，未扣回预付款但保函过期的承包人应重新开具预付款保函。</w:t>
      </w:r>
    </w:p>
    <w:p w14:paraId="6699733C">
      <w:pPr>
        <w:pStyle w:val="14"/>
        <w:adjustRightInd w:val="0"/>
        <w:snapToGrid w:val="0"/>
        <w:spacing w:before="0" w:beforeAutospacing="0" w:after="0" w:afterAutospacing="0" w:line="360" w:lineRule="auto"/>
        <w:ind w:firstLine="315" w:firstLineChars="150"/>
        <w:textAlignment w:val="baseline"/>
        <w:rPr>
          <w:rFonts w:hint="eastAsia" w:ascii="宋体" w:hAnsi="宋体" w:eastAsia="宋体" w:cs="宋体"/>
          <w:b/>
          <w:snapToGrid w:val="0"/>
          <w:color w:val="auto"/>
          <w:sz w:val="21"/>
          <w:szCs w:val="21"/>
          <w:highlight w:val="none"/>
        </w:rPr>
      </w:pPr>
      <w:r>
        <w:rPr>
          <w:rFonts w:hint="eastAsia" w:ascii="宋体" w:hAnsi="宋体" w:eastAsia="宋体" w:cs="宋体"/>
          <w:snapToGrid w:val="0"/>
          <w:color w:val="auto"/>
          <w:sz w:val="21"/>
          <w:szCs w:val="21"/>
          <w:highlight w:val="none"/>
        </w:rPr>
        <w:t>承包人应在签订合同后，</w:t>
      </w:r>
      <w:r>
        <w:rPr>
          <w:rFonts w:hint="eastAsia" w:ascii="宋体" w:hAnsi="宋体" w:eastAsia="宋体" w:cs="宋体"/>
          <w:b/>
          <w:snapToGrid w:val="0"/>
          <w:color w:val="auto"/>
          <w:sz w:val="21"/>
          <w:szCs w:val="21"/>
          <w:highlight w:val="none"/>
        </w:rPr>
        <w:t>在提供符合要求的预付款保函或预付款保险及</w:t>
      </w:r>
      <w:r>
        <w:rPr>
          <w:rFonts w:hint="eastAsia" w:ascii="宋体" w:hAnsi="宋体" w:eastAsia="宋体" w:cs="宋体"/>
          <w:snapToGrid w:val="0"/>
          <w:color w:val="auto"/>
          <w:sz w:val="21"/>
          <w:szCs w:val="21"/>
          <w:highlight w:val="none"/>
        </w:rPr>
        <w:t>在具备施工条件的前提下，向发包人提交预付款支付申请。发包人</w:t>
      </w:r>
      <w:r>
        <w:rPr>
          <w:rFonts w:hint="eastAsia" w:ascii="宋体" w:hAnsi="宋体" w:eastAsia="宋体" w:cs="宋体"/>
          <w:snapToGrid w:val="0"/>
          <w:color w:val="auto"/>
          <w:sz w:val="21"/>
          <w:szCs w:val="21"/>
          <w:highlight w:val="none"/>
          <w:lang w:eastAsia="zh-CN"/>
        </w:rPr>
        <w:t>应</w:t>
      </w:r>
      <w:r>
        <w:rPr>
          <w:rFonts w:hint="eastAsia" w:ascii="宋体" w:hAnsi="宋体" w:eastAsia="宋体" w:cs="宋体"/>
          <w:snapToGrid w:val="0"/>
          <w:color w:val="auto"/>
          <w:sz w:val="21"/>
          <w:szCs w:val="21"/>
          <w:highlight w:val="none"/>
        </w:rPr>
        <w:t>在收到支付申请的7天内进行核实后向承包人发出预付款支付证书，并在签发支付证书后的</w:t>
      </w:r>
      <w:r>
        <w:rPr>
          <w:rFonts w:hint="eastAsia" w:ascii="宋体" w:hAnsi="宋体" w:eastAsia="宋体" w:cs="宋体"/>
          <w:snapToGrid w:val="0"/>
          <w:color w:val="auto"/>
          <w:sz w:val="21"/>
          <w:szCs w:val="21"/>
          <w:highlight w:val="none"/>
          <w:lang w:val="en-US" w:eastAsia="zh-CN"/>
        </w:rPr>
        <w:t>10</w:t>
      </w:r>
      <w:r>
        <w:rPr>
          <w:rFonts w:hint="eastAsia" w:ascii="宋体" w:hAnsi="宋体" w:eastAsia="宋体" w:cs="宋体"/>
          <w:snapToGrid w:val="0"/>
          <w:color w:val="auto"/>
          <w:sz w:val="21"/>
          <w:szCs w:val="21"/>
          <w:highlight w:val="none"/>
        </w:rPr>
        <w:t>天内向承包人支付预付款。凡未签订合同或不具备施工条件的工程，发包人不预付工程款。</w:t>
      </w:r>
    </w:p>
    <w:p w14:paraId="53D1662B">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3.2.3</w:t>
      </w:r>
      <w:r>
        <w:rPr>
          <w:rFonts w:hint="eastAsia" w:ascii="宋体" w:hAnsi="宋体" w:eastAsia="宋体" w:cs="宋体"/>
          <w:snapToGrid w:val="0"/>
          <w:color w:val="auto"/>
          <w:kern w:val="0"/>
          <w:sz w:val="21"/>
          <w:szCs w:val="21"/>
          <w:highlight w:val="none"/>
        </w:rPr>
        <w:t xml:space="preserve"> 发包人没有按时支付预付款的，承包人可催告发包人支付，发包人承担违约责任。</w:t>
      </w:r>
    </w:p>
    <w:p w14:paraId="76249FFE">
      <w:pPr>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3.2.4</w:t>
      </w:r>
      <w:r>
        <w:rPr>
          <w:rFonts w:hint="eastAsia" w:ascii="宋体" w:hAnsi="宋体" w:eastAsia="宋体" w:cs="宋体"/>
          <w:b/>
          <w:bCs/>
          <w:snapToGrid w:val="0"/>
          <w:color w:val="auto"/>
          <w:kern w:val="0"/>
          <w:sz w:val="21"/>
          <w:szCs w:val="21"/>
          <w:highlight w:val="none"/>
          <w:lang w:val="en-US" w:eastAsia="zh-CN"/>
        </w:rPr>
        <w:t xml:space="preserve"> </w:t>
      </w:r>
      <w:r>
        <w:rPr>
          <w:rFonts w:hint="eastAsia" w:ascii="宋体" w:hAnsi="宋体" w:eastAsia="宋体" w:cs="宋体"/>
          <w:strike w:val="0"/>
          <w:dstrike w:val="0"/>
          <w:snapToGrid w:val="0"/>
          <w:color w:val="auto"/>
          <w:kern w:val="0"/>
          <w:sz w:val="21"/>
          <w:szCs w:val="21"/>
          <w:highlight w:val="none"/>
        </w:rPr>
        <w:t>预付款应从每支付期应支付给承包人的工程进度款中扣回，每次扣回比例为应付进度款的30%。在工程款支付至80%时全部扣回预付款</w:t>
      </w:r>
      <w:r>
        <w:rPr>
          <w:rFonts w:hint="eastAsia" w:ascii="宋体" w:hAnsi="宋体" w:eastAsia="宋体" w:cs="宋体"/>
          <w:strike w:val="0"/>
          <w:snapToGrid w:val="0"/>
          <w:color w:val="auto"/>
          <w:kern w:val="0"/>
          <w:sz w:val="21"/>
          <w:szCs w:val="21"/>
          <w:highlight w:val="none"/>
        </w:rPr>
        <w:t>。</w:t>
      </w:r>
    </w:p>
    <w:p w14:paraId="190E75DE">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施工过程中按月支付工程进度款：</w:t>
      </w:r>
      <w:r>
        <w:rPr>
          <w:rFonts w:hint="eastAsia" w:ascii="宋体" w:hAnsi="宋体" w:eastAsia="宋体" w:cs="宋体"/>
          <w:snapToGrid w:val="0"/>
          <w:color w:val="auto"/>
          <w:kern w:val="0"/>
          <w:sz w:val="21"/>
          <w:szCs w:val="21"/>
          <w:highlight w:val="none"/>
          <w:lang w:val="en-US" w:eastAsia="zh-CN"/>
        </w:rPr>
        <w:t>当累计完成工程量达到合同工程量</w:t>
      </w:r>
      <w:r>
        <w:rPr>
          <w:rFonts w:hint="eastAsia" w:ascii="宋体" w:hAnsi="宋体" w:eastAsia="宋体" w:cs="宋体"/>
          <w:snapToGrid w:val="0"/>
          <w:color w:val="auto"/>
          <w:kern w:val="0"/>
          <w:sz w:val="21"/>
          <w:szCs w:val="21"/>
          <w:highlight w:val="none"/>
          <w:u w:val="single"/>
          <w:lang w:val="en-US" w:eastAsia="zh-CN"/>
        </w:rPr>
        <w:t>30%以上</w:t>
      </w:r>
      <w:r>
        <w:rPr>
          <w:rFonts w:hint="eastAsia" w:ascii="宋体" w:hAnsi="宋体" w:eastAsia="宋体" w:cs="宋体"/>
          <w:snapToGrid w:val="0"/>
          <w:color w:val="auto"/>
          <w:kern w:val="0"/>
          <w:sz w:val="21"/>
          <w:szCs w:val="21"/>
          <w:highlight w:val="none"/>
          <w:lang w:val="en-US" w:eastAsia="zh-CN"/>
        </w:rPr>
        <w:t>时，</w:t>
      </w:r>
      <w:r>
        <w:rPr>
          <w:rFonts w:hint="eastAsia" w:ascii="宋体" w:hAnsi="宋体" w:eastAsia="宋体" w:cs="宋体"/>
          <w:snapToGrid w:val="0"/>
          <w:color w:val="auto"/>
          <w:kern w:val="0"/>
          <w:sz w:val="21"/>
          <w:szCs w:val="21"/>
          <w:highlight w:val="none"/>
        </w:rPr>
        <w:t>承包人每月按工程实际完成工程量（含变更及增加工程）申报，承包人必须将《已完成工程量报表》和《工程付款申请书》于当月26日前报监理单位核</w:t>
      </w:r>
      <w:bookmarkStart w:id="183" w:name="_Hlt127094354"/>
      <w:bookmarkEnd w:id="183"/>
      <w:r>
        <w:rPr>
          <w:rFonts w:hint="eastAsia" w:ascii="宋体" w:hAnsi="宋体" w:eastAsia="宋体" w:cs="宋体"/>
          <w:snapToGrid w:val="0"/>
          <w:color w:val="auto"/>
          <w:kern w:val="0"/>
          <w:sz w:val="21"/>
          <w:szCs w:val="21"/>
          <w:highlight w:val="none"/>
        </w:rPr>
        <w:t>实。经监理单位审核、发包人审定后的工程进度款（指已经按照合同约定，扣除该支付期内因承包人违约而应扣除的管理费），于申报次月支付。</w:t>
      </w:r>
    </w:p>
    <w:p w14:paraId="207E1C7F">
      <w:pPr>
        <w:wordWrap w:val="0"/>
        <w:adjustRightInd w:val="0"/>
        <w:snapToGrid w:val="0"/>
        <w:spacing w:line="360" w:lineRule="auto"/>
        <w:ind w:firstLine="422" w:firstLineChars="200"/>
        <w:rPr>
          <w:rFonts w:hint="eastAsia" w:ascii="Times New Roman" w:hAnsi="Times New Roman" w:eastAsia="宋体" w:cs="Times New Roman"/>
          <w:color w:val="auto"/>
          <w:sz w:val="21"/>
          <w:szCs w:val="21"/>
          <w:highlight w:val="none"/>
          <w:lang w:eastAsia="zh-CN"/>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当累计完成工程量达到合同工程量</w:t>
      </w:r>
      <w:r>
        <w:rPr>
          <w:rFonts w:hint="eastAsia" w:ascii="宋体" w:hAnsi="宋体" w:eastAsia="宋体" w:cs="宋体"/>
          <w:snapToGrid w:val="0"/>
          <w:color w:val="auto"/>
          <w:kern w:val="0"/>
          <w:sz w:val="21"/>
          <w:szCs w:val="21"/>
          <w:highlight w:val="none"/>
          <w:u w:val="single"/>
          <w:lang w:val="en-US" w:eastAsia="zh-CN"/>
        </w:rPr>
        <w:t>30%以上</w:t>
      </w:r>
      <w:r>
        <w:rPr>
          <w:rFonts w:hint="eastAsia" w:ascii="宋体" w:hAnsi="宋体" w:eastAsia="宋体" w:cs="宋体"/>
          <w:snapToGrid w:val="0"/>
          <w:color w:val="auto"/>
          <w:kern w:val="0"/>
          <w:sz w:val="21"/>
          <w:szCs w:val="21"/>
          <w:highlight w:val="none"/>
          <w:lang w:val="en-US" w:eastAsia="zh-CN"/>
        </w:rPr>
        <w:t>时，</w:t>
      </w:r>
      <w:r>
        <w:rPr>
          <w:rFonts w:hint="eastAsia" w:ascii="宋体" w:hAnsi="宋体" w:eastAsia="宋体" w:cs="宋体"/>
          <w:snapToGrid w:val="0"/>
          <w:color w:val="auto"/>
          <w:kern w:val="0"/>
          <w:sz w:val="21"/>
          <w:szCs w:val="21"/>
          <w:highlight w:val="none"/>
        </w:rPr>
        <w:t>每月的工程进度款暂按工程实际完成工程量的</w:t>
      </w:r>
      <w:r>
        <w:rPr>
          <w:rFonts w:hint="eastAsia" w:ascii="宋体" w:hAnsi="宋体" w:eastAsia="宋体" w:cs="宋体"/>
          <w:snapToGrid w:val="0"/>
          <w:color w:val="auto"/>
          <w:kern w:val="0"/>
          <w:sz w:val="21"/>
          <w:szCs w:val="21"/>
          <w:highlight w:val="none"/>
          <w:u w:val="single"/>
        </w:rPr>
        <w:t xml:space="preserve"> 80% </w:t>
      </w:r>
      <w:r>
        <w:rPr>
          <w:rFonts w:hint="eastAsia" w:ascii="宋体" w:hAnsi="宋体" w:eastAsia="宋体" w:cs="宋体"/>
          <w:snapToGrid w:val="0"/>
          <w:color w:val="auto"/>
          <w:kern w:val="0"/>
          <w:sz w:val="21"/>
          <w:szCs w:val="21"/>
          <w:highlight w:val="none"/>
        </w:rPr>
        <w:t>支付</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工程进度款中</w:t>
      </w:r>
      <w:r>
        <w:rPr>
          <w:rFonts w:hint="eastAsia" w:ascii="宋体" w:hAnsi="宋体" w:eastAsia="宋体" w:cs="宋体"/>
          <w:snapToGrid w:val="0"/>
          <w:color w:val="auto"/>
          <w:kern w:val="0"/>
          <w:sz w:val="21"/>
          <w:szCs w:val="21"/>
          <w:highlight w:val="none"/>
          <w:lang w:val="en-US" w:eastAsia="zh-CN"/>
        </w:rPr>
        <w:t>按</w:t>
      </w:r>
      <w:r>
        <w:rPr>
          <w:rFonts w:hint="eastAsia" w:ascii="Times New Roman" w:hAnsi="Times New Roman" w:eastAsia="宋体" w:cs="Times New Roman"/>
          <w:color w:val="auto"/>
          <w:sz w:val="21"/>
          <w:szCs w:val="21"/>
          <w:highlight w:val="none"/>
        </w:rPr>
        <w:t>应付工程款</w:t>
      </w:r>
      <w:r>
        <w:rPr>
          <w:rFonts w:hint="eastAsia" w:ascii="Times New Roman" w:hAnsi="Times New Roman" w:eastAsia="宋体" w:cs="Times New Roman"/>
          <w:color w:val="auto"/>
          <w:sz w:val="21"/>
          <w:szCs w:val="21"/>
          <w:highlight w:val="none"/>
          <w:lang w:eastAsia="zh-CN"/>
        </w:rPr>
        <w:t>的</w:t>
      </w:r>
      <w:r>
        <w:rPr>
          <w:rFonts w:hint="eastAsia" w:ascii="Times New Roman" w:hAnsi="Times New Roman" w:eastAsia="宋体" w:cs="Times New Roman"/>
          <w:color w:val="auto"/>
          <w:sz w:val="21"/>
          <w:szCs w:val="21"/>
          <w:highlight w:val="none"/>
          <w:u w:val="single"/>
          <w:lang w:eastAsia="zh-CN"/>
        </w:rPr>
        <w:t>2</w:t>
      </w:r>
      <w:r>
        <w:rPr>
          <w:rFonts w:hint="eastAsia" w:ascii="Times New Roman" w:hAnsi="Times New Roman" w:eastAsia="宋体" w:cs="Times New Roman"/>
          <w:color w:val="auto"/>
          <w:sz w:val="21"/>
          <w:szCs w:val="21"/>
          <w:highlight w:val="none"/>
          <w:u w:val="single"/>
          <w:lang w:val="en-US" w:eastAsia="zh-CN"/>
        </w:rPr>
        <w:t>0</w:t>
      </w:r>
      <w:r>
        <w:rPr>
          <w:rFonts w:hint="eastAsia" w:ascii="Times New Roman" w:hAnsi="Times New Roman" w:eastAsia="宋体" w:cs="Times New Roman"/>
          <w:color w:val="auto"/>
          <w:sz w:val="21"/>
          <w:szCs w:val="21"/>
          <w:highlight w:val="none"/>
          <w:u w:val="single"/>
          <w:lang w:eastAsia="zh-CN"/>
        </w:rPr>
        <w:t>%</w:t>
      </w:r>
      <w:r>
        <w:rPr>
          <w:rFonts w:hint="eastAsia" w:ascii="宋体" w:hAnsi="宋体" w:eastAsia="宋体" w:cs="宋体"/>
          <w:snapToGrid w:val="0"/>
          <w:color w:val="auto"/>
          <w:kern w:val="0"/>
          <w:sz w:val="21"/>
          <w:szCs w:val="21"/>
          <w:highlight w:val="none"/>
        </w:rPr>
        <w:t>作为</w:t>
      </w:r>
      <w:r>
        <w:rPr>
          <w:rFonts w:hint="eastAsia" w:ascii="宋体" w:hAnsi="宋体" w:eastAsia="宋体" w:cs="宋体"/>
          <w:snapToGrid w:val="0"/>
          <w:color w:val="auto"/>
          <w:kern w:val="0"/>
          <w:sz w:val="21"/>
          <w:szCs w:val="21"/>
          <w:highlight w:val="none"/>
          <w:lang w:val="en-US" w:eastAsia="zh-CN"/>
        </w:rPr>
        <w:t>人工费</w:t>
      </w:r>
      <w:r>
        <w:rPr>
          <w:rFonts w:hint="eastAsia" w:ascii="宋体" w:hAnsi="宋体" w:eastAsia="宋体" w:cs="宋体"/>
          <w:snapToGrid w:val="0"/>
          <w:color w:val="auto"/>
          <w:kern w:val="0"/>
          <w:sz w:val="21"/>
          <w:szCs w:val="21"/>
          <w:highlight w:val="none"/>
        </w:rPr>
        <w:t>专项</w:t>
      </w:r>
      <w:r>
        <w:rPr>
          <w:rFonts w:hint="eastAsia" w:ascii="Times New Roman" w:hAnsi="Times New Roman" w:eastAsia="宋体" w:cs="Times New Roman"/>
          <w:color w:val="auto"/>
          <w:sz w:val="21"/>
          <w:szCs w:val="21"/>
          <w:highlight w:val="none"/>
          <w:lang w:eastAsia="zh-CN"/>
        </w:rPr>
        <w:t>（不得乘以合同工程款支付比例），由发包人单独足额拨付到承包人的</w:t>
      </w:r>
      <w:r>
        <w:rPr>
          <w:rFonts w:hint="eastAsia" w:ascii="宋体" w:hAnsi="宋体" w:eastAsia="宋体" w:cs="宋体"/>
          <w:snapToGrid w:val="0"/>
          <w:color w:val="auto"/>
          <w:kern w:val="0"/>
          <w:sz w:val="21"/>
          <w:szCs w:val="21"/>
          <w:highlight w:val="none"/>
        </w:rPr>
        <w:t>农民工工资专用账户</w:t>
      </w:r>
      <w:r>
        <w:rPr>
          <w:rFonts w:hint="eastAsia" w:ascii="Times New Roman" w:hAnsi="Times New Roman" w:eastAsia="宋体" w:cs="Times New Roman"/>
          <w:color w:val="auto"/>
          <w:sz w:val="21"/>
          <w:szCs w:val="21"/>
          <w:highlight w:val="none"/>
          <w:lang w:eastAsia="zh-CN"/>
        </w:rPr>
        <w:t>。</w:t>
      </w:r>
    </w:p>
    <w:p w14:paraId="032941FA">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发包人应在工程开工后28天内预付不低于安全生产措施费总额的50%给承包人，其余部分按照提前安排的原则进行分解，并与工程进度款同期支付；</w:t>
      </w:r>
      <w:r>
        <w:rPr>
          <w:rFonts w:hint="eastAsia" w:ascii="宋体" w:hAnsi="宋体" w:eastAsia="宋体" w:cs="宋体"/>
          <w:i w:val="0"/>
          <w:iCs w:val="0"/>
          <w:caps w:val="0"/>
          <w:color w:val="auto"/>
          <w:spacing w:val="0"/>
          <w:sz w:val="21"/>
          <w:szCs w:val="21"/>
          <w:highlight w:val="none"/>
          <w:shd w:val="clear"/>
          <w:lang w:eastAsia="zh-CN"/>
        </w:rPr>
        <w:t>其他措施项目费按当期实际完成情况，与工程进度款同期支付。</w:t>
      </w:r>
    </w:p>
    <w:p w14:paraId="78CE674D">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3.6</w:t>
      </w:r>
      <w:r>
        <w:rPr>
          <w:rFonts w:hint="eastAsia" w:ascii="宋体" w:hAnsi="宋体" w:eastAsia="宋体" w:cs="宋体"/>
          <w:snapToGrid w:val="0"/>
          <w:color w:val="auto"/>
          <w:kern w:val="0"/>
          <w:sz w:val="21"/>
          <w:szCs w:val="21"/>
          <w:highlight w:val="none"/>
        </w:rPr>
        <w:t xml:space="preserve"> 变更工程造价必须经监理单位核实，并经发包人核定后方可支付。</w:t>
      </w:r>
    </w:p>
    <w:p w14:paraId="20B31969">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3.7</w:t>
      </w:r>
      <w:r>
        <w:rPr>
          <w:rFonts w:hint="eastAsia" w:ascii="宋体" w:hAnsi="宋体" w:eastAsia="宋体" w:cs="宋体"/>
          <w:snapToGrid w:val="0"/>
          <w:color w:val="auto"/>
          <w:kern w:val="0"/>
          <w:sz w:val="21"/>
          <w:szCs w:val="21"/>
          <w:highlight w:val="none"/>
        </w:rPr>
        <w:t xml:space="preserve"> 结算审核完成后，于次月支付至审定总造价的97%</w:t>
      </w:r>
      <w:r>
        <w:rPr>
          <w:rFonts w:hint="eastAsia" w:ascii="宋体" w:hAnsi="宋体" w:eastAsia="宋体" w:cs="宋体"/>
          <w:snapToGrid w:val="0"/>
          <w:color w:val="auto"/>
          <w:kern w:val="0"/>
          <w:sz w:val="21"/>
          <w:szCs w:val="21"/>
          <w:highlight w:val="none"/>
          <w:u w:val="none"/>
          <w:lang w:eastAsia="zh-CN"/>
        </w:rPr>
        <w:t>（</w:t>
      </w:r>
      <w:r>
        <w:rPr>
          <w:rFonts w:hint="eastAsia" w:ascii="宋体" w:hAnsi="宋体" w:eastAsia="宋体" w:cs="宋体"/>
          <w:bCs/>
          <w:color w:val="auto"/>
          <w:sz w:val="21"/>
          <w:szCs w:val="21"/>
          <w:highlight w:val="none"/>
          <w:u w:val="none"/>
        </w:rPr>
        <w:t>承包人</w:t>
      </w:r>
      <w:r>
        <w:rPr>
          <w:rFonts w:hint="eastAsia" w:ascii="宋体" w:hAnsi="宋体" w:eastAsia="宋体" w:cs="宋体"/>
          <w:bCs/>
          <w:color w:val="auto"/>
          <w:sz w:val="21"/>
          <w:szCs w:val="21"/>
          <w:highlight w:val="none"/>
          <w:u w:val="none"/>
          <w:lang w:val="en-US" w:eastAsia="zh-CN"/>
        </w:rPr>
        <w:t>按结算审核价</w:t>
      </w:r>
      <w:r>
        <w:rPr>
          <w:rFonts w:hint="eastAsia" w:ascii="宋体" w:hAnsi="宋体" w:eastAsia="宋体" w:cs="宋体"/>
          <w:bCs/>
          <w:color w:val="auto"/>
          <w:sz w:val="21"/>
          <w:szCs w:val="21"/>
          <w:highlight w:val="none"/>
          <w:u w:val="none"/>
        </w:rPr>
        <w:t>提供</w:t>
      </w:r>
      <w:r>
        <w:rPr>
          <w:rFonts w:hint="eastAsia" w:ascii="宋体" w:hAnsi="宋体" w:eastAsia="宋体" w:cs="宋体"/>
          <w:bCs/>
          <w:color w:val="auto"/>
          <w:sz w:val="21"/>
          <w:szCs w:val="21"/>
          <w:highlight w:val="none"/>
          <w:u w:val="none"/>
          <w:lang w:val="en-US" w:eastAsia="zh-CN"/>
        </w:rPr>
        <w:t>100%</w:t>
      </w:r>
      <w:r>
        <w:rPr>
          <w:rFonts w:hint="eastAsia" w:ascii="宋体" w:hAnsi="宋体" w:eastAsia="宋体" w:cs="宋体"/>
          <w:bCs/>
          <w:color w:val="auto"/>
          <w:sz w:val="21"/>
          <w:szCs w:val="21"/>
          <w:highlight w:val="none"/>
          <w:u w:val="none"/>
        </w:rPr>
        <w:t>发票</w:t>
      </w:r>
      <w:r>
        <w:rPr>
          <w:rFonts w:hint="eastAsia" w:ascii="宋体" w:hAnsi="宋体" w:eastAsia="宋体" w:cs="宋体"/>
          <w:snapToGrid w:val="0"/>
          <w:color w:val="auto"/>
          <w:kern w:val="0"/>
          <w:sz w:val="21"/>
          <w:szCs w:val="21"/>
          <w:highlight w:val="none"/>
          <w:u w:val="none"/>
          <w:lang w:eastAsia="zh-CN"/>
        </w:rPr>
        <w:t>）</w:t>
      </w:r>
      <w:r>
        <w:rPr>
          <w:rFonts w:hint="eastAsia" w:ascii="宋体" w:hAnsi="宋体" w:eastAsia="宋体" w:cs="宋体"/>
          <w:snapToGrid w:val="0"/>
          <w:color w:val="auto"/>
          <w:kern w:val="0"/>
          <w:sz w:val="21"/>
          <w:szCs w:val="21"/>
          <w:highlight w:val="none"/>
        </w:rPr>
        <w:t>，剩余3%转为质量保证金；承包人提交了等额质量保证担保或质量保证保险的，于次月一次性结清审定总造价。</w:t>
      </w:r>
    </w:p>
    <w:p w14:paraId="6B0783D2">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3.8</w:t>
      </w:r>
      <w:r>
        <w:rPr>
          <w:rFonts w:hint="eastAsia" w:ascii="宋体" w:hAnsi="宋体" w:eastAsia="宋体" w:cs="宋体"/>
          <w:snapToGrid w:val="0"/>
          <w:color w:val="auto"/>
          <w:kern w:val="0"/>
          <w:sz w:val="21"/>
          <w:szCs w:val="21"/>
          <w:highlight w:val="none"/>
        </w:rPr>
        <w:t xml:space="preserve"> 本项目缺陷责任期为</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年（自通过竣工验收之日起计）。缺陷责任期到期后，承包人向发包人申请退还质量保证金。发包人收到退还申请后，于14天内会同承包人进行核实。经双方核实且均无异议后，发包人在核实之日起14天内将应返保证金（或质量保证担保或质量保证保险）退还承包人。</w:t>
      </w:r>
    </w:p>
    <w:p w14:paraId="2F03F873">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3.9</w:t>
      </w:r>
      <w:r>
        <w:rPr>
          <w:rFonts w:hint="eastAsia" w:ascii="宋体" w:hAnsi="宋体" w:eastAsia="宋体" w:cs="宋体"/>
          <w:snapToGrid w:val="0"/>
          <w:color w:val="auto"/>
          <w:kern w:val="0"/>
          <w:sz w:val="21"/>
          <w:szCs w:val="21"/>
          <w:highlight w:val="none"/>
        </w:rPr>
        <w:t xml:space="preserve"> 发包人每次支付工程款前，承包人均应提供符合发包人要求的</w:t>
      </w:r>
      <w:r>
        <w:rPr>
          <w:rFonts w:hint="eastAsia" w:ascii="宋体" w:hAnsi="宋体" w:eastAsia="宋体" w:cs="宋体"/>
          <w:snapToGrid w:val="0"/>
          <w:color w:val="auto"/>
          <w:kern w:val="0"/>
          <w:sz w:val="21"/>
          <w:szCs w:val="21"/>
          <w:highlight w:val="none"/>
          <w:lang w:val="en-US" w:eastAsia="zh-CN"/>
        </w:rPr>
        <w:t>等额</w:t>
      </w:r>
      <w:r>
        <w:rPr>
          <w:rFonts w:hint="eastAsia" w:ascii="宋体" w:hAnsi="宋体" w:eastAsia="宋体" w:cs="宋体"/>
          <w:snapToGrid w:val="0"/>
          <w:color w:val="auto"/>
          <w:kern w:val="0"/>
          <w:sz w:val="21"/>
          <w:szCs w:val="21"/>
          <w:highlight w:val="none"/>
        </w:rPr>
        <w:t>增值税专用发票。如果承包人无法提供符合</w:t>
      </w:r>
      <w:r>
        <w:rPr>
          <w:rFonts w:hint="eastAsia" w:ascii="宋体" w:hAnsi="宋体" w:eastAsia="宋体" w:cs="宋体"/>
          <w:snapToGrid w:val="0"/>
          <w:color w:val="auto"/>
          <w:kern w:val="0"/>
          <w:sz w:val="21"/>
          <w:szCs w:val="21"/>
          <w:highlight w:val="none"/>
          <w:lang w:val="en-US" w:eastAsia="zh-CN"/>
        </w:rPr>
        <w:t>发包人</w:t>
      </w:r>
      <w:r>
        <w:rPr>
          <w:rFonts w:hint="eastAsia" w:ascii="宋体" w:hAnsi="宋体" w:eastAsia="宋体" w:cs="宋体"/>
          <w:snapToGrid w:val="0"/>
          <w:color w:val="auto"/>
          <w:kern w:val="0"/>
          <w:sz w:val="21"/>
          <w:szCs w:val="21"/>
          <w:highlight w:val="none"/>
        </w:rPr>
        <w:t>要求的发票，由此造成的相应损失由承包人承担。</w:t>
      </w:r>
    </w:p>
    <w:p w14:paraId="4C620351">
      <w:pPr>
        <w:wordWrap w:val="0"/>
        <w:adjustRightInd w:val="0"/>
        <w:snapToGrid w:val="0"/>
        <w:spacing w:line="360" w:lineRule="auto"/>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3.10</w:t>
      </w:r>
      <w:r>
        <w:rPr>
          <w:rFonts w:hint="eastAsia" w:ascii="宋体" w:hAnsi="宋体" w:eastAsia="宋体" w:cs="宋体"/>
          <w:snapToGrid w:val="0"/>
          <w:color w:val="auto"/>
          <w:kern w:val="0"/>
          <w:sz w:val="21"/>
          <w:szCs w:val="21"/>
          <w:highlight w:val="none"/>
        </w:rPr>
        <w:t xml:space="preserve"> 暂列金额支付方式：</w:t>
      </w:r>
      <w:r>
        <w:rPr>
          <w:rFonts w:hint="eastAsia" w:ascii="宋体" w:hAnsi="宋体" w:eastAsia="宋体" w:cs="宋体"/>
          <w:snapToGrid w:val="0"/>
          <w:color w:val="auto"/>
          <w:kern w:val="0"/>
          <w:sz w:val="21"/>
          <w:szCs w:val="21"/>
          <w:highlight w:val="none"/>
          <w:u w:val="single"/>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80％，其余部分待结算完成审核后支付至97%</w:t>
      </w:r>
      <w:r>
        <w:rPr>
          <w:rFonts w:hint="eastAsia" w:ascii="宋体" w:hAnsi="宋体" w:eastAsia="宋体" w:cs="宋体"/>
          <w:snapToGrid w:val="0"/>
          <w:color w:val="auto"/>
          <w:kern w:val="0"/>
          <w:sz w:val="21"/>
          <w:szCs w:val="21"/>
          <w:highlight w:val="none"/>
          <w:u w:val="single"/>
          <w:lang w:eastAsia="zh-CN"/>
        </w:rPr>
        <w:t>（</w:t>
      </w:r>
      <w:r>
        <w:rPr>
          <w:rFonts w:hint="eastAsia" w:ascii="宋体" w:hAnsi="宋体" w:eastAsia="宋体" w:cs="宋体"/>
          <w:bCs/>
          <w:color w:val="auto"/>
          <w:sz w:val="21"/>
          <w:szCs w:val="21"/>
          <w:highlight w:val="none"/>
          <w:u w:val="single"/>
        </w:rPr>
        <w:t>承包人</w:t>
      </w:r>
      <w:r>
        <w:rPr>
          <w:rFonts w:hint="eastAsia" w:ascii="宋体" w:hAnsi="宋体" w:eastAsia="宋体" w:cs="宋体"/>
          <w:bCs/>
          <w:color w:val="auto"/>
          <w:sz w:val="21"/>
          <w:szCs w:val="21"/>
          <w:highlight w:val="none"/>
          <w:u w:val="single"/>
          <w:lang w:val="en-US" w:eastAsia="zh-CN"/>
        </w:rPr>
        <w:t>按结算审核价</w:t>
      </w:r>
      <w:r>
        <w:rPr>
          <w:rFonts w:hint="eastAsia" w:ascii="宋体" w:hAnsi="宋体" w:eastAsia="宋体" w:cs="宋体"/>
          <w:bCs/>
          <w:color w:val="auto"/>
          <w:sz w:val="21"/>
          <w:szCs w:val="21"/>
          <w:highlight w:val="none"/>
          <w:u w:val="single"/>
        </w:rPr>
        <w:t>提供</w:t>
      </w:r>
      <w:r>
        <w:rPr>
          <w:rFonts w:hint="eastAsia" w:ascii="宋体" w:hAnsi="宋体" w:eastAsia="宋体" w:cs="宋体"/>
          <w:bCs/>
          <w:color w:val="auto"/>
          <w:sz w:val="21"/>
          <w:szCs w:val="21"/>
          <w:highlight w:val="none"/>
          <w:u w:val="single"/>
          <w:lang w:val="en-US" w:eastAsia="zh-CN"/>
        </w:rPr>
        <w:t>100%</w:t>
      </w:r>
      <w:r>
        <w:rPr>
          <w:rFonts w:hint="eastAsia" w:ascii="宋体" w:hAnsi="宋体" w:eastAsia="宋体" w:cs="宋体"/>
          <w:bCs/>
          <w:color w:val="auto"/>
          <w:sz w:val="21"/>
          <w:szCs w:val="21"/>
          <w:highlight w:val="none"/>
          <w:u w:val="single"/>
        </w:rPr>
        <w:t>发票</w:t>
      </w:r>
      <w:r>
        <w:rPr>
          <w:rFonts w:hint="eastAsia" w:ascii="宋体" w:hAnsi="宋体" w:eastAsia="宋体" w:cs="宋体"/>
          <w:snapToGrid w:val="0"/>
          <w:color w:val="auto"/>
          <w:kern w:val="0"/>
          <w:sz w:val="21"/>
          <w:szCs w:val="21"/>
          <w:highlight w:val="none"/>
          <w:u w:val="single"/>
          <w:lang w:eastAsia="zh-CN"/>
        </w:rPr>
        <w:t>）</w:t>
      </w:r>
      <w:r>
        <w:rPr>
          <w:rFonts w:hint="eastAsia" w:ascii="宋体" w:hAnsi="宋体" w:eastAsia="宋体" w:cs="宋体"/>
          <w:snapToGrid w:val="0"/>
          <w:color w:val="auto"/>
          <w:kern w:val="0"/>
          <w:sz w:val="21"/>
          <w:szCs w:val="21"/>
          <w:highlight w:val="none"/>
          <w:u w:val="single"/>
        </w:rPr>
        <w:t>，剩余3%为工程质量保修金</w:t>
      </w:r>
      <w:r>
        <w:rPr>
          <w:rFonts w:hint="eastAsia" w:ascii="宋体" w:hAnsi="宋体" w:eastAsia="宋体" w:cs="宋体"/>
          <w:snapToGrid w:val="0"/>
          <w:color w:val="auto"/>
          <w:kern w:val="0"/>
          <w:sz w:val="21"/>
          <w:szCs w:val="21"/>
          <w:highlight w:val="none"/>
        </w:rPr>
        <w:t>。</w:t>
      </w:r>
    </w:p>
    <w:p w14:paraId="7ACA706C">
      <w:pPr>
        <w:wordWrap w:val="0"/>
        <w:adjustRightInd w:val="0"/>
        <w:snapToGrid w:val="0"/>
        <w:spacing w:line="360" w:lineRule="auto"/>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b/>
          <w:bCs/>
          <w:snapToGrid w:val="0"/>
          <w:color w:val="auto"/>
          <w:kern w:val="0"/>
          <w:sz w:val="21"/>
          <w:szCs w:val="21"/>
          <w:highlight w:val="none"/>
          <w:lang w:val="en-US" w:eastAsia="zh-CN"/>
        </w:rPr>
        <w:t>1</w:t>
      </w:r>
      <w:r>
        <w:rPr>
          <w:rFonts w:hint="eastAsia" w:ascii="宋体" w:hAnsi="宋体" w:eastAsia="宋体" w:cs="宋体"/>
          <w:bCs/>
          <w:color w:val="auto"/>
          <w:sz w:val="21"/>
          <w:szCs w:val="21"/>
          <w:highlight w:val="none"/>
        </w:rPr>
        <w:t>发包人根据</w:t>
      </w:r>
      <w:r>
        <w:rPr>
          <w:rFonts w:hint="eastAsia" w:ascii="宋体" w:hAnsi="宋体" w:eastAsia="宋体" w:cs="宋体"/>
          <w:color w:val="auto"/>
          <w:sz w:val="21"/>
          <w:szCs w:val="21"/>
          <w:highlight w:val="none"/>
          <w:shd w:val="clear" w:color="auto" w:fill="FFFFFF"/>
        </w:rPr>
        <w:t>本</w:t>
      </w:r>
      <w:r>
        <w:rPr>
          <w:rFonts w:hint="eastAsia" w:ascii="宋体" w:hAnsi="宋体" w:eastAsia="宋体" w:cs="宋体"/>
          <w:color w:val="auto"/>
          <w:sz w:val="21"/>
          <w:szCs w:val="21"/>
          <w:highlight w:val="none"/>
          <w:shd w:val="clear" w:color="auto" w:fill="FFFFFF"/>
          <w:lang w:eastAsia="zh-CN"/>
        </w:rPr>
        <w:t>工程</w:t>
      </w:r>
      <w:r>
        <w:rPr>
          <w:rFonts w:hint="eastAsia" w:ascii="宋体" w:hAnsi="宋体" w:eastAsia="宋体" w:cs="宋体"/>
          <w:bCs/>
          <w:color w:val="auto"/>
          <w:sz w:val="21"/>
          <w:szCs w:val="21"/>
          <w:highlight w:val="none"/>
        </w:rPr>
        <w:t>资金情况，经双方协商可调整工程进度款支付比例。</w:t>
      </w:r>
    </w:p>
    <w:p w14:paraId="210FAD51">
      <w:pPr>
        <w:bidi w:val="0"/>
        <w:spacing w:line="360" w:lineRule="auto"/>
        <w:ind w:firstLine="420" w:firstLineChars="200"/>
        <w:outlineLvl w:val="9"/>
        <w:rPr>
          <w:b/>
          <w:bCs/>
          <w:color w:val="auto"/>
          <w:sz w:val="21"/>
          <w:szCs w:val="21"/>
          <w:highlight w:val="none"/>
        </w:rPr>
      </w:pPr>
      <w:bookmarkStart w:id="184" w:name="_Toc22589"/>
      <w:bookmarkStart w:id="185" w:name="_Toc28117"/>
      <w:bookmarkStart w:id="186" w:name="_Toc1404"/>
      <w:r>
        <w:rPr>
          <w:rFonts w:hint="eastAsia"/>
          <w:b/>
          <w:bCs/>
          <w:color w:val="auto"/>
          <w:sz w:val="21"/>
          <w:szCs w:val="21"/>
          <w:highlight w:val="none"/>
          <w:lang w:val="en-US" w:eastAsia="zh-CN"/>
        </w:rPr>
        <w:t>4.其他专用合同条款：</w:t>
      </w:r>
      <w:r>
        <w:rPr>
          <w:rFonts w:hint="eastAsia"/>
          <w:b/>
          <w:bCs/>
          <w:color w:val="auto"/>
          <w:sz w:val="21"/>
          <w:szCs w:val="21"/>
          <w:highlight w:val="none"/>
          <w:u w:val="single"/>
          <w:lang w:val="en-US" w:eastAsia="zh-CN"/>
        </w:rPr>
        <w:t>由发包人根据本工程实际情况和地方政策与承包人自行协商签订相关专用合同条款。</w:t>
      </w:r>
    </w:p>
    <w:p w14:paraId="0666DE1D">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4.1</w:t>
      </w:r>
      <w:r>
        <w:rPr>
          <w:rFonts w:hint="eastAsia" w:ascii="Times New Roman"/>
          <w:b/>
          <w:strike w:val="0"/>
          <w:dstrike w:val="0"/>
          <w:snapToGrid w:val="0"/>
          <w:color w:val="auto"/>
          <w:sz w:val="21"/>
          <w:szCs w:val="21"/>
          <w:highlight w:val="none"/>
        </w:rPr>
        <w:t>专业工程分包</w:t>
      </w:r>
    </w:p>
    <w:p w14:paraId="3CE5C032">
      <w:pPr>
        <w:wordWrap w:val="0"/>
        <w:adjustRightInd w:val="0"/>
        <w:snapToGrid w:val="0"/>
        <w:spacing w:line="360" w:lineRule="auto"/>
        <w:ind w:firstLine="420" w:firstLineChars="200"/>
        <w:outlineLvl w:val="9"/>
        <w:rPr>
          <w:rFonts w:hint="eastAsia" w:ascii="Times New Roman"/>
          <w:strike w:val="0"/>
          <w:dstrike w:val="0"/>
          <w:snapToGrid w:val="0"/>
          <w:color w:val="auto"/>
          <w:kern w:val="0"/>
          <w:sz w:val="21"/>
          <w:szCs w:val="21"/>
          <w:highlight w:val="none"/>
        </w:rPr>
      </w:pPr>
      <w:r>
        <w:rPr>
          <w:rFonts w:hint="eastAsia" w:ascii="Times New Roman"/>
          <w:strike w:val="0"/>
          <w:dstrike w:val="0"/>
          <w:snapToGrid w:val="0"/>
          <w:color w:val="auto"/>
          <w:kern w:val="0"/>
          <w:sz w:val="21"/>
          <w:szCs w:val="21"/>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31667C14">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4.2</w:t>
      </w:r>
      <w:r>
        <w:rPr>
          <w:rFonts w:hint="eastAsia" w:ascii="Times New Roman"/>
          <w:b/>
          <w:strike w:val="0"/>
          <w:dstrike w:val="0"/>
          <w:snapToGrid w:val="0"/>
          <w:color w:val="auto"/>
          <w:sz w:val="21"/>
          <w:szCs w:val="21"/>
          <w:highlight w:val="none"/>
        </w:rPr>
        <w:t>．工人工资支付专用账户</w:t>
      </w:r>
    </w:p>
    <w:p w14:paraId="3F313240">
      <w:pPr>
        <w:wordWrap w:val="0"/>
        <w:adjustRightInd w:val="0"/>
        <w:snapToGrid w:val="0"/>
        <w:spacing w:line="360" w:lineRule="auto"/>
        <w:ind w:firstLine="420" w:firstLineChars="200"/>
        <w:outlineLvl w:val="9"/>
        <w:rPr>
          <w:rFonts w:hint="eastAsia" w:ascii="Times New Roman"/>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4.2</w:t>
      </w:r>
      <w:r>
        <w:rPr>
          <w:rFonts w:hint="eastAsia" w:ascii="Times New Roman"/>
          <w:b/>
          <w:bCs/>
          <w:strike w:val="0"/>
          <w:dstrike w:val="0"/>
          <w:snapToGrid w:val="0"/>
          <w:color w:val="auto"/>
          <w:kern w:val="0"/>
          <w:sz w:val="21"/>
          <w:szCs w:val="21"/>
          <w:highlight w:val="none"/>
        </w:rPr>
        <w:t>.1</w:t>
      </w:r>
      <w:r>
        <w:rPr>
          <w:rFonts w:hint="eastAsia" w:ascii="Times New Roman"/>
          <w:strike w:val="0"/>
          <w:dstrike w:val="0"/>
          <w:snapToGrid w:val="0"/>
          <w:color w:val="auto"/>
          <w:kern w:val="0"/>
          <w:sz w:val="21"/>
          <w:szCs w:val="21"/>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A803802">
      <w:pPr>
        <w:keepNext w:val="0"/>
        <w:keepLines w:val="0"/>
        <w:widowControl/>
        <w:suppressLineNumbers w:val="0"/>
        <w:spacing w:line="360" w:lineRule="auto"/>
        <w:ind w:firstLine="420" w:firstLineChars="200"/>
        <w:jc w:val="left"/>
        <w:outlineLvl w:val="9"/>
        <w:rPr>
          <w:rFonts w:hint="eastAsia" w:ascii="宋体" w:hAnsi="宋体" w:eastAsia="宋体" w:cs="宋体"/>
          <w:color w:val="auto"/>
          <w:kern w:val="0"/>
          <w:sz w:val="21"/>
          <w:szCs w:val="21"/>
          <w:highlight w:val="none"/>
          <w:lang w:val="en-US" w:eastAsia="zh-CN" w:bidi="ar"/>
        </w:rPr>
      </w:pPr>
      <w:r>
        <w:rPr>
          <w:rFonts w:hint="eastAsia" w:ascii="Times New Roman"/>
          <w:b/>
          <w:bCs/>
          <w:strike w:val="0"/>
          <w:dstrike w:val="0"/>
          <w:snapToGrid w:val="0"/>
          <w:color w:val="auto"/>
          <w:kern w:val="0"/>
          <w:sz w:val="21"/>
          <w:szCs w:val="21"/>
          <w:highlight w:val="none"/>
          <w:lang w:val="en-US" w:eastAsia="zh-CN"/>
        </w:rPr>
        <w:t>4.2</w:t>
      </w:r>
      <w:r>
        <w:rPr>
          <w:rFonts w:hint="eastAsia" w:ascii="Times New Roman"/>
          <w:b/>
          <w:bCs/>
          <w:strike w:val="0"/>
          <w:dstrike w:val="0"/>
          <w:snapToGrid w:val="0"/>
          <w:color w:val="auto"/>
          <w:kern w:val="0"/>
          <w:sz w:val="21"/>
          <w:szCs w:val="21"/>
          <w:highlight w:val="none"/>
        </w:rPr>
        <w:t>.2</w:t>
      </w:r>
      <w:r>
        <w:rPr>
          <w:rFonts w:hint="eastAsia" w:ascii="宋体" w:hAnsi="宋体" w:eastAsia="宋体" w:cs="宋体"/>
          <w:color w:val="auto"/>
          <w:kern w:val="0"/>
          <w:sz w:val="21"/>
          <w:szCs w:val="21"/>
          <w:highlight w:val="none"/>
          <w:lang w:val="en-US" w:eastAsia="zh-CN" w:bidi="ar"/>
        </w:rPr>
        <w:t>依据人力资源社会保障部等十部门印发的《工程建设领域农民工工资专用账户管理暂行办法》（人社部发〔</w:t>
      </w:r>
      <w:r>
        <w:rPr>
          <w:rFonts w:hint="default" w:ascii="Times New Roman" w:hAnsi="Times New Roman" w:eastAsia="宋体" w:cs="Times New Roman"/>
          <w:color w:val="auto"/>
          <w:kern w:val="0"/>
          <w:sz w:val="21"/>
          <w:szCs w:val="21"/>
          <w:highlight w:val="none"/>
          <w:lang w:val="en-US" w:eastAsia="zh-CN" w:bidi="ar"/>
        </w:rPr>
        <w:t>2021</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 xml:space="preserve">53 </w:t>
      </w:r>
      <w:r>
        <w:rPr>
          <w:rFonts w:hint="eastAsia" w:ascii="宋体" w:hAnsi="宋体" w:eastAsia="宋体" w:cs="宋体"/>
          <w:color w:val="auto"/>
          <w:kern w:val="0"/>
          <w:sz w:val="21"/>
          <w:szCs w:val="21"/>
          <w:highlight w:val="none"/>
          <w:lang w:val="en-US" w:eastAsia="zh-CN" w:bidi="ar"/>
        </w:rPr>
        <w:t>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w:t>
      </w: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）工资发放表、付款凭证（有总包单位项目负责人签名或盖章确认）；（</w:t>
      </w: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）施工许可证（或开工报告）、工程项目总承包、专业分包、劳务分包合同；（</w:t>
      </w: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）建设单位支付工程款凭证；（</w:t>
      </w: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）花名册及身份证复印件；（</w:t>
      </w:r>
      <w:r>
        <w:rPr>
          <w:rFonts w:hint="default" w:ascii="Times New Roman" w:hAnsi="Times New Roman" w:eastAsia="宋体" w:cs="Times New Roman"/>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）劳动合同：（</w:t>
      </w:r>
      <w:r>
        <w:rPr>
          <w:rFonts w:hint="default" w:ascii="Times New Roman" w:hAnsi="Times New Roman" w:eastAsia="宋体" w:cs="Times New Roman"/>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）委托书（写明委托代发工资情况）；（</w:t>
      </w:r>
      <w:r>
        <w:rPr>
          <w:rFonts w:hint="default" w:ascii="Times New Roman" w:hAnsi="Times New Roman" w:eastAsia="宋体" w:cs="Times New Roman"/>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）缴纳保证金的凭证；（</w:t>
      </w:r>
      <w:r>
        <w:rPr>
          <w:rFonts w:hint="default" w:ascii="Times New Roman" w:hAnsi="Times New Roman" w:eastAsia="宋体" w:cs="Times New Roman"/>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）总包企业或承包企业设立工资专用账户的凭证；（</w:t>
      </w:r>
      <w:r>
        <w:rPr>
          <w:rFonts w:hint="default" w:ascii="Times New Roman" w:hAnsi="Times New Roman" w:eastAsia="宋体" w:cs="Times New Roman"/>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）维权信息告示牌情况。</w:t>
      </w:r>
    </w:p>
    <w:p w14:paraId="19ABC543">
      <w:pPr>
        <w:keepNext w:val="0"/>
        <w:keepLines w:val="0"/>
        <w:widowControl/>
        <w:suppressLineNumbers w:val="0"/>
        <w:spacing w:line="360" w:lineRule="auto"/>
        <w:ind w:firstLine="420" w:firstLineChars="200"/>
        <w:jc w:val="left"/>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w:t>
      </w:r>
      <w:r>
        <w:rPr>
          <w:rFonts w:hint="default" w:ascii="Times New Roman" w:hAnsi="Times New Roman" w:eastAsia="宋体" w:cs="Times New Roman"/>
          <w:color w:val="auto"/>
          <w:kern w:val="0"/>
          <w:sz w:val="21"/>
          <w:szCs w:val="21"/>
          <w:highlight w:val="none"/>
          <w:lang w:val="en-US" w:eastAsia="zh-CN" w:bidi="ar"/>
        </w:rPr>
        <w:t>2023</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 xml:space="preserve">2 </w:t>
      </w:r>
      <w:r>
        <w:rPr>
          <w:rFonts w:hint="eastAsia" w:ascii="宋体" w:hAnsi="宋体" w:eastAsia="宋体" w:cs="宋体"/>
          <w:color w:val="auto"/>
          <w:kern w:val="0"/>
          <w:sz w:val="21"/>
          <w:szCs w:val="21"/>
          <w:highlight w:val="none"/>
          <w:lang w:val="en-US" w:eastAsia="zh-CN" w:bidi="ar"/>
        </w:rPr>
        <w:t>号）及《韶关市工程建设领域农民工工资保证金管理实施细则》（韶法审〔</w:t>
      </w:r>
      <w:r>
        <w:rPr>
          <w:rFonts w:hint="default" w:ascii="Times New Roman" w:hAnsi="Times New Roman" w:eastAsia="宋体" w:cs="Times New Roman"/>
          <w:color w:val="auto"/>
          <w:kern w:val="0"/>
          <w:sz w:val="21"/>
          <w:szCs w:val="21"/>
          <w:highlight w:val="none"/>
          <w:lang w:val="en-US" w:eastAsia="zh-CN" w:bidi="ar"/>
        </w:rPr>
        <w:t>2023</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 xml:space="preserve">19 </w:t>
      </w:r>
      <w:r>
        <w:rPr>
          <w:rFonts w:hint="eastAsia" w:ascii="宋体" w:hAnsi="宋体" w:eastAsia="宋体" w:cs="宋体"/>
          <w:color w:val="auto"/>
          <w:kern w:val="0"/>
          <w:sz w:val="21"/>
          <w:szCs w:val="21"/>
          <w:highlight w:val="none"/>
          <w:lang w:val="en-US" w:eastAsia="zh-CN" w:bidi="ar"/>
        </w:rPr>
        <w:t>号） 规定执行。承包人在签订工程施工承包合同后一个月内必须办妥该事项，并将办妥回执交发包人。</w:t>
      </w:r>
    </w:p>
    <w:p w14:paraId="2A26D393">
      <w:pPr>
        <w:keepNext w:val="0"/>
        <w:keepLines w:val="0"/>
        <w:widowControl/>
        <w:suppressLineNumbers w:val="0"/>
        <w:spacing w:line="360" w:lineRule="auto"/>
        <w:ind w:firstLine="420" w:firstLineChars="200"/>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出异议。发包人代支的工资除了从当期工程款内直接扣除外，承包人须按照发包人所垫付的民工工资 </w:t>
      </w:r>
      <w:r>
        <w:rPr>
          <w:rFonts w:hint="default" w:ascii="Times New Roman" w:hAnsi="Times New Roman" w:eastAsia="宋体" w:cs="Times New Roman"/>
          <w:color w:val="auto"/>
          <w:kern w:val="0"/>
          <w:sz w:val="21"/>
          <w:szCs w:val="21"/>
          <w:highlight w:val="none"/>
          <w:lang w:val="en-US" w:eastAsia="zh-CN" w:bidi="ar"/>
        </w:rPr>
        <w:t xml:space="preserve">2 </w:t>
      </w:r>
      <w:r>
        <w:rPr>
          <w:rFonts w:hint="eastAsia" w:ascii="宋体" w:hAnsi="宋体" w:eastAsia="宋体" w:cs="宋体"/>
          <w:color w:val="auto"/>
          <w:kern w:val="0"/>
          <w:sz w:val="21"/>
          <w:szCs w:val="21"/>
          <w:highlight w:val="none"/>
          <w:lang w:val="en-US" w:eastAsia="zh-CN" w:bidi="ar"/>
        </w:rPr>
        <w:t>倍向发包人支付违约金。</w:t>
      </w:r>
    </w:p>
    <w:p w14:paraId="32E5F111">
      <w:pPr>
        <w:keepNext w:val="0"/>
        <w:keepLines w:val="0"/>
        <w:widowControl/>
        <w:suppressLineNumbers w:val="0"/>
        <w:spacing w:line="360" w:lineRule="auto"/>
        <w:ind w:firstLine="420" w:firstLineChars="200"/>
        <w:jc w:val="left"/>
        <w:outlineLvl w:val="9"/>
        <w:rPr>
          <w:rFonts w:hint="eastAsia" w:ascii="宋体" w:hAnsi="宋体" w:eastAsia="宋体" w:cs="宋体"/>
          <w:color w:val="auto"/>
          <w:kern w:val="0"/>
          <w:sz w:val="21"/>
          <w:szCs w:val="21"/>
          <w:highlight w:val="none"/>
          <w:lang w:val="en-US" w:eastAsia="zh-CN" w:bidi="ar"/>
        </w:rPr>
      </w:pPr>
      <w:r>
        <w:rPr>
          <w:rFonts w:hint="eastAsia" w:ascii="Times New Roman"/>
          <w:b/>
          <w:bCs/>
          <w:strike w:val="0"/>
          <w:dstrike w:val="0"/>
          <w:snapToGrid w:val="0"/>
          <w:color w:val="auto"/>
          <w:kern w:val="0"/>
          <w:sz w:val="21"/>
          <w:szCs w:val="21"/>
          <w:highlight w:val="none"/>
          <w:lang w:val="en-US" w:eastAsia="zh-CN"/>
        </w:rPr>
        <w:t>4.2</w:t>
      </w:r>
      <w:r>
        <w:rPr>
          <w:rFonts w:hint="eastAsia" w:ascii="Times New Roman"/>
          <w:b/>
          <w:bCs/>
          <w:strike w:val="0"/>
          <w:dstrike w:val="0"/>
          <w:snapToGrid w:val="0"/>
          <w:color w:val="auto"/>
          <w:kern w:val="0"/>
          <w:sz w:val="21"/>
          <w:szCs w:val="21"/>
          <w:highlight w:val="none"/>
        </w:rPr>
        <w:t>.3</w:t>
      </w:r>
      <w:r>
        <w:rPr>
          <w:rFonts w:hint="eastAsia" w:ascii="Times New Roman"/>
          <w:strike w:val="0"/>
          <w:dstrike w:val="0"/>
          <w:snapToGrid w:val="0"/>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bidi="ar"/>
        </w:rPr>
        <w:t xml:space="preserve">承包人应在工资专户开立后 </w:t>
      </w:r>
      <w:r>
        <w:rPr>
          <w:rFonts w:hint="default" w:ascii="Times New Roman" w:hAnsi="Times New Roman" w:eastAsia="宋体" w:cs="Times New Roman"/>
          <w:color w:val="auto"/>
          <w:kern w:val="0"/>
          <w:sz w:val="21"/>
          <w:szCs w:val="21"/>
          <w:highlight w:val="none"/>
          <w:lang w:val="en-US" w:eastAsia="zh-CN" w:bidi="ar"/>
        </w:rPr>
        <w:t xml:space="preserve">2 </w:t>
      </w:r>
      <w:r>
        <w:rPr>
          <w:rFonts w:hint="eastAsia" w:ascii="宋体" w:hAnsi="宋体" w:eastAsia="宋体" w:cs="宋体"/>
          <w:color w:val="auto"/>
          <w:kern w:val="0"/>
          <w:sz w:val="21"/>
          <w:szCs w:val="21"/>
          <w:highlight w:val="none"/>
          <w:lang w:val="en-US" w:eastAsia="zh-CN" w:bidi="ar"/>
        </w:rPr>
        <w:t xml:space="preserve">个工作日内，将开户银行及其账号、开户协议等资料提交给发包人。 </w:t>
      </w:r>
    </w:p>
    <w:p w14:paraId="7705AEDC">
      <w:pPr>
        <w:keepNext w:val="0"/>
        <w:keepLines w:val="0"/>
        <w:widowControl/>
        <w:suppressLineNumbers w:val="0"/>
        <w:spacing w:line="360" w:lineRule="auto"/>
        <w:ind w:firstLine="420" w:firstLineChars="200"/>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 xml:space="preserve">）用人单位应当在建设项目动工前，在建设项目所在地商业银行设立工人工资支付专用账户。 </w:t>
      </w:r>
    </w:p>
    <w:p w14:paraId="7C644BD1">
      <w:pPr>
        <w:keepNext w:val="0"/>
        <w:keepLines w:val="0"/>
        <w:widowControl/>
        <w:suppressLineNumbers w:val="0"/>
        <w:spacing w:line="360" w:lineRule="auto"/>
        <w:ind w:firstLine="420" w:firstLineChars="200"/>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 xml:space="preserve">）用人单位应当在用工之日起 </w:t>
      </w:r>
      <w:r>
        <w:rPr>
          <w:rFonts w:hint="default" w:ascii="Times New Roman" w:hAnsi="Times New Roman" w:eastAsia="宋体" w:cs="Times New Roman"/>
          <w:color w:val="auto"/>
          <w:kern w:val="0"/>
          <w:sz w:val="21"/>
          <w:szCs w:val="21"/>
          <w:highlight w:val="none"/>
          <w:lang w:val="en-US" w:eastAsia="zh-CN" w:bidi="ar"/>
        </w:rPr>
        <w:t xml:space="preserve">15 </w:t>
      </w:r>
      <w:r>
        <w:rPr>
          <w:rFonts w:hint="eastAsia" w:ascii="宋体" w:hAnsi="宋体" w:eastAsia="宋体" w:cs="宋体"/>
          <w:color w:val="auto"/>
          <w:kern w:val="0"/>
          <w:sz w:val="21"/>
          <w:szCs w:val="21"/>
          <w:highlight w:val="none"/>
          <w:lang w:val="en-US" w:eastAsia="zh-CN" w:bidi="ar"/>
        </w:rPr>
        <w:t xml:space="preserve">日内为每一位工人办理个人银行账户。 </w:t>
      </w:r>
    </w:p>
    <w:p w14:paraId="4F81C3A4">
      <w:pPr>
        <w:keepNext w:val="0"/>
        <w:keepLines w:val="0"/>
        <w:widowControl/>
        <w:suppressLineNumbers w:val="0"/>
        <w:spacing w:line="360" w:lineRule="auto"/>
        <w:ind w:firstLine="420" w:firstLineChars="200"/>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 xml:space="preserve">）用人单位应当指定专人负责建设项目施工现场台账管理，真实、准确记录工人名册、劳务合同、劳动合同、工程进度、工时台账、劳务承包款和工人工资支付等信息，并保存两年以上备查。 </w:t>
      </w:r>
    </w:p>
    <w:p w14:paraId="4061A858">
      <w:pPr>
        <w:keepNext w:val="0"/>
        <w:keepLines w:val="0"/>
        <w:widowControl/>
        <w:suppressLineNumbers w:val="0"/>
        <w:spacing w:line="360" w:lineRule="auto"/>
        <w:ind w:firstLine="420" w:firstLineChars="200"/>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）用人单位应当按照</w:t>
      </w:r>
      <w:r>
        <w:rPr>
          <w:rFonts w:hint="default" w:ascii="Times New Roman" w:hAnsi="Times New Roman" w:eastAsia="宋体" w:cs="Times New Roman"/>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及时支付，按实结算</w:t>
      </w:r>
      <w:r>
        <w:rPr>
          <w:rFonts w:hint="default" w:ascii="Times New Roman" w:hAnsi="Times New Roman" w:eastAsia="宋体" w:cs="Times New Roman"/>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23B04EB9">
      <w:pPr>
        <w:keepNext w:val="0"/>
        <w:keepLines w:val="0"/>
        <w:widowControl/>
        <w:suppressLineNumbers w:val="0"/>
        <w:spacing w:line="360" w:lineRule="auto"/>
        <w:ind w:firstLine="422" w:firstLineChars="200"/>
        <w:jc w:val="left"/>
        <w:outlineLvl w:val="9"/>
        <w:rPr>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 xml:space="preserve">4.2.4 </w:t>
      </w:r>
      <w:r>
        <w:rPr>
          <w:rFonts w:hint="eastAsia" w:ascii="宋体" w:hAnsi="宋体" w:eastAsia="宋体" w:cs="宋体"/>
          <w:color w:val="auto"/>
          <w:kern w:val="0"/>
          <w:sz w:val="21"/>
          <w:szCs w:val="21"/>
          <w:highlight w:val="none"/>
          <w:lang w:val="en-US" w:eastAsia="zh-CN" w:bidi="ar"/>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40884CB3">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4.3</w:t>
      </w:r>
      <w:r>
        <w:rPr>
          <w:rFonts w:hint="eastAsia" w:ascii="Times New Roman"/>
          <w:b/>
          <w:strike w:val="0"/>
          <w:dstrike w:val="0"/>
          <w:snapToGrid w:val="0"/>
          <w:color w:val="auto"/>
          <w:sz w:val="21"/>
          <w:szCs w:val="21"/>
          <w:highlight w:val="none"/>
        </w:rPr>
        <w:t>．诚信登记</w:t>
      </w:r>
    </w:p>
    <w:p w14:paraId="3C8A79DA">
      <w:pPr>
        <w:wordWrap w:val="0"/>
        <w:adjustRightInd w:val="0"/>
        <w:snapToGrid w:val="0"/>
        <w:spacing w:line="360" w:lineRule="auto"/>
        <w:ind w:firstLine="420" w:firstLineChars="200"/>
        <w:outlineLvl w:val="9"/>
        <w:rPr>
          <w:rFonts w:hint="eastAsia" w:ascii="Times New Roman"/>
          <w:b/>
          <w:strike w:val="0"/>
          <w:dstrike w:val="0"/>
          <w:snapToGrid w:val="0"/>
          <w:color w:val="auto"/>
          <w:sz w:val="21"/>
          <w:szCs w:val="21"/>
          <w:highlight w:val="none"/>
          <w:lang w:val="en-US" w:eastAsia="zh-CN"/>
        </w:rPr>
      </w:pPr>
      <w:r>
        <w:rPr>
          <w:rFonts w:hint="eastAsia" w:ascii="Times New Roman"/>
          <w:strike w:val="0"/>
          <w:dstrike w:val="0"/>
          <w:snapToGrid w:val="0"/>
          <w:color w:val="auto"/>
          <w:kern w:val="0"/>
          <w:sz w:val="21"/>
          <w:szCs w:val="21"/>
          <w:highlight w:val="none"/>
          <w:lang w:val="en-US" w:eastAsia="zh-CN"/>
        </w:rPr>
        <w:t>根据资质管理规定，许可机关应当建立、健全建筑业企业信用档案管理制度，包括企业基本信息、资质、业绩、工程质量和安全、合同履约、社会投诉和违法行为等情况</w:t>
      </w:r>
      <w:r>
        <w:rPr>
          <w:rFonts w:hint="eastAsia" w:ascii="Times New Roman"/>
          <w:strike w:val="0"/>
          <w:dstrike w:val="0"/>
          <w:snapToGrid w:val="0"/>
          <w:color w:val="auto"/>
          <w:kern w:val="0"/>
          <w:sz w:val="21"/>
          <w:szCs w:val="21"/>
          <w:highlight w:val="none"/>
        </w:rPr>
        <w:t>。</w:t>
      </w:r>
      <w:r>
        <w:rPr>
          <w:rFonts w:hint="eastAsia" w:ascii="宋体" w:hAnsi="宋体" w:eastAsia="宋体" w:cs="宋体"/>
          <w:color w:val="auto"/>
          <w:kern w:val="0"/>
          <w:sz w:val="21"/>
          <w:szCs w:val="21"/>
          <w:highlight w:val="none"/>
          <w:lang w:val="en-US" w:eastAsia="zh-CN" w:bidi="ar"/>
        </w:rPr>
        <w:t>承包人应在项目所在地住建管理部门办理诚信登记，发包人将严格按住建管理部门诚信登记管理办法对承包人履约情况进行考核。</w:t>
      </w:r>
    </w:p>
    <w:p w14:paraId="1D03BCCE">
      <w:pPr>
        <w:wordWrap w:val="0"/>
        <w:adjustRightInd w:val="0"/>
        <w:snapToGrid w:val="0"/>
        <w:spacing w:line="360" w:lineRule="auto"/>
        <w:ind w:firstLine="630" w:firstLineChars="300"/>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4.4</w:t>
      </w:r>
      <w:r>
        <w:rPr>
          <w:rFonts w:hint="eastAsia" w:ascii="Times New Roman"/>
          <w:b/>
          <w:strike w:val="0"/>
          <w:dstrike w:val="0"/>
          <w:snapToGrid w:val="0"/>
          <w:color w:val="auto"/>
          <w:sz w:val="21"/>
          <w:szCs w:val="21"/>
          <w:highlight w:val="none"/>
        </w:rPr>
        <w:t>．工期进度</w:t>
      </w:r>
    </w:p>
    <w:p w14:paraId="2F3493B9">
      <w:pPr>
        <w:tabs>
          <w:tab w:val="left" w:pos="7020"/>
        </w:tabs>
        <w:wordWrap w:val="0"/>
        <w:adjustRightInd w:val="0"/>
        <w:snapToGrid w:val="0"/>
        <w:spacing w:line="360" w:lineRule="auto"/>
        <w:ind w:firstLine="420" w:firstLineChars="200"/>
        <w:outlineLvl w:val="9"/>
        <w:rPr>
          <w:rFonts w:ascii="Times New Roman"/>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4.4</w:t>
      </w:r>
      <w:r>
        <w:rPr>
          <w:rFonts w:ascii="Times New Roman"/>
          <w:b/>
          <w:bCs/>
          <w:strike w:val="0"/>
          <w:dstrike w:val="0"/>
          <w:snapToGrid w:val="0"/>
          <w:color w:val="auto"/>
          <w:kern w:val="0"/>
          <w:sz w:val="21"/>
          <w:szCs w:val="21"/>
          <w:highlight w:val="none"/>
        </w:rPr>
        <w:t>.1</w:t>
      </w:r>
      <w:r>
        <w:rPr>
          <w:rFonts w:hint="eastAsia" w:ascii="Times New Roman"/>
          <w:strike w:val="0"/>
          <w:dstrike w:val="0"/>
          <w:snapToGrid w:val="0"/>
          <w:color w:val="auto"/>
          <w:kern w:val="0"/>
          <w:sz w:val="21"/>
          <w:szCs w:val="21"/>
          <w:highlight w:val="none"/>
        </w:rPr>
        <w:t>本招标项目施工工期为</w:t>
      </w:r>
      <w:r>
        <w:rPr>
          <w:rFonts w:hint="eastAsia" w:ascii="Times New Roman"/>
          <w:strike w:val="0"/>
          <w:dstrike w:val="0"/>
          <w:snapToGrid w:val="0"/>
          <w:color w:val="auto"/>
          <w:kern w:val="0"/>
          <w:sz w:val="21"/>
          <w:szCs w:val="21"/>
          <w:highlight w:val="none"/>
          <w:u w:val="single"/>
          <w:lang w:val="en-US" w:eastAsia="zh-CN"/>
        </w:rPr>
        <w:t>120个日历天</w:t>
      </w:r>
      <w:r>
        <w:rPr>
          <w:rFonts w:ascii="Times New Roman"/>
          <w:bCs/>
          <w:strike w:val="0"/>
          <w:dstrike w:val="0"/>
          <w:snapToGrid w:val="0"/>
          <w:color w:val="auto"/>
          <w:kern w:val="0"/>
          <w:sz w:val="21"/>
          <w:szCs w:val="21"/>
          <w:highlight w:val="none"/>
        </w:rPr>
        <w:t>，</w:t>
      </w:r>
      <w:r>
        <w:rPr>
          <w:rFonts w:hint="eastAsia" w:ascii="Times New Roman"/>
          <w:strike w:val="0"/>
          <w:dstrike w:val="0"/>
          <w:snapToGrid w:val="0"/>
          <w:color w:val="auto"/>
          <w:kern w:val="0"/>
          <w:sz w:val="21"/>
          <w:szCs w:val="21"/>
          <w:highlight w:val="none"/>
        </w:rPr>
        <w:t>承包人</w:t>
      </w:r>
      <w:r>
        <w:rPr>
          <w:rFonts w:ascii="Times New Roman"/>
          <w:strike w:val="0"/>
          <w:dstrike w:val="0"/>
          <w:snapToGrid w:val="0"/>
          <w:color w:val="auto"/>
          <w:kern w:val="0"/>
          <w:sz w:val="21"/>
          <w:szCs w:val="21"/>
          <w:highlight w:val="none"/>
        </w:rPr>
        <w:t>必须在</w:t>
      </w:r>
      <w:r>
        <w:rPr>
          <w:rFonts w:hint="eastAsia" w:ascii="Times New Roman"/>
          <w:strike w:val="0"/>
          <w:dstrike w:val="0"/>
          <w:snapToGrid w:val="0"/>
          <w:color w:val="auto"/>
          <w:kern w:val="0"/>
          <w:sz w:val="21"/>
          <w:szCs w:val="21"/>
          <w:highlight w:val="none"/>
        </w:rPr>
        <w:t>招标</w:t>
      </w:r>
      <w:r>
        <w:rPr>
          <w:rFonts w:ascii="Times New Roman"/>
          <w:strike w:val="0"/>
          <w:dstrike w:val="0"/>
          <w:snapToGrid w:val="0"/>
          <w:color w:val="auto"/>
          <w:kern w:val="0"/>
          <w:sz w:val="21"/>
          <w:szCs w:val="21"/>
          <w:highlight w:val="none"/>
        </w:rPr>
        <w:t>工期内完成招标范围内的全部内容。</w:t>
      </w:r>
    </w:p>
    <w:p w14:paraId="68A46144">
      <w:pPr>
        <w:wordWrap w:val="0"/>
        <w:adjustRightInd w:val="0"/>
        <w:snapToGrid w:val="0"/>
        <w:spacing w:line="360" w:lineRule="auto"/>
        <w:ind w:firstLine="420" w:firstLineChars="200"/>
        <w:outlineLvl w:val="9"/>
        <w:rPr>
          <w:rFonts w:ascii="Times New Roman"/>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4.4</w:t>
      </w:r>
      <w:r>
        <w:rPr>
          <w:rFonts w:ascii="Times New Roman"/>
          <w:b/>
          <w:bCs/>
          <w:strike w:val="0"/>
          <w:dstrike w:val="0"/>
          <w:snapToGrid w:val="0"/>
          <w:color w:val="auto"/>
          <w:kern w:val="0"/>
          <w:sz w:val="21"/>
          <w:szCs w:val="21"/>
          <w:highlight w:val="none"/>
        </w:rPr>
        <w:t>.2</w:t>
      </w:r>
      <w:r>
        <w:rPr>
          <w:rFonts w:ascii="Times New Roman"/>
          <w:strike w:val="0"/>
          <w:dstrike w:val="0"/>
          <w:snapToGrid w:val="0"/>
          <w:color w:val="auto"/>
          <w:kern w:val="0"/>
          <w:sz w:val="21"/>
          <w:szCs w:val="21"/>
          <w:highlight w:val="none"/>
        </w:rPr>
        <w:t xml:space="preserve"> 施工工期从</w:t>
      </w:r>
      <w:r>
        <w:rPr>
          <w:rFonts w:hint="eastAsia" w:ascii="Times New Roman"/>
          <w:strike w:val="0"/>
          <w:dstrike w:val="0"/>
          <w:snapToGrid w:val="0"/>
          <w:color w:val="auto"/>
          <w:kern w:val="0"/>
          <w:sz w:val="21"/>
          <w:szCs w:val="21"/>
          <w:highlight w:val="none"/>
        </w:rPr>
        <w:t>承包人</w:t>
      </w:r>
      <w:r>
        <w:rPr>
          <w:rFonts w:ascii="Times New Roman"/>
          <w:strike w:val="0"/>
          <w:dstrike w:val="0"/>
          <w:snapToGrid w:val="0"/>
          <w:color w:val="auto"/>
          <w:kern w:val="0"/>
          <w:sz w:val="21"/>
          <w:szCs w:val="21"/>
          <w:highlight w:val="none"/>
        </w:rPr>
        <w:t>收到监理单位签发的开工令之日起计，至竣工验收合格之日止。</w:t>
      </w:r>
    </w:p>
    <w:p w14:paraId="07E03A2B">
      <w:pPr>
        <w:pStyle w:val="58"/>
        <w:spacing w:line="360" w:lineRule="auto"/>
        <w:ind w:firstLine="422" w:firstLineChars="200"/>
        <w:outlineLvl w:val="9"/>
        <w:rPr>
          <w:rFonts w:hint="eastAsia"/>
          <w:b w:val="0"/>
          <w:bCs w:val="0"/>
          <w:strike w:val="0"/>
          <w:dstrike w:val="0"/>
          <w:snapToGrid w:val="0"/>
          <w:color w:val="auto"/>
          <w:kern w:val="0"/>
          <w:sz w:val="21"/>
          <w:szCs w:val="21"/>
          <w:highlight w:val="none"/>
        </w:rPr>
      </w:pPr>
      <w:r>
        <w:rPr>
          <w:rFonts w:hint="eastAsia"/>
          <w:b/>
          <w:bCs/>
          <w:strike w:val="0"/>
          <w:dstrike w:val="0"/>
          <w:snapToGrid w:val="0"/>
          <w:color w:val="auto"/>
          <w:kern w:val="0"/>
          <w:sz w:val="21"/>
          <w:szCs w:val="21"/>
          <w:highlight w:val="none"/>
          <w:lang w:val="en-US" w:eastAsia="zh-CN"/>
        </w:rPr>
        <w:t>4.4</w:t>
      </w:r>
      <w:r>
        <w:rPr>
          <w:rFonts w:hint="eastAsia"/>
          <w:b/>
          <w:bCs/>
          <w:strike w:val="0"/>
          <w:dstrike w:val="0"/>
          <w:snapToGrid w:val="0"/>
          <w:color w:val="auto"/>
          <w:kern w:val="0"/>
          <w:sz w:val="21"/>
          <w:szCs w:val="21"/>
          <w:highlight w:val="none"/>
        </w:rPr>
        <w:t>.3</w:t>
      </w:r>
      <w:r>
        <w:rPr>
          <w:rFonts w:hint="eastAsia"/>
          <w:b w:val="0"/>
          <w:bCs w:val="0"/>
          <w:strike w:val="0"/>
          <w:dstrike w:val="0"/>
          <w:snapToGrid w:val="0"/>
          <w:color w:val="auto"/>
          <w:kern w:val="0"/>
          <w:sz w:val="21"/>
          <w:szCs w:val="21"/>
          <w:highlight w:val="none"/>
          <w:lang w:val="en-US" w:eastAsia="zh-CN"/>
        </w:rPr>
        <w:t>工期奖罚</w:t>
      </w:r>
    </w:p>
    <w:p w14:paraId="613B55E3">
      <w:pPr>
        <w:keepNext w:val="0"/>
        <w:keepLines w:val="0"/>
        <w:widowControl/>
        <w:suppressLineNumbers w:val="0"/>
        <w:spacing w:line="360" w:lineRule="auto"/>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□竣工验收合格交付使用每提前</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天竣工；奖</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元，奖励金额不超过合同价款的</w:t>
      </w:r>
      <w:r>
        <w:rPr>
          <w:rFonts w:hint="default" w:ascii="Times New Roman" w:hAnsi="Times New Roman" w:eastAsia="宋体" w:cs="Times New Roman"/>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（一般为 </w:t>
      </w: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）且不超过</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 xml:space="preserve">万元。 </w:t>
      </w:r>
    </w:p>
    <w:p w14:paraId="3920B93D">
      <w:pPr>
        <w:keepNext w:val="0"/>
        <w:keepLines w:val="0"/>
        <w:widowControl/>
        <w:suppressLineNumbers w:val="0"/>
        <w:spacing w:line="360" w:lineRule="auto"/>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□按施工合同期约定</w:t>
      </w:r>
      <w:r>
        <w:rPr>
          <w:rFonts w:hint="eastAsia" w:ascii="Times New Roman" w:hAnsi="Times New Roman" w:eastAsia="宋体" w:cs="Times New Roman"/>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因承包人原因每延误</w:t>
      </w:r>
      <w:r>
        <w:rPr>
          <w:rFonts w:hint="eastAsia" w:ascii="宋体" w:hAnsi="宋体" w:eastAsia="宋体" w:cs="宋体"/>
          <w:color w:val="auto"/>
          <w:kern w:val="0"/>
          <w:sz w:val="21"/>
          <w:szCs w:val="21"/>
          <w:highlight w:val="none"/>
          <w:u w:val="single"/>
          <w:lang w:val="en-US" w:eastAsia="zh-CN" w:bidi="ar"/>
        </w:rPr>
        <w:t xml:space="preserve"> 1</w:t>
      </w:r>
      <w:r>
        <w:rPr>
          <w:rFonts w:hint="eastAsia" w:ascii="宋体" w:hAnsi="宋体" w:eastAsia="宋体" w:cs="宋体"/>
          <w:color w:val="auto"/>
          <w:kern w:val="0"/>
          <w:sz w:val="21"/>
          <w:szCs w:val="21"/>
          <w:highlight w:val="none"/>
          <w:lang w:val="en-US" w:eastAsia="zh-CN" w:bidi="ar"/>
        </w:rPr>
        <w:t>天竣工</w:t>
      </w:r>
      <w:r>
        <w:rPr>
          <w:rFonts w:hint="eastAsia" w:ascii="Times New Roman" w:hAnsi="Times New Roman" w:eastAsia="宋体" w:cs="Times New Roman"/>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罚</w:t>
      </w:r>
      <w:r>
        <w:rPr>
          <w:rFonts w:hint="eastAsia" w:ascii="宋体" w:hAnsi="宋体" w:eastAsia="宋体" w:cs="宋体"/>
          <w:color w:val="auto"/>
          <w:kern w:val="0"/>
          <w:sz w:val="21"/>
          <w:szCs w:val="21"/>
          <w:highlight w:val="none"/>
          <w:u w:val="single"/>
          <w:lang w:val="en-US" w:eastAsia="zh-CN" w:bidi="ar"/>
        </w:rPr>
        <w:t xml:space="preserve"> 1000 </w:t>
      </w:r>
      <w:r>
        <w:rPr>
          <w:rFonts w:hint="eastAsia" w:ascii="宋体" w:hAnsi="宋体" w:eastAsia="宋体" w:cs="宋体"/>
          <w:color w:val="auto"/>
          <w:kern w:val="0"/>
          <w:sz w:val="21"/>
          <w:szCs w:val="21"/>
          <w:highlight w:val="none"/>
          <w:lang w:val="en-US" w:eastAsia="zh-CN" w:bidi="ar"/>
        </w:rPr>
        <w:t xml:space="preserve">元。 </w:t>
      </w:r>
    </w:p>
    <w:p w14:paraId="04339507">
      <w:pPr>
        <w:keepNext w:val="0"/>
        <w:keepLines w:val="0"/>
        <w:widowControl/>
        <w:suppressLineNumbers w:val="0"/>
        <w:spacing w:line="360" w:lineRule="auto"/>
        <w:ind w:left="240" w:hanging="210" w:hangingChars="100"/>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☑按施工合同期约定</w:t>
      </w:r>
      <w:r>
        <w:rPr>
          <w:rFonts w:hint="eastAsia" w:ascii="Times New Roman" w:hAnsi="Times New Roman" w:eastAsia="宋体" w:cs="Times New Roman"/>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因承包人原因延误工期</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天内不处罚， 自第</w:t>
      </w:r>
      <w:r>
        <w:rPr>
          <w:rFonts w:hint="eastAsia" w:ascii="宋体" w:hAnsi="宋体" w:eastAsia="宋体" w:cs="宋体"/>
          <w:color w:val="auto"/>
          <w:kern w:val="0"/>
          <w:sz w:val="21"/>
          <w:szCs w:val="21"/>
          <w:highlight w:val="none"/>
          <w:u w:val="single"/>
          <w:lang w:val="en-US" w:eastAsia="zh-CN" w:bidi="ar"/>
        </w:rPr>
        <w:t xml:space="preserve"> 1 </w:t>
      </w:r>
      <w:r>
        <w:rPr>
          <w:rFonts w:hint="eastAsia" w:ascii="宋体" w:hAnsi="宋体" w:eastAsia="宋体" w:cs="宋体"/>
          <w:color w:val="auto"/>
          <w:kern w:val="0"/>
          <w:sz w:val="21"/>
          <w:szCs w:val="21"/>
          <w:highlight w:val="none"/>
          <w:lang w:val="en-US" w:eastAsia="zh-CN" w:bidi="ar"/>
        </w:rPr>
        <w:t>天起每延误</w:t>
      </w:r>
      <w:r>
        <w:rPr>
          <w:rFonts w:hint="eastAsia" w:ascii="宋体" w:hAnsi="宋体" w:eastAsia="宋体" w:cs="宋体"/>
          <w:color w:val="auto"/>
          <w:kern w:val="0"/>
          <w:sz w:val="21"/>
          <w:szCs w:val="21"/>
          <w:highlight w:val="none"/>
          <w:u w:val="single"/>
          <w:lang w:val="en-US" w:eastAsia="zh-CN" w:bidi="ar"/>
        </w:rPr>
        <w:t xml:space="preserve"> 1 </w:t>
      </w:r>
      <w:r>
        <w:rPr>
          <w:rFonts w:hint="eastAsia" w:ascii="宋体" w:hAnsi="宋体" w:eastAsia="宋体" w:cs="宋体"/>
          <w:color w:val="auto"/>
          <w:kern w:val="0"/>
          <w:sz w:val="21"/>
          <w:szCs w:val="21"/>
          <w:highlight w:val="none"/>
          <w:lang w:val="en-US" w:eastAsia="zh-CN" w:bidi="ar"/>
        </w:rPr>
        <w:t>天竣工，</w:t>
      </w:r>
      <w:r>
        <w:rPr>
          <w:rFonts w:hint="default" w:ascii="Times New Roman" w:hAnsi="Times New Roman" w:eastAsia="宋体" w:cs="Times New Roman"/>
          <w:color w:val="auto"/>
          <w:kern w:val="0"/>
          <w:sz w:val="21"/>
          <w:szCs w:val="21"/>
          <w:highlight w:val="none"/>
          <w:lang w:val="en-US" w:eastAsia="zh-CN" w:bidi="ar"/>
        </w:rPr>
        <w:t xml:space="preserve"> </w:t>
      </w:r>
      <w:r>
        <w:rPr>
          <w:rFonts w:ascii="Times New Roman"/>
          <w:snapToGrid w:val="0"/>
          <w:color w:val="auto"/>
          <w:kern w:val="0"/>
          <w:sz w:val="21"/>
          <w:szCs w:val="21"/>
          <w:highlight w:val="none"/>
        </w:rPr>
        <w:t>按合同价的</w:t>
      </w:r>
      <w:r>
        <w:rPr>
          <w:rFonts w:ascii="Times New Roman"/>
          <w:snapToGrid w:val="0"/>
          <w:color w:val="auto"/>
          <w:kern w:val="0"/>
          <w:sz w:val="21"/>
          <w:szCs w:val="21"/>
          <w:highlight w:val="none"/>
          <w:u w:val="single"/>
        </w:rPr>
        <w:t xml:space="preserve">  3‰ </w:t>
      </w:r>
      <w:r>
        <w:rPr>
          <w:rFonts w:ascii="Times New Roman"/>
          <w:snapToGrid w:val="0"/>
          <w:color w:val="auto"/>
          <w:kern w:val="0"/>
          <w:sz w:val="21"/>
          <w:szCs w:val="21"/>
          <w:highlight w:val="none"/>
        </w:rPr>
        <w:t>向发包人</w:t>
      </w:r>
      <w:r>
        <w:rPr>
          <w:rFonts w:hint="eastAsia" w:ascii="Times New Roman"/>
          <w:snapToGrid w:val="0"/>
          <w:color w:val="auto"/>
          <w:kern w:val="0"/>
          <w:sz w:val="21"/>
          <w:szCs w:val="21"/>
          <w:highlight w:val="none"/>
          <w:lang w:eastAsia="zh-CN"/>
        </w:rPr>
        <w:t>缴纳</w:t>
      </w:r>
      <w:r>
        <w:rPr>
          <w:rFonts w:ascii="Times New Roman"/>
          <w:snapToGrid w:val="0"/>
          <w:color w:val="auto"/>
          <w:kern w:val="0"/>
          <w:sz w:val="21"/>
          <w:szCs w:val="21"/>
          <w:highlight w:val="none"/>
        </w:rPr>
        <w:t>逾期竣工违约金。</w:t>
      </w:r>
      <w:r>
        <w:rPr>
          <w:rFonts w:hint="eastAsia" w:ascii="宋体" w:hAnsi="宋体" w:eastAsia="宋体" w:cs="宋体"/>
          <w:color w:val="auto"/>
          <w:kern w:val="0"/>
          <w:sz w:val="21"/>
          <w:szCs w:val="21"/>
          <w:highlight w:val="none"/>
          <w:lang w:val="en-US" w:eastAsia="zh-CN" w:bidi="ar"/>
        </w:rPr>
        <w:t>处罚金额不超过合同价款的</w:t>
      </w:r>
      <w:r>
        <w:rPr>
          <w:rFonts w:hint="eastAsia" w:ascii="宋体" w:hAnsi="宋体" w:eastAsia="宋体" w:cs="宋体"/>
          <w:color w:val="auto"/>
          <w:kern w:val="0"/>
          <w:sz w:val="21"/>
          <w:szCs w:val="21"/>
          <w:highlight w:val="none"/>
          <w:u w:val="single"/>
          <w:lang w:val="en-US" w:eastAsia="zh-CN" w:bidi="ar"/>
        </w:rPr>
        <w:t xml:space="preserve"> 10 </w:t>
      </w:r>
      <w:r>
        <w:rPr>
          <w:rFonts w:hint="default" w:ascii="Times New Roman" w:hAnsi="Times New Roman" w:eastAsia="宋体"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累计延误工期达到</w:t>
      </w:r>
      <w:r>
        <w:rPr>
          <w:rFonts w:hint="eastAsia" w:ascii="宋体" w:hAnsi="宋体" w:eastAsia="宋体" w:cs="宋体"/>
          <w:color w:val="auto"/>
          <w:kern w:val="0"/>
          <w:sz w:val="21"/>
          <w:szCs w:val="21"/>
          <w:highlight w:val="none"/>
          <w:u w:val="single"/>
          <w:lang w:val="en-US" w:eastAsia="zh-CN" w:bidi="ar"/>
        </w:rPr>
        <w:t xml:space="preserve"> 60 </w:t>
      </w:r>
      <w:r>
        <w:rPr>
          <w:rFonts w:hint="eastAsia" w:ascii="宋体" w:hAnsi="宋体" w:eastAsia="宋体" w:cs="宋体"/>
          <w:color w:val="auto"/>
          <w:kern w:val="0"/>
          <w:sz w:val="21"/>
          <w:szCs w:val="21"/>
          <w:highlight w:val="none"/>
          <w:lang w:val="en-US" w:eastAsia="zh-CN" w:bidi="ar"/>
        </w:rPr>
        <w:t xml:space="preserve">天，报请建设行政主管部门做不良行为记录，非承包方原因或不可抗力造成延误的除外。 </w:t>
      </w:r>
    </w:p>
    <w:p w14:paraId="1D423141">
      <w:pPr>
        <w:keepNext w:val="0"/>
        <w:keepLines w:val="0"/>
        <w:widowControl/>
        <w:suppressLineNumbers w:val="0"/>
        <w:spacing w:line="360" w:lineRule="auto"/>
        <w:jc w:val="left"/>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☑其他说明：</w:t>
      </w:r>
    </w:p>
    <w:p w14:paraId="2314480F">
      <w:pPr>
        <w:pStyle w:val="40"/>
        <w:snapToGrid w:val="0"/>
        <w:ind w:firstLine="422" w:firstLineChars="200"/>
        <w:rPr>
          <w:rFonts w:hint="default" w:ascii="Times New Roman" w:hAnsi="Times New Roman" w:eastAsia="宋体" w:cs="Times New Roman"/>
          <w:snapToGrid w:val="0"/>
          <w:color w:val="auto"/>
          <w:kern w:val="0"/>
          <w:sz w:val="21"/>
          <w:szCs w:val="21"/>
          <w:highlight w:val="none"/>
          <w:shd w:val="clear" w:color="auto" w:fill="auto"/>
        </w:rPr>
      </w:pPr>
      <w:r>
        <w:rPr>
          <w:rFonts w:hint="eastAsia" w:ascii="Times New Roman" w:hAnsi="Times New Roman" w:eastAsia="宋体" w:cs="Times New Roman"/>
          <w:b/>
          <w:bCs/>
          <w:snapToGrid w:val="0"/>
          <w:color w:val="auto"/>
          <w:kern w:val="0"/>
          <w:sz w:val="21"/>
          <w:szCs w:val="21"/>
          <w:highlight w:val="none"/>
          <w:lang w:val="en-US" w:eastAsia="zh-CN" w:bidi="ar-SA"/>
        </w:rPr>
        <w:t>4.4.5</w:t>
      </w:r>
      <w:r>
        <w:rPr>
          <w:rFonts w:hint="eastAsia" w:ascii="Times New Roman" w:cs="Times New Roman"/>
          <w:snapToGrid w:val="0"/>
          <w:color w:val="auto"/>
          <w:kern w:val="0"/>
          <w:sz w:val="21"/>
          <w:szCs w:val="21"/>
          <w:highlight w:val="none"/>
          <w:shd w:val="clear" w:color="auto" w:fill="auto"/>
          <w:lang w:eastAsia="zh-CN"/>
        </w:rPr>
        <w:t>承包人</w:t>
      </w:r>
      <w:r>
        <w:rPr>
          <w:rFonts w:hint="default" w:ascii="Times New Roman" w:hAnsi="Times New Roman" w:eastAsia="宋体" w:cs="Times New Roman"/>
          <w:snapToGrid w:val="0"/>
          <w:color w:val="auto"/>
          <w:kern w:val="0"/>
          <w:sz w:val="21"/>
          <w:szCs w:val="21"/>
          <w:highlight w:val="none"/>
          <w:shd w:val="clear" w:color="auto" w:fill="auto"/>
        </w:rPr>
        <w:t>应已详细了解本项目的前期工作，同时也应已勘察施工现场、周围环境、地形、地貌、水文、交通等情况。</w:t>
      </w:r>
      <w:r>
        <w:rPr>
          <w:rFonts w:hint="eastAsia" w:ascii="Times New Roman" w:cs="Times New Roman"/>
          <w:snapToGrid w:val="0"/>
          <w:color w:val="auto"/>
          <w:kern w:val="0"/>
          <w:sz w:val="21"/>
          <w:szCs w:val="21"/>
          <w:highlight w:val="none"/>
          <w:shd w:val="clear" w:color="auto" w:fill="auto"/>
          <w:lang w:eastAsia="zh-CN"/>
        </w:rPr>
        <w:t>承包人</w:t>
      </w:r>
      <w:r>
        <w:rPr>
          <w:rFonts w:hint="default" w:ascii="Times New Roman" w:hAnsi="Times New Roman" w:eastAsia="宋体" w:cs="Times New Roman"/>
          <w:snapToGrid w:val="0"/>
          <w:color w:val="auto"/>
          <w:kern w:val="0"/>
          <w:sz w:val="21"/>
          <w:szCs w:val="21"/>
          <w:highlight w:val="none"/>
          <w:shd w:val="clear" w:color="auto" w:fill="auto"/>
        </w:rPr>
        <w:t>投标报价应已充分考虑在施工中由于</w:t>
      </w:r>
      <w:r>
        <w:rPr>
          <w:rFonts w:hint="eastAsia" w:ascii="Times New Roman" w:cs="Times New Roman"/>
          <w:snapToGrid w:val="0"/>
          <w:color w:val="auto"/>
          <w:kern w:val="0"/>
          <w:sz w:val="21"/>
          <w:szCs w:val="21"/>
          <w:highlight w:val="none"/>
          <w:shd w:val="clear" w:color="auto" w:fill="auto"/>
          <w:lang w:eastAsia="zh-CN"/>
        </w:rPr>
        <w:t>发包人</w:t>
      </w:r>
      <w:r>
        <w:rPr>
          <w:rFonts w:hint="default" w:ascii="Times New Roman" w:hAnsi="Times New Roman" w:eastAsia="宋体" w:cs="Times New Roman"/>
          <w:snapToGrid w:val="0"/>
          <w:color w:val="auto"/>
          <w:kern w:val="0"/>
          <w:sz w:val="21"/>
          <w:szCs w:val="21"/>
          <w:highlight w:val="none"/>
          <w:shd w:val="clear" w:color="auto" w:fill="auto"/>
        </w:rPr>
        <w:t>原因造成停工或工期延误等因素所产生的相关费用，</w:t>
      </w:r>
      <w:r>
        <w:rPr>
          <w:rFonts w:hint="eastAsia" w:ascii="Times New Roman" w:cs="Times New Roman"/>
          <w:snapToGrid w:val="0"/>
          <w:color w:val="auto"/>
          <w:kern w:val="0"/>
          <w:sz w:val="21"/>
          <w:szCs w:val="21"/>
          <w:highlight w:val="none"/>
          <w:shd w:val="clear" w:color="auto" w:fill="auto"/>
          <w:lang w:eastAsia="zh-CN"/>
        </w:rPr>
        <w:t>发包人</w:t>
      </w:r>
      <w:r>
        <w:rPr>
          <w:rFonts w:hint="default" w:ascii="Times New Roman" w:hAnsi="Times New Roman" w:eastAsia="宋体" w:cs="Times New Roman"/>
          <w:snapToGrid w:val="0"/>
          <w:color w:val="auto"/>
          <w:kern w:val="0"/>
          <w:sz w:val="21"/>
          <w:szCs w:val="21"/>
          <w:highlight w:val="none"/>
          <w:shd w:val="clear" w:color="auto" w:fill="auto"/>
        </w:rPr>
        <w:t>不予另计费；</w:t>
      </w:r>
      <w:r>
        <w:rPr>
          <w:rFonts w:hint="eastAsia" w:ascii="Times New Roman" w:cs="Times New Roman"/>
          <w:snapToGrid w:val="0"/>
          <w:color w:val="auto"/>
          <w:kern w:val="0"/>
          <w:sz w:val="21"/>
          <w:szCs w:val="21"/>
          <w:highlight w:val="none"/>
          <w:shd w:val="clear" w:color="auto" w:fill="auto"/>
          <w:lang w:eastAsia="zh-CN"/>
        </w:rPr>
        <w:t>承包人</w:t>
      </w:r>
      <w:r>
        <w:rPr>
          <w:rFonts w:hint="default" w:ascii="Times New Roman" w:hAnsi="Times New Roman" w:eastAsia="宋体" w:cs="Times New Roman"/>
          <w:snapToGrid w:val="0"/>
          <w:color w:val="auto"/>
          <w:kern w:val="0"/>
          <w:sz w:val="21"/>
          <w:szCs w:val="21"/>
          <w:highlight w:val="none"/>
          <w:shd w:val="clear" w:color="auto" w:fill="auto"/>
        </w:rPr>
        <w:t>不得以不完全了解项目的前期工作及现场情况为理由，提出因外界因素造成停工或工期延误的额外付款要求；对此类要求，</w:t>
      </w:r>
      <w:r>
        <w:rPr>
          <w:rFonts w:hint="eastAsia" w:ascii="Times New Roman" w:cs="Times New Roman"/>
          <w:snapToGrid w:val="0"/>
          <w:color w:val="auto"/>
          <w:kern w:val="0"/>
          <w:sz w:val="21"/>
          <w:szCs w:val="21"/>
          <w:highlight w:val="none"/>
          <w:shd w:val="clear" w:color="auto" w:fill="auto"/>
          <w:lang w:eastAsia="zh-CN"/>
        </w:rPr>
        <w:t>发包人</w:t>
      </w:r>
      <w:r>
        <w:rPr>
          <w:rFonts w:hint="default" w:ascii="Times New Roman" w:hAnsi="Times New Roman" w:eastAsia="宋体" w:cs="Times New Roman"/>
          <w:snapToGrid w:val="0"/>
          <w:color w:val="auto"/>
          <w:kern w:val="0"/>
          <w:sz w:val="21"/>
          <w:szCs w:val="21"/>
          <w:highlight w:val="none"/>
          <w:shd w:val="clear" w:color="auto" w:fill="auto"/>
        </w:rPr>
        <w:t>不</w:t>
      </w:r>
      <w:r>
        <w:rPr>
          <w:rFonts w:hint="default" w:ascii="Times New Roman" w:hAnsi="Times New Roman" w:eastAsia="宋体" w:cs="Times New Roman"/>
          <w:snapToGrid w:val="0"/>
          <w:color w:val="auto"/>
          <w:kern w:val="0"/>
          <w:sz w:val="21"/>
          <w:szCs w:val="21"/>
          <w:highlight w:val="none"/>
          <w:shd w:val="clear" w:color="auto" w:fill="auto"/>
          <w:lang w:eastAsia="zh-CN"/>
        </w:rPr>
        <w:t>做</w:t>
      </w:r>
      <w:r>
        <w:rPr>
          <w:rFonts w:hint="default" w:ascii="Times New Roman" w:hAnsi="Times New Roman" w:eastAsia="宋体" w:cs="Times New Roman"/>
          <w:snapToGrid w:val="0"/>
          <w:color w:val="auto"/>
          <w:kern w:val="0"/>
          <w:sz w:val="21"/>
          <w:szCs w:val="21"/>
          <w:highlight w:val="none"/>
          <w:shd w:val="clear" w:color="auto" w:fill="auto"/>
        </w:rPr>
        <w:t>任何考虑及答复。</w:t>
      </w:r>
    </w:p>
    <w:p w14:paraId="790A39F2">
      <w:pPr>
        <w:pStyle w:val="40"/>
        <w:wordWrap w:val="0"/>
        <w:adjustRightInd w:val="0"/>
        <w:snapToGrid w:val="0"/>
        <w:spacing w:line="360" w:lineRule="auto"/>
        <w:ind w:firstLine="560"/>
        <w:rPr>
          <w:rFonts w:hint="eastAsia" w:hAnsi="宋体"/>
          <w:b/>
          <w:bCs/>
          <w:color w:val="auto"/>
          <w:sz w:val="21"/>
          <w:szCs w:val="21"/>
          <w:highlight w:val="none"/>
          <w:shd w:val="clear" w:color="auto" w:fill="FFFFFF"/>
        </w:rPr>
      </w:pPr>
      <w:r>
        <w:rPr>
          <w:rFonts w:hint="eastAsia" w:ascii="Times New Roman" w:hAnsi="Times New Roman" w:eastAsia="宋体" w:cs="Times New Roman"/>
          <w:b/>
          <w:bCs/>
          <w:snapToGrid w:val="0"/>
          <w:color w:val="auto"/>
          <w:kern w:val="0"/>
          <w:sz w:val="21"/>
          <w:szCs w:val="21"/>
          <w:highlight w:val="none"/>
          <w:shd w:val="clear" w:color="auto" w:fill="auto"/>
          <w:lang w:val="en-US" w:eastAsia="zh-CN"/>
        </w:rPr>
        <w:t>4.4.6</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应当清楚并充分预计</w:t>
      </w:r>
      <w:r>
        <w:rPr>
          <w:rFonts w:hint="eastAsia" w:hAnsi="宋体"/>
          <w:color w:val="auto"/>
          <w:sz w:val="21"/>
          <w:szCs w:val="21"/>
          <w:highlight w:val="none"/>
          <w:shd w:val="clear" w:color="auto" w:fill="FFFFFF"/>
          <w:lang w:eastAsia="zh-CN"/>
        </w:rPr>
        <w:t>到</w:t>
      </w:r>
      <w:r>
        <w:rPr>
          <w:rFonts w:hint="eastAsia" w:hAnsi="宋体"/>
          <w:color w:val="auto"/>
          <w:sz w:val="21"/>
          <w:szCs w:val="21"/>
          <w:highlight w:val="none"/>
          <w:shd w:val="clear" w:color="auto" w:fill="FFFFFF"/>
        </w:rPr>
        <w:t>工程前期施工场地征地拆迁工作的各种困难及其对工程进展的不利影响，甚至是严重影响。对此，</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应积极主动做好协调、配合工作，并尽量创造各种条件和采取各种有效措施，以确保项目顺利推进及工期目标的实现。这种困难或影响不能免除</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对工期目标未能实现的责任，并不得以此为理由要求顺延工期或增加各种费用，但由此产生的工期延误</w:t>
      </w:r>
      <w:r>
        <w:rPr>
          <w:rFonts w:hint="eastAsia" w:hAnsi="宋体"/>
          <w:color w:val="auto"/>
          <w:sz w:val="21"/>
          <w:szCs w:val="21"/>
          <w:highlight w:val="none"/>
          <w:shd w:val="clear" w:color="auto" w:fill="FFFFFF"/>
          <w:lang w:eastAsia="zh-CN"/>
        </w:rPr>
        <w:t>发包人</w:t>
      </w:r>
      <w:r>
        <w:rPr>
          <w:rFonts w:hint="eastAsia" w:hAnsi="宋体"/>
          <w:color w:val="auto"/>
          <w:sz w:val="21"/>
          <w:szCs w:val="21"/>
          <w:highlight w:val="none"/>
          <w:shd w:val="clear" w:color="auto" w:fill="FFFFFF"/>
        </w:rPr>
        <w:t>可不向</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提出索赔。</w:t>
      </w:r>
    </w:p>
    <w:p w14:paraId="0B113B49">
      <w:pPr>
        <w:pStyle w:val="40"/>
        <w:snapToGrid w:val="0"/>
        <w:ind w:firstLine="422" w:firstLineChars="200"/>
        <w:rPr>
          <w:rFonts w:hint="default"/>
          <w:color w:val="auto"/>
          <w:sz w:val="21"/>
          <w:szCs w:val="21"/>
          <w:highlight w:val="none"/>
          <w:lang w:val="en-US"/>
        </w:rPr>
      </w:pPr>
      <w:r>
        <w:rPr>
          <w:rFonts w:hint="eastAsia" w:ascii="Times New Roman" w:hAnsi="Times New Roman" w:eastAsia="宋体" w:cs="Times New Roman"/>
          <w:b/>
          <w:bCs/>
          <w:snapToGrid w:val="0"/>
          <w:color w:val="auto"/>
          <w:kern w:val="0"/>
          <w:sz w:val="21"/>
          <w:szCs w:val="21"/>
          <w:highlight w:val="none"/>
          <w:shd w:val="clear" w:color="auto" w:fill="auto"/>
          <w:lang w:val="en-US" w:eastAsia="zh-CN"/>
        </w:rPr>
        <w:t>4.4.7</w:t>
      </w:r>
      <w:r>
        <w:rPr>
          <w:rFonts w:hint="default" w:ascii="Times New Roman" w:hAnsi="Times New Roman" w:eastAsia="宋体" w:cs="Times New Roman"/>
          <w:snapToGrid w:val="0"/>
          <w:color w:val="auto"/>
          <w:kern w:val="0"/>
          <w:sz w:val="21"/>
          <w:szCs w:val="21"/>
          <w:highlight w:val="none"/>
          <w:shd w:val="clear" w:color="auto" w:fill="auto"/>
        </w:rPr>
        <w:t>如因</w:t>
      </w:r>
      <w:r>
        <w:rPr>
          <w:rFonts w:hint="eastAsia" w:ascii="Times New Roman" w:cs="Times New Roman"/>
          <w:snapToGrid w:val="0"/>
          <w:color w:val="auto"/>
          <w:kern w:val="0"/>
          <w:sz w:val="21"/>
          <w:szCs w:val="21"/>
          <w:highlight w:val="none"/>
          <w:shd w:val="clear" w:color="auto" w:fill="auto"/>
          <w:lang w:eastAsia="zh-CN"/>
        </w:rPr>
        <w:t>发包人</w:t>
      </w:r>
      <w:r>
        <w:rPr>
          <w:rFonts w:hint="default" w:ascii="Times New Roman" w:hAnsi="Times New Roman" w:eastAsia="宋体" w:cs="Times New Roman"/>
          <w:snapToGrid w:val="0"/>
          <w:color w:val="auto"/>
          <w:kern w:val="0"/>
          <w:sz w:val="21"/>
          <w:szCs w:val="21"/>
          <w:highlight w:val="none"/>
          <w:shd w:val="clear" w:color="auto" w:fill="auto"/>
        </w:rPr>
        <w:t>原因（自然灾害等不可抗力因素除外），项目不能按期开工，或开工后全部停滞，工期按相关规定予以顺延。停工发生后，若可复工时，</w:t>
      </w:r>
      <w:r>
        <w:rPr>
          <w:rFonts w:hint="eastAsia" w:ascii="Times New Roman" w:cs="Times New Roman"/>
          <w:snapToGrid w:val="0"/>
          <w:color w:val="auto"/>
          <w:kern w:val="0"/>
          <w:sz w:val="21"/>
          <w:szCs w:val="21"/>
          <w:highlight w:val="none"/>
          <w:shd w:val="clear" w:color="auto" w:fill="auto"/>
          <w:lang w:eastAsia="zh-CN"/>
        </w:rPr>
        <w:t>承包人</w:t>
      </w:r>
      <w:r>
        <w:rPr>
          <w:rFonts w:hint="default" w:ascii="Times New Roman" w:hAnsi="Times New Roman" w:eastAsia="宋体" w:cs="Times New Roman"/>
          <w:snapToGrid w:val="0"/>
          <w:color w:val="auto"/>
          <w:kern w:val="0"/>
          <w:sz w:val="21"/>
          <w:szCs w:val="21"/>
          <w:highlight w:val="none"/>
          <w:shd w:val="clear" w:color="auto" w:fill="auto"/>
        </w:rPr>
        <w:t>应在收到</w:t>
      </w:r>
      <w:r>
        <w:rPr>
          <w:rFonts w:hint="eastAsia" w:ascii="Times New Roman" w:cs="Times New Roman"/>
          <w:snapToGrid w:val="0"/>
          <w:color w:val="auto"/>
          <w:kern w:val="0"/>
          <w:sz w:val="21"/>
          <w:szCs w:val="21"/>
          <w:highlight w:val="none"/>
          <w:shd w:val="clear" w:color="auto" w:fill="auto"/>
          <w:lang w:eastAsia="zh-CN"/>
        </w:rPr>
        <w:t>发包人</w:t>
      </w:r>
      <w:r>
        <w:rPr>
          <w:rFonts w:hint="default" w:ascii="Times New Roman" w:hAnsi="Times New Roman" w:eastAsia="宋体" w:cs="Times New Roman"/>
          <w:snapToGrid w:val="0"/>
          <w:color w:val="auto"/>
          <w:kern w:val="0"/>
          <w:sz w:val="21"/>
          <w:szCs w:val="21"/>
          <w:highlight w:val="none"/>
          <w:shd w:val="clear" w:color="auto" w:fill="auto"/>
        </w:rPr>
        <w:t>发出的复工通知书后3日内开始复工。</w:t>
      </w:r>
    </w:p>
    <w:p w14:paraId="1E5D787F">
      <w:pPr>
        <w:wordWrap w:val="0"/>
        <w:autoSpaceDE/>
        <w:autoSpaceDN/>
        <w:snapToGrid w:val="0"/>
        <w:spacing w:line="360" w:lineRule="auto"/>
        <w:ind w:firstLine="480"/>
        <w:jc w:val="both"/>
        <w:outlineLvl w:val="9"/>
        <w:rPr>
          <w:rFonts w:hint="eastAsia" w:ascii="Times New Roman"/>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4.5</w:t>
      </w:r>
      <w:r>
        <w:rPr>
          <w:rFonts w:hint="eastAsia" w:ascii="Times New Roman"/>
          <w:b/>
          <w:strike w:val="0"/>
          <w:dstrike w:val="0"/>
          <w:snapToGrid w:val="0"/>
          <w:color w:val="auto"/>
          <w:sz w:val="21"/>
          <w:szCs w:val="21"/>
          <w:highlight w:val="none"/>
        </w:rPr>
        <w:t>．项目管理机构</w:t>
      </w:r>
    </w:p>
    <w:p w14:paraId="35EDD222">
      <w:pPr>
        <w:wordWrap w:val="0"/>
        <w:adjustRightInd w:val="0"/>
        <w:snapToGrid w:val="0"/>
        <w:spacing w:line="360" w:lineRule="auto"/>
        <w:ind w:firstLine="420" w:firstLineChars="200"/>
        <w:rPr>
          <w:rFonts w:hint="eastAsia" w:ascii="Times New Roman"/>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4.5</w:t>
      </w:r>
      <w:r>
        <w:rPr>
          <w:rFonts w:hint="eastAsia" w:ascii="Times New Roman"/>
          <w:b/>
          <w:bCs/>
          <w:strike w:val="0"/>
          <w:dstrike w:val="0"/>
          <w:snapToGrid w:val="0"/>
          <w:color w:val="auto"/>
          <w:kern w:val="0"/>
          <w:sz w:val="21"/>
          <w:szCs w:val="21"/>
          <w:highlight w:val="none"/>
        </w:rPr>
        <w:t>.1</w:t>
      </w:r>
      <w:r>
        <w:rPr>
          <w:rFonts w:hint="eastAsia" w:ascii="Times New Roman"/>
          <w:strike w:val="0"/>
          <w:dstrike w:val="0"/>
          <w:snapToGrid w:val="0"/>
          <w:color w:val="auto"/>
          <w:kern w:val="0"/>
          <w:sz w:val="21"/>
          <w:szCs w:val="21"/>
          <w:highlight w:val="none"/>
        </w:rPr>
        <w:t xml:space="preserve"> 承包人派驻的项目管理班子成员必须为其投标文件确定的人员，否则发包人有权终止合同。</w:t>
      </w:r>
    </w:p>
    <w:p w14:paraId="14506E33">
      <w:pPr>
        <w:wordWrap w:val="0"/>
        <w:adjustRightInd w:val="0"/>
        <w:snapToGrid w:val="0"/>
        <w:spacing w:line="360" w:lineRule="auto"/>
        <w:ind w:firstLine="560"/>
        <w:rPr>
          <w:rFonts w:hint="eastAsia" w:ascii="Times New Roman"/>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4.5</w:t>
      </w:r>
      <w:r>
        <w:rPr>
          <w:rFonts w:hint="eastAsia" w:ascii="Times New Roman"/>
          <w:b/>
          <w:bCs/>
          <w:strike w:val="0"/>
          <w:dstrike w:val="0"/>
          <w:snapToGrid w:val="0"/>
          <w:color w:val="auto"/>
          <w:kern w:val="0"/>
          <w:sz w:val="21"/>
          <w:szCs w:val="21"/>
          <w:highlight w:val="none"/>
        </w:rPr>
        <w:t>.2</w:t>
      </w:r>
      <w:r>
        <w:rPr>
          <w:rFonts w:hint="eastAsia" w:ascii="Times New Roman"/>
          <w:strike w:val="0"/>
          <w:dstrike w:val="0"/>
          <w:snapToGrid w:val="0"/>
          <w:color w:val="auto"/>
          <w:kern w:val="0"/>
          <w:sz w:val="21"/>
          <w:szCs w:val="21"/>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159804B5">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4.6</w:t>
      </w:r>
      <w:r>
        <w:rPr>
          <w:rFonts w:hint="eastAsia" w:ascii="Times New Roman"/>
          <w:b/>
          <w:strike w:val="0"/>
          <w:dstrike w:val="0"/>
          <w:snapToGrid w:val="0"/>
          <w:color w:val="auto"/>
          <w:sz w:val="21"/>
          <w:szCs w:val="21"/>
          <w:highlight w:val="none"/>
        </w:rPr>
        <w:t>．现场管理</w:t>
      </w:r>
    </w:p>
    <w:p w14:paraId="0422EAC6">
      <w:pPr>
        <w:wordWrap w:val="0"/>
        <w:adjustRightInd w:val="0"/>
        <w:snapToGrid w:val="0"/>
        <w:spacing w:line="360" w:lineRule="auto"/>
        <w:ind w:firstLine="420" w:firstLineChars="200"/>
        <w:outlineLvl w:val="9"/>
        <w:rPr>
          <w:rFonts w:hint="eastAsia" w:ascii="Times New Roman"/>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4.6</w:t>
      </w:r>
      <w:r>
        <w:rPr>
          <w:rFonts w:hint="eastAsia" w:ascii="Times New Roman"/>
          <w:b/>
          <w:bCs/>
          <w:strike w:val="0"/>
          <w:dstrike w:val="0"/>
          <w:snapToGrid w:val="0"/>
          <w:color w:val="auto"/>
          <w:kern w:val="0"/>
          <w:sz w:val="21"/>
          <w:szCs w:val="21"/>
          <w:highlight w:val="none"/>
        </w:rPr>
        <w:t>1</w:t>
      </w:r>
      <w:r>
        <w:rPr>
          <w:rFonts w:hint="eastAsia" w:ascii="Times New Roman"/>
          <w:strike w:val="0"/>
          <w:dstrike w:val="0"/>
          <w:snapToGrid w:val="0"/>
          <w:color w:val="auto"/>
          <w:kern w:val="0"/>
          <w:sz w:val="21"/>
          <w:szCs w:val="21"/>
          <w:highlight w:val="none"/>
        </w:rPr>
        <w:t xml:space="preserve"> 承包人在施工期间应严格遵守国家、广东省、韶关市有关绿色施工、文明施工、</w:t>
      </w:r>
      <w:r>
        <w:rPr>
          <w:rFonts w:hint="eastAsia" w:ascii="Times New Roman" w:eastAsia="宋体"/>
          <w:strike w:val="0"/>
          <w:dstrike w:val="0"/>
          <w:snapToGrid w:val="0"/>
          <w:color w:val="auto"/>
          <w:kern w:val="0"/>
          <w:sz w:val="21"/>
          <w:szCs w:val="21"/>
          <w:highlight w:val="none"/>
          <w:lang w:eastAsia="zh-CN"/>
        </w:rPr>
        <w:t>噪声</w:t>
      </w:r>
      <w:r>
        <w:rPr>
          <w:rFonts w:hint="eastAsia" w:ascii="Times New Roman"/>
          <w:strike w:val="0"/>
          <w:dstrike w:val="0"/>
          <w:snapToGrid w:val="0"/>
          <w:color w:val="auto"/>
          <w:kern w:val="0"/>
          <w:sz w:val="21"/>
          <w:szCs w:val="21"/>
          <w:highlight w:val="none"/>
        </w:rPr>
        <w:t>扬尘、消防爆破、环境卫生、渣土清运、治安保卫等方面的规定，并建立相应规章制度和保障措施。否则由此造成的经济损失和法律责任，均由承包人承担。</w:t>
      </w:r>
    </w:p>
    <w:p w14:paraId="4FB25B26">
      <w:pPr>
        <w:wordWrap w:val="0"/>
        <w:adjustRightInd w:val="0"/>
        <w:snapToGrid w:val="0"/>
        <w:spacing w:line="360" w:lineRule="auto"/>
        <w:ind w:firstLine="420" w:firstLineChars="200"/>
        <w:outlineLvl w:val="9"/>
        <w:rPr>
          <w:rFonts w:hint="eastAsia" w:ascii="Times New Roman"/>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4.6</w:t>
      </w:r>
      <w:r>
        <w:rPr>
          <w:rFonts w:hint="eastAsia" w:ascii="Times New Roman"/>
          <w:b/>
          <w:bCs/>
          <w:strike w:val="0"/>
          <w:dstrike w:val="0"/>
          <w:snapToGrid w:val="0"/>
          <w:color w:val="auto"/>
          <w:kern w:val="0"/>
          <w:sz w:val="21"/>
          <w:szCs w:val="21"/>
          <w:highlight w:val="none"/>
        </w:rPr>
        <w:t>.2</w:t>
      </w:r>
      <w:r>
        <w:rPr>
          <w:rFonts w:hint="eastAsia" w:ascii="Times New Roman"/>
          <w:strike w:val="0"/>
          <w:dstrike w:val="0"/>
          <w:snapToGrid w:val="0"/>
          <w:color w:val="auto"/>
          <w:kern w:val="0"/>
          <w:sz w:val="21"/>
          <w:szCs w:val="21"/>
          <w:highlight w:val="none"/>
        </w:rPr>
        <w:t xml:space="preserve"> 承包人应按安全施工有关规定，采取严格、科学的安全防护措施，确保施工和人员（包括第三者）的安全，</w:t>
      </w:r>
      <w:r>
        <w:rPr>
          <w:rFonts w:hint="eastAsia" w:ascii="Times New Roman" w:eastAsia="宋体"/>
          <w:strike w:val="0"/>
          <w:dstrike w:val="0"/>
          <w:snapToGrid w:val="0"/>
          <w:color w:val="auto"/>
          <w:kern w:val="0"/>
          <w:sz w:val="21"/>
          <w:szCs w:val="21"/>
          <w:highlight w:val="none"/>
          <w:lang w:eastAsia="zh-CN"/>
        </w:rPr>
        <w:t>承担由自身</w:t>
      </w:r>
      <w:r>
        <w:rPr>
          <w:rFonts w:hint="eastAsia" w:ascii="Times New Roman"/>
          <w:strike w:val="0"/>
          <w:dstrike w:val="0"/>
          <w:snapToGrid w:val="0"/>
          <w:color w:val="auto"/>
          <w:kern w:val="0"/>
          <w:sz w:val="21"/>
          <w:szCs w:val="21"/>
          <w:highlight w:val="none"/>
        </w:rPr>
        <w:t>安全防护措施不力所造成的安全事故责任和发生的费用。</w:t>
      </w:r>
    </w:p>
    <w:p w14:paraId="3888B6C1">
      <w:pPr>
        <w:wordWrap w:val="0"/>
        <w:adjustRightInd w:val="0"/>
        <w:snapToGrid w:val="0"/>
        <w:spacing w:line="360" w:lineRule="auto"/>
        <w:ind w:firstLine="420" w:firstLineChars="200"/>
        <w:outlineLvl w:val="9"/>
        <w:rPr>
          <w:rFonts w:hint="eastAsia" w:ascii="Times New Roman"/>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4.6.</w:t>
      </w:r>
      <w:r>
        <w:rPr>
          <w:rFonts w:hint="eastAsia" w:ascii="Times New Roman"/>
          <w:b/>
          <w:bCs/>
          <w:strike w:val="0"/>
          <w:dstrike w:val="0"/>
          <w:snapToGrid w:val="0"/>
          <w:color w:val="auto"/>
          <w:kern w:val="0"/>
          <w:sz w:val="21"/>
          <w:szCs w:val="21"/>
          <w:highlight w:val="none"/>
        </w:rPr>
        <w:t>3</w:t>
      </w:r>
      <w:r>
        <w:rPr>
          <w:rFonts w:hint="eastAsia" w:ascii="Times New Roman"/>
          <w:strike w:val="0"/>
          <w:dstrike w:val="0"/>
          <w:snapToGrid w:val="0"/>
          <w:color w:val="auto"/>
          <w:kern w:val="0"/>
          <w:sz w:val="21"/>
          <w:szCs w:val="21"/>
          <w:highlight w:val="none"/>
        </w:rPr>
        <w:t xml:space="preserve"> 为保证施工现场的环境卫生，承包人在本招标项目施工过程中，所有的车辆必须按发包人规定的行车路线行驶。</w:t>
      </w:r>
    </w:p>
    <w:p w14:paraId="20A66BC7">
      <w:pPr>
        <w:pStyle w:val="16"/>
        <w:spacing w:line="360" w:lineRule="auto"/>
        <w:rPr>
          <w:rFonts w:hint="eastAsia" w:hAnsi="宋体"/>
          <w:color w:val="auto"/>
          <w:sz w:val="21"/>
          <w:szCs w:val="21"/>
          <w:highlight w:val="none"/>
          <w:shd w:val="clear" w:color="auto" w:fill="FFFFFF"/>
        </w:rPr>
      </w:pPr>
      <w:r>
        <w:rPr>
          <w:rFonts w:hint="eastAsia" w:ascii="Times New Roman" w:hAnsi="Times New Roman" w:eastAsia="宋体" w:cs="Times New Roman"/>
          <w:b/>
          <w:bCs/>
          <w:strike w:val="0"/>
          <w:dstrike w:val="0"/>
          <w:snapToGrid w:val="0"/>
          <w:color w:val="auto"/>
          <w:kern w:val="0"/>
          <w:sz w:val="21"/>
          <w:szCs w:val="21"/>
          <w:highlight w:val="none"/>
          <w:lang w:val="en-US" w:eastAsia="zh-CN"/>
        </w:rPr>
        <w:t>4.6.4</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应充分考虑施工对接情况，为</w:t>
      </w:r>
      <w:r>
        <w:rPr>
          <w:rFonts w:hint="eastAsia" w:hAnsi="宋体"/>
          <w:color w:val="auto"/>
          <w:sz w:val="21"/>
          <w:szCs w:val="21"/>
          <w:highlight w:val="none"/>
          <w:shd w:val="clear" w:color="auto" w:fill="FFFFFF"/>
          <w:lang w:eastAsia="zh-CN"/>
        </w:rPr>
        <w:t>本工程</w:t>
      </w:r>
      <w:r>
        <w:rPr>
          <w:rFonts w:hint="eastAsia" w:hAnsi="宋体"/>
          <w:color w:val="auto"/>
          <w:sz w:val="21"/>
          <w:szCs w:val="21"/>
          <w:highlight w:val="none"/>
          <w:shd w:val="clear" w:color="auto" w:fill="FFFFFF"/>
        </w:rPr>
        <w:t>的其他参建单位提供工作便利、配合及服务（如水源、电源接口等），并有针对性地组织施工；</w:t>
      </w:r>
      <w:r>
        <w:rPr>
          <w:rFonts w:hint="eastAsia" w:hAnsi="宋体"/>
          <w:color w:val="auto"/>
          <w:sz w:val="21"/>
          <w:szCs w:val="21"/>
          <w:highlight w:val="none"/>
          <w:shd w:val="clear" w:color="auto" w:fill="FFFFFF"/>
          <w:lang w:eastAsia="zh-CN"/>
        </w:rPr>
        <w:t>承包人与</w:t>
      </w:r>
      <w:r>
        <w:rPr>
          <w:rFonts w:hint="eastAsia" w:hAnsi="宋体"/>
          <w:color w:val="auto"/>
          <w:sz w:val="21"/>
          <w:szCs w:val="21"/>
          <w:highlight w:val="none"/>
          <w:shd w:val="clear" w:color="auto" w:fill="FFFFFF"/>
        </w:rPr>
        <w:t>本</w:t>
      </w:r>
      <w:r>
        <w:rPr>
          <w:rFonts w:hint="eastAsia" w:hAnsi="宋体"/>
          <w:color w:val="auto"/>
          <w:sz w:val="21"/>
          <w:szCs w:val="21"/>
          <w:highlight w:val="none"/>
          <w:shd w:val="clear" w:color="auto" w:fill="FFFFFF"/>
          <w:lang w:eastAsia="zh-CN"/>
        </w:rPr>
        <w:t>工程</w:t>
      </w:r>
      <w:r>
        <w:rPr>
          <w:rFonts w:hint="eastAsia" w:hAnsi="宋体"/>
          <w:color w:val="auto"/>
          <w:sz w:val="21"/>
          <w:szCs w:val="21"/>
          <w:highlight w:val="none"/>
          <w:shd w:val="clear" w:color="auto" w:fill="FFFFFF"/>
        </w:rPr>
        <w:t>的其他参建单位就协调、配合、服务等不能达成一致的，由监理工程师协调，并遵照监理工程师指令执行；</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应负责统筹安排本</w:t>
      </w:r>
      <w:r>
        <w:rPr>
          <w:rFonts w:hint="eastAsia" w:hAnsi="宋体"/>
          <w:color w:val="auto"/>
          <w:sz w:val="21"/>
          <w:szCs w:val="21"/>
          <w:highlight w:val="none"/>
          <w:shd w:val="clear" w:color="auto" w:fill="FFFFFF"/>
          <w:lang w:eastAsia="zh-CN"/>
        </w:rPr>
        <w:t>工程</w:t>
      </w:r>
      <w:r>
        <w:rPr>
          <w:rFonts w:hint="eastAsia" w:hAnsi="宋体"/>
          <w:color w:val="auto"/>
          <w:sz w:val="21"/>
          <w:szCs w:val="21"/>
          <w:highlight w:val="none"/>
          <w:shd w:val="clear" w:color="auto" w:fill="FFFFFF"/>
        </w:rPr>
        <w:t>范围内的各项工程的协调与配合，确保工程建设有序进行。</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由此增加的费用应认为已包括在</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的投标报价之中，</w:t>
      </w:r>
      <w:r>
        <w:rPr>
          <w:rFonts w:hint="eastAsia" w:hAnsi="宋体"/>
          <w:color w:val="auto"/>
          <w:sz w:val="21"/>
          <w:szCs w:val="21"/>
          <w:highlight w:val="none"/>
          <w:shd w:val="clear" w:color="auto" w:fill="FFFFFF"/>
          <w:lang w:eastAsia="zh-CN"/>
        </w:rPr>
        <w:t>发包人</w:t>
      </w:r>
      <w:r>
        <w:rPr>
          <w:rFonts w:hint="eastAsia" w:hAnsi="宋体"/>
          <w:color w:val="auto"/>
          <w:sz w:val="21"/>
          <w:szCs w:val="21"/>
          <w:highlight w:val="none"/>
          <w:shd w:val="clear" w:color="auto" w:fill="FFFFFF"/>
        </w:rPr>
        <w:t>不另行支付。</w:t>
      </w:r>
    </w:p>
    <w:p w14:paraId="216902CE">
      <w:pPr>
        <w:pStyle w:val="16"/>
        <w:spacing w:line="360" w:lineRule="auto"/>
        <w:rPr>
          <w:rFonts w:hint="eastAsia" w:ascii="宋体" w:hAnsi="宋体" w:eastAsia="宋体" w:cs="Times New Roman"/>
          <w:color w:val="auto"/>
          <w:sz w:val="21"/>
          <w:szCs w:val="21"/>
          <w:highlight w:val="none"/>
          <w:shd w:val="clear" w:color="auto" w:fill="FFFFFF"/>
        </w:rPr>
      </w:pPr>
      <w:r>
        <w:rPr>
          <w:rFonts w:hint="eastAsia" w:ascii="Times New Roman" w:hAnsi="Times New Roman" w:eastAsia="宋体" w:cs="Times New Roman"/>
          <w:b/>
          <w:bCs/>
          <w:snapToGrid w:val="0"/>
          <w:color w:val="auto"/>
          <w:kern w:val="0"/>
          <w:sz w:val="21"/>
          <w:szCs w:val="21"/>
          <w:highlight w:val="none"/>
          <w:shd w:val="clear" w:color="auto" w:fill="auto"/>
          <w:lang w:val="en-US" w:eastAsia="zh-CN"/>
        </w:rPr>
        <w:t>4.6.5</w:t>
      </w:r>
      <w:r>
        <w:rPr>
          <w:rFonts w:hint="eastAsia" w:ascii="宋体" w:hAnsi="宋体" w:eastAsia="宋体" w:cs="Times New Roman"/>
          <w:color w:val="auto"/>
          <w:sz w:val="21"/>
          <w:szCs w:val="21"/>
          <w:highlight w:val="none"/>
          <w:shd w:val="clear" w:color="auto" w:fill="FFFFFF"/>
        </w:rPr>
        <w:t>施工现场采取覆盖、洒水和专人清扫等措施，确保不扬尘、不泥泞；施工现场配备洒水设备，进行喷水抑尘。必须做到韶关市住房和城乡建设管理局所要求的绿色文明施工要求。</w:t>
      </w:r>
    </w:p>
    <w:p w14:paraId="51B2F55B">
      <w:pPr>
        <w:pStyle w:val="16"/>
        <w:spacing w:line="360" w:lineRule="auto"/>
        <w:rPr>
          <w:rFonts w:hint="eastAsia" w:hAnsi="宋体"/>
          <w:color w:val="auto"/>
          <w:sz w:val="21"/>
          <w:szCs w:val="21"/>
          <w:highlight w:val="none"/>
          <w:shd w:val="clear" w:color="auto" w:fill="FFFFFF"/>
        </w:rPr>
      </w:pPr>
      <w:r>
        <w:rPr>
          <w:rFonts w:hint="eastAsia" w:ascii="Times New Roman" w:hAnsi="Times New Roman" w:eastAsia="宋体" w:cs="Times New Roman"/>
          <w:b/>
          <w:bCs/>
          <w:snapToGrid w:val="0"/>
          <w:color w:val="auto"/>
          <w:kern w:val="0"/>
          <w:sz w:val="21"/>
          <w:szCs w:val="21"/>
          <w:highlight w:val="none"/>
          <w:shd w:val="clear" w:color="auto" w:fill="auto"/>
          <w:lang w:val="en-US" w:eastAsia="zh-CN"/>
        </w:rPr>
        <w:t>4.6.6</w:t>
      </w:r>
      <w:r>
        <w:rPr>
          <w:rFonts w:hint="eastAsia" w:hAnsi="宋体"/>
          <w:color w:val="auto"/>
          <w:sz w:val="21"/>
          <w:szCs w:val="21"/>
          <w:highlight w:val="none"/>
          <w:shd w:val="clear" w:color="auto" w:fill="FFFFFF"/>
        </w:rPr>
        <w:t>由</w:t>
      </w:r>
      <w:r>
        <w:rPr>
          <w:rFonts w:hint="eastAsia" w:hAnsi="宋体"/>
          <w:color w:val="auto"/>
          <w:sz w:val="21"/>
          <w:szCs w:val="21"/>
          <w:highlight w:val="none"/>
          <w:shd w:val="clear" w:color="auto" w:fill="FFFFFF"/>
          <w:lang w:val="en-US" w:eastAsia="zh-CN"/>
        </w:rPr>
        <w:t>承包</w:t>
      </w:r>
      <w:r>
        <w:rPr>
          <w:rFonts w:hint="eastAsia" w:hAnsi="宋体"/>
          <w:color w:val="auto"/>
          <w:sz w:val="21"/>
          <w:szCs w:val="21"/>
          <w:highlight w:val="none"/>
          <w:shd w:val="clear" w:color="auto" w:fill="FFFFFF"/>
        </w:rPr>
        <w:t>人全面负责所有留在现场上的人员的安全，保护其</w:t>
      </w:r>
      <w:r>
        <w:rPr>
          <w:rFonts w:hint="eastAsia" w:hAnsi="宋体"/>
          <w:color w:val="auto"/>
          <w:sz w:val="21"/>
          <w:szCs w:val="21"/>
          <w:highlight w:val="none"/>
          <w:shd w:val="clear" w:color="auto" w:fill="FFFFFF"/>
          <w:lang w:val="en-US" w:eastAsia="zh-CN"/>
        </w:rPr>
        <w:t>管辖辖区</w:t>
      </w:r>
      <w:r>
        <w:rPr>
          <w:rFonts w:hint="eastAsia" w:hAnsi="宋体"/>
          <w:color w:val="auto"/>
          <w:sz w:val="21"/>
          <w:szCs w:val="21"/>
          <w:highlight w:val="none"/>
          <w:shd w:val="clear" w:color="auto" w:fill="FFFFFF"/>
        </w:rPr>
        <w:t>范围的现场（包括某些尚未完工的和</w:t>
      </w:r>
      <w:r>
        <w:rPr>
          <w:rFonts w:hint="eastAsia" w:hAnsi="宋体"/>
          <w:color w:val="auto"/>
          <w:sz w:val="21"/>
          <w:szCs w:val="21"/>
          <w:highlight w:val="none"/>
          <w:shd w:val="clear" w:color="auto" w:fill="FFFFFF"/>
          <w:lang w:val="en-US" w:eastAsia="zh-CN"/>
        </w:rPr>
        <w:t>发包</w:t>
      </w:r>
      <w:r>
        <w:rPr>
          <w:rFonts w:hint="eastAsia" w:hAnsi="宋体"/>
          <w:color w:val="auto"/>
          <w:sz w:val="21"/>
          <w:szCs w:val="21"/>
          <w:highlight w:val="none"/>
          <w:shd w:val="clear" w:color="auto" w:fill="FFFFFF"/>
        </w:rPr>
        <w:t>人尚未接管的工程）处于有条不紊和良好的状态。</w:t>
      </w:r>
    </w:p>
    <w:p w14:paraId="0AA5CE98">
      <w:pPr>
        <w:pStyle w:val="16"/>
        <w:spacing w:line="360" w:lineRule="auto"/>
        <w:rPr>
          <w:rFonts w:hint="eastAsia" w:hAnsi="宋体"/>
          <w:color w:val="auto"/>
          <w:sz w:val="21"/>
          <w:szCs w:val="21"/>
          <w:highlight w:val="none"/>
          <w:shd w:val="clear" w:color="auto" w:fill="FFFFFF"/>
        </w:rPr>
      </w:pPr>
      <w:r>
        <w:rPr>
          <w:rFonts w:hint="eastAsia" w:ascii="Times New Roman" w:hAnsi="Times New Roman" w:eastAsia="宋体" w:cs="Times New Roman"/>
          <w:b/>
          <w:bCs/>
          <w:snapToGrid w:val="0"/>
          <w:color w:val="auto"/>
          <w:kern w:val="0"/>
          <w:sz w:val="21"/>
          <w:szCs w:val="21"/>
          <w:highlight w:val="none"/>
          <w:shd w:val="clear" w:color="auto" w:fill="auto"/>
          <w:lang w:val="en-US" w:eastAsia="zh-CN"/>
        </w:rPr>
        <w:t>4.6.7</w:t>
      </w:r>
      <w:r>
        <w:rPr>
          <w:rFonts w:hint="eastAsia" w:hAnsi="宋体"/>
          <w:color w:val="auto"/>
          <w:sz w:val="21"/>
          <w:szCs w:val="21"/>
          <w:highlight w:val="none"/>
          <w:shd w:val="clear" w:color="auto" w:fill="FFFFFF"/>
        </w:rPr>
        <w:t>遵守和执行防火、安全文明施工和夜间施工规定。</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应保证施工期间行人、车辆等的通行，除非得到有关部门批准，否则不能进行全封闭施工。施工临时占用人行道、车道等设施，由</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办理有关手续，</w:t>
      </w:r>
      <w:r>
        <w:rPr>
          <w:rFonts w:hint="eastAsia" w:hAnsi="宋体"/>
          <w:color w:val="auto"/>
          <w:sz w:val="21"/>
          <w:szCs w:val="21"/>
          <w:highlight w:val="none"/>
          <w:shd w:val="clear" w:color="auto" w:fill="FFFFFF"/>
          <w:lang w:eastAsia="zh-CN"/>
        </w:rPr>
        <w:t>发包人</w:t>
      </w:r>
      <w:r>
        <w:rPr>
          <w:rFonts w:hint="eastAsia" w:hAnsi="宋体"/>
          <w:color w:val="auto"/>
          <w:sz w:val="21"/>
          <w:szCs w:val="21"/>
          <w:highlight w:val="none"/>
          <w:shd w:val="clear" w:color="auto" w:fill="FFFFFF"/>
        </w:rPr>
        <w:t>协助，所需费用由</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负责。</w:t>
      </w:r>
    </w:p>
    <w:p w14:paraId="0911CD4D">
      <w:pPr>
        <w:pStyle w:val="16"/>
        <w:spacing w:line="360" w:lineRule="auto"/>
        <w:rPr>
          <w:rFonts w:hint="eastAsia" w:hAnsi="宋体"/>
          <w:color w:val="auto"/>
          <w:sz w:val="21"/>
          <w:szCs w:val="21"/>
          <w:highlight w:val="none"/>
          <w:shd w:val="clear" w:color="auto" w:fill="FFFFFF"/>
        </w:rPr>
      </w:pPr>
      <w:r>
        <w:rPr>
          <w:rFonts w:hint="eastAsia" w:ascii="Times New Roman" w:hAnsi="Times New Roman" w:eastAsia="宋体" w:cs="Times New Roman"/>
          <w:b/>
          <w:bCs/>
          <w:snapToGrid w:val="0"/>
          <w:color w:val="auto"/>
          <w:kern w:val="0"/>
          <w:sz w:val="21"/>
          <w:szCs w:val="21"/>
          <w:highlight w:val="none"/>
          <w:shd w:val="clear" w:color="auto" w:fill="auto"/>
          <w:lang w:val="en-US" w:eastAsia="zh-CN"/>
        </w:rPr>
        <w:t>4.6.8</w:t>
      </w:r>
      <w:r>
        <w:rPr>
          <w:rFonts w:hint="eastAsia" w:hAnsi="宋体"/>
          <w:color w:val="auto"/>
          <w:sz w:val="21"/>
          <w:szCs w:val="21"/>
          <w:highlight w:val="none"/>
          <w:shd w:val="clear" w:color="auto" w:fill="FFFFFF"/>
          <w:lang w:eastAsia="zh-CN"/>
        </w:rPr>
        <w:t>承包人</w:t>
      </w:r>
      <w:r>
        <w:rPr>
          <w:rFonts w:hint="eastAsia" w:hAnsi="宋体"/>
          <w:color w:val="auto"/>
          <w:sz w:val="21"/>
          <w:szCs w:val="21"/>
          <w:highlight w:val="none"/>
          <w:shd w:val="clear" w:color="auto" w:fill="FFFFFF"/>
        </w:rPr>
        <w:t>有责任协助公安、交通等部门维护所在现场地段的交通与人流，既保证施工安全，也保护车辆和行人的畅通和安全。</w:t>
      </w:r>
    </w:p>
    <w:p w14:paraId="07D9935E">
      <w:pPr>
        <w:pStyle w:val="16"/>
        <w:spacing w:line="360" w:lineRule="auto"/>
        <w:rPr>
          <w:rFonts w:hint="eastAsia" w:ascii="宋体" w:hAnsi="宋体" w:eastAsia="宋体" w:cs="Times New Roman"/>
          <w:color w:val="auto"/>
          <w:sz w:val="21"/>
          <w:szCs w:val="21"/>
          <w:highlight w:val="none"/>
          <w:shd w:val="clear" w:color="auto" w:fill="FFFFFF"/>
        </w:rPr>
      </w:pPr>
      <w:r>
        <w:rPr>
          <w:rFonts w:hint="eastAsia" w:ascii="Times New Roman" w:hAnsi="Times New Roman" w:eastAsia="宋体" w:cs="Times New Roman"/>
          <w:b/>
          <w:bCs/>
          <w:snapToGrid w:val="0"/>
          <w:color w:val="auto"/>
          <w:kern w:val="0"/>
          <w:sz w:val="21"/>
          <w:szCs w:val="21"/>
          <w:highlight w:val="none"/>
          <w:shd w:val="clear" w:color="auto" w:fill="auto"/>
          <w:lang w:val="en-US" w:eastAsia="zh-CN"/>
        </w:rPr>
        <w:t>4.6.9</w:t>
      </w:r>
      <w:r>
        <w:rPr>
          <w:rFonts w:hint="eastAsia" w:hAnsi="宋体" w:cs="Times New Roman"/>
          <w:color w:val="auto"/>
          <w:sz w:val="21"/>
          <w:szCs w:val="21"/>
          <w:highlight w:val="none"/>
          <w:shd w:val="clear" w:color="auto" w:fill="FFFFFF"/>
          <w:lang w:eastAsia="zh-CN"/>
        </w:rPr>
        <w:t>承包人</w:t>
      </w:r>
      <w:r>
        <w:rPr>
          <w:rFonts w:hint="eastAsia" w:ascii="宋体" w:hAnsi="宋体" w:eastAsia="宋体" w:cs="Times New Roman"/>
          <w:color w:val="auto"/>
          <w:sz w:val="21"/>
          <w:szCs w:val="21"/>
          <w:highlight w:val="none"/>
          <w:shd w:val="clear" w:color="auto" w:fill="FFFFFF"/>
        </w:rPr>
        <w:t>应当清楚地预计到施工期间对外界可能产生的不可避免的干扰，并为此保证主动努力减少这些干扰对外界的影响，且应当积极主动与外界进行协调。</w:t>
      </w:r>
    </w:p>
    <w:p w14:paraId="736000AF">
      <w:pPr>
        <w:pStyle w:val="40"/>
        <w:wordWrap w:val="0"/>
        <w:adjustRightInd w:val="0"/>
        <w:snapToGrid w:val="0"/>
        <w:spacing w:line="360" w:lineRule="auto"/>
        <w:ind w:firstLine="422" w:firstLineChars="200"/>
        <w:rPr>
          <w:rFonts w:hint="eastAsia" w:ascii="宋体" w:hAnsi="宋体" w:eastAsia="宋体" w:cs="Times New Roman"/>
          <w:color w:val="auto"/>
          <w:sz w:val="21"/>
          <w:szCs w:val="21"/>
          <w:highlight w:val="none"/>
          <w:shd w:val="clear" w:color="auto" w:fill="FFFFFF"/>
        </w:rPr>
      </w:pPr>
      <w:r>
        <w:rPr>
          <w:rFonts w:hint="eastAsia" w:ascii="Times New Roman" w:hAnsi="Times New Roman" w:eastAsia="宋体" w:cs="Times New Roman"/>
          <w:b/>
          <w:bCs/>
          <w:snapToGrid w:val="0"/>
          <w:color w:val="auto"/>
          <w:kern w:val="0"/>
          <w:sz w:val="21"/>
          <w:szCs w:val="21"/>
          <w:highlight w:val="none"/>
          <w:shd w:val="clear" w:color="auto" w:fill="auto"/>
          <w:lang w:val="en-US" w:eastAsia="zh-CN"/>
        </w:rPr>
        <w:t>4.6.10</w:t>
      </w:r>
      <w:r>
        <w:rPr>
          <w:rFonts w:hint="eastAsia" w:hAnsi="宋体" w:cs="Times New Roman"/>
          <w:color w:val="auto"/>
          <w:sz w:val="21"/>
          <w:szCs w:val="21"/>
          <w:highlight w:val="none"/>
          <w:shd w:val="clear" w:color="auto" w:fill="FFFFFF"/>
          <w:lang w:val="en-US" w:eastAsia="zh-CN"/>
        </w:rPr>
        <w:t>承包人</w:t>
      </w:r>
      <w:r>
        <w:rPr>
          <w:rFonts w:hint="eastAsia" w:hAnsi="宋体"/>
          <w:color w:val="auto"/>
          <w:sz w:val="21"/>
          <w:szCs w:val="21"/>
          <w:highlight w:val="none"/>
          <w:shd w:val="clear" w:color="auto" w:fill="FFFFFF"/>
        </w:rPr>
        <w:t>应负责施工期</w:t>
      </w:r>
      <w:r>
        <w:rPr>
          <w:rFonts w:hint="eastAsia" w:hAnsi="宋体"/>
          <w:color w:val="auto"/>
          <w:sz w:val="21"/>
          <w:szCs w:val="21"/>
          <w:highlight w:val="none"/>
          <w:shd w:val="clear" w:color="auto" w:fill="FFFFFF"/>
          <w:lang w:val="en-US" w:eastAsia="zh-CN"/>
        </w:rPr>
        <w:t>间与其他在建工程涉及交叉作业的权属单位的协调配合工作，</w:t>
      </w:r>
      <w:r>
        <w:rPr>
          <w:rFonts w:hint="eastAsia" w:hAnsi="宋体"/>
          <w:color w:val="auto"/>
          <w:sz w:val="21"/>
          <w:szCs w:val="21"/>
          <w:highlight w:val="none"/>
          <w:shd w:val="clear" w:color="auto" w:fill="FFFFFF"/>
          <w:lang w:eastAsia="zh-CN"/>
        </w:rPr>
        <w:t>发包人</w:t>
      </w:r>
      <w:r>
        <w:rPr>
          <w:rFonts w:hAnsi="宋体"/>
          <w:color w:val="auto"/>
          <w:sz w:val="21"/>
          <w:szCs w:val="21"/>
          <w:highlight w:val="none"/>
          <w:shd w:val="clear" w:color="auto" w:fill="FFFFFF"/>
        </w:rPr>
        <w:t>不负责</w:t>
      </w:r>
      <w:r>
        <w:rPr>
          <w:rFonts w:hint="eastAsia" w:hAnsi="宋体"/>
          <w:color w:val="auto"/>
          <w:sz w:val="21"/>
          <w:szCs w:val="21"/>
          <w:highlight w:val="none"/>
          <w:shd w:val="clear" w:color="auto" w:fill="FFFFFF"/>
        </w:rPr>
        <w:t>协调</w:t>
      </w:r>
      <w:r>
        <w:rPr>
          <w:rFonts w:hAnsi="宋体"/>
          <w:color w:val="auto"/>
          <w:sz w:val="21"/>
          <w:szCs w:val="21"/>
          <w:highlight w:val="none"/>
          <w:shd w:val="clear" w:color="auto" w:fill="FFFFFF"/>
        </w:rPr>
        <w:t>双方因施工</w:t>
      </w:r>
      <w:r>
        <w:rPr>
          <w:rFonts w:hint="eastAsia" w:hAnsi="宋体"/>
          <w:color w:val="auto"/>
          <w:sz w:val="21"/>
          <w:szCs w:val="21"/>
          <w:highlight w:val="none"/>
          <w:shd w:val="clear" w:color="auto" w:fill="FFFFFF"/>
          <w:lang w:val="en-US" w:eastAsia="zh-CN"/>
        </w:rPr>
        <w:t>工艺及</w:t>
      </w:r>
      <w:r>
        <w:rPr>
          <w:rFonts w:hAnsi="宋体"/>
          <w:color w:val="auto"/>
          <w:sz w:val="21"/>
          <w:szCs w:val="21"/>
          <w:highlight w:val="none"/>
          <w:shd w:val="clear" w:color="auto" w:fill="FFFFFF"/>
        </w:rPr>
        <w:t>工序等技术原因导致的任何问题</w:t>
      </w:r>
      <w:r>
        <w:rPr>
          <w:rFonts w:hint="eastAsia" w:hAnsi="宋体"/>
          <w:color w:val="auto"/>
          <w:sz w:val="21"/>
          <w:szCs w:val="21"/>
          <w:highlight w:val="none"/>
          <w:shd w:val="clear" w:color="auto" w:fill="FFFFFF"/>
        </w:rPr>
        <w:t>。</w:t>
      </w:r>
    </w:p>
    <w:p w14:paraId="5143F7FB">
      <w:pPr>
        <w:pStyle w:val="16"/>
        <w:spacing w:line="360" w:lineRule="auto"/>
        <w:ind w:firstLine="422" w:firstLineChars="200"/>
        <w:rPr>
          <w:rFonts w:hint="default" w:hAnsi="宋体"/>
          <w:color w:val="auto"/>
          <w:sz w:val="21"/>
          <w:szCs w:val="21"/>
          <w:highlight w:val="none"/>
          <w:shd w:val="clear" w:color="auto" w:fill="FFFFFF"/>
          <w:lang w:val="en-US" w:eastAsia="zh-CN"/>
        </w:rPr>
      </w:pPr>
      <w:r>
        <w:rPr>
          <w:rFonts w:hint="eastAsia" w:ascii="Times New Roman" w:hAnsi="Times New Roman" w:eastAsia="宋体" w:cs="Times New Roman"/>
          <w:b/>
          <w:bCs/>
          <w:snapToGrid w:val="0"/>
          <w:color w:val="auto"/>
          <w:kern w:val="0"/>
          <w:sz w:val="21"/>
          <w:szCs w:val="21"/>
          <w:highlight w:val="none"/>
          <w:shd w:val="clear" w:color="auto" w:fill="auto"/>
          <w:lang w:val="en-US" w:eastAsia="zh-CN"/>
        </w:rPr>
        <w:t>4.6.11</w:t>
      </w:r>
      <w:r>
        <w:rPr>
          <w:rFonts w:hint="eastAsia" w:hAnsi="宋体"/>
          <w:color w:val="auto"/>
          <w:sz w:val="21"/>
          <w:szCs w:val="21"/>
          <w:highlight w:val="none"/>
          <w:shd w:val="clear" w:color="auto" w:fill="FFFFFF"/>
        </w:rPr>
        <w:t>工程完工后，为了本</w:t>
      </w:r>
      <w:r>
        <w:rPr>
          <w:rFonts w:hint="eastAsia" w:hAnsi="宋体"/>
          <w:color w:val="auto"/>
          <w:sz w:val="21"/>
          <w:szCs w:val="21"/>
          <w:highlight w:val="none"/>
          <w:shd w:val="clear" w:color="auto" w:fill="FFFFFF"/>
          <w:lang w:eastAsia="zh-CN"/>
        </w:rPr>
        <w:t>工程</w:t>
      </w:r>
      <w:r>
        <w:rPr>
          <w:rFonts w:hint="eastAsia" w:hAnsi="宋体"/>
          <w:color w:val="auto"/>
          <w:sz w:val="21"/>
          <w:szCs w:val="21"/>
          <w:highlight w:val="none"/>
          <w:shd w:val="clear" w:color="auto" w:fill="FFFFFF"/>
        </w:rPr>
        <w:t>整体竣工验收的需要，</w:t>
      </w:r>
      <w:r>
        <w:rPr>
          <w:rFonts w:hint="eastAsia" w:hAnsi="宋体"/>
          <w:strike w:val="0"/>
          <w:color w:val="auto"/>
          <w:sz w:val="21"/>
          <w:szCs w:val="21"/>
          <w:highlight w:val="none"/>
          <w:shd w:val="clear" w:color="auto" w:fill="FFFFFF"/>
          <w:lang w:val="en-US" w:eastAsia="zh-CN"/>
        </w:rPr>
        <w:t>承包人</w:t>
      </w:r>
      <w:r>
        <w:rPr>
          <w:rFonts w:hint="eastAsia" w:hAnsi="宋体"/>
          <w:color w:val="auto"/>
          <w:sz w:val="21"/>
          <w:szCs w:val="21"/>
          <w:highlight w:val="none"/>
          <w:shd w:val="clear" w:color="auto" w:fill="FFFFFF"/>
        </w:rPr>
        <w:t>必须在</w:t>
      </w:r>
      <w:r>
        <w:rPr>
          <w:rFonts w:hint="eastAsia" w:hAnsi="宋体"/>
          <w:strike w:val="0"/>
          <w:color w:val="auto"/>
          <w:sz w:val="21"/>
          <w:szCs w:val="21"/>
          <w:highlight w:val="none"/>
          <w:shd w:val="clear" w:color="auto" w:fill="FFFFFF"/>
          <w:lang w:val="en-US" w:eastAsia="zh-CN"/>
        </w:rPr>
        <w:t>发包</w:t>
      </w:r>
      <w:r>
        <w:rPr>
          <w:rFonts w:hint="eastAsia" w:hAnsi="宋体"/>
          <w:color w:val="auto"/>
          <w:sz w:val="21"/>
          <w:szCs w:val="21"/>
          <w:highlight w:val="none"/>
          <w:shd w:val="clear" w:color="auto" w:fill="FFFFFF"/>
        </w:rPr>
        <w:t>人的统筹安排下，与为本</w:t>
      </w:r>
      <w:r>
        <w:rPr>
          <w:rFonts w:hint="eastAsia" w:hAnsi="宋体"/>
          <w:color w:val="auto"/>
          <w:sz w:val="21"/>
          <w:szCs w:val="21"/>
          <w:highlight w:val="none"/>
          <w:shd w:val="clear" w:color="auto" w:fill="FFFFFF"/>
          <w:lang w:eastAsia="zh-CN"/>
        </w:rPr>
        <w:t>工程</w:t>
      </w:r>
      <w:r>
        <w:rPr>
          <w:rFonts w:hint="eastAsia" w:hAnsi="宋体"/>
          <w:color w:val="auto"/>
          <w:sz w:val="21"/>
          <w:szCs w:val="21"/>
          <w:highlight w:val="none"/>
          <w:shd w:val="clear" w:color="auto" w:fill="FFFFFF"/>
        </w:rPr>
        <w:t>其他工程服务的单位进行协同配合，做好竣工验收的各项工作，交付的工程必须符合各专业工程管养单位的相关要求。</w:t>
      </w:r>
    </w:p>
    <w:p w14:paraId="1674F0C5">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4.7</w:t>
      </w:r>
      <w:r>
        <w:rPr>
          <w:rFonts w:hint="eastAsia" w:ascii="Times New Roman"/>
          <w:b/>
          <w:strike w:val="0"/>
          <w:dstrike w:val="0"/>
          <w:snapToGrid w:val="0"/>
          <w:color w:val="auto"/>
          <w:sz w:val="21"/>
          <w:szCs w:val="21"/>
          <w:highlight w:val="none"/>
        </w:rPr>
        <w:t>．监督实施</w:t>
      </w:r>
    </w:p>
    <w:p w14:paraId="1DA9B6F7">
      <w:pPr>
        <w:wordWrap w:val="0"/>
        <w:adjustRightInd w:val="0"/>
        <w:snapToGrid w:val="0"/>
        <w:spacing w:line="360" w:lineRule="auto"/>
        <w:ind w:firstLine="560"/>
        <w:outlineLvl w:val="9"/>
        <w:rPr>
          <w:rFonts w:hint="eastAsia" w:ascii="Times New Roman"/>
          <w:strike w:val="0"/>
          <w:dstrike w:val="0"/>
          <w:snapToGrid w:val="0"/>
          <w:color w:val="auto"/>
          <w:kern w:val="0"/>
          <w:sz w:val="21"/>
          <w:szCs w:val="21"/>
          <w:highlight w:val="none"/>
        </w:rPr>
      </w:pPr>
      <w:r>
        <w:rPr>
          <w:rFonts w:hint="eastAsia" w:ascii="Times New Roman"/>
          <w:strike w:val="0"/>
          <w:dstrike w:val="0"/>
          <w:snapToGrid w:val="0"/>
          <w:color w:val="auto"/>
          <w:kern w:val="0"/>
          <w:sz w:val="21"/>
          <w:szCs w:val="21"/>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33F4D062">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4.8</w:t>
      </w:r>
      <w:r>
        <w:rPr>
          <w:rFonts w:hint="eastAsia" w:ascii="Times New Roman"/>
          <w:b/>
          <w:strike w:val="0"/>
          <w:dstrike w:val="0"/>
          <w:snapToGrid w:val="0"/>
          <w:color w:val="auto"/>
          <w:sz w:val="21"/>
          <w:szCs w:val="21"/>
          <w:highlight w:val="none"/>
        </w:rPr>
        <w:t>．主材的采购和使用</w:t>
      </w:r>
    </w:p>
    <w:p w14:paraId="0C2A9B51">
      <w:pPr>
        <w:wordWrap w:val="0"/>
        <w:adjustRightInd w:val="0"/>
        <w:snapToGrid w:val="0"/>
        <w:spacing w:line="360" w:lineRule="auto"/>
        <w:ind w:firstLine="560"/>
        <w:outlineLvl w:val="9"/>
        <w:rPr>
          <w:rFonts w:hint="eastAsia" w:ascii="Times New Roman"/>
          <w:bCs/>
          <w:strike w:val="0"/>
          <w:dstrike w:val="0"/>
          <w:snapToGrid w:val="0"/>
          <w:color w:val="auto"/>
          <w:kern w:val="0"/>
          <w:sz w:val="21"/>
          <w:szCs w:val="21"/>
          <w:highlight w:val="none"/>
        </w:rPr>
      </w:pPr>
      <w:r>
        <w:rPr>
          <w:rFonts w:hint="eastAsia" w:ascii="Times New Roman"/>
          <w:bCs/>
          <w:strike w:val="0"/>
          <w:dstrike w:val="0"/>
          <w:snapToGrid w:val="0"/>
          <w:color w:val="auto"/>
          <w:kern w:val="0"/>
          <w:sz w:val="21"/>
          <w:szCs w:val="21"/>
          <w:highlight w:val="none"/>
          <w:lang w:eastAsia="zh-CN"/>
        </w:rPr>
        <w:t>发包人</w:t>
      </w:r>
      <w:r>
        <w:rPr>
          <w:rFonts w:hint="eastAsia" w:ascii="Times New Roman"/>
          <w:bCs/>
          <w:strike w:val="0"/>
          <w:dstrike w:val="0"/>
          <w:snapToGrid w:val="0"/>
          <w:color w:val="auto"/>
          <w:kern w:val="0"/>
          <w:sz w:val="21"/>
          <w:szCs w:val="21"/>
          <w:highlight w:val="none"/>
        </w:rPr>
        <w:t>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20CE7C64">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4.9</w:t>
      </w:r>
      <w:r>
        <w:rPr>
          <w:rFonts w:hint="eastAsia" w:ascii="Times New Roman"/>
          <w:b/>
          <w:strike w:val="0"/>
          <w:dstrike w:val="0"/>
          <w:snapToGrid w:val="0"/>
          <w:color w:val="auto"/>
          <w:sz w:val="21"/>
          <w:szCs w:val="21"/>
          <w:highlight w:val="none"/>
        </w:rPr>
        <w:t>．竣工资料移交</w:t>
      </w:r>
    </w:p>
    <w:p w14:paraId="5003080C">
      <w:pPr>
        <w:wordWrap w:val="0"/>
        <w:adjustRightInd w:val="0"/>
        <w:snapToGrid w:val="0"/>
        <w:spacing w:line="360" w:lineRule="auto"/>
        <w:ind w:firstLine="560"/>
        <w:outlineLvl w:val="9"/>
        <w:rPr>
          <w:rFonts w:hint="eastAsia"/>
          <w:strike w:val="0"/>
          <w:dstrike w:val="0"/>
          <w:color w:val="auto"/>
          <w:sz w:val="21"/>
          <w:szCs w:val="21"/>
          <w:highlight w:val="none"/>
        </w:rPr>
      </w:pPr>
      <w:r>
        <w:rPr>
          <w:rFonts w:hint="eastAsia" w:ascii="Times New Roman"/>
          <w:bCs/>
          <w:strike w:val="0"/>
          <w:dstrike w:val="0"/>
          <w:snapToGrid w:val="0"/>
          <w:color w:val="auto"/>
          <w:kern w:val="0"/>
          <w:sz w:val="21"/>
          <w:szCs w:val="21"/>
          <w:highlight w:val="none"/>
        </w:rPr>
        <w:t>项目竣工验收时，</w:t>
      </w:r>
      <w:r>
        <w:rPr>
          <w:rFonts w:hint="eastAsia" w:ascii="Times New Roman"/>
          <w:strike w:val="0"/>
          <w:dstrike w:val="0"/>
          <w:snapToGrid w:val="0"/>
          <w:color w:val="auto"/>
          <w:kern w:val="0"/>
          <w:sz w:val="21"/>
          <w:szCs w:val="21"/>
          <w:highlight w:val="none"/>
        </w:rPr>
        <w:t>承包</w:t>
      </w:r>
      <w:r>
        <w:rPr>
          <w:rFonts w:hint="eastAsia" w:ascii="Times New Roman"/>
          <w:bCs/>
          <w:strike w:val="0"/>
          <w:dstrike w:val="0"/>
          <w:snapToGrid w:val="0"/>
          <w:color w:val="auto"/>
          <w:kern w:val="0"/>
          <w:sz w:val="21"/>
          <w:szCs w:val="21"/>
          <w:highlight w:val="none"/>
        </w:rPr>
        <w:t>人应向监理单位和</w:t>
      </w:r>
      <w:r>
        <w:rPr>
          <w:rFonts w:hint="eastAsia" w:ascii="Times New Roman"/>
          <w:strike w:val="0"/>
          <w:dstrike w:val="0"/>
          <w:snapToGrid w:val="0"/>
          <w:color w:val="auto"/>
          <w:kern w:val="0"/>
          <w:sz w:val="21"/>
          <w:szCs w:val="21"/>
          <w:highlight w:val="none"/>
        </w:rPr>
        <w:t>发包</w:t>
      </w:r>
      <w:r>
        <w:rPr>
          <w:rFonts w:hint="eastAsia" w:ascii="Times New Roman"/>
          <w:bCs/>
          <w:strike w:val="0"/>
          <w:dstrike w:val="0"/>
          <w:snapToGrid w:val="0"/>
          <w:color w:val="auto"/>
          <w:kern w:val="0"/>
          <w:sz w:val="21"/>
          <w:szCs w:val="21"/>
          <w:highlight w:val="none"/>
        </w:rPr>
        <w:t>人提供符合国家档案部门备案要求的，编制成册的竣工图及有关的技术档案资料（含声像档案）一式</w:t>
      </w:r>
      <w:r>
        <w:rPr>
          <w:rFonts w:hint="eastAsia" w:ascii="Times New Roman"/>
          <w:bCs/>
          <w:strike w:val="0"/>
          <w:dstrike w:val="0"/>
          <w:snapToGrid w:val="0"/>
          <w:color w:val="auto"/>
          <w:kern w:val="0"/>
          <w:sz w:val="21"/>
          <w:szCs w:val="21"/>
          <w:highlight w:val="none"/>
          <w:u w:val="single"/>
        </w:rPr>
        <w:t>八</w:t>
      </w:r>
      <w:r>
        <w:rPr>
          <w:rFonts w:hint="eastAsia" w:ascii="Times New Roman"/>
          <w:bCs/>
          <w:strike w:val="0"/>
          <w:dstrike w:val="0"/>
          <w:snapToGrid w:val="0"/>
          <w:color w:val="auto"/>
          <w:kern w:val="0"/>
          <w:sz w:val="21"/>
          <w:szCs w:val="21"/>
          <w:highlight w:val="none"/>
        </w:rPr>
        <w:t>份。</w:t>
      </w:r>
    </w:p>
    <w:p w14:paraId="4CFBE8A7">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4.10</w:t>
      </w:r>
      <w:r>
        <w:rPr>
          <w:rFonts w:hint="eastAsia" w:ascii="Times New Roman"/>
          <w:b/>
          <w:strike w:val="0"/>
          <w:dstrike w:val="0"/>
          <w:snapToGrid w:val="0"/>
          <w:color w:val="auto"/>
          <w:sz w:val="21"/>
          <w:szCs w:val="21"/>
          <w:highlight w:val="none"/>
        </w:rPr>
        <w:t>．质量保证</w:t>
      </w:r>
    </w:p>
    <w:p w14:paraId="6D9639C5">
      <w:pPr>
        <w:wordWrap w:val="0"/>
        <w:adjustRightInd w:val="0"/>
        <w:snapToGrid w:val="0"/>
        <w:spacing w:line="360" w:lineRule="auto"/>
        <w:ind w:firstLine="560"/>
        <w:outlineLvl w:val="9"/>
        <w:rPr>
          <w:rFonts w:hint="eastAsia" w:ascii="Times New Roman"/>
          <w:bCs/>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4.10</w:t>
      </w:r>
      <w:r>
        <w:rPr>
          <w:rFonts w:hint="eastAsia" w:ascii="Times New Roman"/>
          <w:b/>
          <w:bCs/>
          <w:strike w:val="0"/>
          <w:dstrike w:val="0"/>
          <w:snapToGrid w:val="0"/>
          <w:color w:val="auto"/>
          <w:kern w:val="0"/>
          <w:sz w:val="21"/>
          <w:szCs w:val="21"/>
          <w:highlight w:val="none"/>
        </w:rPr>
        <w:t>.1</w:t>
      </w:r>
      <w:r>
        <w:rPr>
          <w:rFonts w:hint="eastAsia" w:ascii="Times New Roman"/>
          <w:bCs/>
          <w:strike w:val="0"/>
          <w:dstrike w:val="0"/>
          <w:snapToGrid w:val="0"/>
          <w:color w:val="auto"/>
          <w:kern w:val="0"/>
          <w:sz w:val="21"/>
          <w:szCs w:val="21"/>
          <w:highlight w:val="none"/>
        </w:rPr>
        <w:t xml:space="preserve"> 本招标项目缺陷责任期为</w:t>
      </w:r>
      <w:r>
        <w:rPr>
          <w:rFonts w:hint="eastAsia" w:ascii="Times New Roman"/>
          <w:bCs/>
          <w:strike w:val="0"/>
          <w:dstrike w:val="0"/>
          <w:snapToGrid w:val="0"/>
          <w:color w:val="auto"/>
          <w:kern w:val="0"/>
          <w:sz w:val="21"/>
          <w:szCs w:val="21"/>
          <w:highlight w:val="none"/>
          <w:u w:val="single"/>
        </w:rPr>
        <w:t xml:space="preserve"> </w:t>
      </w:r>
      <w:r>
        <w:rPr>
          <w:rFonts w:hint="eastAsia" w:ascii="Times New Roman"/>
          <w:bCs/>
          <w:strike w:val="0"/>
          <w:dstrike w:val="0"/>
          <w:snapToGrid w:val="0"/>
          <w:color w:val="auto"/>
          <w:kern w:val="0"/>
          <w:sz w:val="21"/>
          <w:szCs w:val="21"/>
          <w:highlight w:val="none"/>
          <w:u w:val="single"/>
          <w:lang w:val="en-US" w:eastAsia="zh-CN"/>
        </w:rPr>
        <w:t>2</w:t>
      </w:r>
      <w:r>
        <w:rPr>
          <w:rFonts w:hint="eastAsia" w:ascii="Times New Roman"/>
          <w:bCs/>
          <w:strike w:val="0"/>
          <w:dstrike w:val="0"/>
          <w:snapToGrid w:val="0"/>
          <w:color w:val="auto"/>
          <w:kern w:val="0"/>
          <w:sz w:val="21"/>
          <w:szCs w:val="21"/>
          <w:highlight w:val="none"/>
        </w:rPr>
        <w:t>年（自通过竣工验收之日起计），在此期间预留金额为结算价</w:t>
      </w:r>
      <w:r>
        <w:rPr>
          <w:rFonts w:hint="eastAsia" w:ascii="Times New Roman"/>
          <w:bCs/>
          <w:strike w:val="0"/>
          <w:dstrike w:val="0"/>
          <w:snapToGrid w:val="0"/>
          <w:color w:val="auto"/>
          <w:kern w:val="0"/>
          <w:sz w:val="21"/>
          <w:szCs w:val="21"/>
          <w:highlight w:val="none"/>
          <w:u w:val="single"/>
        </w:rPr>
        <w:t xml:space="preserve"> 3% </w:t>
      </w:r>
      <w:r>
        <w:rPr>
          <w:rFonts w:hint="eastAsia" w:ascii="Times New Roman"/>
          <w:bCs/>
          <w:strike w:val="0"/>
          <w:dstrike w:val="0"/>
          <w:snapToGrid w:val="0"/>
          <w:color w:val="auto"/>
          <w:kern w:val="0"/>
          <w:sz w:val="21"/>
          <w:szCs w:val="21"/>
          <w:highlight w:val="none"/>
        </w:rPr>
        <w:t>的质量保证。</w:t>
      </w:r>
    </w:p>
    <w:p w14:paraId="35819879">
      <w:pPr>
        <w:wordWrap w:val="0"/>
        <w:adjustRightInd w:val="0"/>
        <w:snapToGrid w:val="0"/>
        <w:spacing w:line="360" w:lineRule="auto"/>
        <w:ind w:firstLine="560"/>
        <w:outlineLvl w:val="9"/>
        <w:rPr>
          <w:rFonts w:hAnsi="宋体" w:cs="宋体"/>
          <w:bCs/>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4.10</w:t>
      </w:r>
      <w:r>
        <w:rPr>
          <w:rFonts w:ascii="Times New Roman"/>
          <w:b/>
          <w:bCs/>
          <w:strike w:val="0"/>
          <w:dstrike w:val="0"/>
          <w:snapToGrid w:val="0"/>
          <w:color w:val="auto"/>
          <w:kern w:val="0"/>
          <w:sz w:val="21"/>
          <w:szCs w:val="21"/>
          <w:highlight w:val="none"/>
        </w:rPr>
        <w:t xml:space="preserve">.2 </w:t>
      </w:r>
      <w:r>
        <w:rPr>
          <w:rFonts w:hAnsi="宋体" w:cs="宋体"/>
          <w:bCs/>
          <w:strike w:val="0"/>
          <w:dstrike w:val="0"/>
          <w:snapToGrid w:val="0"/>
          <w:color w:val="auto"/>
          <w:kern w:val="0"/>
          <w:sz w:val="21"/>
          <w:szCs w:val="21"/>
          <w:highlight w:val="none"/>
        </w:rPr>
        <w:t>质量保证的形式：采用质量保证金，在结清审定总造价时一次性扣留相应金额作为质量保证金。</w:t>
      </w:r>
    </w:p>
    <w:p w14:paraId="25BD6C59">
      <w:pPr>
        <w:keepNext w:val="0"/>
        <w:keepLines w:val="0"/>
        <w:widowControl/>
        <w:suppressLineNumbers w:val="0"/>
        <w:spacing w:line="360" w:lineRule="auto"/>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 xml:space="preserve">）采用质量保证金形式的，在结清审定总造价时一次性扣留相应金额作为质量保证金。 </w:t>
      </w:r>
    </w:p>
    <w:p w14:paraId="4C755340">
      <w:pPr>
        <w:keepNext w:val="0"/>
        <w:keepLines w:val="0"/>
        <w:widowControl/>
        <w:suppressLineNumbers w:val="0"/>
        <w:spacing w:line="360" w:lineRule="auto"/>
        <w:jc w:val="left"/>
        <w:outlineLvl w:val="9"/>
        <w:rPr>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采用质量保证担保或质量保证保险的，承包人应在竣工验收时向发包人提交有效的商业保函、银行保函或保险合同（或保险单）原件，商业保函、银行保函或保险合同（或保险单）的有效期不得短于缺陷责任期。</w:t>
      </w:r>
    </w:p>
    <w:p w14:paraId="67687F62">
      <w:pPr>
        <w:wordWrap w:val="0"/>
        <w:adjustRightInd w:val="0"/>
        <w:snapToGrid w:val="0"/>
        <w:spacing w:line="360" w:lineRule="auto"/>
        <w:ind w:firstLine="560"/>
        <w:outlineLvl w:val="9"/>
        <w:rPr>
          <w:rFonts w:hint="eastAsia" w:ascii="Times New Roman"/>
          <w:bCs/>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4.10</w:t>
      </w:r>
      <w:r>
        <w:rPr>
          <w:rFonts w:hint="eastAsia" w:ascii="Times New Roman"/>
          <w:b/>
          <w:bCs/>
          <w:strike w:val="0"/>
          <w:dstrike w:val="0"/>
          <w:snapToGrid w:val="0"/>
          <w:color w:val="auto"/>
          <w:kern w:val="0"/>
          <w:sz w:val="21"/>
          <w:szCs w:val="21"/>
          <w:highlight w:val="none"/>
        </w:rPr>
        <w:t>.3</w:t>
      </w:r>
      <w:r>
        <w:rPr>
          <w:rFonts w:hint="eastAsia" w:ascii="Times New Roman"/>
          <w:bCs/>
          <w:strike w:val="0"/>
          <w:dstrike w:val="0"/>
          <w:snapToGrid w:val="0"/>
          <w:color w:val="auto"/>
          <w:kern w:val="0"/>
          <w:sz w:val="21"/>
          <w:szCs w:val="21"/>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47B01A51">
      <w:pPr>
        <w:wordWrap w:val="0"/>
        <w:adjustRightInd w:val="0"/>
        <w:snapToGrid w:val="0"/>
        <w:spacing w:line="360" w:lineRule="auto"/>
        <w:ind w:firstLine="560"/>
        <w:outlineLvl w:val="9"/>
        <w:rPr>
          <w:rFonts w:ascii="Times New Roman"/>
          <w:bCs/>
          <w:strike w:val="0"/>
          <w:dstrike w:val="0"/>
          <w:snapToGrid w:val="0"/>
          <w:color w:val="auto"/>
          <w:kern w:val="0"/>
          <w:sz w:val="21"/>
          <w:szCs w:val="21"/>
          <w:highlight w:val="none"/>
        </w:rPr>
      </w:pPr>
      <w:r>
        <w:rPr>
          <w:rFonts w:ascii="Times New Roman"/>
          <w:bCs/>
          <w:strike w:val="0"/>
          <w:dstrike w:val="0"/>
          <w:snapToGrid w:val="0"/>
          <w:color w:val="auto"/>
          <w:kern w:val="0"/>
          <w:sz w:val="21"/>
          <w:szCs w:val="21"/>
          <w:highlight w:val="none"/>
        </w:rPr>
        <w:t>由他人原因造成的缺陷，发包人负责组织维修，承包人不承担费用，且发包人不得从</w:t>
      </w:r>
      <w:r>
        <w:rPr>
          <w:rFonts w:hint="eastAsia" w:ascii="Times New Roman"/>
          <w:bCs/>
          <w:strike w:val="0"/>
          <w:dstrike w:val="0"/>
          <w:snapToGrid w:val="0"/>
          <w:color w:val="auto"/>
          <w:kern w:val="0"/>
          <w:sz w:val="21"/>
          <w:szCs w:val="21"/>
          <w:highlight w:val="none"/>
        </w:rPr>
        <w:t>质量</w:t>
      </w:r>
      <w:r>
        <w:rPr>
          <w:rFonts w:ascii="Times New Roman"/>
          <w:bCs/>
          <w:strike w:val="0"/>
          <w:dstrike w:val="0"/>
          <w:snapToGrid w:val="0"/>
          <w:color w:val="auto"/>
          <w:kern w:val="0"/>
          <w:sz w:val="21"/>
          <w:szCs w:val="21"/>
          <w:highlight w:val="none"/>
        </w:rPr>
        <w:t>保证中扣除费用。</w:t>
      </w:r>
    </w:p>
    <w:p w14:paraId="76D6FE4A">
      <w:pPr>
        <w:wordWrap w:val="0"/>
        <w:adjustRightInd w:val="0"/>
        <w:snapToGrid w:val="0"/>
        <w:spacing w:line="360" w:lineRule="auto"/>
        <w:ind w:firstLine="560"/>
        <w:outlineLvl w:val="9"/>
        <w:rPr>
          <w:rFonts w:ascii="Times New Roman"/>
          <w:bCs/>
          <w:strike w:val="0"/>
          <w:dstrike w:val="0"/>
          <w:snapToGrid w:val="0"/>
          <w:color w:val="auto"/>
          <w:kern w:val="0"/>
          <w:sz w:val="21"/>
          <w:szCs w:val="21"/>
          <w:highlight w:val="none"/>
        </w:rPr>
      </w:pPr>
      <w:r>
        <w:rPr>
          <w:rFonts w:hint="eastAsia" w:ascii="Times New Roman"/>
          <w:b/>
          <w:bCs/>
          <w:strike w:val="0"/>
          <w:dstrike w:val="0"/>
          <w:snapToGrid w:val="0"/>
          <w:color w:val="auto"/>
          <w:kern w:val="0"/>
          <w:sz w:val="21"/>
          <w:szCs w:val="21"/>
          <w:highlight w:val="none"/>
          <w:lang w:val="en-US" w:eastAsia="zh-CN"/>
        </w:rPr>
        <w:t>4.10.</w:t>
      </w:r>
      <w:r>
        <w:rPr>
          <w:rFonts w:hint="eastAsia" w:ascii="Times New Roman"/>
          <w:b/>
          <w:bCs/>
          <w:strike w:val="0"/>
          <w:dstrike w:val="0"/>
          <w:snapToGrid w:val="0"/>
          <w:color w:val="auto"/>
          <w:kern w:val="0"/>
          <w:sz w:val="21"/>
          <w:szCs w:val="21"/>
          <w:highlight w:val="none"/>
        </w:rPr>
        <w:t>4</w:t>
      </w:r>
      <w:r>
        <w:rPr>
          <w:rFonts w:hint="eastAsia" w:ascii="Times New Roman"/>
          <w:bCs/>
          <w:strike w:val="0"/>
          <w:dstrike w:val="0"/>
          <w:snapToGrid w:val="0"/>
          <w:color w:val="auto"/>
          <w:kern w:val="0"/>
          <w:sz w:val="21"/>
          <w:szCs w:val="21"/>
          <w:highlight w:val="none"/>
        </w:rPr>
        <w:t xml:space="preserve"> </w:t>
      </w:r>
      <w:r>
        <w:rPr>
          <w:rFonts w:ascii="Times New Roman"/>
          <w:bCs/>
          <w:strike w:val="0"/>
          <w:dstrike w:val="0"/>
          <w:snapToGrid w:val="0"/>
          <w:color w:val="auto"/>
          <w:kern w:val="0"/>
          <w:sz w:val="21"/>
          <w:szCs w:val="21"/>
          <w:highlight w:val="none"/>
        </w:rPr>
        <w:t>缺陷责任期内，承包人</w:t>
      </w:r>
      <w:r>
        <w:rPr>
          <w:rFonts w:hint="eastAsia" w:ascii="Times New Roman"/>
          <w:bCs/>
          <w:strike w:val="0"/>
          <w:dstrike w:val="0"/>
          <w:snapToGrid w:val="0"/>
          <w:color w:val="auto"/>
          <w:kern w:val="0"/>
          <w:sz w:val="21"/>
          <w:szCs w:val="21"/>
          <w:highlight w:val="none"/>
        </w:rPr>
        <w:t>应</w:t>
      </w:r>
      <w:r>
        <w:rPr>
          <w:rFonts w:ascii="Times New Roman"/>
          <w:bCs/>
          <w:strike w:val="0"/>
          <w:dstrike w:val="0"/>
          <w:snapToGrid w:val="0"/>
          <w:color w:val="auto"/>
          <w:kern w:val="0"/>
          <w:sz w:val="21"/>
          <w:szCs w:val="21"/>
          <w:highlight w:val="none"/>
        </w:rPr>
        <w:t>认真履行合同约定的责任</w:t>
      </w:r>
      <w:r>
        <w:rPr>
          <w:rFonts w:hint="eastAsia" w:ascii="Times New Roman"/>
          <w:bCs/>
          <w:strike w:val="0"/>
          <w:dstrike w:val="0"/>
          <w:snapToGrid w:val="0"/>
          <w:color w:val="auto"/>
          <w:kern w:val="0"/>
          <w:sz w:val="21"/>
          <w:szCs w:val="21"/>
          <w:highlight w:val="none"/>
        </w:rPr>
        <w:t>。</w:t>
      </w:r>
      <w:r>
        <w:rPr>
          <w:rFonts w:ascii="Times New Roman"/>
          <w:bCs/>
          <w:strike w:val="0"/>
          <w:dstrike w:val="0"/>
          <w:snapToGrid w:val="0"/>
          <w:color w:val="auto"/>
          <w:kern w:val="0"/>
          <w:sz w:val="21"/>
          <w:szCs w:val="21"/>
          <w:highlight w:val="none"/>
        </w:rPr>
        <w:t>缺陷责任期到期后，承包人向发包人申请</w:t>
      </w:r>
      <w:r>
        <w:rPr>
          <w:rFonts w:hint="eastAsia" w:ascii="Times New Roman"/>
          <w:bCs/>
          <w:strike w:val="0"/>
          <w:dstrike w:val="0"/>
          <w:snapToGrid w:val="0"/>
          <w:color w:val="auto"/>
          <w:kern w:val="0"/>
          <w:sz w:val="21"/>
          <w:szCs w:val="21"/>
          <w:highlight w:val="none"/>
        </w:rPr>
        <w:t>退还质量</w:t>
      </w:r>
      <w:r>
        <w:rPr>
          <w:rFonts w:ascii="Times New Roman"/>
          <w:bCs/>
          <w:strike w:val="0"/>
          <w:dstrike w:val="0"/>
          <w:snapToGrid w:val="0"/>
          <w:color w:val="auto"/>
          <w:kern w:val="0"/>
          <w:sz w:val="21"/>
          <w:szCs w:val="21"/>
          <w:highlight w:val="none"/>
        </w:rPr>
        <w:t>保</w:t>
      </w:r>
      <w:r>
        <w:rPr>
          <w:rFonts w:hint="eastAsia" w:ascii="Times New Roman" w:eastAsia="宋体"/>
          <w:bCs/>
          <w:strike w:val="0"/>
          <w:dstrike w:val="0"/>
          <w:snapToGrid w:val="0"/>
          <w:color w:val="auto"/>
          <w:kern w:val="0"/>
          <w:sz w:val="21"/>
          <w:szCs w:val="21"/>
          <w:highlight w:val="none"/>
          <w:lang w:eastAsia="zh-CN"/>
        </w:rPr>
        <w:t>证金</w:t>
      </w:r>
      <w:r>
        <w:rPr>
          <w:rFonts w:hint="eastAsia" w:ascii="Times New Roman"/>
          <w:bCs/>
          <w:strike w:val="0"/>
          <w:dstrike w:val="0"/>
          <w:snapToGrid w:val="0"/>
          <w:color w:val="auto"/>
          <w:kern w:val="0"/>
          <w:sz w:val="21"/>
          <w:szCs w:val="21"/>
          <w:highlight w:val="none"/>
        </w:rPr>
        <w:t>，发包人应按照《建设工程质量保证金管理办法》有关规定将质量</w:t>
      </w:r>
      <w:r>
        <w:rPr>
          <w:rFonts w:ascii="Times New Roman"/>
          <w:bCs/>
          <w:strike w:val="0"/>
          <w:dstrike w:val="0"/>
          <w:snapToGrid w:val="0"/>
          <w:color w:val="auto"/>
          <w:kern w:val="0"/>
          <w:sz w:val="21"/>
          <w:szCs w:val="21"/>
          <w:highlight w:val="none"/>
        </w:rPr>
        <w:t>保</w:t>
      </w:r>
      <w:r>
        <w:rPr>
          <w:rFonts w:hint="eastAsia" w:ascii="Times New Roman" w:eastAsia="宋体"/>
          <w:bCs/>
          <w:strike w:val="0"/>
          <w:dstrike w:val="0"/>
          <w:snapToGrid w:val="0"/>
          <w:color w:val="auto"/>
          <w:kern w:val="0"/>
          <w:sz w:val="21"/>
          <w:szCs w:val="21"/>
          <w:highlight w:val="none"/>
          <w:lang w:eastAsia="zh-CN"/>
        </w:rPr>
        <w:t>证金</w:t>
      </w:r>
      <w:r>
        <w:rPr>
          <w:rFonts w:hint="eastAsia" w:ascii="Times New Roman"/>
          <w:bCs/>
          <w:strike w:val="0"/>
          <w:dstrike w:val="0"/>
          <w:snapToGrid w:val="0"/>
          <w:color w:val="auto"/>
          <w:kern w:val="0"/>
          <w:sz w:val="21"/>
          <w:szCs w:val="21"/>
          <w:highlight w:val="none"/>
        </w:rPr>
        <w:t>退还给承包人</w:t>
      </w:r>
      <w:r>
        <w:rPr>
          <w:rFonts w:ascii="Times New Roman"/>
          <w:bCs/>
          <w:strike w:val="0"/>
          <w:dstrike w:val="0"/>
          <w:snapToGrid w:val="0"/>
          <w:color w:val="auto"/>
          <w:kern w:val="0"/>
          <w:sz w:val="21"/>
          <w:szCs w:val="21"/>
          <w:highlight w:val="none"/>
        </w:rPr>
        <w:t>。</w:t>
      </w:r>
    </w:p>
    <w:p w14:paraId="56079BCD">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4.11</w:t>
      </w:r>
      <w:r>
        <w:rPr>
          <w:rFonts w:hint="eastAsia" w:ascii="Times New Roman"/>
          <w:b/>
          <w:strike w:val="0"/>
          <w:dstrike w:val="0"/>
          <w:snapToGrid w:val="0"/>
          <w:color w:val="auto"/>
          <w:sz w:val="21"/>
          <w:szCs w:val="21"/>
          <w:highlight w:val="none"/>
        </w:rPr>
        <w:t>．不良行为处理</w:t>
      </w:r>
    </w:p>
    <w:p w14:paraId="12E62F38">
      <w:pPr>
        <w:pStyle w:val="55"/>
        <w:wordWrap w:val="0"/>
        <w:adjustRightInd w:val="0"/>
        <w:snapToGrid w:val="0"/>
        <w:spacing w:line="360" w:lineRule="auto"/>
        <w:ind w:firstLine="420" w:firstLineChars="200"/>
        <w:jc w:val="left"/>
        <w:outlineLvl w:val="9"/>
        <w:rPr>
          <w:rFonts w:hint="eastAsia"/>
          <w:strike w:val="0"/>
          <w:dstrike w:val="0"/>
          <w:snapToGrid w:val="0"/>
          <w:color w:val="auto"/>
          <w:kern w:val="0"/>
          <w:sz w:val="21"/>
          <w:szCs w:val="21"/>
          <w:highlight w:val="none"/>
        </w:rPr>
      </w:pPr>
      <w:r>
        <w:rPr>
          <w:rFonts w:hint="eastAsia"/>
          <w:strike w:val="0"/>
          <w:dstrike w:val="0"/>
          <w:snapToGrid w:val="0"/>
          <w:color w:val="auto"/>
          <w:kern w:val="0"/>
          <w:sz w:val="21"/>
          <w:szCs w:val="21"/>
          <w:highlight w:val="none"/>
        </w:rPr>
        <w:t>承包人及其有关人员有下列行为之一的，发包人应及时向建设行政主管部门报告。除按照有关</w:t>
      </w:r>
      <w:r>
        <w:rPr>
          <w:rFonts w:hint="eastAsia"/>
          <w:strike w:val="0"/>
          <w:dstrike w:val="0"/>
          <w:snapToGrid w:val="0"/>
          <w:color w:val="auto"/>
          <w:kern w:val="0"/>
          <w:sz w:val="21"/>
          <w:szCs w:val="21"/>
          <w:highlight w:val="none"/>
          <w:lang w:eastAsia="zh-CN"/>
        </w:rPr>
        <w:t>法律法规</w:t>
      </w:r>
      <w:r>
        <w:rPr>
          <w:rFonts w:hint="eastAsia"/>
          <w:strike w:val="0"/>
          <w:dstrike w:val="0"/>
          <w:snapToGrid w:val="0"/>
          <w:color w:val="auto"/>
          <w:kern w:val="0"/>
          <w:sz w:val="21"/>
          <w:szCs w:val="21"/>
          <w:highlight w:val="none"/>
        </w:rPr>
        <w:t>进行处罚外，不良行为将</w:t>
      </w:r>
      <w:r>
        <w:rPr>
          <w:rFonts w:hint="eastAsia"/>
          <w:strike w:val="0"/>
          <w:dstrike w:val="0"/>
          <w:snapToGrid w:val="0"/>
          <w:color w:val="auto"/>
          <w:kern w:val="0"/>
          <w:sz w:val="21"/>
          <w:szCs w:val="21"/>
          <w:highlight w:val="none"/>
          <w:lang w:eastAsia="zh-CN"/>
        </w:rPr>
        <w:t>记入</w:t>
      </w:r>
      <w:r>
        <w:rPr>
          <w:rFonts w:hint="eastAsia"/>
          <w:strike w:val="0"/>
          <w:dstrike w:val="0"/>
          <w:snapToGrid w:val="0"/>
          <w:color w:val="auto"/>
          <w:kern w:val="0"/>
          <w:sz w:val="21"/>
          <w:szCs w:val="21"/>
          <w:highlight w:val="none"/>
        </w:rPr>
        <w:t>企业及有关个人诚信档案，并在韶关市住房和城乡建设管理局网站公示。</w:t>
      </w:r>
    </w:p>
    <w:p w14:paraId="43EDE0B9">
      <w:pPr>
        <w:pStyle w:val="55"/>
        <w:wordWrap w:val="0"/>
        <w:adjustRightInd w:val="0"/>
        <w:snapToGrid w:val="0"/>
        <w:spacing w:line="360" w:lineRule="auto"/>
        <w:ind w:firstLine="420" w:firstLineChars="200"/>
        <w:jc w:val="left"/>
        <w:outlineLvl w:val="9"/>
        <w:rPr>
          <w:rFonts w:hint="eastAsia"/>
          <w:strike w:val="0"/>
          <w:dstrike w:val="0"/>
          <w:snapToGrid w:val="0"/>
          <w:color w:val="auto"/>
          <w:kern w:val="0"/>
          <w:sz w:val="21"/>
          <w:szCs w:val="21"/>
          <w:highlight w:val="none"/>
        </w:rPr>
      </w:pPr>
      <w:r>
        <w:rPr>
          <w:rFonts w:hint="eastAsia"/>
          <w:strike w:val="0"/>
          <w:dstrike w:val="0"/>
          <w:snapToGrid w:val="0"/>
          <w:color w:val="auto"/>
          <w:kern w:val="0"/>
          <w:sz w:val="21"/>
          <w:szCs w:val="21"/>
          <w:highlight w:val="none"/>
        </w:rPr>
        <w:t>（1）转包、违法分包或违反投标承诺分包工程的；</w:t>
      </w:r>
    </w:p>
    <w:p w14:paraId="35BFCAEC">
      <w:pPr>
        <w:pStyle w:val="55"/>
        <w:wordWrap w:val="0"/>
        <w:adjustRightInd w:val="0"/>
        <w:snapToGrid w:val="0"/>
        <w:spacing w:line="360" w:lineRule="auto"/>
        <w:ind w:firstLine="420" w:firstLineChars="200"/>
        <w:jc w:val="left"/>
        <w:outlineLvl w:val="9"/>
        <w:rPr>
          <w:rFonts w:hint="eastAsia"/>
          <w:strike w:val="0"/>
          <w:dstrike w:val="0"/>
          <w:snapToGrid w:val="0"/>
          <w:color w:val="auto"/>
          <w:kern w:val="0"/>
          <w:sz w:val="21"/>
          <w:szCs w:val="21"/>
          <w:highlight w:val="none"/>
        </w:rPr>
      </w:pPr>
      <w:r>
        <w:rPr>
          <w:rFonts w:hint="eastAsia"/>
          <w:strike w:val="0"/>
          <w:dstrike w:val="0"/>
          <w:snapToGrid w:val="0"/>
          <w:color w:val="auto"/>
          <w:kern w:val="0"/>
          <w:sz w:val="21"/>
          <w:szCs w:val="21"/>
          <w:highlight w:val="none"/>
        </w:rPr>
        <w:t>（2）非原参加投标中标的项目经理负责组织施工或在实施过程中擅自更换项目经理的、项目的其他主要管理人员与中标文件确定的人员不相符的；</w:t>
      </w:r>
    </w:p>
    <w:p w14:paraId="337B4F59">
      <w:pPr>
        <w:pStyle w:val="55"/>
        <w:wordWrap w:val="0"/>
        <w:adjustRightInd w:val="0"/>
        <w:snapToGrid w:val="0"/>
        <w:spacing w:line="360" w:lineRule="auto"/>
        <w:ind w:firstLine="420" w:firstLineChars="200"/>
        <w:jc w:val="left"/>
        <w:outlineLvl w:val="9"/>
        <w:rPr>
          <w:rFonts w:hint="eastAsia"/>
          <w:strike w:val="0"/>
          <w:dstrike w:val="0"/>
          <w:snapToGrid w:val="0"/>
          <w:color w:val="auto"/>
          <w:kern w:val="0"/>
          <w:sz w:val="21"/>
          <w:szCs w:val="21"/>
          <w:highlight w:val="none"/>
        </w:rPr>
      </w:pPr>
      <w:r>
        <w:rPr>
          <w:rFonts w:hint="eastAsia"/>
          <w:strike w:val="0"/>
          <w:dstrike w:val="0"/>
          <w:snapToGrid w:val="0"/>
          <w:color w:val="auto"/>
          <w:kern w:val="0"/>
          <w:sz w:val="21"/>
          <w:szCs w:val="21"/>
          <w:highlight w:val="none"/>
        </w:rPr>
        <w:t>（3）投标文件确定的大型机械设备没有进入施工现场的；</w:t>
      </w:r>
    </w:p>
    <w:p w14:paraId="5A41324D">
      <w:pPr>
        <w:pStyle w:val="55"/>
        <w:wordWrap w:val="0"/>
        <w:adjustRightInd w:val="0"/>
        <w:snapToGrid w:val="0"/>
        <w:spacing w:line="360" w:lineRule="auto"/>
        <w:ind w:firstLine="420" w:firstLineChars="200"/>
        <w:jc w:val="left"/>
        <w:outlineLvl w:val="9"/>
        <w:rPr>
          <w:rFonts w:hint="eastAsia"/>
          <w:strike w:val="0"/>
          <w:dstrike w:val="0"/>
          <w:snapToGrid w:val="0"/>
          <w:color w:val="auto"/>
          <w:kern w:val="0"/>
          <w:sz w:val="21"/>
          <w:szCs w:val="21"/>
          <w:highlight w:val="none"/>
        </w:rPr>
      </w:pPr>
      <w:r>
        <w:rPr>
          <w:rFonts w:hint="eastAsia"/>
          <w:strike w:val="0"/>
          <w:dstrike w:val="0"/>
          <w:snapToGrid w:val="0"/>
          <w:color w:val="auto"/>
          <w:kern w:val="0"/>
          <w:sz w:val="21"/>
          <w:szCs w:val="21"/>
          <w:highlight w:val="none"/>
        </w:rPr>
        <w:t>（4）与建设单位、监理单位串通，签认虚假工程量或工程造价的；</w:t>
      </w:r>
    </w:p>
    <w:p w14:paraId="671423EB">
      <w:pPr>
        <w:pStyle w:val="55"/>
        <w:wordWrap w:val="0"/>
        <w:adjustRightInd w:val="0"/>
        <w:snapToGrid w:val="0"/>
        <w:spacing w:line="360" w:lineRule="auto"/>
        <w:ind w:firstLine="420" w:firstLineChars="200"/>
        <w:jc w:val="left"/>
        <w:outlineLvl w:val="9"/>
        <w:rPr>
          <w:rFonts w:hint="eastAsia"/>
          <w:strike w:val="0"/>
          <w:dstrike w:val="0"/>
          <w:snapToGrid w:val="0"/>
          <w:color w:val="auto"/>
          <w:kern w:val="0"/>
          <w:sz w:val="21"/>
          <w:szCs w:val="21"/>
          <w:highlight w:val="none"/>
        </w:rPr>
      </w:pPr>
      <w:r>
        <w:rPr>
          <w:rFonts w:hint="eastAsia"/>
          <w:strike w:val="0"/>
          <w:dstrike w:val="0"/>
          <w:snapToGrid w:val="0"/>
          <w:color w:val="auto"/>
          <w:kern w:val="0"/>
          <w:sz w:val="21"/>
          <w:szCs w:val="21"/>
          <w:highlight w:val="none"/>
        </w:rPr>
        <w:t>（5）项目经理施工现场管理不到位的；</w:t>
      </w:r>
    </w:p>
    <w:p w14:paraId="00E60FD6">
      <w:pPr>
        <w:pStyle w:val="55"/>
        <w:wordWrap w:val="0"/>
        <w:adjustRightInd w:val="0"/>
        <w:snapToGrid w:val="0"/>
        <w:spacing w:line="360" w:lineRule="auto"/>
        <w:ind w:firstLine="420" w:firstLineChars="200"/>
        <w:jc w:val="left"/>
        <w:outlineLvl w:val="9"/>
        <w:rPr>
          <w:rFonts w:hint="eastAsia"/>
          <w:strike w:val="0"/>
          <w:dstrike w:val="0"/>
          <w:snapToGrid w:val="0"/>
          <w:color w:val="auto"/>
          <w:kern w:val="0"/>
          <w:sz w:val="21"/>
          <w:szCs w:val="21"/>
          <w:highlight w:val="none"/>
        </w:rPr>
      </w:pPr>
      <w:r>
        <w:rPr>
          <w:rFonts w:hint="eastAsia"/>
          <w:strike w:val="0"/>
          <w:dstrike w:val="0"/>
          <w:snapToGrid w:val="0"/>
          <w:color w:val="auto"/>
          <w:kern w:val="0"/>
          <w:sz w:val="21"/>
          <w:szCs w:val="21"/>
          <w:highlight w:val="none"/>
        </w:rPr>
        <w:t>（6）项目经理在非本人资格证书注册单位从事工程项目施工管理的；</w:t>
      </w:r>
    </w:p>
    <w:p w14:paraId="05EA2432">
      <w:pPr>
        <w:pStyle w:val="55"/>
        <w:wordWrap w:val="0"/>
        <w:adjustRightInd w:val="0"/>
        <w:snapToGrid w:val="0"/>
        <w:spacing w:line="360" w:lineRule="auto"/>
        <w:ind w:firstLine="420" w:firstLineChars="200"/>
        <w:jc w:val="left"/>
        <w:outlineLvl w:val="9"/>
        <w:rPr>
          <w:rFonts w:hint="eastAsia"/>
          <w:strike w:val="0"/>
          <w:dstrike w:val="0"/>
          <w:snapToGrid w:val="0"/>
          <w:color w:val="auto"/>
          <w:kern w:val="0"/>
          <w:sz w:val="21"/>
          <w:szCs w:val="21"/>
          <w:highlight w:val="none"/>
        </w:rPr>
      </w:pPr>
      <w:r>
        <w:rPr>
          <w:rFonts w:hint="eastAsia"/>
          <w:strike w:val="0"/>
          <w:dstrike w:val="0"/>
          <w:snapToGrid w:val="0"/>
          <w:color w:val="auto"/>
          <w:kern w:val="0"/>
          <w:sz w:val="21"/>
          <w:szCs w:val="21"/>
          <w:highlight w:val="none"/>
        </w:rPr>
        <w:t>（7）项目经理同时承担超过一项工程项目的；</w:t>
      </w:r>
    </w:p>
    <w:p w14:paraId="5E20F5D4">
      <w:pPr>
        <w:pStyle w:val="55"/>
        <w:wordWrap w:val="0"/>
        <w:adjustRightInd w:val="0"/>
        <w:snapToGrid w:val="0"/>
        <w:spacing w:line="360" w:lineRule="auto"/>
        <w:ind w:firstLine="420" w:firstLineChars="200"/>
        <w:jc w:val="left"/>
        <w:outlineLvl w:val="9"/>
        <w:rPr>
          <w:rFonts w:hint="eastAsia"/>
          <w:strike w:val="0"/>
          <w:dstrike w:val="0"/>
          <w:snapToGrid w:val="0"/>
          <w:color w:val="auto"/>
          <w:kern w:val="0"/>
          <w:sz w:val="21"/>
          <w:szCs w:val="21"/>
          <w:highlight w:val="none"/>
        </w:rPr>
      </w:pPr>
      <w:r>
        <w:rPr>
          <w:rFonts w:hint="eastAsia"/>
          <w:strike w:val="0"/>
          <w:dstrike w:val="0"/>
          <w:snapToGrid w:val="0"/>
          <w:color w:val="auto"/>
          <w:kern w:val="0"/>
          <w:sz w:val="21"/>
          <w:szCs w:val="21"/>
          <w:highlight w:val="none"/>
        </w:rPr>
        <w:t>（8）违反有关</w:t>
      </w:r>
      <w:r>
        <w:rPr>
          <w:rFonts w:hint="eastAsia"/>
          <w:strike w:val="0"/>
          <w:dstrike w:val="0"/>
          <w:snapToGrid w:val="0"/>
          <w:color w:val="auto"/>
          <w:kern w:val="0"/>
          <w:sz w:val="21"/>
          <w:szCs w:val="21"/>
          <w:highlight w:val="none"/>
          <w:lang w:eastAsia="zh-CN"/>
        </w:rPr>
        <w:t>法律法规</w:t>
      </w:r>
      <w:r>
        <w:rPr>
          <w:rFonts w:hint="eastAsia"/>
          <w:strike w:val="0"/>
          <w:dstrike w:val="0"/>
          <w:snapToGrid w:val="0"/>
          <w:color w:val="auto"/>
          <w:kern w:val="0"/>
          <w:sz w:val="21"/>
          <w:szCs w:val="21"/>
          <w:highlight w:val="none"/>
        </w:rPr>
        <w:t>、规章规定的其它行为。</w:t>
      </w:r>
    </w:p>
    <w:p w14:paraId="6F14A16C">
      <w:pPr>
        <w:wordWrap w:val="0"/>
        <w:autoSpaceDE/>
        <w:autoSpaceDN/>
        <w:snapToGrid w:val="0"/>
        <w:spacing w:line="360" w:lineRule="auto"/>
        <w:ind w:firstLine="480"/>
        <w:jc w:val="both"/>
        <w:outlineLvl w:val="9"/>
        <w:rPr>
          <w:rFonts w:hint="eastAsia" w:ascii="Times New Roman"/>
          <w:b/>
          <w:strike w:val="0"/>
          <w:dstrike w:val="0"/>
          <w:snapToGrid w:val="0"/>
          <w:color w:val="auto"/>
          <w:sz w:val="21"/>
          <w:szCs w:val="21"/>
          <w:highlight w:val="none"/>
        </w:rPr>
      </w:pPr>
      <w:r>
        <w:rPr>
          <w:rFonts w:hint="eastAsia" w:ascii="Times New Roman"/>
          <w:b/>
          <w:strike w:val="0"/>
          <w:dstrike w:val="0"/>
          <w:snapToGrid w:val="0"/>
          <w:color w:val="auto"/>
          <w:sz w:val="21"/>
          <w:szCs w:val="21"/>
          <w:highlight w:val="none"/>
          <w:lang w:val="en-US" w:eastAsia="zh-CN"/>
        </w:rPr>
        <w:t>4.12</w:t>
      </w:r>
      <w:r>
        <w:rPr>
          <w:rFonts w:hint="eastAsia" w:ascii="Times New Roman"/>
          <w:b/>
          <w:strike w:val="0"/>
          <w:dstrike w:val="0"/>
          <w:snapToGrid w:val="0"/>
          <w:color w:val="auto"/>
          <w:sz w:val="21"/>
          <w:szCs w:val="21"/>
          <w:highlight w:val="none"/>
        </w:rPr>
        <w:t>．信用评价条款内容</w:t>
      </w:r>
    </w:p>
    <w:p w14:paraId="745ED708">
      <w:pPr>
        <w:pStyle w:val="40"/>
        <w:wordWrap w:val="0"/>
        <w:adjustRightInd w:val="0"/>
        <w:snapToGrid w:val="0"/>
        <w:spacing w:line="360" w:lineRule="auto"/>
        <w:ind w:firstLine="560"/>
        <w:rPr>
          <w:rFonts w:hint="eastAsia" w:ascii="Times New Roman"/>
          <w:b/>
          <w:bCs/>
          <w:strike w:val="0"/>
          <w:dstrike w:val="0"/>
          <w:snapToGrid w:val="0"/>
          <w:color w:val="auto"/>
          <w:kern w:val="0"/>
          <w:sz w:val="21"/>
          <w:szCs w:val="21"/>
          <w:highlight w:val="none"/>
        </w:rPr>
      </w:pPr>
      <w:r>
        <w:rPr>
          <w:rFonts w:hint="eastAsia" w:ascii="Times New Roman"/>
          <w:strike w:val="0"/>
          <w:dstrike w:val="0"/>
          <w:snapToGrid w:val="0"/>
          <w:color w:val="auto"/>
          <w:kern w:val="0"/>
          <w:sz w:val="21"/>
          <w:szCs w:val="21"/>
          <w:highlight w:val="none"/>
        </w:rPr>
        <w:t>由</w:t>
      </w:r>
      <w:r>
        <w:rPr>
          <w:rFonts w:hint="eastAsia" w:ascii="Times New Roman"/>
          <w:strike w:val="0"/>
          <w:dstrike w:val="0"/>
          <w:snapToGrid w:val="0"/>
          <w:color w:val="auto"/>
          <w:kern w:val="0"/>
          <w:sz w:val="21"/>
          <w:szCs w:val="21"/>
          <w:highlight w:val="none"/>
          <w:lang w:eastAsia="zh-CN"/>
        </w:rPr>
        <w:t>发包人</w:t>
      </w:r>
      <w:r>
        <w:rPr>
          <w:rFonts w:hint="eastAsia" w:ascii="Times New Roman"/>
          <w:strike w:val="0"/>
          <w:dstrike w:val="0"/>
          <w:snapToGrid w:val="0"/>
          <w:color w:val="auto"/>
          <w:kern w:val="0"/>
          <w:sz w:val="21"/>
          <w:szCs w:val="21"/>
          <w:highlight w:val="none"/>
        </w:rPr>
        <w:t>决定是否对施工单位的履约情况进行信用评价。若进行信用评价，评价条款由</w:t>
      </w:r>
      <w:r>
        <w:rPr>
          <w:rFonts w:hint="eastAsia" w:ascii="Times New Roman"/>
          <w:strike w:val="0"/>
          <w:dstrike w:val="0"/>
          <w:snapToGrid w:val="0"/>
          <w:color w:val="auto"/>
          <w:kern w:val="0"/>
          <w:sz w:val="21"/>
          <w:szCs w:val="21"/>
          <w:highlight w:val="none"/>
          <w:lang w:eastAsia="zh-CN"/>
        </w:rPr>
        <w:t>发包人</w:t>
      </w:r>
      <w:r>
        <w:rPr>
          <w:rFonts w:hint="eastAsia" w:ascii="Times New Roman"/>
          <w:strike w:val="0"/>
          <w:dstrike w:val="0"/>
          <w:snapToGrid w:val="0"/>
          <w:color w:val="auto"/>
          <w:kern w:val="0"/>
          <w:sz w:val="21"/>
          <w:szCs w:val="21"/>
          <w:highlight w:val="none"/>
        </w:rPr>
        <w:t>自拟，条款内容可参考人员到位情况、服务配合程度、服务成果质量、项目后期服务及信用评价结果的运用等。</w:t>
      </w:r>
    </w:p>
    <w:p w14:paraId="3A6AE000">
      <w:pPr>
        <w:pStyle w:val="40"/>
        <w:snapToGrid w:val="0"/>
        <w:spacing w:line="360" w:lineRule="auto"/>
        <w:ind w:firstLine="422" w:firstLineChars="200"/>
        <w:rPr>
          <w:rFonts w:hint="eastAsia" w:ascii="宋体" w:hAnsi="宋体" w:eastAsia="宋体" w:cs="Times New Roman"/>
          <w:strike w:val="0"/>
          <w:dstrike w:val="0"/>
          <w:color w:val="auto"/>
          <w:sz w:val="21"/>
          <w:szCs w:val="21"/>
          <w:highlight w:val="none"/>
          <w:shd w:val="clear" w:color="auto" w:fill="FFFFFF"/>
        </w:rPr>
      </w:pPr>
      <w:r>
        <w:rPr>
          <w:rFonts w:hint="eastAsia" w:ascii="Times New Roman"/>
          <w:b/>
          <w:strike w:val="0"/>
          <w:dstrike w:val="0"/>
          <w:snapToGrid w:val="0"/>
          <w:color w:val="auto"/>
          <w:sz w:val="21"/>
          <w:szCs w:val="21"/>
          <w:highlight w:val="none"/>
          <w:lang w:val="en-US" w:eastAsia="zh-CN"/>
        </w:rPr>
        <w:t>4.13</w:t>
      </w:r>
      <w:r>
        <w:rPr>
          <w:rFonts w:hint="eastAsia" w:hAnsi="宋体"/>
          <w:b/>
          <w:bCs/>
          <w:strike w:val="0"/>
          <w:dstrike w:val="0"/>
          <w:color w:val="auto"/>
          <w:sz w:val="21"/>
          <w:szCs w:val="21"/>
          <w:highlight w:val="none"/>
          <w:shd w:val="clear" w:color="auto" w:fill="FFFFFF"/>
        </w:rPr>
        <w:t xml:space="preserve"> </w:t>
      </w:r>
      <w:r>
        <w:rPr>
          <w:rFonts w:hint="eastAsia" w:ascii="宋体" w:hAnsi="宋体" w:eastAsia="宋体" w:cs="Times New Roman"/>
          <w:strike w:val="0"/>
          <w:dstrike w:val="0"/>
          <w:color w:val="auto"/>
          <w:sz w:val="21"/>
          <w:szCs w:val="21"/>
          <w:highlight w:val="none"/>
          <w:shd w:val="clear" w:color="auto" w:fill="FFFFFF"/>
        </w:rPr>
        <w:t>危险性较大的分部分项工程安全管理约定。</w:t>
      </w:r>
      <w:r>
        <w:rPr>
          <w:rFonts w:hint="eastAsia" w:hAnsi="宋体" w:cs="Times New Roman"/>
          <w:strike w:val="0"/>
          <w:dstrike w:val="0"/>
          <w:color w:val="auto"/>
          <w:sz w:val="21"/>
          <w:szCs w:val="21"/>
          <w:highlight w:val="none"/>
          <w:shd w:val="clear" w:color="auto" w:fill="FFFFFF"/>
          <w:lang w:eastAsia="zh-CN"/>
        </w:rPr>
        <w:t>承包人</w:t>
      </w:r>
      <w:r>
        <w:rPr>
          <w:rFonts w:hint="eastAsia" w:ascii="宋体" w:hAnsi="宋体" w:eastAsia="宋体" w:cs="Times New Roman"/>
          <w:strike w:val="0"/>
          <w:dstrike w:val="0"/>
          <w:color w:val="auto"/>
          <w:sz w:val="21"/>
          <w:szCs w:val="21"/>
          <w:highlight w:val="none"/>
          <w:shd w:val="clear" w:color="auto" w:fill="FFFFFF"/>
        </w:rPr>
        <w:t>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w:t>
      </w:r>
      <w:r>
        <w:rPr>
          <w:rFonts w:hint="eastAsia" w:hAnsi="宋体" w:cs="Times New Roman"/>
          <w:strike w:val="0"/>
          <w:dstrike w:val="0"/>
          <w:color w:val="auto"/>
          <w:sz w:val="21"/>
          <w:szCs w:val="21"/>
          <w:highlight w:val="none"/>
          <w:shd w:val="clear" w:color="auto" w:fill="FFFFFF"/>
          <w:lang w:eastAsia="zh-CN"/>
        </w:rPr>
        <w:t>承包人</w:t>
      </w:r>
      <w:r>
        <w:rPr>
          <w:rFonts w:hint="eastAsia" w:ascii="宋体" w:hAnsi="宋体" w:eastAsia="宋体" w:cs="Times New Roman"/>
          <w:strike w:val="0"/>
          <w:dstrike w:val="0"/>
          <w:color w:val="auto"/>
          <w:sz w:val="21"/>
          <w:szCs w:val="21"/>
          <w:highlight w:val="none"/>
          <w:shd w:val="clear" w:color="auto" w:fill="FFFFFF"/>
        </w:rPr>
        <w:t>必须按照《危险性较大的分部分项工程安全管理规定》的规定和经审批的专项施工方案履行安全职责，严格执行国家、地方政府有关施工安全管理方面的</w:t>
      </w:r>
      <w:r>
        <w:rPr>
          <w:rFonts w:hint="eastAsia" w:ascii="宋体" w:hAnsi="宋体" w:eastAsia="宋体" w:cs="Times New Roman"/>
          <w:strike w:val="0"/>
          <w:dstrike w:val="0"/>
          <w:color w:val="auto"/>
          <w:sz w:val="21"/>
          <w:szCs w:val="21"/>
          <w:highlight w:val="none"/>
          <w:shd w:val="clear" w:color="auto" w:fill="FFFFFF"/>
          <w:lang w:eastAsia="zh-CN"/>
        </w:rPr>
        <w:t>法律法规</w:t>
      </w:r>
      <w:r>
        <w:rPr>
          <w:rFonts w:hint="eastAsia" w:ascii="宋体" w:hAnsi="宋体" w:eastAsia="宋体" w:cs="Times New Roman"/>
          <w:strike w:val="0"/>
          <w:dstrike w:val="0"/>
          <w:color w:val="auto"/>
          <w:sz w:val="21"/>
          <w:szCs w:val="21"/>
          <w:highlight w:val="none"/>
          <w:shd w:val="clear" w:color="auto" w:fill="FFFFFF"/>
        </w:rPr>
        <w:t>及规章制度，同时严格执行</w:t>
      </w:r>
      <w:r>
        <w:rPr>
          <w:rFonts w:hint="eastAsia" w:hAnsi="宋体" w:cs="Times New Roman"/>
          <w:strike w:val="0"/>
          <w:dstrike w:val="0"/>
          <w:color w:val="auto"/>
          <w:sz w:val="21"/>
          <w:szCs w:val="21"/>
          <w:highlight w:val="none"/>
          <w:shd w:val="clear" w:color="auto" w:fill="FFFFFF"/>
          <w:lang w:eastAsia="zh-CN"/>
        </w:rPr>
        <w:t>发包人</w:t>
      </w:r>
      <w:r>
        <w:rPr>
          <w:rFonts w:hint="eastAsia" w:ascii="宋体" w:hAnsi="宋体" w:eastAsia="宋体" w:cs="Times New Roman"/>
          <w:strike w:val="0"/>
          <w:dstrike w:val="0"/>
          <w:color w:val="auto"/>
          <w:sz w:val="21"/>
          <w:szCs w:val="21"/>
          <w:highlight w:val="none"/>
          <w:shd w:val="clear" w:color="auto" w:fill="FFFFFF"/>
        </w:rPr>
        <w:t>制订的本项目安全生产管理方面的规章制度、安全检查程序及施工安全管理要求，以及监理人有关安全工作的指令。</w:t>
      </w:r>
    </w:p>
    <w:p w14:paraId="1904FDEC">
      <w:pPr>
        <w:keepNext w:val="0"/>
        <w:keepLines w:val="0"/>
        <w:widowControl/>
        <w:suppressLineNumbers w:val="0"/>
        <w:spacing w:line="360" w:lineRule="auto"/>
        <w:ind w:firstLine="420" w:firstLineChars="20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承包人应根据《危险性较大的分部分项工程安全管理规定》（住房和城乡建设部令第 37 号）、《住房和城乡建设部办公厅关于实施〈危险性较大的分部分项工程安全管理规定〉有关问题的通知》（建办质〔2018〕31 号）、《广东省住房和城乡建设厅关于房屋市政工程危险性较大的分部分项工程安全管理的实施细则的通知》（粤建规范〔2019〕2号） 和《广东省安全生产委员会办公室 广东省住房和城乡建设厅关于〈严格落实危险性较大的分部分项工程“六不施工”要求的通知》（粤安办〔2020〕151 号）等有关危险性较大的分部分项工程的法规规定通知，履行建设工程安全生产管理职责。</w:t>
      </w:r>
    </w:p>
    <w:p w14:paraId="481D71D3">
      <w:pPr>
        <w:pStyle w:val="40"/>
        <w:snapToGrid w:val="0"/>
        <w:spacing w:line="360" w:lineRule="auto"/>
        <w:ind w:firstLine="422" w:firstLineChars="200"/>
        <w:rPr>
          <w:rFonts w:hint="eastAsia" w:hAnsi="宋体"/>
          <w:strike w:val="0"/>
          <w:dstrike w:val="0"/>
          <w:color w:val="auto"/>
          <w:sz w:val="21"/>
          <w:szCs w:val="21"/>
          <w:highlight w:val="none"/>
          <w:shd w:val="clear" w:color="auto" w:fill="FFFFFF"/>
        </w:rPr>
      </w:pPr>
      <w:r>
        <w:rPr>
          <w:rFonts w:hint="eastAsia" w:ascii="Times New Roman" w:hAnsi="Times New Roman" w:eastAsia="宋体" w:cs="Times New Roman"/>
          <w:b/>
          <w:bCs w:val="0"/>
          <w:strike w:val="0"/>
          <w:dstrike w:val="0"/>
          <w:snapToGrid w:val="0"/>
          <w:color w:val="auto"/>
          <w:sz w:val="21"/>
          <w:szCs w:val="21"/>
          <w:highlight w:val="none"/>
          <w:shd w:val="clear" w:color="auto" w:fill="auto"/>
          <w:lang w:val="en-US" w:eastAsia="zh-CN"/>
        </w:rPr>
        <w:t>4.14</w:t>
      </w:r>
      <w:r>
        <w:rPr>
          <w:rFonts w:hint="eastAsia" w:ascii="宋体" w:hAnsi="宋体" w:eastAsia="宋体" w:cs="宋体"/>
          <w:b w:val="0"/>
          <w:bCs w:val="0"/>
          <w:strike w:val="0"/>
          <w:dstrike w:val="0"/>
          <w:color w:val="auto"/>
          <w:kern w:val="0"/>
          <w:sz w:val="21"/>
          <w:szCs w:val="21"/>
          <w:highlight w:val="none"/>
          <w:shd w:val="clear" w:color="auto" w:fill="auto"/>
          <w:lang w:val="en-US" w:eastAsia="zh-CN" w:bidi="ar"/>
        </w:rPr>
        <w:t>承包</w:t>
      </w:r>
      <w:r>
        <w:rPr>
          <w:rFonts w:hint="eastAsia" w:ascii="宋体" w:hAnsi="宋体" w:eastAsia="宋体" w:cs="宋体"/>
          <w:strike w:val="0"/>
          <w:dstrike w:val="0"/>
          <w:color w:val="auto"/>
          <w:kern w:val="0"/>
          <w:sz w:val="21"/>
          <w:szCs w:val="21"/>
          <w:highlight w:val="none"/>
          <w:shd w:val="clear" w:color="auto" w:fill="auto"/>
          <w:lang w:bidi="ar"/>
        </w:rPr>
        <w:t>人</w:t>
      </w:r>
      <w:r>
        <w:rPr>
          <w:rFonts w:hint="eastAsia" w:hAnsi="宋体"/>
          <w:strike w:val="0"/>
          <w:dstrike w:val="0"/>
          <w:color w:val="auto"/>
          <w:sz w:val="21"/>
          <w:szCs w:val="21"/>
          <w:highlight w:val="none"/>
          <w:shd w:val="clear" w:color="auto" w:fill="FFFFFF"/>
        </w:rPr>
        <w:t>在工程实施过程中，按照国家、省、市的相关规定制定相关的专项安全施工方案（如高支模、基坑支护、沉井等），编制专项施工方案报监理人、</w:t>
      </w:r>
      <w:r>
        <w:rPr>
          <w:rFonts w:hint="eastAsia" w:hAnsi="宋体"/>
          <w:strike w:val="0"/>
          <w:dstrike w:val="0"/>
          <w:color w:val="auto"/>
          <w:sz w:val="21"/>
          <w:szCs w:val="21"/>
          <w:highlight w:val="none"/>
          <w:shd w:val="clear" w:color="auto" w:fill="FFFFFF"/>
          <w:lang w:eastAsia="zh-CN"/>
        </w:rPr>
        <w:t>发包人</w:t>
      </w:r>
      <w:r>
        <w:rPr>
          <w:rFonts w:hint="eastAsia" w:hAnsi="宋体"/>
          <w:strike w:val="0"/>
          <w:dstrike w:val="0"/>
          <w:color w:val="auto"/>
          <w:sz w:val="21"/>
          <w:szCs w:val="21"/>
          <w:highlight w:val="none"/>
          <w:shd w:val="clear" w:color="auto" w:fill="FFFFFF"/>
        </w:rPr>
        <w:t>审批后方可开展专项工程的施工。</w:t>
      </w:r>
    </w:p>
    <w:p w14:paraId="1ADE4925">
      <w:pPr>
        <w:pStyle w:val="40"/>
        <w:snapToGrid w:val="0"/>
        <w:spacing w:line="360" w:lineRule="auto"/>
        <w:ind w:firstLine="422" w:firstLineChars="200"/>
        <w:rPr>
          <w:rFonts w:hint="eastAsia" w:hAnsi="宋体"/>
          <w:strike w:val="0"/>
          <w:dstrike w:val="0"/>
          <w:color w:val="auto"/>
          <w:sz w:val="21"/>
          <w:szCs w:val="21"/>
          <w:highlight w:val="none"/>
          <w:shd w:val="clear" w:color="auto" w:fill="FFFFFF"/>
        </w:rPr>
      </w:pPr>
      <w:r>
        <w:rPr>
          <w:rFonts w:hint="eastAsia" w:ascii="Times New Roman" w:hAnsi="Times New Roman" w:eastAsia="宋体" w:cs="Times New Roman"/>
          <w:b/>
          <w:bCs w:val="0"/>
          <w:strike w:val="0"/>
          <w:dstrike w:val="0"/>
          <w:snapToGrid w:val="0"/>
          <w:color w:val="auto"/>
          <w:sz w:val="21"/>
          <w:szCs w:val="21"/>
          <w:highlight w:val="none"/>
          <w:shd w:val="clear" w:color="auto" w:fill="auto"/>
          <w:lang w:val="en-US" w:eastAsia="zh-CN"/>
        </w:rPr>
        <w:t>4.15</w:t>
      </w:r>
      <w:r>
        <w:rPr>
          <w:rFonts w:hint="eastAsia" w:hAnsi="宋体"/>
          <w:strike w:val="0"/>
          <w:dstrike w:val="0"/>
          <w:color w:val="auto"/>
          <w:sz w:val="21"/>
          <w:szCs w:val="21"/>
          <w:highlight w:val="none"/>
          <w:shd w:val="clear" w:color="auto" w:fill="FFFFFF"/>
          <w:lang w:eastAsia="zh-CN"/>
        </w:rPr>
        <w:t>承包人</w:t>
      </w:r>
      <w:r>
        <w:rPr>
          <w:rFonts w:hint="eastAsia" w:hAnsi="宋体"/>
          <w:strike w:val="0"/>
          <w:dstrike w:val="0"/>
          <w:color w:val="auto"/>
          <w:sz w:val="21"/>
          <w:szCs w:val="21"/>
          <w:highlight w:val="none"/>
          <w:shd w:val="clear" w:color="auto" w:fill="FFFFFF"/>
        </w:rPr>
        <w:t>须按照《韶关市建筑垃圾管理条例》（2021年5月1日起施行），将弃土运至</w:t>
      </w:r>
      <w:r>
        <w:rPr>
          <w:rFonts w:hint="eastAsia" w:hAnsi="宋体"/>
          <w:strike w:val="0"/>
          <w:dstrike w:val="0"/>
          <w:color w:val="auto"/>
          <w:sz w:val="21"/>
          <w:szCs w:val="21"/>
          <w:highlight w:val="none"/>
          <w:shd w:val="clear" w:color="auto" w:fill="FFFFFF"/>
          <w:lang w:eastAsia="zh-CN"/>
        </w:rPr>
        <w:t>发包人</w:t>
      </w:r>
      <w:r>
        <w:rPr>
          <w:rFonts w:hint="eastAsia" w:hAnsi="宋体"/>
          <w:strike w:val="0"/>
          <w:dstrike w:val="0"/>
          <w:color w:val="auto"/>
          <w:sz w:val="21"/>
          <w:szCs w:val="21"/>
          <w:highlight w:val="none"/>
          <w:shd w:val="clear" w:color="auto" w:fill="FFFFFF"/>
        </w:rPr>
        <w:t>指定的场所，否则</w:t>
      </w:r>
      <w:r>
        <w:rPr>
          <w:rFonts w:hint="eastAsia" w:hAnsi="宋体"/>
          <w:strike w:val="0"/>
          <w:dstrike w:val="0"/>
          <w:color w:val="auto"/>
          <w:sz w:val="21"/>
          <w:szCs w:val="21"/>
          <w:highlight w:val="none"/>
          <w:shd w:val="clear" w:color="auto" w:fill="FFFFFF"/>
          <w:lang w:eastAsia="zh-CN"/>
        </w:rPr>
        <w:t>发包人</w:t>
      </w:r>
      <w:r>
        <w:rPr>
          <w:rFonts w:hint="eastAsia" w:hAnsi="宋体"/>
          <w:strike w:val="0"/>
          <w:dstrike w:val="0"/>
          <w:color w:val="auto"/>
          <w:sz w:val="21"/>
          <w:szCs w:val="21"/>
          <w:highlight w:val="none"/>
          <w:shd w:val="clear" w:color="auto" w:fill="FFFFFF"/>
        </w:rPr>
        <w:t>有权要求</w:t>
      </w:r>
      <w:r>
        <w:rPr>
          <w:rFonts w:hint="eastAsia" w:hAnsi="宋体"/>
          <w:strike w:val="0"/>
          <w:dstrike w:val="0"/>
          <w:color w:val="auto"/>
          <w:sz w:val="21"/>
          <w:szCs w:val="21"/>
          <w:highlight w:val="none"/>
          <w:shd w:val="clear" w:color="auto" w:fill="FFFFFF"/>
          <w:lang w:eastAsia="zh-CN"/>
        </w:rPr>
        <w:t>承包人</w:t>
      </w:r>
      <w:r>
        <w:rPr>
          <w:rFonts w:hint="eastAsia" w:hAnsi="宋体"/>
          <w:strike w:val="0"/>
          <w:dstrike w:val="0"/>
          <w:color w:val="auto"/>
          <w:sz w:val="21"/>
          <w:szCs w:val="21"/>
          <w:highlight w:val="none"/>
          <w:shd w:val="clear" w:color="auto" w:fill="FFFFFF"/>
        </w:rPr>
        <w:t>无条件将弃土从违约弃土点运至</w:t>
      </w:r>
      <w:r>
        <w:rPr>
          <w:rFonts w:hint="eastAsia" w:hAnsi="宋体"/>
          <w:strike w:val="0"/>
          <w:dstrike w:val="0"/>
          <w:color w:val="auto"/>
          <w:sz w:val="21"/>
          <w:szCs w:val="21"/>
          <w:highlight w:val="none"/>
          <w:shd w:val="clear" w:color="auto" w:fill="FFFFFF"/>
          <w:lang w:eastAsia="zh-CN"/>
        </w:rPr>
        <w:t>发包人</w:t>
      </w:r>
      <w:r>
        <w:rPr>
          <w:rFonts w:hint="eastAsia" w:hAnsi="宋体"/>
          <w:strike w:val="0"/>
          <w:dstrike w:val="0"/>
          <w:color w:val="auto"/>
          <w:sz w:val="21"/>
          <w:szCs w:val="21"/>
          <w:highlight w:val="none"/>
          <w:shd w:val="clear" w:color="auto" w:fill="FFFFFF"/>
        </w:rPr>
        <w:t xml:space="preserve">指定的场所并扣除违约金 </w:t>
      </w:r>
      <w:r>
        <w:rPr>
          <w:rFonts w:hint="eastAsia" w:hAnsi="宋体"/>
          <w:strike w:val="0"/>
          <w:dstrike w:val="0"/>
          <w:color w:val="auto"/>
          <w:sz w:val="21"/>
          <w:szCs w:val="21"/>
          <w:highlight w:val="none"/>
          <w:u w:val="single"/>
          <w:shd w:val="clear" w:color="auto" w:fill="FFFFFF"/>
        </w:rPr>
        <w:t xml:space="preserve"> </w:t>
      </w:r>
      <w:r>
        <w:rPr>
          <w:rFonts w:hint="eastAsia" w:hAnsi="宋体"/>
          <w:strike w:val="0"/>
          <w:dstrike w:val="0"/>
          <w:color w:val="auto"/>
          <w:sz w:val="21"/>
          <w:szCs w:val="21"/>
          <w:highlight w:val="none"/>
          <w:u w:val="single"/>
          <w:shd w:val="clear" w:color="auto" w:fill="FFFFFF"/>
          <w:lang w:val="en-US" w:eastAsia="zh-CN"/>
        </w:rPr>
        <w:t>5000</w:t>
      </w:r>
      <w:r>
        <w:rPr>
          <w:rFonts w:hint="eastAsia" w:hAnsi="宋体"/>
          <w:strike w:val="0"/>
          <w:dstrike w:val="0"/>
          <w:color w:val="auto"/>
          <w:sz w:val="21"/>
          <w:szCs w:val="21"/>
          <w:highlight w:val="none"/>
          <w:u w:val="single"/>
          <w:shd w:val="clear" w:color="auto" w:fill="FFFFFF"/>
        </w:rPr>
        <w:t xml:space="preserve"> </w:t>
      </w:r>
      <w:r>
        <w:rPr>
          <w:rFonts w:hint="eastAsia" w:hAnsi="宋体"/>
          <w:strike w:val="0"/>
          <w:dstrike w:val="0"/>
          <w:color w:val="auto"/>
          <w:sz w:val="21"/>
          <w:szCs w:val="21"/>
          <w:highlight w:val="none"/>
          <w:shd w:val="clear" w:color="auto" w:fill="FFFFFF"/>
        </w:rPr>
        <w:t>元人民币/次。</w:t>
      </w:r>
      <w:r>
        <w:rPr>
          <w:rFonts w:hint="eastAsia" w:hAnsi="宋体"/>
          <w:strike w:val="0"/>
          <w:dstrike w:val="0"/>
          <w:color w:val="auto"/>
          <w:sz w:val="21"/>
          <w:szCs w:val="21"/>
          <w:highlight w:val="none"/>
          <w:shd w:val="clear" w:color="auto" w:fill="FFFFFF"/>
          <w:lang w:eastAsia="zh-CN"/>
        </w:rPr>
        <w:t>承包人</w:t>
      </w:r>
      <w:r>
        <w:rPr>
          <w:rFonts w:hint="eastAsia" w:hAnsi="宋体"/>
          <w:strike w:val="0"/>
          <w:dstrike w:val="0"/>
          <w:color w:val="auto"/>
          <w:sz w:val="21"/>
          <w:szCs w:val="21"/>
          <w:highlight w:val="none"/>
          <w:shd w:val="clear" w:color="auto" w:fill="FFFFFF"/>
        </w:rPr>
        <w:t>对建筑垃圾须按《韶关市建筑垃圾管理条例》（2021年5月1日起施行）的相关规定进行排放和运输，投标人在投标报价时综合考虑在报价内。</w:t>
      </w:r>
      <w:r>
        <w:rPr>
          <w:rFonts w:hint="eastAsia" w:hAnsi="宋体"/>
          <w:strike w:val="0"/>
          <w:dstrike w:val="0"/>
          <w:color w:val="auto"/>
          <w:sz w:val="21"/>
          <w:szCs w:val="21"/>
          <w:highlight w:val="none"/>
          <w:shd w:val="clear" w:color="auto" w:fill="FFFFFF"/>
          <w:lang w:eastAsia="zh-CN"/>
        </w:rPr>
        <w:t>承包人</w:t>
      </w:r>
      <w:r>
        <w:rPr>
          <w:rFonts w:hint="eastAsia" w:hAnsi="宋体"/>
          <w:strike w:val="0"/>
          <w:dstrike w:val="0"/>
          <w:color w:val="auto"/>
          <w:sz w:val="21"/>
          <w:szCs w:val="21"/>
          <w:highlight w:val="none"/>
          <w:shd w:val="clear" w:color="auto" w:fill="FFFFFF"/>
        </w:rPr>
        <w:t>应在施工现场建立洗车槽和临时排水系统等确保外运车辆（土方运输车辆应符合韶关市相关规定）不带泥上路，投标人在投标报价时综合考虑在报价内，</w:t>
      </w:r>
      <w:r>
        <w:rPr>
          <w:rFonts w:hint="eastAsia" w:hAnsi="宋体"/>
          <w:strike w:val="0"/>
          <w:dstrike w:val="0"/>
          <w:color w:val="auto"/>
          <w:sz w:val="21"/>
          <w:szCs w:val="21"/>
          <w:highlight w:val="none"/>
          <w:shd w:val="clear" w:color="auto" w:fill="FFFFFF"/>
          <w:lang w:eastAsia="zh-CN"/>
        </w:rPr>
        <w:t>发包人</w:t>
      </w:r>
      <w:r>
        <w:rPr>
          <w:rFonts w:hint="eastAsia" w:hAnsi="宋体"/>
          <w:strike w:val="0"/>
          <w:dstrike w:val="0"/>
          <w:color w:val="auto"/>
          <w:sz w:val="21"/>
          <w:szCs w:val="21"/>
          <w:highlight w:val="none"/>
          <w:shd w:val="clear" w:color="auto" w:fill="FFFFFF"/>
        </w:rPr>
        <w:t>不另行支付该部分费用）。建设单位、施工单位应当在施工工地出入口显著位置公示建筑垃圾处理方案主要信息，包括建设工程垃圾种类、产生量、外运处置去向等信息及各相关单位名称、联系人及联系电话等。</w:t>
      </w:r>
    </w:p>
    <w:p w14:paraId="23A9972D">
      <w:pPr>
        <w:pStyle w:val="40"/>
        <w:snapToGrid w:val="0"/>
        <w:spacing w:line="360" w:lineRule="auto"/>
        <w:ind w:firstLine="422" w:firstLineChars="200"/>
        <w:rPr>
          <w:rFonts w:hint="eastAsia" w:hAnsi="宋体"/>
          <w:strike w:val="0"/>
          <w:dstrike w:val="0"/>
          <w:color w:val="auto"/>
          <w:sz w:val="21"/>
          <w:szCs w:val="21"/>
          <w:highlight w:val="none"/>
          <w:shd w:val="clear" w:color="auto" w:fill="FFFFFF"/>
        </w:rPr>
      </w:pPr>
      <w:r>
        <w:rPr>
          <w:rFonts w:hint="eastAsia" w:ascii="Times New Roman" w:hAnsi="Times New Roman" w:eastAsia="宋体" w:cs="Times New Roman"/>
          <w:b/>
          <w:bCs w:val="0"/>
          <w:strike w:val="0"/>
          <w:dstrike w:val="0"/>
          <w:snapToGrid w:val="0"/>
          <w:color w:val="auto"/>
          <w:sz w:val="21"/>
          <w:szCs w:val="21"/>
          <w:highlight w:val="none"/>
          <w:shd w:val="clear" w:color="auto" w:fill="auto"/>
          <w:lang w:val="en-US" w:eastAsia="zh-CN"/>
        </w:rPr>
        <w:t>4.16</w:t>
      </w:r>
      <w:r>
        <w:rPr>
          <w:rFonts w:hint="eastAsia" w:hAnsi="宋体"/>
          <w:strike w:val="0"/>
          <w:dstrike w:val="0"/>
          <w:color w:val="auto"/>
          <w:sz w:val="21"/>
          <w:szCs w:val="21"/>
          <w:highlight w:val="none"/>
          <w:shd w:val="clear" w:color="auto" w:fill="FFFFFF"/>
        </w:rPr>
        <w:t>工程竣工验收后15日内，</w:t>
      </w:r>
      <w:r>
        <w:rPr>
          <w:rFonts w:hint="eastAsia" w:hAnsi="宋体"/>
          <w:strike w:val="0"/>
          <w:dstrike w:val="0"/>
          <w:color w:val="auto"/>
          <w:sz w:val="21"/>
          <w:szCs w:val="21"/>
          <w:highlight w:val="none"/>
          <w:shd w:val="clear" w:color="auto" w:fill="FFFFFF"/>
          <w:lang w:eastAsia="zh-CN"/>
        </w:rPr>
        <w:t>承包人</w:t>
      </w:r>
      <w:r>
        <w:rPr>
          <w:rFonts w:hint="eastAsia" w:hAnsi="宋体"/>
          <w:strike w:val="0"/>
          <w:dstrike w:val="0"/>
          <w:color w:val="auto"/>
          <w:sz w:val="21"/>
          <w:szCs w:val="21"/>
          <w:highlight w:val="none"/>
          <w:shd w:val="clear" w:color="auto" w:fill="FFFFFF"/>
        </w:rPr>
        <w:t>应按市城建档案馆的要求（质量、数量），将编制成册的施工档案资料（含声像档案和电子档案）提供给</w:t>
      </w:r>
      <w:r>
        <w:rPr>
          <w:rFonts w:hint="eastAsia" w:hAnsi="宋体"/>
          <w:strike w:val="0"/>
          <w:dstrike w:val="0"/>
          <w:color w:val="auto"/>
          <w:sz w:val="21"/>
          <w:szCs w:val="21"/>
          <w:highlight w:val="none"/>
          <w:shd w:val="clear" w:color="auto" w:fill="FFFFFF"/>
          <w:lang w:eastAsia="zh-CN"/>
        </w:rPr>
        <w:t>发包人</w:t>
      </w:r>
      <w:r>
        <w:rPr>
          <w:rFonts w:hint="eastAsia" w:hAnsi="宋体"/>
          <w:strike w:val="0"/>
          <w:dstrike w:val="0"/>
          <w:color w:val="auto"/>
          <w:sz w:val="21"/>
          <w:szCs w:val="21"/>
          <w:highlight w:val="none"/>
          <w:shd w:val="clear" w:color="auto" w:fill="FFFFFF"/>
        </w:rPr>
        <w:t>、市城建档案馆、市住建管理局、管养单位及监理单位，并承担档案涉及的所有费用（制作标准和相关要求按市城建档案馆的有关规定执行）。</w:t>
      </w:r>
      <w:r>
        <w:rPr>
          <w:rFonts w:hint="eastAsia" w:hAnsi="宋体"/>
          <w:strike w:val="0"/>
          <w:dstrike w:val="0"/>
          <w:color w:val="auto"/>
          <w:sz w:val="21"/>
          <w:szCs w:val="21"/>
          <w:highlight w:val="none"/>
          <w:shd w:val="clear" w:color="auto" w:fill="FFFFFF"/>
          <w:lang w:eastAsia="zh-CN"/>
        </w:rPr>
        <w:t>承包人</w:t>
      </w:r>
      <w:r>
        <w:rPr>
          <w:rFonts w:hint="eastAsia" w:hAnsi="宋体"/>
          <w:strike w:val="0"/>
          <w:dstrike w:val="0"/>
          <w:color w:val="auto"/>
          <w:sz w:val="21"/>
          <w:szCs w:val="21"/>
          <w:highlight w:val="none"/>
          <w:shd w:val="clear" w:color="auto" w:fill="FFFFFF"/>
        </w:rPr>
        <w:t>提交符合城建档案馆要求的竣工资料经</w:t>
      </w:r>
      <w:r>
        <w:rPr>
          <w:rFonts w:hint="eastAsia" w:hAnsi="宋体"/>
          <w:strike w:val="0"/>
          <w:dstrike w:val="0"/>
          <w:color w:val="auto"/>
          <w:sz w:val="21"/>
          <w:szCs w:val="21"/>
          <w:highlight w:val="none"/>
          <w:shd w:val="clear" w:color="auto" w:fill="FFFFFF"/>
          <w:lang w:eastAsia="zh-CN"/>
        </w:rPr>
        <w:t>发包人</w:t>
      </w:r>
      <w:r>
        <w:rPr>
          <w:rFonts w:hint="eastAsia" w:hAnsi="宋体"/>
          <w:strike w:val="0"/>
          <w:dstrike w:val="0"/>
          <w:color w:val="auto"/>
          <w:sz w:val="21"/>
          <w:szCs w:val="21"/>
          <w:highlight w:val="none"/>
          <w:shd w:val="clear" w:color="auto" w:fill="FFFFFF"/>
        </w:rPr>
        <w:t>确认签收后，即可办理工程结算手续。</w:t>
      </w:r>
    </w:p>
    <w:p w14:paraId="78BD290B">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highlight w:val="none"/>
          <w:lang w:val="en-US" w:eastAsia="zh-CN" w:bidi="ar"/>
        </w:rPr>
      </w:pPr>
      <w:r>
        <w:rPr>
          <w:rFonts w:hint="eastAsia" w:ascii="Times New Roman" w:hAnsi="Times New Roman" w:eastAsia="宋体" w:cs="Times New Roman"/>
          <w:b/>
          <w:bCs w:val="0"/>
          <w:snapToGrid w:val="0"/>
          <w:color w:val="auto"/>
          <w:kern w:val="2"/>
          <w:sz w:val="21"/>
          <w:szCs w:val="21"/>
          <w:highlight w:val="none"/>
          <w:lang w:val="en-US" w:eastAsia="zh-CN" w:bidi="ar-SA"/>
        </w:rPr>
        <w:t>4.17</w:t>
      </w:r>
      <w:r>
        <w:rPr>
          <w:rFonts w:hint="eastAsia" w:ascii="宋体" w:hAnsi="宋体" w:eastAsia="宋体" w:cs="宋体"/>
          <w:color w:val="auto"/>
          <w:kern w:val="0"/>
          <w:sz w:val="21"/>
          <w:szCs w:val="21"/>
          <w:highlight w:val="none"/>
          <w:lang w:val="en-US" w:eastAsia="zh-CN" w:bidi="ar"/>
        </w:rPr>
        <w:t xml:space="preserve">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0E075B67">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highlight w:val="none"/>
          <w:lang w:val="en-US" w:eastAsia="zh-CN" w:bidi="ar"/>
        </w:rPr>
      </w:pPr>
      <w:r>
        <w:rPr>
          <w:rFonts w:hint="eastAsia" w:ascii="Times New Roman" w:hAnsi="Times New Roman" w:eastAsia="宋体" w:cs="Times New Roman"/>
          <w:b/>
          <w:snapToGrid w:val="0"/>
          <w:color w:val="auto"/>
          <w:kern w:val="2"/>
          <w:sz w:val="21"/>
          <w:szCs w:val="21"/>
          <w:highlight w:val="none"/>
          <w:lang w:val="en-US" w:eastAsia="zh-CN" w:bidi="ar-SA"/>
        </w:rPr>
        <w:t>4.18</w:t>
      </w:r>
      <w:r>
        <w:rPr>
          <w:rFonts w:hint="eastAsia" w:ascii="宋体" w:hAnsi="宋体" w:eastAsia="宋体" w:cs="宋体"/>
          <w:color w:val="auto"/>
          <w:kern w:val="0"/>
          <w:sz w:val="21"/>
          <w:szCs w:val="21"/>
          <w:highlight w:val="none"/>
          <w:lang w:val="en-US" w:eastAsia="zh-CN" w:bidi="ar"/>
        </w:rPr>
        <w:t>余泥渣土运输费用应按余泥渣土运输政府指导价包含在本合同价中。</w:t>
      </w:r>
    </w:p>
    <w:p w14:paraId="44E55079">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highlight w:val="none"/>
          <w:lang w:val="en-US" w:eastAsia="zh-CN" w:bidi="ar"/>
        </w:rPr>
      </w:pPr>
      <w:r>
        <w:rPr>
          <w:rFonts w:hint="eastAsia" w:ascii="Times New Roman" w:hAnsi="Times New Roman" w:eastAsia="宋体" w:cs="Times New Roman"/>
          <w:b/>
          <w:snapToGrid w:val="0"/>
          <w:color w:val="auto"/>
          <w:kern w:val="2"/>
          <w:sz w:val="21"/>
          <w:szCs w:val="21"/>
          <w:highlight w:val="none"/>
          <w:lang w:val="en-US" w:eastAsia="zh-CN" w:bidi="ar-SA"/>
        </w:rPr>
        <w:t>4.19</w:t>
      </w:r>
      <w:r>
        <w:rPr>
          <w:rFonts w:hint="eastAsia" w:ascii="宋体" w:hAnsi="宋体" w:eastAsia="宋体" w:cs="宋体"/>
          <w:color w:val="auto"/>
          <w:kern w:val="0"/>
          <w:sz w:val="21"/>
          <w:szCs w:val="21"/>
          <w:highlight w:val="none"/>
          <w:lang w:val="en-US" w:eastAsia="zh-CN" w:bidi="ar"/>
        </w:rPr>
        <w:t>项目施工过程中，由于施工场地障碍条件或现场各种不利条件发生造成大型机械多次进退场的费用、怠工费、仓保费，均由</w:t>
      </w:r>
      <w:r>
        <w:rPr>
          <w:rFonts w:hint="eastAsia" w:hAnsi="宋体" w:cs="宋体"/>
          <w:color w:val="auto"/>
          <w:kern w:val="0"/>
          <w:sz w:val="21"/>
          <w:szCs w:val="21"/>
          <w:highlight w:val="none"/>
          <w:lang w:val="en-US" w:eastAsia="zh-CN" w:bidi="ar"/>
        </w:rPr>
        <w:t>承包人</w:t>
      </w:r>
      <w:r>
        <w:rPr>
          <w:rFonts w:hint="eastAsia" w:ascii="宋体" w:hAnsi="宋体" w:eastAsia="宋体" w:cs="宋体"/>
          <w:color w:val="auto"/>
          <w:kern w:val="0"/>
          <w:sz w:val="21"/>
          <w:szCs w:val="21"/>
          <w:highlight w:val="none"/>
          <w:lang w:val="en-US" w:eastAsia="zh-CN" w:bidi="ar"/>
        </w:rPr>
        <w:t>承担。</w:t>
      </w:r>
    </w:p>
    <w:p w14:paraId="713B132D">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highlight w:val="none"/>
          <w:lang w:val="en-US" w:eastAsia="zh-CN" w:bidi="ar"/>
        </w:rPr>
      </w:pPr>
      <w:r>
        <w:rPr>
          <w:rFonts w:hint="eastAsia" w:ascii="Times New Roman" w:hAnsi="Times New Roman" w:eastAsia="宋体" w:cs="Times New Roman"/>
          <w:b/>
          <w:snapToGrid w:val="0"/>
          <w:color w:val="auto"/>
          <w:kern w:val="2"/>
          <w:sz w:val="21"/>
          <w:szCs w:val="21"/>
          <w:highlight w:val="none"/>
          <w:lang w:val="en-US" w:eastAsia="zh-CN" w:bidi="ar-SA"/>
        </w:rPr>
        <w:t>4.20</w:t>
      </w:r>
      <w:r>
        <w:rPr>
          <w:rFonts w:hint="eastAsia" w:ascii="宋体" w:hAnsi="宋体" w:eastAsia="宋体" w:cs="宋体"/>
          <w:color w:val="auto"/>
          <w:kern w:val="0"/>
          <w:sz w:val="21"/>
          <w:szCs w:val="21"/>
          <w:highlight w:val="none"/>
          <w:lang w:val="en-US" w:eastAsia="zh-CN" w:bidi="ar"/>
        </w:rPr>
        <w:t>施工中因穿越障碍物</w:t>
      </w:r>
      <w:r>
        <w:rPr>
          <w:rFonts w:hint="eastAsia" w:ascii="宋体" w:hAnsi="宋体" w:eastAsia="宋体" w:cs="宋体"/>
          <w:i w:val="0"/>
          <w:iCs w:val="0"/>
          <w:caps w:val="0"/>
          <w:color w:val="auto"/>
          <w:spacing w:val="0"/>
          <w:kern w:val="0"/>
          <w:sz w:val="21"/>
          <w:szCs w:val="21"/>
          <w:highlight w:val="none"/>
          <w:shd w:val="clear" w:color="auto" w:fill="auto"/>
          <w:lang w:bidi="ar"/>
        </w:rPr>
        <w:t>，</w:t>
      </w:r>
      <w:r>
        <w:rPr>
          <w:rFonts w:hint="eastAsia" w:ascii="宋体" w:hAnsi="宋体" w:eastAsia="宋体" w:cs="宋体"/>
          <w:i w:val="0"/>
          <w:iCs w:val="0"/>
          <w:caps w:val="0"/>
          <w:color w:val="auto"/>
          <w:spacing w:val="0"/>
          <w:kern w:val="0"/>
          <w:sz w:val="21"/>
          <w:szCs w:val="21"/>
          <w:highlight w:val="none"/>
          <w:u w:val="none"/>
          <w:shd w:val="clear" w:color="auto" w:fill="auto"/>
          <w:lang w:bidi="ar"/>
        </w:rPr>
        <w:t>以及常规施工现场的场地清表费用</w:t>
      </w:r>
      <w:r>
        <w:rPr>
          <w:rFonts w:hint="eastAsia" w:ascii="宋体" w:hAnsi="宋体" w:eastAsia="宋体" w:cs="宋体"/>
          <w:color w:val="auto"/>
          <w:kern w:val="0"/>
          <w:sz w:val="21"/>
          <w:szCs w:val="21"/>
          <w:highlight w:val="none"/>
          <w:lang w:val="en-US" w:eastAsia="zh-CN" w:bidi="ar"/>
        </w:rPr>
        <w:t>而产生的相关费用已包含在合同价款中。</w:t>
      </w:r>
    </w:p>
    <w:p w14:paraId="37870B74">
      <w:pPr>
        <w:keepNext w:val="0"/>
        <w:keepLines w:val="0"/>
        <w:widowControl/>
        <w:suppressLineNumbers w:val="0"/>
        <w:spacing w:line="360" w:lineRule="auto"/>
        <w:ind w:firstLine="422" w:firstLineChars="200"/>
        <w:jc w:val="left"/>
        <w:rPr>
          <w:color w:val="auto"/>
          <w:sz w:val="21"/>
          <w:szCs w:val="21"/>
          <w:highlight w:val="none"/>
        </w:rPr>
      </w:pPr>
      <w:r>
        <w:rPr>
          <w:rFonts w:hint="eastAsia" w:ascii="Times New Roman" w:hAnsi="Times New Roman" w:eastAsia="宋体" w:cs="Times New Roman"/>
          <w:b/>
          <w:snapToGrid w:val="0"/>
          <w:color w:val="auto"/>
          <w:kern w:val="2"/>
          <w:sz w:val="21"/>
          <w:szCs w:val="21"/>
          <w:highlight w:val="none"/>
          <w:lang w:val="en-US" w:eastAsia="zh-CN" w:bidi="ar-SA"/>
        </w:rPr>
        <w:t>4.20</w:t>
      </w:r>
      <w:r>
        <w:rPr>
          <w:rFonts w:hint="eastAsia" w:ascii="宋体" w:hAnsi="宋体" w:eastAsia="宋体" w:cs="宋体"/>
          <w:color w:val="auto"/>
          <w:kern w:val="0"/>
          <w:sz w:val="21"/>
          <w:szCs w:val="21"/>
          <w:highlight w:val="none"/>
          <w:lang w:val="en-US" w:eastAsia="zh-CN" w:bidi="ar"/>
        </w:rPr>
        <w:t xml:space="preserve">承包人中标后必须按规定及时缴交工人工资保证金、环境噪声排污费等。 </w:t>
      </w:r>
    </w:p>
    <w:p w14:paraId="5F9296F4">
      <w:pPr>
        <w:keepNext w:val="0"/>
        <w:keepLines w:val="0"/>
        <w:widowControl/>
        <w:suppressLineNumbers w:val="0"/>
        <w:spacing w:line="360" w:lineRule="auto"/>
        <w:ind w:firstLine="422" w:firstLineChars="200"/>
        <w:jc w:val="left"/>
        <w:rPr>
          <w:rFonts w:hint="eastAsia" w:ascii="宋体" w:hAnsi="宋体" w:eastAsia="宋体" w:cs="宋体"/>
          <w:color w:val="auto"/>
          <w:kern w:val="0"/>
          <w:sz w:val="21"/>
          <w:szCs w:val="21"/>
          <w:highlight w:val="none"/>
          <w:lang w:val="en-US" w:eastAsia="zh-CN" w:bidi="ar"/>
        </w:rPr>
      </w:pPr>
      <w:r>
        <w:rPr>
          <w:rFonts w:hint="eastAsia" w:ascii="Times New Roman" w:hAnsi="Times New Roman" w:eastAsia="宋体" w:cs="Times New Roman"/>
          <w:b/>
          <w:snapToGrid w:val="0"/>
          <w:color w:val="auto"/>
          <w:kern w:val="2"/>
          <w:sz w:val="21"/>
          <w:szCs w:val="21"/>
          <w:highlight w:val="none"/>
          <w:lang w:val="en-US" w:eastAsia="zh-CN" w:bidi="ar-SA"/>
        </w:rPr>
        <w:t xml:space="preserve">4.21 </w:t>
      </w:r>
      <w:r>
        <w:rPr>
          <w:rFonts w:hint="eastAsia" w:ascii="宋体" w:hAnsi="宋体" w:eastAsia="宋体" w:cs="宋体"/>
          <w:color w:val="auto"/>
          <w:kern w:val="0"/>
          <w:sz w:val="21"/>
          <w:szCs w:val="21"/>
          <w:highlight w:val="none"/>
          <w:lang w:val="en-US" w:eastAsia="zh-CN" w:bidi="ar"/>
        </w:rPr>
        <w:t>承包人应按韶关市住房和城乡建设管理局、韶关市人力资源和社会保障局等职能部门对用工实名制的相关规定，落实工人及相关软硬件设施要求。</w:t>
      </w:r>
    </w:p>
    <w:p w14:paraId="37C02B14">
      <w:pPr>
        <w:pStyle w:val="40"/>
        <w:wordWrap w:val="0"/>
        <w:adjustRightInd w:val="0"/>
        <w:snapToGrid w:val="0"/>
        <w:spacing w:line="360" w:lineRule="auto"/>
        <w:ind w:firstLine="560"/>
        <w:rPr>
          <w:rFonts w:hint="eastAsia" w:ascii="Times New Roman" w:hAnsi="Times New Roman" w:eastAsia="宋体" w:cs="Times New Roman"/>
          <w:b/>
          <w:snapToGrid w:val="0"/>
          <w:color w:val="auto"/>
          <w:sz w:val="21"/>
          <w:szCs w:val="21"/>
          <w:highlight w:val="none"/>
          <w:shd w:val="clear" w:color="auto" w:fill="auto"/>
        </w:rPr>
      </w:pPr>
      <w:r>
        <w:rPr>
          <w:rFonts w:hint="eastAsia" w:ascii="Times New Roman" w:hAnsi="Times New Roman" w:eastAsia="宋体" w:cs="Times New Roman"/>
          <w:b/>
          <w:snapToGrid w:val="0"/>
          <w:color w:val="auto"/>
          <w:sz w:val="21"/>
          <w:szCs w:val="21"/>
          <w:highlight w:val="none"/>
          <w:shd w:val="clear" w:color="auto" w:fill="auto"/>
          <w:lang w:val="en-US" w:eastAsia="zh-CN"/>
        </w:rPr>
        <w:t>4.22</w:t>
      </w:r>
      <w:r>
        <w:rPr>
          <w:rFonts w:hint="eastAsia" w:ascii="Times New Roman" w:hAnsi="Times New Roman" w:eastAsia="宋体" w:cs="Times New Roman"/>
          <w:b/>
          <w:snapToGrid w:val="0"/>
          <w:color w:val="auto"/>
          <w:sz w:val="21"/>
          <w:szCs w:val="21"/>
          <w:highlight w:val="none"/>
          <w:shd w:val="clear" w:color="auto" w:fill="auto"/>
        </w:rPr>
        <w:t>安全文明施工的约定</w:t>
      </w:r>
    </w:p>
    <w:p w14:paraId="700B2DF1">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（一）相关要求</w:t>
      </w:r>
    </w:p>
    <w:p w14:paraId="2537CE86">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（1）</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建立安全责任制，明确各部门安全工作的岗位责任人，建立健全正常运转的各种安全工作保证体系和规章制度，将安全生产目标分解落到实处。 </w:t>
      </w:r>
    </w:p>
    <w:p w14:paraId="393590F9">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（2）</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按规定数量配置安全员。 </w:t>
      </w:r>
    </w:p>
    <w:p w14:paraId="1BC4F520">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（3）</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在开工前须向质量安全监督机构提交备案的书面资料。 </w:t>
      </w:r>
    </w:p>
    <w:p w14:paraId="20F7C016">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（4）</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在编制施工组织设计时，应当根据工程的特点编制相应的安全技术措施。</w:t>
      </w:r>
    </w:p>
    <w:p w14:paraId="2B0A0769">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（5）</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按有关技术安全和防护的规定组织施工生产，不得使用</w:t>
      </w:r>
      <w:r>
        <w:rPr>
          <w:rFonts w:hint="eastAsia" w:ascii="宋体" w:hAnsi="宋体" w:eastAsia="宋体" w:cs="宋体"/>
          <w:color w:val="auto"/>
          <w:kern w:val="0"/>
          <w:sz w:val="21"/>
          <w:szCs w:val="21"/>
          <w:highlight w:val="none"/>
          <w:shd w:val="clear" w:color="auto" w:fill="auto"/>
          <w:lang w:eastAsia="zh-CN" w:bidi="ar"/>
        </w:rPr>
        <w:t>不符</w:t>
      </w:r>
      <w:r>
        <w:rPr>
          <w:rFonts w:hint="eastAsia" w:ascii="宋体" w:hAnsi="宋体" w:eastAsia="宋体" w:cs="宋体"/>
          <w:color w:val="auto"/>
          <w:kern w:val="0"/>
          <w:sz w:val="21"/>
          <w:szCs w:val="21"/>
          <w:highlight w:val="none"/>
          <w:shd w:val="clear" w:color="auto" w:fill="auto"/>
          <w:lang w:bidi="ar"/>
        </w:rPr>
        <w:t>合标准的防护器材、机具和材料。</w:t>
      </w:r>
    </w:p>
    <w:p w14:paraId="3E9657C3">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（6）现场安全文明施工必须严格</w:t>
      </w:r>
      <w:r>
        <w:rPr>
          <w:rFonts w:hint="eastAsia" w:ascii="宋体" w:hAnsi="宋体" w:eastAsia="宋体" w:cs="宋体"/>
          <w:color w:val="auto"/>
          <w:kern w:val="0"/>
          <w:sz w:val="21"/>
          <w:szCs w:val="21"/>
          <w:highlight w:val="none"/>
          <w:shd w:val="clear" w:color="auto" w:fill="auto"/>
          <w:lang w:eastAsia="zh-CN" w:bidi="ar"/>
        </w:rPr>
        <w:t>按照</w:t>
      </w:r>
      <w:r>
        <w:rPr>
          <w:rFonts w:hint="eastAsia" w:ascii="宋体" w:hAnsi="宋体" w:eastAsia="宋体" w:cs="宋体"/>
          <w:color w:val="auto"/>
          <w:kern w:val="0"/>
          <w:sz w:val="21"/>
          <w:szCs w:val="21"/>
          <w:highlight w:val="none"/>
          <w:shd w:val="clear" w:color="auto" w:fill="auto"/>
          <w:lang w:bidi="ar"/>
        </w:rPr>
        <w:t>《建筑施工安全检查标准》（JGJ 59-2011）及韶关市有关建设工程现场文明施工的规定等法律法规及本合同专用条款有关安全文明施工条款的规定执行，如有违反或</w:t>
      </w:r>
      <w:r>
        <w:rPr>
          <w:rFonts w:hint="eastAsia" w:hAnsi="宋体" w:cs="宋体"/>
          <w:color w:val="auto"/>
          <w:kern w:val="0"/>
          <w:sz w:val="21"/>
          <w:szCs w:val="21"/>
          <w:highlight w:val="none"/>
          <w:shd w:val="clear" w:color="auto" w:fill="auto"/>
          <w:lang w:eastAsia="zh-CN" w:bidi="ar"/>
        </w:rPr>
        <w:t>发包人</w:t>
      </w:r>
      <w:r>
        <w:rPr>
          <w:rFonts w:hint="eastAsia" w:ascii="宋体" w:hAnsi="宋体" w:eastAsia="宋体" w:cs="宋体"/>
          <w:color w:val="auto"/>
          <w:kern w:val="0"/>
          <w:sz w:val="21"/>
          <w:szCs w:val="21"/>
          <w:highlight w:val="none"/>
          <w:shd w:val="clear" w:color="auto" w:fill="auto"/>
          <w:lang w:bidi="ar"/>
        </w:rPr>
        <w:t>在任何检查中被发现存在安全事故隐患、违章行为或管理不到位现象的，根据专用条款有关规定及《工程安全文明施工协议书》的规定进行整改、扣罚，直至</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按</w:t>
      </w:r>
      <w:r>
        <w:rPr>
          <w:rFonts w:hint="eastAsia" w:hAnsi="宋体" w:cs="宋体"/>
          <w:color w:val="auto"/>
          <w:kern w:val="0"/>
          <w:sz w:val="21"/>
          <w:szCs w:val="21"/>
          <w:highlight w:val="none"/>
          <w:shd w:val="clear" w:color="auto" w:fill="auto"/>
          <w:lang w:eastAsia="zh-CN" w:bidi="ar"/>
        </w:rPr>
        <w:t>发包人</w:t>
      </w:r>
      <w:r>
        <w:rPr>
          <w:rFonts w:hint="eastAsia" w:ascii="宋体" w:hAnsi="宋体" w:eastAsia="宋体" w:cs="宋体"/>
          <w:color w:val="auto"/>
          <w:kern w:val="0"/>
          <w:sz w:val="21"/>
          <w:szCs w:val="21"/>
          <w:highlight w:val="none"/>
          <w:shd w:val="clear" w:color="auto" w:fill="auto"/>
          <w:lang w:bidi="ar"/>
        </w:rPr>
        <w:t xml:space="preserve">的要求整改完毕为止。 </w:t>
      </w:r>
    </w:p>
    <w:p w14:paraId="370AACF4">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（7）</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应在施工现场采取维护安全、防范危险、预防火灾等措施，在特殊作业环境应对作业人员采取劳动保护措施。 </w:t>
      </w:r>
    </w:p>
    <w:p w14:paraId="347715D8">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（8）</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应采取安全防护措施，避免施工活动对周边的建筑物和构筑物造成损害。 </w:t>
      </w:r>
    </w:p>
    <w:p w14:paraId="2E05E485">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（9）</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应按规定对工程施工人员进行安全教育和管理。 </w:t>
      </w:r>
    </w:p>
    <w:p w14:paraId="456CA99C">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（10）</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应书面记录专项安全施工组织设计方案审查、安全检查、安全技术交底、安全隐患整改、安全教育等重要安全管理活动。</w:t>
      </w:r>
    </w:p>
    <w:p w14:paraId="7CBD7573">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（二）事故的处理</w:t>
      </w:r>
    </w:p>
    <w:p w14:paraId="7533CECB">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 xml:space="preserve">（1）如发生安全事故，除按法定程序办理有关事宜外，还必须按以下程序进行处理： </w:t>
      </w:r>
    </w:p>
    <w:p w14:paraId="29191967">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（2）报告安全事故：安全事故发生后，</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应在1小时内用最快的信息传递手段，将发生事故的时间、地点、伤亡人数、事故原因等情况，报总监理工程师和发包人。</w:t>
      </w:r>
    </w:p>
    <w:p w14:paraId="6A4F2A13">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（3）事故处理：</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负责抢救伤员、排除险情，防止事故蔓延扩大，保护好现场，并做好标识；并启动保险理赔程序。 </w:t>
      </w:r>
    </w:p>
    <w:p w14:paraId="4257D874">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（4）事故调查：</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应组织内部技术安全、质量部门的人员组成调查组，开展调查，并配合做好发包人或政府有关部门组织的调查工作。 </w:t>
      </w:r>
    </w:p>
    <w:p w14:paraId="5341CB96">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（5）调查报告：</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应把事故发生经过、原因、性质、损失、责任、处理意见、纠正和预防措施撰写成调查报告，送总监理工程师会审后报发包人。 </w:t>
      </w:r>
    </w:p>
    <w:p w14:paraId="5CC32028">
      <w:pPr>
        <w:pStyle w:val="40"/>
        <w:wordWrap w:val="0"/>
        <w:adjustRightInd w:val="0"/>
        <w:snapToGrid w:val="0"/>
        <w:spacing w:line="360" w:lineRule="auto"/>
        <w:ind w:firstLine="56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（6）因</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原因发生安全事故，由</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 xml:space="preserve">承担一切经济损失及法律责任。 </w:t>
      </w:r>
    </w:p>
    <w:p w14:paraId="32773397">
      <w:pPr>
        <w:pStyle w:val="40"/>
        <w:wordWrap w:val="0"/>
        <w:adjustRightInd w:val="0"/>
        <w:snapToGrid w:val="0"/>
        <w:ind w:firstLine="560"/>
        <w:rPr>
          <w:rFonts w:hint="eastAsia"/>
          <w:color w:val="auto"/>
          <w:sz w:val="21"/>
          <w:szCs w:val="21"/>
          <w:highlight w:val="none"/>
          <w:lang w:val="en-US" w:eastAsia="zh-CN"/>
        </w:rPr>
      </w:pPr>
      <w:r>
        <w:rPr>
          <w:rFonts w:hint="eastAsia" w:ascii="宋体" w:hAnsi="宋体" w:eastAsia="宋体" w:cs="宋体"/>
          <w:color w:val="auto"/>
          <w:kern w:val="0"/>
          <w:sz w:val="21"/>
          <w:szCs w:val="21"/>
          <w:highlight w:val="none"/>
          <w:shd w:val="clear" w:color="auto" w:fill="auto"/>
          <w:lang w:bidi="ar"/>
        </w:rPr>
        <w:t>（7）若</w:t>
      </w:r>
      <w:r>
        <w:rPr>
          <w:rFonts w:hint="eastAsia" w:hAnsi="宋体" w:cs="宋体"/>
          <w:color w:val="auto"/>
          <w:kern w:val="0"/>
          <w:sz w:val="21"/>
          <w:szCs w:val="21"/>
          <w:highlight w:val="none"/>
          <w:shd w:val="clear" w:color="auto" w:fill="auto"/>
          <w:lang w:eastAsia="zh-CN" w:bidi="ar"/>
        </w:rPr>
        <w:t>发包人</w:t>
      </w:r>
      <w:r>
        <w:rPr>
          <w:rFonts w:hint="eastAsia" w:ascii="宋体" w:hAnsi="宋体" w:eastAsia="宋体" w:cs="宋体"/>
          <w:color w:val="auto"/>
          <w:kern w:val="0"/>
          <w:sz w:val="21"/>
          <w:szCs w:val="21"/>
          <w:highlight w:val="none"/>
          <w:shd w:val="clear" w:color="auto" w:fill="auto"/>
          <w:lang w:bidi="ar"/>
        </w:rPr>
        <w:t>针对工程项目发出任何指令或有任何设计变更时，</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都必须依此指令或变更采取足够的施工安全措施。如因此而发生安全事故，由</w:t>
      </w:r>
      <w:r>
        <w:rPr>
          <w:rFonts w:hint="eastAsia" w:hAnsi="宋体" w:cs="宋体"/>
          <w:color w:val="auto"/>
          <w:kern w:val="0"/>
          <w:sz w:val="21"/>
          <w:szCs w:val="21"/>
          <w:highlight w:val="none"/>
          <w:shd w:val="clear" w:color="auto" w:fill="auto"/>
          <w:lang w:eastAsia="zh-CN" w:bidi="ar"/>
        </w:rPr>
        <w:t>承包人</w:t>
      </w:r>
      <w:r>
        <w:rPr>
          <w:rFonts w:hint="eastAsia" w:ascii="宋体" w:hAnsi="宋体" w:eastAsia="宋体" w:cs="宋体"/>
          <w:color w:val="auto"/>
          <w:kern w:val="0"/>
          <w:sz w:val="21"/>
          <w:szCs w:val="21"/>
          <w:highlight w:val="none"/>
          <w:shd w:val="clear" w:color="auto" w:fill="auto"/>
          <w:lang w:bidi="ar"/>
        </w:rPr>
        <w:t>承担一切经济损失及法律责任。</w:t>
      </w:r>
    </w:p>
    <w:p w14:paraId="7C19827E">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4.2</w:t>
      </w:r>
      <w:r>
        <w:rPr>
          <w:rFonts w:hint="eastAsia" w:ascii="Times New Roman"/>
          <w:b/>
          <w:bCs/>
          <w:snapToGrid w:val="0"/>
          <w:color w:val="auto"/>
          <w:kern w:val="0"/>
          <w:sz w:val="21"/>
          <w:szCs w:val="21"/>
          <w:highlight w:val="none"/>
          <w:lang w:val="en-US" w:eastAsia="zh-CN"/>
        </w:rPr>
        <w:t>3</w:t>
      </w:r>
      <w:r>
        <w:rPr>
          <w:rFonts w:ascii="Times New Roman"/>
          <w:b/>
          <w:bCs/>
          <w:snapToGrid w:val="0"/>
          <w:color w:val="auto"/>
          <w:kern w:val="0"/>
          <w:sz w:val="21"/>
          <w:szCs w:val="21"/>
          <w:highlight w:val="none"/>
        </w:rPr>
        <w:t xml:space="preserve"> </w:t>
      </w:r>
      <w:r>
        <w:rPr>
          <w:rFonts w:hAnsi="宋体" w:cs="宋体"/>
          <w:color w:val="auto"/>
          <w:sz w:val="21"/>
          <w:szCs w:val="21"/>
          <w:highlight w:val="none"/>
        </w:rPr>
        <w:t>质量违约</w:t>
      </w:r>
    </w:p>
    <w:p w14:paraId="1C5E82A9">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4.2</w:t>
      </w:r>
      <w:r>
        <w:rPr>
          <w:rFonts w:hint="eastAsia" w:ascii="Times New Roman"/>
          <w:b/>
          <w:bCs/>
          <w:snapToGrid w:val="0"/>
          <w:color w:val="auto"/>
          <w:kern w:val="0"/>
          <w:sz w:val="21"/>
          <w:szCs w:val="21"/>
          <w:highlight w:val="none"/>
          <w:lang w:val="en-US" w:eastAsia="zh-CN"/>
        </w:rPr>
        <w:t>3</w:t>
      </w:r>
      <w:r>
        <w:rPr>
          <w:rFonts w:ascii="Times New Roman"/>
          <w:b/>
          <w:bCs/>
          <w:snapToGrid w:val="0"/>
          <w:color w:val="auto"/>
          <w:kern w:val="0"/>
          <w:sz w:val="21"/>
          <w:szCs w:val="21"/>
          <w:highlight w:val="none"/>
        </w:rPr>
        <w:t>.1</w:t>
      </w:r>
      <w:r>
        <w:rPr>
          <w:rFonts w:hAnsi="宋体" w:cs="宋体"/>
          <w:color w:val="auto"/>
          <w:sz w:val="21"/>
          <w:szCs w:val="21"/>
          <w:highlight w:val="none"/>
        </w:rPr>
        <w:t>材料违约处理：若发现材料不符合国家标准或发包人在技术规范中规定的标准，视为承包人违约，按现行《建设工程质量管理条例》处理。</w:t>
      </w:r>
    </w:p>
    <w:p w14:paraId="6ACB21CF">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4.2</w:t>
      </w:r>
      <w:r>
        <w:rPr>
          <w:rFonts w:hint="eastAsia" w:ascii="Times New Roman"/>
          <w:b/>
          <w:bCs/>
          <w:snapToGrid w:val="0"/>
          <w:color w:val="auto"/>
          <w:kern w:val="0"/>
          <w:sz w:val="21"/>
          <w:szCs w:val="21"/>
          <w:highlight w:val="none"/>
          <w:lang w:val="en-US" w:eastAsia="zh-CN"/>
        </w:rPr>
        <w:t>3</w:t>
      </w:r>
      <w:r>
        <w:rPr>
          <w:rFonts w:ascii="Times New Roman"/>
          <w:b/>
          <w:bCs/>
          <w:snapToGrid w:val="0"/>
          <w:color w:val="auto"/>
          <w:kern w:val="0"/>
          <w:sz w:val="21"/>
          <w:szCs w:val="21"/>
          <w:highlight w:val="none"/>
        </w:rPr>
        <w:t>.2</w:t>
      </w:r>
      <w:r>
        <w:rPr>
          <w:rFonts w:hAnsi="宋体" w:cs="宋体"/>
          <w:color w:val="auto"/>
          <w:sz w:val="21"/>
          <w:szCs w:val="21"/>
          <w:highlight w:val="none"/>
        </w:rPr>
        <w:t>工程质量违约：</w:t>
      </w:r>
    </w:p>
    <w:p w14:paraId="6D15B94E">
      <w:pPr>
        <w:spacing w:line="360" w:lineRule="auto"/>
        <w:ind w:firstLine="308" w:firstLineChars="147"/>
        <w:rPr>
          <w:rFonts w:hAnsi="宋体" w:cs="宋体"/>
          <w:color w:val="auto"/>
          <w:sz w:val="21"/>
          <w:szCs w:val="21"/>
          <w:highlight w:val="none"/>
        </w:rPr>
      </w:pPr>
      <w:r>
        <w:rPr>
          <w:rFonts w:hAnsi="宋体" w:cs="宋体"/>
          <w:color w:val="auto"/>
          <w:sz w:val="21"/>
          <w:szCs w:val="21"/>
          <w:highlight w:val="none"/>
        </w:rPr>
        <w:t>如工程未达到合格标准，则按合同价款的1%向发包人缴纳质量违约金，并将工程整改至合格标准，整改所发生的一切费用均由</w:t>
      </w:r>
      <w:r>
        <w:rPr>
          <w:rFonts w:hint="eastAsia" w:hAnsi="宋体" w:cs="宋体"/>
          <w:color w:val="auto"/>
          <w:sz w:val="21"/>
          <w:szCs w:val="21"/>
          <w:highlight w:val="none"/>
          <w:lang w:eastAsia="zh-CN"/>
        </w:rPr>
        <w:t>承包人</w:t>
      </w:r>
      <w:r>
        <w:rPr>
          <w:rFonts w:hAnsi="宋体" w:cs="宋体"/>
          <w:color w:val="auto"/>
          <w:sz w:val="21"/>
          <w:szCs w:val="21"/>
          <w:highlight w:val="none"/>
        </w:rPr>
        <w:t>承担。</w:t>
      </w:r>
    </w:p>
    <w:p w14:paraId="29AF5F6E">
      <w:pPr>
        <w:spacing w:line="360" w:lineRule="auto"/>
        <w:ind w:firstLine="414" w:firstLineChars="197"/>
        <w:rPr>
          <w:rFonts w:hint="eastAsia" w:hAnsi="宋体" w:cs="宋体"/>
          <w:color w:val="auto"/>
          <w:sz w:val="21"/>
          <w:szCs w:val="21"/>
          <w:highlight w:val="none"/>
        </w:rPr>
      </w:pPr>
      <w:r>
        <w:rPr>
          <w:rFonts w:hint="eastAsia"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24</w:t>
      </w:r>
      <w:r>
        <w:rPr>
          <w:rFonts w:hint="eastAsia" w:hAnsi="宋体" w:cs="宋体"/>
          <w:color w:val="auto"/>
          <w:sz w:val="21"/>
          <w:szCs w:val="21"/>
          <w:highlight w:val="none"/>
        </w:rPr>
        <w:t>一般及以上等级事故违约</w:t>
      </w:r>
    </w:p>
    <w:p w14:paraId="57EBE33B">
      <w:pPr>
        <w:spacing w:line="360" w:lineRule="auto"/>
        <w:ind w:firstLine="414" w:firstLineChars="197"/>
        <w:rPr>
          <w:rFonts w:hint="eastAsia" w:hAnsi="宋体" w:cs="宋体"/>
          <w:color w:val="auto"/>
          <w:sz w:val="21"/>
          <w:szCs w:val="21"/>
          <w:highlight w:val="none"/>
        </w:rPr>
      </w:pPr>
      <w:r>
        <w:rPr>
          <w:rFonts w:hint="eastAsia"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24</w:t>
      </w:r>
      <w:r>
        <w:rPr>
          <w:rFonts w:hint="eastAsia" w:ascii="Times New Roman"/>
          <w:b/>
          <w:bCs/>
          <w:snapToGrid w:val="0"/>
          <w:color w:val="auto"/>
          <w:kern w:val="0"/>
          <w:sz w:val="21"/>
          <w:szCs w:val="21"/>
          <w:highlight w:val="none"/>
        </w:rPr>
        <w:t>.1</w:t>
      </w:r>
      <w:r>
        <w:rPr>
          <w:rFonts w:hint="eastAsia" w:hAnsi="宋体" w:cs="宋体"/>
          <w:color w:val="auto"/>
          <w:sz w:val="21"/>
          <w:szCs w:val="21"/>
          <w:highlight w:val="none"/>
        </w:rPr>
        <w:t>承包人因违反国家安全质量法规及合同有关条款约定</w:t>
      </w:r>
      <w:r>
        <w:rPr>
          <w:rFonts w:hint="eastAsia" w:hAnsi="宋体" w:cs="宋体"/>
          <w:color w:val="auto"/>
          <w:sz w:val="21"/>
          <w:szCs w:val="21"/>
          <w:highlight w:val="none"/>
          <w:lang w:eastAsia="zh-CN"/>
        </w:rPr>
        <w:t>，</w:t>
      </w:r>
      <w:r>
        <w:rPr>
          <w:rFonts w:hint="eastAsia" w:hAnsi="宋体" w:cs="宋体"/>
          <w:color w:val="auto"/>
          <w:sz w:val="21"/>
          <w:szCs w:val="21"/>
          <w:highlight w:val="none"/>
        </w:rPr>
        <w:t>出现火灾、坍塌、人员重伤、死亡等一般及以上等级事故</w:t>
      </w:r>
      <w:r>
        <w:rPr>
          <w:rFonts w:hint="eastAsia" w:hAnsi="宋体" w:cs="宋体"/>
          <w:color w:val="auto"/>
          <w:sz w:val="21"/>
          <w:szCs w:val="21"/>
          <w:highlight w:val="none"/>
          <w:lang w:eastAsia="zh-CN"/>
        </w:rPr>
        <w:t>，</w:t>
      </w:r>
      <w:r>
        <w:rPr>
          <w:rFonts w:hint="eastAsia" w:hAnsi="宋体" w:cs="宋体"/>
          <w:color w:val="auto"/>
          <w:sz w:val="21"/>
          <w:szCs w:val="21"/>
          <w:highlight w:val="none"/>
        </w:rPr>
        <w:t>则承包人应承担全部损失</w:t>
      </w:r>
      <w:r>
        <w:rPr>
          <w:rFonts w:hint="eastAsia" w:hAnsi="宋体" w:cs="宋体"/>
          <w:color w:val="auto"/>
          <w:sz w:val="21"/>
          <w:szCs w:val="21"/>
          <w:highlight w:val="none"/>
          <w:lang w:eastAsia="zh-CN"/>
        </w:rPr>
        <w:t>，</w:t>
      </w:r>
      <w:r>
        <w:rPr>
          <w:rFonts w:hint="eastAsia" w:hAnsi="宋体" w:cs="宋体"/>
          <w:color w:val="auto"/>
          <w:sz w:val="21"/>
          <w:szCs w:val="21"/>
          <w:highlight w:val="none"/>
        </w:rPr>
        <w:t>并按相关法规接受行政处罚；如造成发包人</w:t>
      </w:r>
      <w:r>
        <w:rPr>
          <w:rFonts w:hint="eastAsia" w:hAnsi="宋体" w:cs="宋体"/>
          <w:color w:val="auto"/>
          <w:sz w:val="21"/>
          <w:szCs w:val="21"/>
          <w:highlight w:val="none"/>
          <w:lang w:eastAsia="zh-CN"/>
        </w:rPr>
        <w:t>及</w:t>
      </w:r>
      <w:r>
        <w:rPr>
          <w:rFonts w:hint="eastAsia" w:hAnsi="宋体" w:cs="宋体"/>
          <w:color w:val="auto"/>
          <w:sz w:val="21"/>
          <w:szCs w:val="21"/>
          <w:highlight w:val="none"/>
        </w:rPr>
        <w:t>第三人利益的损害</w:t>
      </w:r>
      <w:r>
        <w:rPr>
          <w:rFonts w:hint="eastAsia" w:hAnsi="宋体" w:cs="宋体"/>
          <w:color w:val="auto"/>
          <w:sz w:val="21"/>
          <w:szCs w:val="21"/>
          <w:highlight w:val="none"/>
          <w:lang w:eastAsia="zh-CN"/>
        </w:rPr>
        <w:t>，</w:t>
      </w:r>
      <w:r>
        <w:rPr>
          <w:rFonts w:hint="eastAsia" w:hAnsi="宋体" w:cs="宋体"/>
          <w:color w:val="auto"/>
          <w:sz w:val="21"/>
          <w:szCs w:val="21"/>
          <w:highlight w:val="none"/>
        </w:rPr>
        <w:t>该等损害赔偿责任均由承包人承担。同时</w:t>
      </w:r>
      <w:r>
        <w:rPr>
          <w:rFonts w:hint="eastAsia" w:hAnsi="宋体" w:cs="宋体"/>
          <w:color w:val="auto"/>
          <w:sz w:val="21"/>
          <w:szCs w:val="21"/>
          <w:highlight w:val="none"/>
          <w:lang w:eastAsia="zh-CN"/>
        </w:rPr>
        <w:t>，</w:t>
      </w:r>
      <w:r>
        <w:rPr>
          <w:rFonts w:hint="eastAsia" w:hAnsi="宋体" w:cs="宋体"/>
          <w:color w:val="auto"/>
          <w:sz w:val="21"/>
          <w:szCs w:val="21"/>
          <w:highlight w:val="none"/>
        </w:rPr>
        <w:t>每出现一次一般及以上等级事故</w:t>
      </w:r>
      <w:r>
        <w:rPr>
          <w:rFonts w:hint="eastAsia" w:hAnsi="宋体" w:cs="宋体"/>
          <w:color w:val="auto"/>
          <w:sz w:val="21"/>
          <w:szCs w:val="21"/>
          <w:highlight w:val="none"/>
          <w:lang w:eastAsia="zh-CN"/>
        </w:rPr>
        <w:t>，</w:t>
      </w:r>
      <w:r>
        <w:rPr>
          <w:rFonts w:hint="eastAsia" w:hAnsi="宋体" w:cs="宋体"/>
          <w:color w:val="auto"/>
          <w:sz w:val="21"/>
          <w:szCs w:val="21"/>
          <w:highlight w:val="none"/>
        </w:rPr>
        <w:t xml:space="preserve"> 承包人应同时支付惩罚性违约金50万元。</w:t>
      </w:r>
    </w:p>
    <w:p w14:paraId="152E6E79">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25</w:t>
      </w:r>
      <w:r>
        <w:rPr>
          <w:rFonts w:hAnsi="宋体" w:cs="宋体"/>
          <w:color w:val="auto"/>
          <w:sz w:val="21"/>
          <w:szCs w:val="21"/>
          <w:highlight w:val="none"/>
        </w:rPr>
        <w:t>用工违约</w:t>
      </w:r>
    </w:p>
    <w:p w14:paraId="76EB6497">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25</w:t>
      </w:r>
      <w:r>
        <w:rPr>
          <w:rFonts w:ascii="Times New Roman"/>
          <w:b/>
          <w:bCs/>
          <w:snapToGrid w:val="0"/>
          <w:color w:val="auto"/>
          <w:kern w:val="0"/>
          <w:sz w:val="21"/>
          <w:szCs w:val="21"/>
          <w:highlight w:val="none"/>
        </w:rPr>
        <w:t>.1</w:t>
      </w:r>
      <w:r>
        <w:rPr>
          <w:rFonts w:hAnsi="宋体" w:cs="宋体"/>
          <w:color w:val="auto"/>
          <w:sz w:val="21"/>
          <w:szCs w:val="21"/>
          <w:highlight w:val="none"/>
        </w:rPr>
        <w:t>在合同履行期间，如经查实承包人拖欠或克扣农民工或劳务工工资，导致劳资纠纷或发生危及公共安全或正常社会秩序的事件的，按承包人违约处理，承包人应按拖欠或克扣农民工或劳务工工资总金额3倍的标准向发包人支付违约金。</w:t>
      </w:r>
    </w:p>
    <w:p w14:paraId="0C264A1D">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26</w:t>
      </w:r>
      <w:r>
        <w:rPr>
          <w:rFonts w:ascii="Times New Roman"/>
          <w:b/>
          <w:bCs/>
          <w:snapToGrid w:val="0"/>
          <w:color w:val="auto"/>
          <w:kern w:val="0"/>
          <w:sz w:val="21"/>
          <w:szCs w:val="21"/>
          <w:highlight w:val="none"/>
        </w:rPr>
        <w:t xml:space="preserve"> </w:t>
      </w:r>
      <w:r>
        <w:rPr>
          <w:rFonts w:hAnsi="宋体" w:cs="宋体"/>
          <w:color w:val="auto"/>
          <w:sz w:val="21"/>
          <w:szCs w:val="21"/>
          <w:highlight w:val="none"/>
        </w:rPr>
        <w:t>安全文明施工违约</w:t>
      </w:r>
    </w:p>
    <w:p w14:paraId="16FB5FF4">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26</w:t>
      </w:r>
      <w:r>
        <w:rPr>
          <w:rFonts w:ascii="Times New Roman"/>
          <w:b/>
          <w:bCs/>
          <w:snapToGrid w:val="0"/>
          <w:color w:val="auto"/>
          <w:kern w:val="0"/>
          <w:sz w:val="21"/>
          <w:szCs w:val="21"/>
          <w:highlight w:val="none"/>
        </w:rPr>
        <w:t>.1</w:t>
      </w:r>
      <w:r>
        <w:rPr>
          <w:rFonts w:hAnsi="宋体" w:cs="宋体"/>
          <w:color w:val="auto"/>
          <w:sz w:val="21"/>
          <w:szCs w:val="21"/>
          <w:highlight w:val="none"/>
        </w:rPr>
        <w:t>如承包人违反国家、广东省、发包人及合同关于安全文明施工的规定，但尚未造成安全责任事故，承包人应及时改正行为并赔偿相关方的损失，如未及时整改，针对每一违约行为每持续一天应支付违约金</w:t>
      </w:r>
      <w:r>
        <w:rPr>
          <w:rFonts w:hint="eastAsia" w:hAnsi="宋体" w:cs="宋体"/>
          <w:color w:val="auto"/>
          <w:sz w:val="21"/>
          <w:szCs w:val="21"/>
          <w:highlight w:val="none"/>
          <w:lang w:val="en-US" w:eastAsia="zh-CN"/>
        </w:rPr>
        <w:t>3000</w:t>
      </w:r>
      <w:r>
        <w:rPr>
          <w:rFonts w:hAnsi="宋体" w:cs="宋体"/>
          <w:color w:val="auto"/>
          <w:sz w:val="21"/>
          <w:szCs w:val="21"/>
          <w:highlight w:val="none"/>
        </w:rPr>
        <w:t>元。</w:t>
      </w:r>
    </w:p>
    <w:p w14:paraId="2D32BDC1">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27</w:t>
      </w:r>
      <w:r>
        <w:rPr>
          <w:rFonts w:ascii="Times New Roman"/>
          <w:b/>
          <w:bCs/>
          <w:snapToGrid w:val="0"/>
          <w:color w:val="auto"/>
          <w:kern w:val="0"/>
          <w:sz w:val="21"/>
          <w:szCs w:val="21"/>
          <w:highlight w:val="none"/>
        </w:rPr>
        <w:t>.2</w:t>
      </w:r>
      <w:r>
        <w:rPr>
          <w:rFonts w:hAnsi="宋体" w:cs="宋体"/>
          <w:color w:val="auto"/>
          <w:sz w:val="21"/>
          <w:szCs w:val="21"/>
          <w:highlight w:val="none"/>
        </w:rPr>
        <w:t>承包人现场施工人员存在野蛮施工行为，经现场发包人（含监理单位）管理人员确认后，承包人须按2万元/次支付违约金，并承担因野蛮施工行为所造成的全部责任。</w:t>
      </w:r>
    </w:p>
    <w:p w14:paraId="359CEAFB">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27</w:t>
      </w:r>
      <w:r>
        <w:rPr>
          <w:rFonts w:ascii="Times New Roman"/>
          <w:b/>
          <w:bCs/>
          <w:snapToGrid w:val="0"/>
          <w:color w:val="auto"/>
          <w:kern w:val="0"/>
          <w:sz w:val="21"/>
          <w:szCs w:val="21"/>
          <w:highlight w:val="none"/>
        </w:rPr>
        <w:t>.3</w:t>
      </w:r>
      <w:r>
        <w:rPr>
          <w:rFonts w:hAnsi="宋体" w:cs="宋体"/>
          <w:color w:val="auto"/>
          <w:sz w:val="21"/>
          <w:szCs w:val="21"/>
          <w:highlight w:val="none"/>
        </w:rPr>
        <w:t>承包人必须接受发包人组织的安全、文明施工的检查，检查中的不合格项目、安全隐患必须在规定的时间内整改完成，否则每拖延一天处以1万元人民币违约金，直至整改合格。</w:t>
      </w:r>
    </w:p>
    <w:p w14:paraId="31ADEA01">
      <w:pPr>
        <w:spacing w:line="360" w:lineRule="auto"/>
        <w:ind w:firstLine="309" w:firstLineChars="147"/>
        <w:rPr>
          <w:rFonts w:hAnsi="宋体" w:cs="宋体"/>
          <w:color w:val="auto"/>
          <w:kern w:val="0"/>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27</w:t>
      </w:r>
      <w:r>
        <w:rPr>
          <w:rFonts w:ascii="Times New Roman"/>
          <w:b/>
          <w:bCs/>
          <w:snapToGrid w:val="0"/>
          <w:color w:val="auto"/>
          <w:kern w:val="0"/>
          <w:sz w:val="21"/>
          <w:szCs w:val="21"/>
          <w:highlight w:val="none"/>
        </w:rPr>
        <w:t>.4</w:t>
      </w:r>
      <w:r>
        <w:rPr>
          <w:rFonts w:hAnsi="宋体" w:cs="宋体"/>
          <w:color w:val="auto"/>
          <w:kern w:val="0"/>
          <w:sz w:val="21"/>
          <w:szCs w:val="21"/>
          <w:highlight w:val="none"/>
        </w:rPr>
        <w:t>因施工造成的道路交通中断、通讯中断、管线漏水漏气等全部责任事故，由承包人承担责任，并支付违约金2万元人民币。</w:t>
      </w:r>
    </w:p>
    <w:p w14:paraId="3D65A391">
      <w:pPr>
        <w:spacing w:line="360" w:lineRule="auto"/>
        <w:ind w:firstLine="310" w:firstLineChars="147"/>
        <w:rPr>
          <w:rFonts w:hint="default" w:eastAsia="宋体"/>
          <w:color w:val="auto"/>
          <w:sz w:val="21"/>
          <w:szCs w:val="21"/>
          <w:highlight w:val="none"/>
          <w:lang w:val="en-US" w:eastAsia="zh-CN"/>
        </w:rPr>
      </w:pPr>
      <w:r>
        <w:rPr>
          <w:rFonts w:hint="eastAsia" w:ascii="Times New Roman" w:hAnsi="Times New Roman" w:eastAsia="宋体" w:cs="Times New Roman"/>
          <w:b/>
          <w:bCs/>
          <w:snapToGrid w:val="0"/>
          <w:color w:val="auto"/>
          <w:kern w:val="0"/>
          <w:sz w:val="21"/>
          <w:szCs w:val="21"/>
          <w:highlight w:val="none"/>
          <w:lang w:val="en-US" w:eastAsia="zh-CN"/>
        </w:rPr>
        <w:t>4.27.5</w:t>
      </w:r>
      <w:r>
        <w:rPr>
          <w:rFonts w:hint="eastAsia" w:ascii="宋体" w:hAnsi="宋体" w:eastAsia="宋体" w:cs="宋体"/>
          <w:color w:val="auto"/>
          <w:kern w:val="0"/>
          <w:sz w:val="21"/>
          <w:szCs w:val="21"/>
          <w:highlight w:val="none"/>
        </w:rPr>
        <w:t>承包人应按发包人要求恢复临时占地及清理场地，承包人未按发包人的要求恢复临时占地，或者场地清理未达到合同约定要求的，发包人有权委托其他人恢复或清理，所发生的费用由承包人承担</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因此产生的费用</w:t>
      </w:r>
      <w:r>
        <w:rPr>
          <w:rFonts w:hAnsi="宋体" w:cs="宋体"/>
          <w:color w:val="auto"/>
          <w:sz w:val="21"/>
          <w:szCs w:val="21"/>
          <w:highlight w:val="none"/>
        </w:rPr>
        <w:t>结算时一并扣除</w:t>
      </w:r>
      <w:r>
        <w:rPr>
          <w:rFonts w:ascii="Times New Roman"/>
          <w:snapToGrid w:val="0"/>
          <w:color w:val="auto"/>
          <w:kern w:val="0"/>
          <w:sz w:val="21"/>
          <w:szCs w:val="21"/>
          <w:highlight w:val="none"/>
        </w:rPr>
        <w:t>。</w:t>
      </w:r>
    </w:p>
    <w:p w14:paraId="31D14314">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28</w:t>
      </w:r>
      <w:r>
        <w:rPr>
          <w:rFonts w:ascii="Times New Roman"/>
          <w:b/>
          <w:bCs/>
          <w:snapToGrid w:val="0"/>
          <w:color w:val="auto"/>
          <w:kern w:val="0"/>
          <w:sz w:val="21"/>
          <w:szCs w:val="21"/>
          <w:highlight w:val="none"/>
        </w:rPr>
        <w:t xml:space="preserve"> </w:t>
      </w:r>
      <w:r>
        <w:rPr>
          <w:rFonts w:hAnsi="宋体" w:cs="宋体"/>
          <w:color w:val="auto"/>
          <w:sz w:val="21"/>
          <w:szCs w:val="21"/>
          <w:highlight w:val="none"/>
        </w:rPr>
        <w:t>其他违约</w:t>
      </w:r>
    </w:p>
    <w:p w14:paraId="572D698E">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28</w:t>
      </w:r>
      <w:r>
        <w:rPr>
          <w:rFonts w:ascii="Times New Roman"/>
          <w:b/>
          <w:bCs/>
          <w:snapToGrid w:val="0"/>
          <w:color w:val="auto"/>
          <w:kern w:val="0"/>
          <w:sz w:val="21"/>
          <w:szCs w:val="21"/>
          <w:highlight w:val="none"/>
        </w:rPr>
        <w:t>.1</w:t>
      </w:r>
      <w:r>
        <w:rPr>
          <w:rFonts w:hAnsi="宋体" w:cs="宋体"/>
          <w:color w:val="auto"/>
          <w:sz w:val="21"/>
          <w:szCs w:val="21"/>
          <w:highlight w:val="none"/>
        </w:rPr>
        <w:t>承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考勤指模打卡每月累计不到位次数超过10天，</w:t>
      </w:r>
      <w:r>
        <w:rPr>
          <w:rFonts w:hint="eastAsia" w:hAnsi="宋体" w:cs="宋体"/>
          <w:color w:val="auto"/>
          <w:sz w:val="21"/>
          <w:szCs w:val="21"/>
          <w:highlight w:val="none"/>
          <w:lang w:eastAsia="zh-CN"/>
        </w:rPr>
        <w:t>发包人有权进行处罚。</w:t>
      </w:r>
    </w:p>
    <w:p w14:paraId="4C773670">
      <w:pPr>
        <w:spacing w:line="360" w:lineRule="auto"/>
        <w:ind w:firstLine="414" w:firstLineChars="197"/>
        <w:rPr>
          <w:rFonts w:ascii="Times New Roman"/>
          <w:b/>
          <w:bCs/>
          <w:snapToGrid w:val="0"/>
          <w:color w:val="auto"/>
          <w:kern w:val="0"/>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28</w:t>
      </w:r>
      <w:r>
        <w:rPr>
          <w:rFonts w:ascii="Times New Roman"/>
          <w:b/>
          <w:bCs/>
          <w:snapToGrid w:val="0"/>
          <w:color w:val="auto"/>
          <w:kern w:val="0"/>
          <w:sz w:val="21"/>
          <w:szCs w:val="21"/>
          <w:highlight w:val="none"/>
        </w:rPr>
        <w:t>.</w:t>
      </w:r>
      <w:r>
        <w:rPr>
          <w:rFonts w:hint="eastAsia" w:ascii="Times New Roman"/>
          <w:b/>
          <w:bCs/>
          <w:snapToGrid w:val="0"/>
          <w:color w:val="auto"/>
          <w:kern w:val="0"/>
          <w:sz w:val="21"/>
          <w:szCs w:val="21"/>
          <w:highlight w:val="none"/>
          <w:lang w:val="en-US" w:eastAsia="zh-CN"/>
        </w:rPr>
        <w:t>2</w:t>
      </w:r>
      <w:r>
        <w:rPr>
          <w:rFonts w:hAnsi="宋体" w:cs="宋体"/>
          <w:color w:val="auto"/>
          <w:sz w:val="21"/>
          <w:szCs w:val="21"/>
          <w:highlight w:val="none"/>
        </w:rPr>
        <w:t>承包人安排在施工场地的主要</w:t>
      </w:r>
      <w:r>
        <w:rPr>
          <w:rFonts w:hint="eastAsia" w:hAnsi="宋体" w:cs="宋体"/>
          <w:color w:val="auto"/>
          <w:sz w:val="21"/>
          <w:szCs w:val="21"/>
          <w:highlight w:val="none"/>
          <w:lang w:val="en-US" w:eastAsia="zh-CN"/>
        </w:rPr>
        <w:t>人员名单与数量</w:t>
      </w:r>
      <w:r>
        <w:rPr>
          <w:rFonts w:hAnsi="宋体" w:cs="宋体"/>
          <w:color w:val="auto"/>
          <w:sz w:val="21"/>
          <w:szCs w:val="21"/>
          <w:highlight w:val="none"/>
        </w:rPr>
        <w:t>应与承包人投标文件承诺的名单一致，并保持相对稳定。若确实无法到位或需替换，需经总监理工程师审核并报发包人批准后，承包人可安排同等资历的人员替换；考勤指模打卡每月累计不到位次数超过10天，</w:t>
      </w:r>
      <w:r>
        <w:rPr>
          <w:rFonts w:hint="eastAsia" w:hAnsi="宋体" w:cs="宋体"/>
          <w:color w:val="auto"/>
          <w:sz w:val="21"/>
          <w:szCs w:val="21"/>
          <w:highlight w:val="none"/>
          <w:lang w:eastAsia="zh-CN"/>
        </w:rPr>
        <w:t>发包人有权进行处罚。</w:t>
      </w:r>
    </w:p>
    <w:p w14:paraId="062644D8">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28</w:t>
      </w:r>
      <w:r>
        <w:rPr>
          <w:rFonts w:ascii="Times New Roman"/>
          <w:b/>
          <w:bCs/>
          <w:snapToGrid w:val="0"/>
          <w:color w:val="auto"/>
          <w:kern w:val="0"/>
          <w:sz w:val="21"/>
          <w:szCs w:val="21"/>
          <w:highlight w:val="none"/>
        </w:rPr>
        <w:t>.</w:t>
      </w:r>
      <w:r>
        <w:rPr>
          <w:rFonts w:hint="eastAsia" w:ascii="Times New Roman"/>
          <w:b/>
          <w:bCs/>
          <w:snapToGrid w:val="0"/>
          <w:color w:val="auto"/>
          <w:kern w:val="0"/>
          <w:sz w:val="21"/>
          <w:szCs w:val="21"/>
          <w:highlight w:val="none"/>
          <w:lang w:val="en-US" w:eastAsia="zh-CN"/>
        </w:rPr>
        <w:t>3</w:t>
      </w:r>
      <w:r>
        <w:rPr>
          <w:rFonts w:hAnsi="宋体" w:cs="宋体"/>
          <w:color w:val="auto"/>
          <w:sz w:val="21"/>
          <w:szCs w:val="21"/>
          <w:highlight w:val="none"/>
        </w:rPr>
        <w:t>发包人要求承包人替换项目部中不称职人员，而承包人不予替换，视为承包人违约。</w:t>
      </w:r>
    </w:p>
    <w:p w14:paraId="4A34E0F3">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28</w:t>
      </w:r>
      <w:r>
        <w:rPr>
          <w:rFonts w:ascii="Times New Roman"/>
          <w:b/>
          <w:bCs/>
          <w:snapToGrid w:val="0"/>
          <w:color w:val="auto"/>
          <w:kern w:val="0"/>
          <w:sz w:val="21"/>
          <w:szCs w:val="21"/>
          <w:highlight w:val="none"/>
        </w:rPr>
        <w:t>.</w:t>
      </w:r>
      <w:r>
        <w:rPr>
          <w:rFonts w:hint="eastAsia" w:ascii="Times New Roman"/>
          <w:b/>
          <w:bCs/>
          <w:snapToGrid w:val="0"/>
          <w:color w:val="auto"/>
          <w:kern w:val="0"/>
          <w:sz w:val="21"/>
          <w:szCs w:val="21"/>
          <w:highlight w:val="none"/>
          <w:lang w:val="en-US" w:eastAsia="zh-CN"/>
        </w:rPr>
        <w:t>4</w:t>
      </w:r>
      <w:r>
        <w:rPr>
          <w:rFonts w:hAnsi="宋体" w:cs="宋体"/>
          <w:color w:val="auto"/>
          <w:sz w:val="21"/>
          <w:szCs w:val="21"/>
          <w:highlight w:val="none"/>
        </w:rPr>
        <w:t>发包人对上述约定中的规定并不免除承包人接受国家、地方政府相关部门依法对承包人的处罚。</w:t>
      </w:r>
    </w:p>
    <w:p w14:paraId="3AA09253">
      <w:pPr>
        <w:spacing w:line="360" w:lineRule="auto"/>
        <w:ind w:firstLine="414" w:firstLineChars="197"/>
        <w:rPr>
          <w:rFonts w:hAnsi="宋体" w:cs="宋体"/>
          <w:color w:val="auto"/>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28</w:t>
      </w:r>
      <w:r>
        <w:rPr>
          <w:rFonts w:ascii="Times New Roman"/>
          <w:b/>
          <w:bCs/>
          <w:snapToGrid w:val="0"/>
          <w:color w:val="auto"/>
          <w:kern w:val="0"/>
          <w:sz w:val="21"/>
          <w:szCs w:val="21"/>
          <w:highlight w:val="none"/>
        </w:rPr>
        <w:t>.</w:t>
      </w:r>
      <w:r>
        <w:rPr>
          <w:rFonts w:hint="eastAsia" w:ascii="Times New Roman"/>
          <w:b/>
          <w:bCs/>
          <w:snapToGrid w:val="0"/>
          <w:color w:val="auto"/>
          <w:kern w:val="0"/>
          <w:sz w:val="21"/>
          <w:szCs w:val="21"/>
          <w:highlight w:val="none"/>
          <w:lang w:val="en-US" w:eastAsia="zh-CN"/>
        </w:rPr>
        <w:t>5</w:t>
      </w:r>
      <w:r>
        <w:rPr>
          <w:rFonts w:hAnsi="宋体" w:cs="宋体"/>
          <w:color w:val="auto"/>
          <w:sz w:val="21"/>
          <w:szCs w:val="21"/>
          <w:highlight w:val="none"/>
        </w:rPr>
        <w:t>承包人没有正当合理的理由中途退场，可扣除承包人已递交的所有履约风险保证金</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同时，除工人工资外其他应付款不予结算</w:t>
      </w:r>
      <w:r>
        <w:rPr>
          <w:rFonts w:hAnsi="宋体" w:cs="宋体"/>
          <w:color w:val="auto"/>
          <w:sz w:val="21"/>
          <w:szCs w:val="21"/>
          <w:highlight w:val="none"/>
        </w:rPr>
        <w:t>。</w:t>
      </w:r>
    </w:p>
    <w:p w14:paraId="682DA773">
      <w:pPr>
        <w:spacing w:line="360" w:lineRule="auto"/>
        <w:ind w:firstLine="414" w:firstLineChars="197"/>
        <w:rPr>
          <w:rFonts w:hint="eastAsia" w:hAnsi="宋体" w:cs="宋体"/>
          <w:color w:val="auto"/>
          <w:sz w:val="21"/>
          <w:szCs w:val="21"/>
          <w:highlight w:val="none"/>
        </w:rPr>
      </w:pPr>
      <w:r>
        <w:rPr>
          <w:rFonts w:hint="eastAsia"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28</w:t>
      </w:r>
      <w:r>
        <w:rPr>
          <w:rFonts w:hint="eastAsia" w:ascii="Times New Roman"/>
          <w:b/>
          <w:bCs/>
          <w:snapToGrid w:val="0"/>
          <w:color w:val="auto"/>
          <w:kern w:val="0"/>
          <w:sz w:val="21"/>
          <w:szCs w:val="21"/>
          <w:highlight w:val="none"/>
        </w:rPr>
        <w:t>.</w:t>
      </w:r>
      <w:r>
        <w:rPr>
          <w:rFonts w:hint="eastAsia" w:ascii="Times New Roman"/>
          <w:b/>
          <w:bCs/>
          <w:snapToGrid w:val="0"/>
          <w:color w:val="auto"/>
          <w:kern w:val="0"/>
          <w:sz w:val="21"/>
          <w:szCs w:val="21"/>
          <w:highlight w:val="none"/>
          <w:lang w:val="en-US" w:eastAsia="zh-CN"/>
        </w:rPr>
        <w:t>6</w:t>
      </w:r>
      <w:r>
        <w:rPr>
          <w:rFonts w:hint="eastAsia" w:hAnsi="宋体" w:cs="宋体"/>
          <w:color w:val="auto"/>
          <w:sz w:val="21"/>
          <w:szCs w:val="21"/>
          <w:highlight w:val="none"/>
        </w:rPr>
        <w:t>有下列情况之一的，承包人在一年内不得参与发包人的任何工程任务，并勒令从现施工的工地退场，同时支付10万元违约金：</w:t>
      </w:r>
    </w:p>
    <w:p w14:paraId="38EA665D">
      <w:pPr>
        <w:spacing w:line="360" w:lineRule="auto"/>
        <w:ind w:firstLine="308" w:firstLineChars="147"/>
        <w:rPr>
          <w:rFonts w:hint="eastAsia" w:hAnsi="宋体" w:cs="宋体"/>
          <w:color w:val="auto"/>
          <w:sz w:val="21"/>
          <w:szCs w:val="21"/>
          <w:highlight w:val="none"/>
        </w:rPr>
      </w:pPr>
      <w:r>
        <w:rPr>
          <w:rFonts w:hint="eastAsia" w:hAnsi="宋体" w:cs="宋体"/>
          <w:color w:val="auto"/>
          <w:sz w:val="21"/>
          <w:szCs w:val="21"/>
          <w:highlight w:val="none"/>
        </w:rPr>
        <w:t>A</w:t>
      </w:r>
      <w:r>
        <w:rPr>
          <w:rFonts w:hint="eastAsia" w:hAnsi="宋体" w:cs="宋体"/>
          <w:color w:val="auto"/>
          <w:sz w:val="21"/>
          <w:szCs w:val="21"/>
          <w:highlight w:val="none"/>
          <w:lang w:eastAsia="zh-CN"/>
        </w:rPr>
        <w:t>.</w:t>
      </w:r>
      <w:r>
        <w:rPr>
          <w:rFonts w:hint="eastAsia" w:hAnsi="宋体" w:cs="宋体"/>
          <w:color w:val="auto"/>
          <w:sz w:val="21"/>
          <w:szCs w:val="21"/>
          <w:highlight w:val="none"/>
        </w:rPr>
        <w:t>路面沉降、开裂超过规范要求并造成不良社会影响的；</w:t>
      </w:r>
    </w:p>
    <w:p w14:paraId="67A8EA86">
      <w:pPr>
        <w:spacing w:line="360" w:lineRule="auto"/>
        <w:ind w:firstLine="308" w:firstLineChars="147"/>
        <w:rPr>
          <w:rFonts w:hint="eastAsia" w:hAnsi="宋体" w:cs="宋体"/>
          <w:color w:val="auto"/>
          <w:sz w:val="21"/>
          <w:szCs w:val="21"/>
          <w:highlight w:val="none"/>
          <w:u w:val="none"/>
        </w:rPr>
      </w:pPr>
      <w:r>
        <w:rPr>
          <w:rFonts w:hint="eastAsia" w:hAnsi="宋体" w:cs="宋体"/>
          <w:color w:val="auto"/>
          <w:sz w:val="21"/>
          <w:szCs w:val="21"/>
          <w:highlight w:val="none"/>
          <w:u w:val="none"/>
        </w:rPr>
        <w:t>B</w:t>
      </w:r>
      <w:r>
        <w:rPr>
          <w:rFonts w:hint="eastAsia" w:hAnsi="宋体" w:cs="宋体"/>
          <w:color w:val="auto"/>
          <w:sz w:val="21"/>
          <w:szCs w:val="21"/>
          <w:highlight w:val="none"/>
          <w:u w:val="none"/>
          <w:lang w:eastAsia="zh-CN"/>
        </w:rPr>
        <w:t>.</w:t>
      </w:r>
      <w:r>
        <w:rPr>
          <w:rFonts w:hint="eastAsia" w:hAnsi="宋体" w:cs="宋体"/>
          <w:color w:val="auto"/>
          <w:sz w:val="21"/>
          <w:szCs w:val="21"/>
          <w:highlight w:val="none"/>
          <w:u w:val="none"/>
        </w:rPr>
        <w:t>发生一般及以上等级质量安全事故的；</w:t>
      </w:r>
    </w:p>
    <w:p w14:paraId="4E7D3CF6">
      <w:pPr>
        <w:spacing w:line="360" w:lineRule="auto"/>
        <w:ind w:firstLine="308" w:firstLineChars="147"/>
        <w:rPr>
          <w:rFonts w:hint="eastAsia" w:hAnsi="宋体" w:cs="宋体"/>
          <w:color w:val="auto"/>
          <w:sz w:val="21"/>
          <w:szCs w:val="21"/>
          <w:highlight w:val="none"/>
        </w:rPr>
      </w:pPr>
      <w:r>
        <w:rPr>
          <w:rFonts w:hint="eastAsia" w:hAnsi="宋体" w:cs="宋体"/>
          <w:color w:val="auto"/>
          <w:sz w:val="21"/>
          <w:szCs w:val="21"/>
          <w:highlight w:val="none"/>
        </w:rPr>
        <w:t>C</w:t>
      </w:r>
      <w:r>
        <w:rPr>
          <w:rFonts w:hint="eastAsia" w:hAnsi="宋体" w:cs="宋体"/>
          <w:color w:val="auto"/>
          <w:sz w:val="21"/>
          <w:szCs w:val="21"/>
          <w:highlight w:val="none"/>
          <w:lang w:eastAsia="zh-CN"/>
        </w:rPr>
        <w:t>.</w:t>
      </w:r>
      <w:r>
        <w:rPr>
          <w:rFonts w:hint="eastAsia" w:hAnsi="宋体" w:cs="宋体"/>
          <w:color w:val="auto"/>
          <w:sz w:val="21"/>
          <w:szCs w:val="21"/>
          <w:highlight w:val="none"/>
        </w:rPr>
        <w:t>承包人所承担的施工任务在施工期间，由于工程质量或工程进度原因，监理单位发出10个以上﹙含10个﹚停工令的；</w:t>
      </w:r>
    </w:p>
    <w:p w14:paraId="565D02A2">
      <w:pPr>
        <w:wordWrap w:val="0"/>
        <w:autoSpaceDE/>
        <w:autoSpaceDN/>
        <w:snapToGrid w:val="0"/>
        <w:spacing w:line="360" w:lineRule="auto"/>
        <w:ind w:firstLine="308" w:firstLineChars="147"/>
        <w:jc w:val="both"/>
        <w:rPr>
          <w:rFonts w:hint="eastAsia" w:hAnsi="宋体" w:cs="宋体"/>
          <w:color w:val="auto"/>
          <w:sz w:val="21"/>
          <w:szCs w:val="21"/>
          <w:highlight w:val="none"/>
        </w:rPr>
      </w:pPr>
      <w:r>
        <w:rPr>
          <w:rFonts w:hint="eastAsia" w:hAnsi="宋体" w:cs="宋体"/>
          <w:color w:val="auto"/>
          <w:sz w:val="21"/>
          <w:szCs w:val="21"/>
          <w:highlight w:val="none"/>
        </w:rPr>
        <w:t>D</w:t>
      </w:r>
      <w:r>
        <w:rPr>
          <w:rFonts w:hint="eastAsia" w:hAnsi="宋体" w:cs="宋体"/>
          <w:color w:val="auto"/>
          <w:sz w:val="21"/>
          <w:szCs w:val="21"/>
          <w:highlight w:val="none"/>
          <w:lang w:eastAsia="zh-CN"/>
        </w:rPr>
        <w:t>.</w:t>
      </w:r>
      <w:r>
        <w:rPr>
          <w:rFonts w:hint="eastAsia" w:hAnsi="宋体" w:cs="宋体"/>
          <w:color w:val="auto"/>
          <w:sz w:val="21"/>
          <w:szCs w:val="21"/>
          <w:highlight w:val="none"/>
        </w:rPr>
        <w:t>质量监督部门在抽检时发出5个以上（含5个）由于工程质量原因通报的；</w:t>
      </w:r>
    </w:p>
    <w:p w14:paraId="55C51643">
      <w:pPr>
        <w:wordWrap w:val="0"/>
        <w:autoSpaceDE/>
        <w:autoSpaceDN/>
        <w:snapToGrid w:val="0"/>
        <w:spacing w:line="360" w:lineRule="auto"/>
        <w:ind w:firstLine="309" w:firstLineChars="147"/>
        <w:jc w:val="both"/>
        <w:rPr>
          <w:rFonts w:ascii="Times New Roman"/>
          <w:snapToGrid w:val="0"/>
          <w:color w:val="auto"/>
          <w:kern w:val="0"/>
          <w:sz w:val="21"/>
          <w:szCs w:val="21"/>
          <w:highlight w:val="none"/>
        </w:rPr>
      </w:pPr>
      <w:r>
        <w:rPr>
          <w:rFonts w:ascii="Times New Roman"/>
          <w:b/>
          <w:bCs/>
          <w:snapToGrid w:val="0"/>
          <w:color w:val="auto"/>
          <w:kern w:val="0"/>
          <w:sz w:val="21"/>
          <w:szCs w:val="21"/>
          <w:highlight w:val="none"/>
        </w:rPr>
        <w:t>4.</w:t>
      </w:r>
      <w:r>
        <w:rPr>
          <w:rFonts w:hint="eastAsia" w:ascii="Times New Roman"/>
          <w:b/>
          <w:bCs/>
          <w:snapToGrid w:val="0"/>
          <w:color w:val="auto"/>
          <w:kern w:val="0"/>
          <w:sz w:val="21"/>
          <w:szCs w:val="21"/>
          <w:highlight w:val="none"/>
          <w:lang w:val="en-US" w:eastAsia="zh-CN"/>
        </w:rPr>
        <w:t>29</w:t>
      </w:r>
      <w:r>
        <w:rPr>
          <w:rFonts w:ascii="Times New Roman"/>
          <w:b/>
          <w:bCs/>
          <w:snapToGrid w:val="0"/>
          <w:color w:val="auto"/>
          <w:kern w:val="0"/>
          <w:sz w:val="21"/>
          <w:szCs w:val="21"/>
          <w:highlight w:val="none"/>
        </w:rPr>
        <w:t xml:space="preserve"> </w:t>
      </w:r>
      <w:r>
        <w:rPr>
          <w:rFonts w:hAnsi="宋体" w:cs="宋体"/>
          <w:color w:val="auto"/>
          <w:sz w:val="21"/>
          <w:szCs w:val="21"/>
          <w:highlight w:val="none"/>
        </w:rPr>
        <w:t>承包人因违约行为而</w:t>
      </w:r>
      <w:r>
        <w:rPr>
          <w:rFonts w:hint="eastAsia" w:hAnsi="宋体" w:eastAsia="宋体" w:cs="宋体"/>
          <w:color w:val="auto"/>
          <w:sz w:val="21"/>
          <w:szCs w:val="21"/>
          <w:highlight w:val="none"/>
          <w:lang w:eastAsia="zh-CN"/>
        </w:rPr>
        <w:t>需</w:t>
      </w:r>
      <w:r>
        <w:rPr>
          <w:rFonts w:hAnsi="宋体" w:cs="宋体"/>
          <w:color w:val="auto"/>
          <w:sz w:val="21"/>
          <w:szCs w:val="21"/>
          <w:highlight w:val="none"/>
        </w:rPr>
        <w:t>缴纳的违约金在工程进度款中和结算时一并扣除</w:t>
      </w:r>
      <w:r>
        <w:rPr>
          <w:rFonts w:ascii="Times New Roman"/>
          <w:snapToGrid w:val="0"/>
          <w:color w:val="auto"/>
          <w:kern w:val="0"/>
          <w:sz w:val="21"/>
          <w:szCs w:val="21"/>
          <w:highlight w:val="none"/>
        </w:rPr>
        <w:t>。</w:t>
      </w:r>
    </w:p>
    <w:p w14:paraId="0F17CFDE">
      <w:pPr>
        <w:widowControl w:val="0"/>
        <w:kinsoku/>
        <w:wordWrap w:val="0"/>
        <w:topLinePunct/>
        <w:autoSpaceDE/>
        <w:autoSpaceDN/>
        <w:ind w:right="84" w:rightChars="40"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bCs w:val="0"/>
          <w:snapToGrid w:val="0"/>
          <w:color w:val="auto"/>
          <w:kern w:val="0"/>
          <w:sz w:val="21"/>
          <w:szCs w:val="21"/>
          <w:highlight w:val="none"/>
          <w:lang w:val="en-US" w:eastAsia="zh-CN"/>
        </w:rPr>
        <w:t>5.其他未尽事宜可由发包人与承包人自行协商在施工合同中约定。</w:t>
      </w:r>
      <w:bookmarkEnd w:id="184"/>
      <w:bookmarkEnd w:id="185"/>
      <w:bookmarkEnd w:id="186"/>
    </w:p>
    <w:p w14:paraId="6EE2E99C">
      <w:pPr>
        <w:pStyle w:val="15"/>
        <w:rPr>
          <w:rFonts w:hint="eastAsia" w:ascii="宋体" w:hAnsi="宋体" w:eastAsia="宋体" w:cs="宋体"/>
          <w:color w:val="auto"/>
          <w:sz w:val="24"/>
          <w:szCs w:val="24"/>
          <w:highlight w:val="none"/>
          <w:lang w:eastAsia="zh-CN"/>
        </w:rPr>
      </w:pPr>
    </w:p>
    <w:p w14:paraId="4BDA0E56">
      <w:pPr>
        <w:pStyle w:val="15"/>
        <w:rPr>
          <w:rFonts w:hint="eastAsia" w:ascii="宋体" w:hAnsi="宋体" w:eastAsia="宋体" w:cs="宋体"/>
          <w:color w:val="auto"/>
          <w:sz w:val="24"/>
          <w:szCs w:val="24"/>
          <w:highlight w:val="none"/>
          <w:lang w:eastAsia="zh-CN"/>
        </w:rPr>
      </w:pPr>
    </w:p>
    <w:p w14:paraId="673329EB">
      <w:pPr>
        <w:pStyle w:val="15"/>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7" w:name="bookmark96"/>
      <w:bookmarkEnd w:id="187"/>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18B8A5F2">
      <w:pPr>
        <w:pStyle w:val="3"/>
        <w:tabs>
          <w:tab w:val="left" w:pos="885"/>
        </w:tabs>
        <w:wordWrap w:val="0"/>
        <w:autoSpaceDE/>
        <w:autoSpaceDN/>
        <w:snapToGrid w:val="0"/>
        <w:spacing w:line="360" w:lineRule="auto"/>
        <w:ind w:left="885" w:hanging="885"/>
        <w:jc w:val="center"/>
        <w:rPr>
          <w:rFonts w:hint="eastAsia" w:ascii="宋体" w:hAnsi="宋体" w:eastAsia="宋体" w:cs="宋体"/>
          <w:b/>
          <w:snapToGrid w:val="0"/>
          <w:color w:val="auto"/>
          <w:kern w:val="0"/>
          <w:sz w:val="24"/>
          <w:szCs w:val="24"/>
          <w:highlight w:val="none"/>
        </w:rPr>
      </w:pPr>
      <w:bookmarkStart w:id="188" w:name="bookmark100"/>
      <w:bookmarkEnd w:id="188"/>
      <w:bookmarkStart w:id="189" w:name="bookmark146"/>
      <w:bookmarkEnd w:id="189"/>
      <w:bookmarkStart w:id="190" w:name="_Hlt69698796"/>
      <w:bookmarkStart w:id="191" w:name="_Toc24106"/>
      <w:bookmarkStart w:id="192" w:name="_Toc32130"/>
      <w:r>
        <w:rPr>
          <w:rFonts w:hint="eastAsia" w:ascii="宋体" w:hAnsi="宋体" w:eastAsia="宋体" w:cs="宋体"/>
          <w:b/>
          <w:snapToGrid w:val="0"/>
          <w:color w:val="auto"/>
          <w:sz w:val="24"/>
          <w:szCs w:val="24"/>
          <w:highlight w:val="none"/>
        </w:rPr>
        <w:t>第四章</w:t>
      </w:r>
      <w:bookmarkStart w:id="193" w:name="_Hlt87793853"/>
      <w:bookmarkEnd w:id="193"/>
      <w:r>
        <w:rPr>
          <w:rFonts w:hint="eastAsia" w:ascii="宋体" w:hAnsi="宋体" w:eastAsia="宋体" w:cs="宋体"/>
          <w:b/>
          <w:snapToGrid w:val="0"/>
          <w:color w:val="auto"/>
          <w:sz w:val="24"/>
          <w:szCs w:val="24"/>
          <w:highlight w:val="none"/>
        </w:rPr>
        <w:t xml:space="preserve"> 技术要求</w:t>
      </w:r>
      <w:bookmarkEnd w:id="190"/>
      <w:bookmarkEnd w:id="191"/>
      <w:bookmarkEnd w:id="192"/>
      <w:bookmarkStart w:id="194" w:name="_Hlt69116854"/>
      <w:bookmarkEnd w:id="194"/>
      <w:bookmarkStart w:id="195" w:name="_Hlt69358207"/>
      <w:bookmarkEnd w:id="195"/>
      <w:bookmarkStart w:id="196" w:name="_Hlt87793346"/>
      <w:bookmarkEnd w:id="196"/>
      <w:bookmarkStart w:id="197" w:name="_Hlt66104926"/>
      <w:bookmarkEnd w:id="197"/>
      <w:bookmarkStart w:id="198" w:name="_Hlt69359335"/>
      <w:bookmarkEnd w:id="198"/>
      <w:bookmarkStart w:id="199" w:name="_Hlt75685840"/>
      <w:bookmarkEnd w:id="199"/>
      <w:bookmarkStart w:id="200" w:name="_Hlt80411122"/>
      <w:bookmarkEnd w:id="200"/>
      <w:bookmarkStart w:id="201" w:name="_Hlt69357851"/>
      <w:bookmarkEnd w:id="201"/>
      <w:bookmarkStart w:id="202" w:name="_Hlt68774758"/>
      <w:bookmarkEnd w:id="202"/>
      <w:bookmarkStart w:id="203" w:name="_Hlt69265216"/>
      <w:bookmarkEnd w:id="203"/>
      <w:bookmarkStart w:id="204" w:name="_Hlt87793370"/>
      <w:bookmarkEnd w:id="204"/>
    </w:p>
    <w:p w14:paraId="248DF3EF">
      <w:pPr>
        <w:wordWrap w:val="0"/>
        <w:adjustRightInd w:val="0"/>
        <w:snapToGrid w:val="0"/>
        <w:spacing w:line="360" w:lineRule="auto"/>
        <w:ind w:firstLine="422" w:firstLineChars="200"/>
        <w:rPr>
          <w:rFonts w:hint="eastAsia" w:ascii="宋体" w:hAnsi="宋体" w:eastAsia="宋体" w:cs="宋体"/>
          <w:b/>
          <w:bCs w:val="0"/>
          <w:snapToGrid w:val="0"/>
          <w:color w:val="auto"/>
          <w:kern w:val="0"/>
          <w:sz w:val="21"/>
          <w:szCs w:val="21"/>
          <w:highlight w:val="none"/>
        </w:rPr>
      </w:pPr>
      <w:bookmarkStart w:id="205" w:name="_Toc641"/>
      <w:bookmarkStart w:id="206" w:name="_Toc23373"/>
      <w:bookmarkStart w:id="207" w:name="_Toc29846"/>
      <w:r>
        <w:rPr>
          <w:rFonts w:hint="eastAsia" w:ascii="宋体" w:hAnsi="宋体" w:eastAsia="宋体" w:cs="宋体"/>
          <w:b/>
          <w:bCs w:val="0"/>
          <w:snapToGrid w:val="0"/>
          <w:color w:val="auto"/>
          <w:kern w:val="0"/>
          <w:sz w:val="21"/>
          <w:szCs w:val="21"/>
          <w:highlight w:val="none"/>
        </w:rPr>
        <w:t>1．房屋建筑工程建设项目</w:t>
      </w:r>
    </w:p>
    <w:p w14:paraId="5F39488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bookmarkStart w:id="208" w:name="_Hlt69359245"/>
      <w:bookmarkEnd w:id="208"/>
      <w:bookmarkStart w:id="209" w:name="_Hlt69358458"/>
      <w:bookmarkEnd w:id="209"/>
      <w:bookmarkStart w:id="210" w:name="_Hlt69635252"/>
      <w:bookmarkEnd w:id="210"/>
      <w:bookmarkStart w:id="211" w:name="_Hlt78709799"/>
      <w:bookmarkEnd w:id="211"/>
      <w:bookmarkStart w:id="212" w:name="_Hlt69116858"/>
      <w:bookmarkEnd w:id="212"/>
      <w:bookmarkStart w:id="213" w:name="_Hlt69359243"/>
      <w:bookmarkEnd w:id="213"/>
      <w:bookmarkStart w:id="214" w:name="_Hlt69359086"/>
      <w:bookmarkEnd w:id="214"/>
      <w:r>
        <w:rPr>
          <w:rFonts w:hint="eastAsia" w:ascii="宋体" w:hAnsi="宋体" w:eastAsia="宋体" w:cs="宋体"/>
          <w:bCs/>
          <w:snapToGrid w:val="0"/>
          <w:color w:val="auto"/>
          <w:kern w:val="0"/>
          <w:sz w:val="21"/>
          <w:szCs w:val="21"/>
          <w:highlight w:val="none"/>
        </w:rPr>
        <w:t>房屋建筑工程建设项目必须执行的现行技术规范，包括且不限于：</w:t>
      </w:r>
    </w:p>
    <w:p w14:paraId="22806F8C">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w:t>
      </w:r>
      <w:r>
        <w:rPr>
          <w:rFonts w:hint="eastAsia" w:ascii="宋体" w:hAnsi="宋体" w:eastAsia="宋体" w:cs="宋体"/>
          <w:bCs/>
          <w:snapToGrid w:val="0"/>
          <w:color w:val="auto"/>
          <w:kern w:val="0"/>
          <w:sz w:val="21"/>
          <w:szCs w:val="21"/>
          <w:highlight w:val="none"/>
          <w:lang w:val="en-US" w:eastAsia="zh-CN"/>
        </w:rPr>
        <w:t xml:space="preserve">）《建筑工程施工质量验收统一标准》； </w:t>
      </w:r>
    </w:p>
    <w:p w14:paraId="549A0ADE">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2</w:t>
      </w:r>
      <w:r>
        <w:rPr>
          <w:rFonts w:hint="eastAsia" w:ascii="宋体" w:hAnsi="宋体" w:eastAsia="宋体" w:cs="宋体"/>
          <w:bCs/>
          <w:snapToGrid w:val="0"/>
          <w:color w:val="auto"/>
          <w:kern w:val="0"/>
          <w:sz w:val="21"/>
          <w:szCs w:val="21"/>
          <w:highlight w:val="none"/>
          <w:lang w:val="en-US" w:eastAsia="zh-CN"/>
        </w:rPr>
        <w:t xml:space="preserve">）《建筑地基基础工程施工质量验收规范》； </w:t>
      </w:r>
    </w:p>
    <w:p w14:paraId="72EF0425">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3</w:t>
      </w:r>
      <w:r>
        <w:rPr>
          <w:rFonts w:hint="eastAsia" w:ascii="宋体" w:hAnsi="宋体" w:eastAsia="宋体" w:cs="宋体"/>
          <w:bCs/>
          <w:snapToGrid w:val="0"/>
          <w:color w:val="auto"/>
          <w:kern w:val="0"/>
          <w:sz w:val="21"/>
          <w:szCs w:val="21"/>
          <w:highlight w:val="none"/>
          <w:lang w:val="en-US" w:eastAsia="zh-CN"/>
        </w:rPr>
        <w:t xml:space="preserve">）《砌体工程施工质量验收规范》； </w:t>
      </w:r>
    </w:p>
    <w:p w14:paraId="38721322">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4</w:t>
      </w:r>
      <w:r>
        <w:rPr>
          <w:rFonts w:hint="eastAsia" w:ascii="宋体" w:hAnsi="宋体" w:eastAsia="宋体" w:cs="宋体"/>
          <w:bCs/>
          <w:snapToGrid w:val="0"/>
          <w:color w:val="auto"/>
          <w:kern w:val="0"/>
          <w:sz w:val="21"/>
          <w:szCs w:val="21"/>
          <w:highlight w:val="none"/>
          <w:lang w:val="en-US" w:eastAsia="zh-CN"/>
        </w:rPr>
        <w:t xml:space="preserve">）《混凝土结构工程施工质量验收规范》； </w:t>
      </w:r>
    </w:p>
    <w:p w14:paraId="17777DA8">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5</w:t>
      </w:r>
      <w:r>
        <w:rPr>
          <w:rFonts w:hint="eastAsia" w:ascii="宋体" w:hAnsi="宋体" w:eastAsia="宋体" w:cs="宋体"/>
          <w:bCs/>
          <w:snapToGrid w:val="0"/>
          <w:color w:val="auto"/>
          <w:kern w:val="0"/>
          <w:sz w:val="21"/>
          <w:szCs w:val="21"/>
          <w:highlight w:val="none"/>
          <w:lang w:val="en-US" w:eastAsia="zh-CN"/>
        </w:rPr>
        <w:t xml:space="preserve">）《屋面工程质量验收规范》； </w:t>
      </w:r>
    </w:p>
    <w:p w14:paraId="5FE54730">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6</w:t>
      </w:r>
      <w:r>
        <w:rPr>
          <w:rFonts w:hint="eastAsia" w:ascii="宋体" w:hAnsi="宋体" w:eastAsia="宋体" w:cs="宋体"/>
          <w:bCs/>
          <w:snapToGrid w:val="0"/>
          <w:color w:val="auto"/>
          <w:kern w:val="0"/>
          <w:sz w:val="21"/>
          <w:szCs w:val="21"/>
          <w:highlight w:val="none"/>
          <w:lang w:val="en-US" w:eastAsia="zh-CN"/>
        </w:rPr>
        <w:t xml:space="preserve">）《地下防水工程质量验收规范》； </w:t>
      </w:r>
    </w:p>
    <w:p w14:paraId="7DA69799">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7</w:t>
      </w:r>
      <w:r>
        <w:rPr>
          <w:rFonts w:hint="eastAsia" w:ascii="宋体" w:hAnsi="宋体" w:eastAsia="宋体" w:cs="宋体"/>
          <w:bCs/>
          <w:snapToGrid w:val="0"/>
          <w:color w:val="auto"/>
          <w:kern w:val="0"/>
          <w:sz w:val="21"/>
          <w:szCs w:val="21"/>
          <w:highlight w:val="none"/>
          <w:lang w:val="en-US" w:eastAsia="zh-CN"/>
        </w:rPr>
        <w:t xml:space="preserve">）《建筑地面工程施工质量验收规范》； </w:t>
      </w:r>
    </w:p>
    <w:p w14:paraId="5CC8B22E">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8</w:t>
      </w:r>
      <w:r>
        <w:rPr>
          <w:rFonts w:hint="eastAsia" w:ascii="宋体" w:hAnsi="宋体" w:eastAsia="宋体" w:cs="宋体"/>
          <w:bCs/>
          <w:snapToGrid w:val="0"/>
          <w:color w:val="auto"/>
          <w:kern w:val="0"/>
          <w:sz w:val="21"/>
          <w:szCs w:val="21"/>
          <w:highlight w:val="none"/>
          <w:lang w:val="en-US" w:eastAsia="zh-CN"/>
        </w:rPr>
        <w:t xml:space="preserve">）《建筑装饰装修工程施工质量验收规范》； </w:t>
      </w:r>
    </w:p>
    <w:p w14:paraId="6C17C6D5">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9</w:t>
      </w:r>
      <w:r>
        <w:rPr>
          <w:rFonts w:hint="eastAsia" w:ascii="宋体" w:hAnsi="宋体" w:eastAsia="宋体" w:cs="宋体"/>
          <w:bCs/>
          <w:snapToGrid w:val="0"/>
          <w:color w:val="auto"/>
          <w:kern w:val="0"/>
          <w:sz w:val="21"/>
          <w:szCs w:val="21"/>
          <w:highlight w:val="none"/>
          <w:lang w:val="en-US" w:eastAsia="zh-CN"/>
        </w:rPr>
        <w:t xml:space="preserve">）《建筑给排水及采暖工程施工质量验收规范》； </w:t>
      </w:r>
    </w:p>
    <w:p w14:paraId="24639A0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10</w:t>
      </w:r>
      <w:r>
        <w:rPr>
          <w:rFonts w:hint="eastAsia" w:ascii="宋体" w:hAnsi="宋体" w:eastAsia="宋体" w:cs="宋体"/>
          <w:bCs/>
          <w:snapToGrid w:val="0"/>
          <w:color w:val="auto"/>
          <w:kern w:val="0"/>
          <w:sz w:val="21"/>
          <w:szCs w:val="21"/>
          <w:highlight w:val="none"/>
          <w:lang w:val="en-US" w:eastAsia="zh-CN"/>
        </w:rPr>
        <w:t xml:space="preserve">）《建筑电气工程施工质量验收规范》； </w:t>
      </w:r>
    </w:p>
    <w:p w14:paraId="28520B10">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11</w:t>
      </w:r>
      <w:r>
        <w:rPr>
          <w:rFonts w:hint="eastAsia" w:ascii="宋体" w:hAnsi="宋体" w:eastAsia="宋体" w:cs="宋体"/>
          <w:bCs/>
          <w:snapToGrid w:val="0"/>
          <w:color w:val="auto"/>
          <w:kern w:val="0"/>
          <w:sz w:val="21"/>
          <w:szCs w:val="21"/>
          <w:highlight w:val="none"/>
          <w:lang w:val="en-US" w:eastAsia="zh-CN"/>
        </w:rPr>
        <w:t xml:space="preserve">）《住建部绿色建筑评价标准》； </w:t>
      </w:r>
    </w:p>
    <w:p w14:paraId="09011B12">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12</w:t>
      </w:r>
      <w:r>
        <w:rPr>
          <w:rFonts w:hint="eastAsia" w:ascii="宋体" w:hAnsi="宋体" w:eastAsia="宋体" w:cs="宋体"/>
          <w:bCs/>
          <w:snapToGrid w:val="0"/>
          <w:color w:val="auto"/>
          <w:kern w:val="0"/>
          <w:sz w:val="21"/>
          <w:szCs w:val="21"/>
          <w:highlight w:val="none"/>
          <w:lang w:val="en-US" w:eastAsia="zh-CN"/>
        </w:rPr>
        <w:t>）《建筑节能与可再生能源利用通用规范》（</w:t>
      </w:r>
      <w:r>
        <w:rPr>
          <w:rFonts w:hint="default" w:ascii="宋体" w:hAnsi="宋体" w:eastAsia="宋体" w:cs="宋体"/>
          <w:bCs/>
          <w:snapToGrid w:val="0"/>
          <w:color w:val="auto"/>
          <w:kern w:val="0"/>
          <w:sz w:val="21"/>
          <w:szCs w:val="21"/>
          <w:highlight w:val="none"/>
          <w:lang w:val="en-US" w:eastAsia="zh-CN"/>
        </w:rPr>
        <w:t>GB55015-2021</w:t>
      </w:r>
      <w:r>
        <w:rPr>
          <w:rFonts w:hint="eastAsia" w:ascii="宋体" w:hAnsi="宋体" w:eastAsia="宋体" w:cs="宋体"/>
          <w:bCs/>
          <w:snapToGrid w:val="0"/>
          <w:color w:val="auto"/>
          <w:kern w:val="0"/>
          <w:sz w:val="21"/>
          <w:szCs w:val="21"/>
          <w:highlight w:val="none"/>
          <w:lang w:val="en-US" w:eastAsia="zh-CN"/>
        </w:rPr>
        <w:t xml:space="preserve">）； </w:t>
      </w:r>
    </w:p>
    <w:p w14:paraId="5CC30CBD">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13</w:t>
      </w:r>
      <w:r>
        <w:rPr>
          <w:rFonts w:hint="eastAsia" w:ascii="宋体" w:hAnsi="宋体" w:eastAsia="宋体" w:cs="宋体"/>
          <w:bCs/>
          <w:snapToGrid w:val="0"/>
          <w:color w:val="auto"/>
          <w:kern w:val="0"/>
          <w:sz w:val="21"/>
          <w:szCs w:val="21"/>
          <w:highlight w:val="none"/>
          <w:lang w:val="en-US" w:eastAsia="zh-CN"/>
        </w:rPr>
        <w:t xml:space="preserve">）《建筑环境通用规范》； </w:t>
      </w:r>
    </w:p>
    <w:p w14:paraId="5C2E3B96">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14</w:t>
      </w:r>
      <w:r>
        <w:rPr>
          <w:rFonts w:hint="eastAsia" w:ascii="宋体" w:hAnsi="宋体" w:eastAsia="宋体" w:cs="宋体"/>
          <w:bCs/>
          <w:snapToGrid w:val="0"/>
          <w:color w:val="auto"/>
          <w:kern w:val="0"/>
          <w:sz w:val="21"/>
          <w:szCs w:val="21"/>
          <w:highlight w:val="none"/>
          <w:lang w:val="en-US" w:eastAsia="zh-CN"/>
        </w:rPr>
        <w:t xml:space="preserve">）《建筑与市政工程无障碍通用规范》 </w:t>
      </w:r>
      <w:r>
        <w:rPr>
          <w:rFonts w:hint="default" w:ascii="宋体" w:hAnsi="宋体" w:eastAsia="宋体" w:cs="宋体"/>
          <w:bCs/>
          <w:snapToGrid w:val="0"/>
          <w:color w:val="auto"/>
          <w:kern w:val="0"/>
          <w:sz w:val="21"/>
          <w:szCs w:val="21"/>
          <w:highlight w:val="none"/>
          <w:lang w:val="en-US" w:eastAsia="zh-CN"/>
        </w:rPr>
        <w:t>GB 55019-2021</w:t>
      </w:r>
      <w:r>
        <w:rPr>
          <w:rFonts w:hint="eastAsia" w:ascii="宋体" w:hAnsi="宋体" w:eastAsia="宋体" w:cs="宋体"/>
          <w:bCs/>
          <w:snapToGrid w:val="0"/>
          <w:color w:val="auto"/>
          <w:kern w:val="0"/>
          <w:sz w:val="21"/>
          <w:szCs w:val="21"/>
          <w:highlight w:val="none"/>
          <w:lang w:val="en-US" w:eastAsia="zh-CN"/>
        </w:rPr>
        <w:t xml:space="preserve">； </w:t>
      </w:r>
    </w:p>
    <w:p w14:paraId="38E8F1B5">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15</w:t>
      </w:r>
      <w:r>
        <w:rPr>
          <w:rFonts w:hint="eastAsia" w:ascii="宋体" w:hAnsi="宋体" w:eastAsia="宋体" w:cs="宋体"/>
          <w:bCs/>
          <w:snapToGrid w:val="0"/>
          <w:color w:val="auto"/>
          <w:kern w:val="0"/>
          <w:sz w:val="21"/>
          <w:szCs w:val="21"/>
          <w:highlight w:val="none"/>
          <w:lang w:val="en-US" w:eastAsia="zh-CN"/>
        </w:rPr>
        <w:t>）《建筑防火通用规范》</w:t>
      </w:r>
      <w:r>
        <w:rPr>
          <w:rFonts w:hint="default" w:ascii="宋体" w:hAnsi="宋体" w:eastAsia="宋体" w:cs="宋体"/>
          <w:bCs/>
          <w:snapToGrid w:val="0"/>
          <w:color w:val="auto"/>
          <w:kern w:val="0"/>
          <w:sz w:val="21"/>
          <w:szCs w:val="21"/>
          <w:highlight w:val="none"/>
          <w:lang w:val="en-US" w:eastAsia="zh-CN"/>
        </w:rPr>
        <w:t xml:space="preserve">GB 55037-2022; </w:t>
      </w:r>
    </w:p>
    <w:p w14:paraId="67A147CC">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16</w:t>
      </w:r>
      <w:r>
        <w:rPr>
          <w:rFonts w:hint="eastAsia" w:ascii="宋体" w:hAnsi="宋体" w:eastAsia="宋体" w:cs="宋体"/>
          <w:bCs/>
          <w:snapToGrid w:val="0"/>
          <w:color w:val="auto"/>
          <w:kern w:val="0"/>
          <w:sz w:val="21"/>
          <w:szCs w:val="21"/>
          <w:highlight w:val="none"/>
          <w:lang w:val="en-US" w:eastAsia="zh-CN"/>
        </w:rPr>
        <w:t>）《建筑与市政工程抗震通用规范》</w:t>
      </w:r>
      <w:r>
        <w:rPr>
          <w:rFonts w:hint="default" w:ascii="宋体" w:hAnsi="宋体" w:eastAsia="宋体" w:cs="宋体"/>
          <w:bCs/>
          <w:snapToGrid w:val="0"/>
          <w:color w:val="auto"/>
          <w:kern w:val="0"/>
          <w:sz w:val="21"/>
          <w:szCs w:val="21"/>
          <w:highlight w:val="none"/>
          <w:lang w:val="en-US" w:eastAsia="zh-CN"/>
        </w:rPr>
        <w:t xml:space="preserve">GB55002-2001; </w:t>
      </w:r>
    </w:p>
    <w:p w14:paraId="1BF6E95E">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17</w:t>
      </w:r>
      <w:r>
        <w:rPr>
          <w:rFonts w:hint="eastAsia" w:ascii="宋体" w:hAnsi="宋体" w:eastAsia="宋体" w:cs="宋体"/>
          <w:bCs/>
          <w:snapToGrid w:val="0"/>
          <w:color w:val="auto"/>
          <w:kern w:val="0"/>
          <w:sz w:val="21"/>
          <w:szCs w:val="21"/>
          <w:highlight w:val="none"/>
          <w:lang w:val="en-US" w:eastAsia="zh-CN"/>
        </w:rPr>
        <w:t>）《建筑与市政地基基础通用规范》</w:t>
      </w:r>
      <w:r>
        <w:rPr>
          <w:rFonts w:hint="default" w:ascii="宋体" w:hAnsi="宋体" w:eastAsia="宋体" w:cs="宋体"/>
          <w:bCs/>
          <w:snapToGrid w:val="0"/>
          <w:color w:val="auto"/>
          <w:kern w:val="0"/>
          <w:sz w:val="21"/>
          <w:szCs w:val="21"/>
          <w:highlight w:val="none"/>
          <w:lang w:val="en-US" w:eastAsia="zh-CN"/>
        </w:rPr>
        <w:t xml:space="preserve">GB55003-2001; </w:t>
      </w:r>
    </w:p>
    <w:p w14:paraId="194C9FE3">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18</w:t>
      </w:r>
      <w:r>
        <w:rPr>
          <w:rFonts w:hint="eastAsia" w:ascii="宋体" w:hAnsi="宋体" w:eastAsia="宋体" w:cs="宋体"/>
          <w:bCs/>
          <w:snapToGrid w:val="0"/>
          <w:color w:val="auto"/>
          <w:kern w:val="0"/>
          <w:sz w:val="21"/>
          <w:szCs w:val="21"/>
          <w:highlight w:val="none"/>
          <w:lang w:val="en-US" w:eastAsia="zh-CN"/>
        </w:rPr>
        <w:t xml:space="preserve">）《广东省住房和城乡建设厅绿色施工导则》； </w:t>
      </w:r>
    </w:p>
    <w:p w14:paraId="464D2627">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19</w:t>
      </w:r>
      <w:r>
        <w:rPr>
          <w:rFonts w:hint="eastAsia" w:ascii="宋体" w:hAnsi="宋体" w:eastAsia="宋体" w:cs="宋体"/>
          <w:bCs/>
          <w:snapToGrid w:val="0"/>
          <w:color w:val="auto"/>
          <w:kern w:val="0"/>
          <w:sz w:val="21"/>
          <w:szCs w:val="21"/>
          <w:highlight w:val="none"/>
          <w:lang w:val="en-US" w:eastAsia="zh-CN"/>
        </w:rPr>
        <w:t xml:space="preserve">）《广东省建筑工程绿色施工评价标准》； </w:t>
      </w:r>
    </w:p>
    <w:p w14:paraId="6C0ADCA6">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20</w:t>
      </w:r>
      <w:r>
        <w:rPr>
          <w:rFonts w:hint="eastAsia" w:ascii="宋体" w:hAnsi="宋体" w:eastAsia="宋体" w:cs="宋体"/>
          <w:bCs/>
          <w:snapToGrid w:val="0"/>
          <w:color w:val="auto"/>
          <w:kern w:val="0"/>
          <w:sz w:val="21"/>
          <w:szCs w:val="21"/>
          <w:highlight w:val="none"/>
          <w:lang w:val="en-US" w:eastAsia="zh-CN"/>
        </w:rPr>
        <w:t xml:space="preserve">）《广东省建筑节能与绿色建筑工程施工质量验收规范》 </w:t>
      </w:r>
    </w:p>
    <w:p w14:paraId="746FD30E">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21</w:t>
      </w:r>
      <w:r>
        <w:rPr>
          <w:rFonts w:hint="eastAsia" w:ascii="宋体" w:hAnsi="宋体" w:eastAsia="宋体" w:cs="宋体"/>
          <w:bCs/>
          <w:snapToGrid w:val="0"/>
          <w:color w:val="auto"/>
          <w:kern w:val="0"/>
          <w:sz w:val="21"/>
          <w:szCs w:val="21"/>
          <w:highlight w:val="none"/>
          <w:lang w:val="en-US" w:eastAsia="zh-CN"/>
        </w:rPr>
        <w:t>）其他现行国家、广东省关于房建工程的施工及验收规范、定额、规程、标准。</w:t>
      </w:r>
    </w:p>
    <w:p w14:paraId="3E08DD49">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p>
    <w:p w14:paraId="1E48FB33">
      <w:pPr>
        <w:wordWrap w:val="0"/>
        <w:adjustRightInd w:val="0"/>
        <w:snapToGrid w:val="0"/>
        <w:spacing w:line="360" w:lineRule="auto"/>
        <w:ind w:firstLine="422" w:firstLineChars="200"/>
        <w:rPr>
          <w:rFonts w:hint="eastAsia" w:ascii="宋体" w:hAnsi="宋体" w:eastAsia="宋体" w:cs="宋体"/>
          <w:b/>
          <w:bCs w:val="0"/>
          <w:snapToGrid w:val="0"/>
          <w:color w:val="auto"/>
          <w:kern w:val="0"/>
          <w:sz w:val="21"/>
          <w:szCs w:val="21"/>
          <w:highlight w:val="none"/>
        </w:rPr>
      </w:pPr>
      <w:r>
        <w:rPr>
          <w:rFonts w:hint="eastAsia" w:ascii="宋体" w:hAnsi="宋体" w:eastAsia="宋体" w:cs="宋体"/>
          <w:b/>
          <w:bCs w:val="0"/>
          <w:snapToGrid w:val="0"/>
          <w:color w:val="auto"/>
          <w:kern w:val="0"/>
          <w:sz w:val="21"/>
          <w:szCs w:val="21"/>
          <w:highlight w:val="none"/>
        </w:rPr>
        <w:t>2．市政基础设施工程建设项目</w:t>
      </w:r>
    </w:p>
    <w:p w14:paraId="49F7B31E">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市政基础设施工程建设项目必须执行的现行技术规范，包括且不限于：</w:t>
      </w:r>
    </w:p>
    <w:p w14:paraId="494AA4F5">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w:t>
      </w:r>
      <w:r>
        <w:rPr>
          <w:rFonts w:hint="eastAsia" w:ascii="宋体" w:hAnsi="宋体" w:eastAsia="宋体" w:cs="宋体"/>
          <w:bCs/>
          <w:snapToGrid w:val="0"/>
          <w:color w:val="auto"/>
          <w:kern w:val="0"/>
          <w:sz w:val="21"/>
          <w:szCs w:val="21"/>
          <w:highlight w:val="none"/>
          <w:lang w:val="en-US" w:eastAsia="zh-CN"/>
        </w:rPr>
        <w:t xml:space="preserve">）《公路路基施工技术规范》； </w:t>
      </w:r>
    </w:p>
    <w:p w14:paraId="6AFED140">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2</w:t>
      </w:r>
      <w:r>
        <w:rPr>
          <w:rFonts w:hint="eastAsia" w:ascii="宋体" w:hAnsi="宋体" w:eastAsia="宋体" w:cs="宋体"/>
          <w:bCs/>
          <w:snapToGrid w:val="0"/>
          <w:color w:val="auto"/>
          <w:kern w:val="0"/>
          <w:sz w:val="21"/>
          <w:szCs w:val="21"/>
          <w:highlight w:val="none"/>
          <w:lang w:val="en-US" w:eastAsia="zh-CN"/>
        </w:rPr>
        <w:t xml:space="preserve">）《市政道路工程质量检验评定标准》； </w:t>
      </w:r>
    </w:p>
    <w:p w14:paraId="6889265A">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3</w:t>
      </w:r>
      <w:r>
        <w:rPr>
          <w:rFonts w:hint="eastAsia" w:ascii="宋体" w:hAnsi="宋体" w:eastAsia="宋体" w:cs="宋体"/>
          <w:bCs/>
          <w:snapToGrid w:val="0"/>
          <w:color w:val="auto"/>
          <w:kern w:val="0"/>
          <w:sz w:val="21"/>
          <w:szCs w:val="21"/>
          <w:highlight w:val="none"/>
          <w:lang w:val="en-US" w:eastAsia="zh-CN"/>
        </w:rPr>
        <w:t xml:space="preserve">）《市政排水管渠工程质量检验评定标准》； </w:t>
      </w:r>
    </w:p>
    <w:p w14:paraId="347BC75E">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4</w:t>
      </w:r>
      <w:r>
        <w:rPr>
          <w:rFonts w:hint="eastAsia" w:ascii="宋体" w:hAnsi="宋体" w:eastAsia="宋体" w:cs="宋体"/>
          <w:bCs/>
          <w:snapToGrid w:val="0"/>
          <w:color w:val="auto"/>
          <w:kern w:val="0"/>
          <w:sz w:val="21"/>
          <w:szCs w:val="21"/>
          <w:highlight w:val="none"/>
          <w:lang w:val="en-US" w:eastAsia="zh-CN"/>
        </w:rPr>
        <w:t xml:space="preserve">）《给水排水管道工程施工及验收规范》； </w:t>
      </w:r>
    </w:p>
    <w:p w14:paraId="4AF8FFF2">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5</w:t>
      </w:r>
      <w:r>
        <w:rPr>
          <w:rFonts w:hint="eastAsia" w:ascii="宋体" w:hAnsi="宋体" w:eastAsia="宋体" w:cs="宋体"/>
          <w:bCs/>
          <w:snapToGrid w:val="0"/>
          <w:color w:val="auto"/>
          <w:kern w:val="0"/>
          <w:sz w:val="21"/>
          <w:szCs w:val="21"/>
          <w:highlight w:val="none"/>
          <w:lang w:val="en-US" w:eastAsia="zh-CN"/>
        </w:rPr>
        <w:t xml:space="preserve">）《城市道路路基工程施工及验收规范》； </w:t>
      </w:r>
    </w:p>
    <w:p w14:paraId="2E27C5E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6</w:t>
      </w:r>
      <w:r>
        <w:rPr>
          <w:rFonts w:hint="eastAsia" w:ascii="宋体" w:hAnsi="宋体" w:eastAsia="宋体" w:cs="宋体"/>
          <w:bCs/>
          <w:snapToGrid w:val="0"/>
          <w:color w:val="auto"/>
          <w:kern w:val="0"/>
          <w:sz w:val="21"/>
          <w:szCs w:val="21"/>
          <w:highlight w:val="none"/>
          <w:lang w:val="en-US" w:eastAsia="zh-CN"/>
        </w:rPr>
        <w:t xml:space="preserve">）《水泥砼路面施工及验收规范》； </w:t>
      </w:r>
    </w:p>
    <w:p w14:paraId="169E46FB">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7</w:t>
      </w:r>
      <w:r>
        <w:rPr>
          <w:rFonts w:hint="eastAsia" w:ascii="宋体" w:hAnsi="宋体" w:eastAsia="宋体" w:cs="宋体"/>
          <w:bCs/>
          <w:snapToGrid w:val="0"/>
          <w:color w:val="auto"/>
          <w:kern w:val="0"/>
          <w:sz w:val="21"/>
          <w:szCs w:val="21"/>
          <w:highlight w:val="none"/>
          <w:lang w:val="en-US" w:eastAsia="zh-CN"/>
        </w:rPr>
        <w:t xml:space="preserve">）《公路水泥砼路面施工技术规范》； </w:t>
      </w:r>
    </w:p>
    <w:p w14:paraId="1297D5E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8</w:t>
      </w:r>
      <w:r>
        <w:rPr>
          <w:rFonts w:hint="eastAsia" w:ascii="宋体" w:hAnsi="宋体" w:eastAsia="宋体" w:cs="宋体"/>
          <w:bCs/>
          <w:snapToGrid w:val="0"/>
          <w:color w:val="auto"/>
          <w:kern w:val="0"/>
          <w:sz w:val="21"/>
          <w:szCs w:val="21"/>
          <w:highlight w:val="none"/>
          <w:lang w:val="en-US" w:eastAsia="zh-CN"/>
        </w:rPr>
        <w:t xml:space="preserve">）《埋地硬聚氯乙烯排水管道工程技术规程》； </w:t>
      </w:r>
    </w:p>
    <w:p w14:paraId="207E456A">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9</w:t>
      </w:r>
      <w:r>
        <w:rPr>
          <w:rFonts w:hint="eastAsia" w:ascii="宋体" w:hAnsi="宋体" w:eastAsia="宋体" w:cs="宋体"/>
          <w:bCs/>
          <w:snapToGrid w:val="0"/>
          <w:color w:val="auto"/>
          <w:kern w:val="0"/>
          <w:sz w:val="21"/>
          <w:szCs w:val="21"/>
          <w:highlight w:val="none"/>
          <w:lang w:val="en-US" w:eastAsia="zh-CN"/>
        </w:rPr>
        <w:t xml:space="preserve">）《沥青路面施工及验收规范》； </w:t>
      </w:r>
    </w:p>
    <w:p w14:paraId="435B40A9">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10</w:t>
      </w:r>
      <w:r>
        <w:rPr>
          <w:rFonts w:hint="eastAsia" w:ascii="宋体" w:hAnsi="宋体" w:eastAsia="宋体" w:cs="宋体"/>
          <w:bCs/>
          <w:snapToGrid w:val="0"/>
          <w:color w:val="auto"/>
          <w:kern w:val="0"/>
          <w:sz w:val="21"/>
          <w:szCs w:val="21"/>
          <w:highlight w:val="none"/>
          <w:lang w:val="en-US" w:eastAsia="zh-CN"/>
        </w:rPr>
        <w:t xml:space="preserve">）《广东省市政工程施工质量技术资料统一用表》。 </w:t>
      </w:r>
    </w:p>
    <w:p w14:paraId="602403B2">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11</w:t>
      </w:r>
      <w:r>
        <w:rPr>
          <w:rFonts w:hint="eastAsia" w:ascii="宋体" w:hAnsi="宋体" w:eastAsia="宋体" w:cs="宋体"/>
          <w:bCs/>
          <w:snapToGrid w:val="0"/>
          <w:color w:val="auto"/>
          <w:kern w:val="0"/>
          <w:sz w:val="21"/>
          <w:szCs w:val="21"/>
          <w:highlight w:val="none"/>
          <w:lang w:val="en-US" w:eastAsia="zh-CN"/>
        </w:rPr>
        <w:t xml:space="preserve">）《建筑与市政工程无障碍通用规范》 </w:t>
      </w:r>
      <w:r>
        <w:rPr>
          <w:rFonts w:hint="default" w:ascii="宋体" w:hAnsi="宋体" w:eastAsia="宋体" w:cs="宋体"/>
          <w:bCs/>
          <w:snapToGrid w:val="0"/>
          <w:color w:val="auto"/>
          <w:kern w:val="0"/>
          <w:sz w:val="21"/>
          <w:szCs w:val="21"/>
          <w:highlight w:val="none"/>
          <w:lang w:val="en-US" w:eastAsia="zh-CN"/>
        </w:rPr>
        <w:t>GB 55019-2021</w:t>
      </w:r>
      <w:r>
        <w:rPr>
          <w:rFonts w:hint="eastAsia" w:ascii="宋体" w:hAnsi="宋体" w:eastAsia="宋体" w:cs="宋体"/>
          <w:bCs/>
          <w:snapToGrid w:val="0"/>
          <w:color w:val="auto"/>
          <w:kern w:val="0"/>
          <w:sz w:val="21"/>
          <w:szCs w:val="21"/>
          <w:highlight w:val="none"/>
          <w:lang w:val="en-US" w:eastAsia="zh-CN"/>
        </w:rPr>
        <w:t xml:space="preserve">； </w:t>
      </w:r>
    </w:p>
    <w:p w14:paraId="60312AE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12</w:t>
      </w:r>
      <w:r>
        <w:rPr>
          <w:rFonts w:hint="eastAsia" w:ascii="宋体" w:hAnsi="宋体" w:eastAsia="宋体" w:cs="宋体"/>
          <w:bCs/>
          <w:snapToGrid w:val="0"/>
          <w:color w:val="auto"/>
          <w:kern w:val="0"/>
          <w:sz w:val="21"/>
          <w:szCs w:val="21"/>
          <w:highlight w:val="none"/>
          <w:lang w:val="en-US" w:eastAsia="zh-CN"/>
        </w:rPr>
        <w:t>）《建筑防火通用规范》</w:t>
      </w:r>
      <w:r>
        <w:rPr>
          <w:rFonts w:hint="default" w:ascii="宋体" w:hAnsi="宋体" w:eastAsia="宋体" w:cs="宋体"/>
          <w:bCs/>
          <w:snapToGrid w:val="0"/>
          <w:color w:val="auto"/>
          <w:kern w:val="0"/>
          <w:sz w:val="21"/>
          <w:szCs w:val="21"/>
          <w:highlight w:val="none"/>
          <w:lang w:val="en-US" w:eastAsia="zh-CN"/>
        </w:rPr>
        <w:t xml:space="preserve">GB 55037-2022; </w:t>
      </w:r>
    </w:p>
    <w:p w14:paraId="2EFA0A45">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13</w:t>
      </w:r>
      <w:r>
        <w:rPr>
          <w:rFonts w:hint="eastAsia" w:ascii="宋体" w:hAnsi="宋体" w:eastAsia="宋体" w:cs="宋体"/>
          <w:bCs/>
          <w:snapToGrid w:val="0"/>
          <w:color w:val="auto"/>
          <w:kern w:val="0"/>
          <w:sz w:val="21"/>
          <w:szCs w:val="21"/>
          <w:highlight w:val="none"/>
          <w:lang w:val="en-US" w:eastAsia="zh-CN"/>
        </w:rPr>
        <w:t>）《建筑与市政工程抗震通用规范》</w:t>
      </w:r>
      <w:r>
        <w:rPr>
          <w:rFonts w:hint="default" w:ascii="宋体" w:hAnsi="宋体" w:eastAsia="宋体" w:cs="宋体"/>
          <w:bCs/>
          <w:snapToGrid w:val="0"/>
          <w:color w:val="auto"/>
          <w:kern w:val="0"/>
          <w:sz w:val="21"/>
          <w:szCs w:val="21"/>
          <w:highlight w:val="none"/>
          <w:lang w:val="en-US" w:eastAsia="zh-CN"/>
        </w:rPr>
        <w:t xml:space="preserve">GB55002-2001; </w:t>
      </w:r>
    </w:p>
    <w:p w14:paraId="08D68088">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14</w:t>
      </w:r>
      <w:r>
        <w:rPr>
          <w:rFonts w:hint="eastAsia" w:ascii="宋体" w:hAnsi="宋体" w:eastAsia="宋体" w:cs="宋体"/>
          <w:bCs/>
          <w:snapToGrid w:val="0"/>
          <w:color w:val="auto"/>
          <w:kern w:val="0"/>
          <w:sz w:val="21"/>
          <w:szCs w:val="21"/>
          <w:highlight w:val="none"/>
          <w:lang w:val="en-US" w:eastAsia="zh-CN"/>
        </w:rPr>
        <w:t>）《建筑与市政地基基础通用规范》</w:t>
      </w:r>
      <w:r>
        <w:rPr>
          <w:rFonts w:hint="default" w:ascii="宋体" w:hAnsi="宋体" w:eastAsia="宋体" w:cs="宋体"/>
          <w:bCs/>
          <w:snapToGrid w:val="0"/>
          <w:color w:val="auto"/>
          <w:kern w:val="0"/>
          <w:sz w:val="21"/>
          <w:szCs w:val="21"/>
          <w:highlight w:val="none"/>
          <w:lang w:val="en-US" w:eastAsia="zh-CN"/>
        </w:rPr>
        <w:t xml:space="preserve">GB55003-2001; </w:t>
      </w:r>
    </w:p>
    <w:p w14:paraId="6F8B489B">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15</w:t>
      </w:r>
      <w:r>
        <w:rPr>
          <w:rFonts w:hint="eastAsia" w:ascii="宋体" w:hAnsi="宋体" w:eastAsia="宋体" w:cs="宋体"/>
          <w:bCs/>
          <w:snapToGrid w:val="0"/>
          <w:color w:val="auto"/>
          <w:kern w:val="0"/>
          <w:sz w:val="21"/>
          <w:szCs w:val="21"/>
          <w:highlight w:val="none"/>
          <w:lang w:val="en-US" w:eastAsia="zh-CN"/>
        </w:rPr>
        <w:t xml:space="preserve">）《城市道路照明设计标准》（CJJ45-2015）； </w:t>
      </w:r>
    </w:p>
    <w:p w14:paraId="3D6048A2">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 xml:space="preserve">（16）《低压配电设计规范》（GB50054-2011）； </w:t>
      </w:r>
    </w:p>
    <w:p w14:paraId="49403A3B">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 xml:space="preserve">（17）《城市道路照明工程施工及验收规程》（CJJ89-2012）； </w:t>
      </w:r>
    </w:p>
    <w:p w14:paraId="16333135">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 xml:space="preserve">（18）《LED 道路照明工程技术规范》（DB44/T 1898-2016）； </w:t>
      </w:r>
    </w:p>
    <w:p w14:paraId="50CAA8D2">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 xml:space="preserve">（19）《灯具第 1 部分：一般要求与试验》（GB7000.1-2015）； </w:t>
      </w:r>
    </w:p>
    <w:p w14:paraId="42210EFB">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 xml:space="preserve">（20）《电缆工程电缆设计标准》（GB50217-2018）； </w:t>
      </w:r>
    </w:p>
    <w:p w14:paraId="29BB8502">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default" w:ascii="宋体" w:hAnsi="宋体" w:eastAsia="宋体" w:cs="宋体"/>
          <w:bCs/>
          <w:snapToGrid w:val="0"/>
          <w:color w:val="auto"/>
          <w:kern w:val="0"/>
          <w:sz w:val="21"/>
          <w:szCs w:val="21"/>
          <w:highlight w:val="none"/>
          <w:lang w:val="en-US" w:eastAsia="zh-CN"/>
        </w:rPr>
        <w:t>21</w:t>
      </w:r>
      <w:r>
        <w:rPr>
          <w:rFonts w:hint="eastAsia" w:ascii="宋体" w:hAnsi="宋体" w:eastAsia="宋体" w:cs="宋体"/>
          <w:bCs/>
          <w:snapToGrid w:val="0"/>
          <w:color w:val="auto"/>
          <w:kern w:val="0"/>
          <w:sz w:val="21"/>
          <w:szCs w:val="21"/>
          <w:highlight w:val="none"/>
          <w:lang w:val="en-US" w:eastAsia="zh-CN"/>
        </w:rPr>
        <w:t>）其他现行国家、广东省关于市政工程的技术及验收规范、定额、规程、标准。</w:t>
      </w:r>
    </w:p>
    <w:p w14:paraId="6FE3AE5D">
      <w:pPr>
        <w:spacing w:line="360" w:lineRule="auto"/>
        <w:ind w:firstLine="422" w:firstLineChars="200"/>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rPr>
        <w:t>备查要求</w:t>
      </w:r>
      <w:bookmarkEnd w:id="205"/>
      <w:bookmarkEnd w:id="206"/>
      <w:bookmarkEnd w:id="207"/>
    </w:p>
    <w:p w14:paraId="16D3EB6B">
      <w:pPr>
        <w:wordWrap w:val="0"/>
        <w:adjustRightInd w:val="0"/>
        <w:snapToGrid w:val="0"/>
        <w:spacing w:line="360" w:lineRule="auto"/>
        <w:ind w:firstLine="42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人必须在施工现场准备至少一套上述规范，</w:t>
      </w:r>
      <w:r>
        <w:rPr>
          <w:rFonts w:hint="eastAsia" w:ascii="宋体" w:hAnsi="宋体" w:eastAsia="宋体" w:cs="宋体"/>
          <w:snapToGrid w:val="0"/>
          <w:color w:val="auto"/>
          <w:kern w:val="0"/>
          <w:sz w:val="21"/>
          <w:szCs w:val="21"/>
          <w:highlight w:val="none"/>
        </w:rPr>
        <w:t>发包</w:t>
      </w:r>
      <w:r>
        <w:rPr>
          <w:rFonts w:hint="eastAsia" w:ascii="宋体" w:hAnsi="宋体" w:eastAsia="宋体" w:cs="宋体"/>
          <w:bCs/>
          <w:snapToGrid w:val="0"/>
          <w:color w:val="auto"/>
          <w:kern w:val="0"/>
          <w:sz w:val="21"/>
          <w:szCs w:val="21"/>
          <w:highlight w:val="none"/>
        </w:rPr>
        <w:t>人和监理单位可随时检查</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人的上述规范，并监督</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人按规范要求执行。</w:t>
      </w:r>
    </w:p>
    <w:p w14:paraId="18A8B50D">
      <w:pPr>
        <w:wordWrap w:val="0"/>
        <w:adjustRightInd w:val="0"/>
        <w:snapToGrid w:val="0"/>
        <w:spacing w:line="360" w:lineRule="auto"/>
        <w:ind w:firstLine="560"/>
        <w:rPr>
          <w:rFonts w:hint="eastAsia" w:ascii="宋体" w:hAnsi="宋体" w:eastAsia="宋体" w:cs="宋体"/>
          <w:strike/>
          <w:snapToGrid w:val="0"/>
          <w:color w:val="auto"/>
          <w:kern w:val="0"/>
          <w:sz w:val="24"/>
          <w:szCs w:val="24"/>
          <w:highlight w:val="none"/>
        </w:rPr>
        <w:sectPr>
          <w:footerReference r:id="rId8" w:type="default"/>
          <w:endnotePr>
            <w:numFmt w:val="decimal"/>
          </w:endnotePr>
          <w:pgSz w:w="11906" w:h="16838"/>
          <w:pgMar w:top="1440" w:right="1080" w:bottom="1440" w:left="1080" w:header="850" w:footer="992" w:gutter="0"/>
          <w:pgNumType w:fmt="decimal"/>
          <w:cols w:space="720" w:num="1"/>
          <w:docGrid w:linePitch="327" w:charSpace="0"/>
        </w:sectPr>
      </w:pPr>
      <w:bookmarkStart w:id="215" w:name="_Hlt69670335"/>
      <w:bookmarkEnd w:id="215"/>
    </w:p>
    <w:p w14:paraId="41B0234B">
      <w:pPr>
        <w:spacing w:before="78" w:line="219" w:lineRule="auto"/>
        <w:jc w:val="center"/>
        <w:outlineLvl w:val="0"/>
        <w:rPr>
          <w:rFonts w:hint="eastAsia" w:ascii="宋体" w:hAnsi="宋体" w:eastAsia="宋体" w:cs="宋体"/>
          <w:color w:val="auto"/>
          <w:sz w:val="24"/>
          <w:szCs w:val="24"/>
          <w:highlight w:val="none"/>
        </w:rPr>
      </w:pPr>
      <w:bookmarkStart w:id="216" w:name="_Toc6224"/>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6"/>
    </w:p>
    <w:p w14:paraId="7C6C80E2">
      <w:pPr>
        <w:pStyle w:val="6"/>
        <w:spacing w:line="283" w:lineRule="auto"/>
        <w:rPr>
          <w:rFonts w:hint="eastAsia" w:ascii="宋体" w:hAnsi="宋体" w:eastAsia="宋体" w:cs="宋体"/>
          <w:color w:val="auto"/>
          <w:highlight w:val="none"/>
        </w:rPr>
      </w:pPr>
    </w:p>
    <w:p w14:paraId="58148A80">
      <w:pPr>
        <w:pStyle w:val="6"/>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□有，另附复印件         </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有，自行网上下载</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浏览</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 xml:space="preserve">           □无</w:t>
      </w:r>
    </w:p>
    <w:p w14:paraId="48F75832">
      <w:pPr>
        <w:pStyle w:val="6"/>
        <w:spacing w:line="265" w:lineRule="auto"/>
        <w:rPr>
          <w:rFonts w:hint="eastAsia" w:ascii="宋体" w:hAnsi="宋体" w:eastAsia="宋体" w:cs="宋体"/>
          <w:color w:val="auto"/>
          <w:sz w:val="21"/>
          <w:szCs w:val="21"/>
          <w:highlight w:val="none"/>
        </w:rPr>
      </w:pPr>
    </w:p>
    <w:p w14:paraId="45CC48D5">
      <w:pPr>
        <w:spacing w:before="151" w:line="222" w:lineRule="auto"/>
        <w:ind w:left="715"/>
        <w:outlineLvl w:val="2"/>
        <w:rPr>
          <w:rFonts w:hint="eastAsia" w:ascii="宋体" w:hAnsi="宋体" w:eastAsia="宋体" w:cs="宋体"/>
          <w:color w:val="auto"/>
          <w:sz w:val="21"/>
          <w:szCs w:val="21"/>
          <w:highlight w:val="none"/>
        </w:rPr>
      </w:pPr>
      <w:bookmarkStart w:id="217" w:name="_Toc24446"/>
      <w:bookmarkStart w:id="218" w:name="_Toc1950"/>
      <w:r>
        <w:rPr>
          <w:rFonts w:hint="eastAsia" w:ascii="宋体" w:hAnsi="宋体" w:eastAsia="宋体" w:cs="宋体"/>
          <w:b/>
          <w:bCs/>
          <w:color w:val="auto"/>
          <w:spacing w:val="-14"/>
          <w:sz w:val="21"/>
          <w:szCs w:val="21"/>
          <w:highlight w:val="none"/>
        </w:rPr>
        <w:t>1</w:t>
      </w:r>
      <w:r>
        <w:rPr>
          <w:rFonts w:hint="eastAsia" w:ascii="宋体" w:hAnsi="宋体" w:eastAsia="宋体" w:cs="宋体"/>
          <w:b/>
          <w:bCs/>
          <w:color w:val="auto"/>
          <w:spacing w:val="-27"/>
          <w:sz w:val="21"/>
          <w:szCs w:val="21"/>
          <w:highlight w:val="none"/>
        </w:rPr>
        <w:t xml:space="preserve"> </w:t>
      </w:r>
      <w:r>
        <w:rPr>
          <w:rFonts w:hint="eastAsia" w:ascii="宋体" w:hAnsi="宋体" w:eastAsia="宋体" w:cs="宋体"/>
          <w:b/>
          <w:bCs/>
          <w:color w:val="auto"/>
          <w:spacing w:val="-14"/>
          <w:sz w:val="21"/>
          <w:szCs w:val="21"/>
          <w:highlight w:val="none"/>
        </w:rPr>
        <w:t>．图纸</w:t>
      </w:r>
      <w:bookmarkEnd w:id="217"/>
      <w:bookmarkEnd w:id="218"/>
    </w:p>
    <w:p w14:paraId="022ED3AB">
      <w:pPr>
        <w:spacing w:before="150" w:line="330" w:lineRule="auto"/>
        <w:ind w:left="23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本招标文件随文另附施工图（电子文件）一套。</w:t>
      </w:r>
    </w:p>
    <w:p w14:paraId="19E440D0">
      <w:pPr>
        <w:pStyle w:val="6"/>
        <w:spacing w:line="253" w:lineRule="auto"/>
        <w:rPr>
          <w:rFonts w:hint="eastAsia" w:ascii="宋体" w:hAnsi="宋体" w:eastAsia="宋体" w:cs="宋体"/>
          <w:color w:val="auto"/>
          <w:sz w:val="21"/>
          <w:szCs w:val="21"/>
          <w:highlight w:val="none"/>
        </w:rPr>
      </w:pPr>
    </w:p>
    <w:p w14:paraId="05E465DE">
      <w:pPr>
        <w:spacing w:before="79" w:line="221" w:lineRule="auto"/>
        <w:ind w:left="705"/>
        <w:outlineLvl w:val="2"/>
        <w:rPr>
          <w:rFonts w:hint="eastAsia" w:ascii="宋体" w:hAnsi="宋体" w:eastAsia="宋体" w:cs="宋体"/>
          <w:color w:val="auto"/>
          <w:sz w:val="21"/>
          <w:szCs w:val="21"/>
          <w:highlight w:val="none"/>
        </w:rPr>
      </w:pPr>
      <w:bookmarkStart w:id="219" w:name="_Toc9064"/>
      <w:bookmarkStart w:id="220" w:name="_Toc25322"/>
      <w:r>
        <w:rPr>
          <w:rFonts w:hint="eastAsia" w:ascii="宋体" w:hAnsi="宋体" w:eastAsia="宋体" w:cs="宋体"/>
          <w:b/>
          <w:bCs/>
          <w:color w:val="auto"/>
          <w:spacing w:val="-6"/>
          <w:sz w:val="21"/>
          <w:szCs w:val="21"/>
          <w:highlight w:val="none"/>
        </w:rPr>
        <w:t>2</w:t>
      </w:r>
      <w:r>
        <w:rPr>
          <w:rFonts w:hint="eastAsia" w:ascii="宋体" w:hAnsi="宋体" w:eastAsia="宋体" w:cs="宋体"/>
          <w:b/>
          <w:bCs/>
          <w:color w:val="auto"/>
          <w:spacing w:val="-26"/>
          <w:sz w:val="21"/>
          <w:szCs w:val="21"/>
          <w:highlight w:val="none"/>
        </w:rPr>
        <w:t xml:space="preserve"> </w:t>
      </w:r>
      <w:r>
        <w:rPr>
          <w:rFonts w:hint="eastAsia" w:ascii="宋体" w:hAnsi="宋体" w:eastAsia="宋体" w:cs="宋体"/>
          <w:b/>
          <w:bCs/>
          <w:color w:val="auto"/>
          <w:spacing w:val="-6"/>
          <w:sz w:val="21"/>
          <w:szCs w:val="21"/>
          <w:highlight w:val="none"/>
        </w:rPr>
        <w:t>．招标工程量清单</w:t>
      </w:r>
      <w:bookmarkEnd w:id="219"/>
      <w:bookmarkEnd w:id="220"/>
    </w:p>
    <w:p w14:paraId="3D4BF4B7">
      <w:pPr>
        <w:spacing w:before="117" w:line="312" w:lineRule="auto"/>
        <w:ind w:left="231" w:firstLine="474"/>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2.1  </w:t>
      </w:r>
      <w:r>
        <w:rPr>
          <w:rFonts w:hint="eastAsia" w:ascii="宋体" w:hAnsi="宋体" w:eastAsia="宋体" w:cs="宋体"/>
          <w:color w:val="auto"/>
          <w:spacing w:val="-3"/>
          <w:sz w:val="21"/>
          <w:szCs w:val="21"/>
          <w:highlight w:val="none"/>
        </w:rPr>
        <w:t>本招标文件随文另附</w:t>
      </w:r>
      <w:bookmarkStart w:id="221" w:name="OLE_LINK33"/>
      <w:r>
        <w:rPr>
          <w:rFonts w:hint="eastAsia" w:ascii="宋体" w:hAnsi="宋体" w:eastAsia="宋体" w:cs="宋体"/>
          <w:color w:val="auto"/>
          <w:spacing w:val="-3"/>
          <w:sz w:val="21"/>
          <w:szCs w:val="21"/>
          <w:highlight w:val="none"/>
          <w:u w:val="single"/>
        </w:rPr>
        <w:t>招标工程量清单EXCEL版</w:t>
      </w:r>
      <w:r>
        <w:rPr>
          <w:rFonts w:hint="eastAsia" w:ascii="宋体" w:hAnsi="宋体" w:eastAsia="宋体" w:cs="宋体"/>
          <w:color w:val="auto"/>
          <w:spacing w:val="-3"/>
          <w:sz w:val="21"/>
          <w:szCs w:val="21"/>
          <w:highlight w:val="none"/>
          <w:u w:val="single"/>
          <w:lang w:val="en-US" w:eastAsia="zh-CN"/>
        </w:rPr>
        <w:t>和</w:t>
      </w:r>
      <w:bookmarkEnd w:id="221"/>
      <w:r>
        <w:rPr>
          <w:rFonts w:hint="eastAsia" w:ascii="宋体" w:hAnsi="宋体" w:eastAsia="宋体" w:cs="宋体"/>
          <w:color w:val="auto"/>
          <w:spacing w:val="-3"/>
          <w:sz w:val="21"/>
          <w:szCs w:val="21"/>
          <w:highlight w:val="none"/>
          <w:u w:val="single"/>
          <w:lang w:val="en-US" w:eastAsia="zh-CN"/>
        </w:rPr>
        <w:t>最高投标限价PDF</w:t>
      </w:r>
      <w:r>
        <w:rPr>
          <w:rFonts w:hint="eastAsia" w:ascii="宋体" w:hAnsi="宋体" w:eastAsia="宋体" w:cs="宋体"/>
          <w:color w:val="auto"/>
          <w:spacing w:val="37"/>
          <w:sz w:val="21"/>
          <w:szCs w:val="21"/>
          <w:highlight w:val="none"/>
          <w:u w:val="single"/>
        </w:rPr>
        <w:t xml:space="preserve"> </w:t>
      </w:r>
      <w:r>
        <w:rPr>
          <w:rFonts w:hint="eastAsia" w:ascii="宋体" w:hAnsi="宋体" w:eastAsia="宋体" w:cs="宋体"/>
          <w:color w:val="auto"/>
          <w:spacing w:val="-3"/>
          <w:sz w:val="21"/>
          <w:szCs w:val="21"/>
          <w:highlight w:val="none"/>
        </w:rPr>
        <w:t>电子文件一套。</w:t>
      </w:r>
    </w:p>
    <w:p w14:paraId="7B802B52">
      <w:pPr>
        <w:spacing w:before="78" w:line="219" w:lineRule="auto"/>
        <w:ind w:left="478" w:firstLine="209" w:firstLineChars="100"/>
        <w:rPr>
          <w:rFonts w:hint="eastAsia" w:ascii="宋体" w:hAnsi="宋体" w:eastAsia="宋体" w:cs="宋体"/>
          <w:color w:val="auto"/>
          <w:sz w:val="21"/>
          <w:szCs w:val="21"/>
          <w:highlight w:val="none"/>
        </w:rPr>
      </w:pPr>
      <w:bookmarkStart w:id="222" w:name="bookmark147"/>
      <w:bookmarkEnd w:id="222"/>
      <w:r>
        <w:rPr>
          <w:rFonts w:hint="eastAsia" w:ascii="宋体" w:hAnsi="宋体" w:eastAsia="宋体" w:cs="宋体"/>
          <w:b/>
          <w:bCs/>
          <w:color w:val="auto"/>
          <w:spacing w:val="-1"/>
          <w:sz w:val="21"/>
          <w:szCs w:val="21"/>
          <w:highlight w:val="none"/>
        </w:rPr>
        <w:t xml:space="preserve">2.2  </w:t>
      </w:r>
      <w:r>
        <w:rPr>
          <w:rFonts w:hint="eastAsia" w:ascii="宋体" w:hAnsi="宋体" w:eastAsia="宋体" w:cs="宋体"/>
          <w:color w:val="auto"/>
          <w:spacing w:val="-1"/>
          <w:sz w:val="21"/>
          <w:szCs w:val="21"/>
          <w:highlight w:val="none"/>
        </w:rPr>
        <w:t>本工程按照以下依据编制</w:t>
      </w:r>
      <w:r>
        <w:rPr>
          <w:rFonts w:hint="eastAsia" w:ascii="宋体" w:hAnsi="宋体" w:eastAsia="宋体" w:cs="宋体"/>
          <w:color w:val="auto"/>
          <w:spacing w:val="-1"/>
          <w:sz w:val="21"/>
          <w:szCs w:val="21"/>
          <w:highlight w:val="none"/>
          <w:u w:val="single"/>
        </w:rPr>
        <w:t>招标工程量清单</w:t>
      </w:r>
      <w:r>
        <w:rPr>
          <w:rFonts w:hint="eastAsia" w:ascii="宋体" w:hAnsi="宋体" w:eastAsia="宋体" w:cs="宋体"/>
          <w:color w:val="auto"/>
          <w:spacing w:val="-1"/>
          <w:sz w:val="21"/>
          <w:szCs w:val="21"/>
          <w:highlight w:val="none"/>
        </w:rPr>
        <w:t>：</w:t>
      </w:r>
    </w:p>
    <w:p w14:paraId="02362135">
      <w:pPr>
        <w:spacing w:before="123" w:line="219" w:lineRule="auto"/>
        <w:ind w:left="49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（1）《建设工程工程量清单计价</w:t>
      </w:r>
      <w:r>
        <w:rPr>
          <w:rFonts w:hint="eastAsia" w:ascii="宋体" w:hAnsi="宋体" w:eastAsia="宋体" w:cs="宋体"/>
          <w:color w:val="auto"/>
          <w:spacing w:val="-1"/>
          <w:sz w:val="21"/>
          <w:szCs w:val="21"/>
          <w:highlight w:val="none"/>
          <w:lang w:val="en-US" w:eastAsia="zh-CN"/>
        </w:rPr>
        <w:t>标准</w:t>
      </w:r>
      <w:r>
        <w:rPr>
          <w:rFonts w:hint="eastAsia" w:ascii="宋体" w:hAnsi="宋体" w:eastAsia="宋体" w:cs="宋体"/>
          <w:color w:val="auto"/>
          <w:spacing w:val="-1"/>
          <w:sz w:val="21"/>
          <w:szCs w:val="21"/>
          <w:highlight w:val="none"/>
        </w:rPr>
        <w:t>》（GB50500—20</w:t>
      </w:r>
      <w:r>
        <w:rPr>
          <w:rFonts w:hint="eastAsia" w:ascii="宋体" w:hAnsi="宋体" w:eastAsia="宋体" w:cs="宋体"/>
          <w:color w:val="auto"/>
          <w:spacing w:val="-1"/>
          <w:sz w:val="21"/>
          <w:szCs w:val="21"/>
          <w:highlight w:val="none"/>
          <w:lang w:val="en-US" w:eastAsia="zh-CN"/>
        </w:rPr>
        <w:t>24</w:t>
      </w:r>
      <w:r>
        <w:rPr>
          <w:rFonts w:hint="eastAsia" w:ascii="宋体" w:hAnsi="宋体" w:eastAsia="宋体" w:cs="宋体"/>
          <w:color w:val="auto"/>
          <w:spacing w:val="4"/>
          <w:sz w:val="21"/>
          <w:szCs w:val="21"/>
          <w:highlight w:val="none"/>
        </w:rPr>
        <w:t>）；</w:t>
      </w:r>
    </w:p>
    <w:p w14:paraId="61B98E77">
      <w:pPr>
        <w:spacing w:before="115" w:line="299" w:lineRule="auto"/>
        <w:ind w:firstLine="493"/>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（2）投标人应对招标人提供的工程量清单进行认真细致的复核。这种复核包括对</w:t>
      </w:r>
      <w:r>
        <w:rPr>
          <w:rFonts w:hint="eastAsia" w:ascii="宋体" w:hAnsi="宋体" w:eastAsia="宋体" w:cs="宋体"/>
          <w:color w:val="auto"/>
          <w:spacing w:val="-1"/>
          <w:sz w:val="21"/>
          <w:szCs w:val="21"/>
          <w:highlight w:val="none"/>
        </w:rPr>
        <w:t>招标人提供的工程量清单中的子目编码、子目名称、子</w:t>
      </w:r>
      <w:r>
        <w:rPr>
          <w:rFonts w:hint="eastAsia" w:ascii="宋体" w:hAnsi="宋体" w:eastAsia="宋体" w:cs="宋体"/>
          <w:color w:val="auto"/>
          <w:spacing w:val="-2"/>
          <w:sz w:val="21"/>
          <w:szCs w:val="21"/>
          <w:highlight w:val="none"/>
        </w:rPr>
        <w:t>目特征描述、计量单位、工程量</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的准确性以及可能存在的任何书写、打印错误进行检查</w:t>
      </w:r>
      <w:r>
        <w:rPr>
          <w:rFonts w:hint="eastAsia" w:ascii="宋体" w:hAnsi="宋体" w:eastAsia="宋体" w:cs="宋体"/>
          <w:color w:val="auto"/>
          <w:spacing w:val="-2"/>
          <w:sz w:val="21"/>
          <w:szCs w:val="21"/>
          <w:highlight w:val="none"/>
        </w:rPr>
        <w:t>和复核，特别是对“分部分项工</w:t>
      </w:r>
      <w:r>
        <w:rPr>
          <w:rFonts w:hint="eastAsia" w:ascii="宋体" w:hAnsi="宋体" w:eastAsia="宋体" w:cs="宋体"/>
          <w:color w:val="auto"/>
          <w:spacing w:val="-1"/>
          <w:sz w:val="21"/>
          <w:szCs w:val="21"/>
          <w:highlight w:val="none"/>
        </w:rPr>
        <w:t>程量清单与计价表”中每个工作子目的工程量进</w:t>
      </w:r>
      <w:r>
        <w:rPr>
          <w:rFonts w:hint="eastAsia" w:ascii="宋体" w:hAnsi="宋体" w:eastAsia="宋体" w:cs="宋体"/>
          <w:color w:val="auto"/>
          <w:spacing w:val="-2"/>
          <w:sz w:val="21"/>
          <w:szCs w:val="21"/>
          <w:highlight w:val="none"/>
        </w:rPr>
        <w:t>行重新计算和校核。如果投标人经过检</w:t>
      </w:r>
      <w:r>
        <w:rPr>
          <w:rFonts w:hint="eastAsia" w:ascii="宋体" w:hAnsi="宋体" w:eastAsia="宋体" w:cs="宋体"/>
          <w:color w:val="auto"/>
          <w:spacing w:val="-1"/>
          <w:sz w:val="21"/>
          <w:szCs w:val="21"/>
          <w:highlight w:val="none"/>
        </w:rPr>
        <w:t>查和复核以后认为招标人提供的工程量清单存在</w:t>
      </w:r>
      <w:r>
        <w:rPr>
          <w:rFonts w:hint="eastAsia" w:ascii="宋体" w:hAnsi="宋体" w:eastAsia="宋体" w:cs="宋体"/>
          <w:color w:val="auto"/>
          <w:spacing w:val="-2"/>
          <w:sz w:val="21"/>
          <w:szCs w:val="21"/>
          <w:highlight w:val="none"/>
        </w:rPr>
        <w:t>差异，则投标人应将此类差异的详细情</w:t>
      </w:r>
      <w:r>
        <w:rPr>
          <w:rFonts w:hint="eastAsia" w:ascii="宋体" w:hAnsi="宋体" w:eastAsia="宋体" w:cs="宋体"/>
          <w:color w:val="auto"/>
          <w:spacing w:val="-8"/>
          <w:sz w:val="21"/>
          <w:szCs w:val="21"/>
          <w:highlight w:val="none"/>
        </w:rPr>
        <w:t>况连同按“投标须知</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8"/>
          <w:sz w:val="21"/>
          <w:szCs w:val="21"/>
          <w:highlight w:val="none"/>
        </w:rPr>
        <w:t>”规定提交的要求招标人澄清的其他</w:t>
      </w:r>
      <w:r>
        <w:rPr>
          <w:rFonts w:hint="eastAsia" w:ascii="宋体" w:hAnsi="宋体" w:eastAsia="宋体" w:cs="宋体"/>
          <w:color w:val="auto"/>
          <w:spacing w:val="-9"/>
          <w:sz w:val="21"/>
          <w:szCs w:val="21"/>
          <w:highlight w:val="none"/>
        </w:rPr>
        <w:t>问题一起提交给招标人，招标人</w:t>
      </w:r>
      <w:r>
        <w:rPr>
          <w:rFonts w:hint="eastAsia" w:ascii="宋体" w:hAnsi="宋体" w:eastAsia="宋体" w:cs="宋体"/>
          <w:color w:val="auto"/>
          <w:spacing w:val="-2"/>
          <w:sz w:val="21"/>
          <w:szCs w:val="21"/>
          <w:highlight w:val="none"/>
        </w:rPr>
        <w:t>将根据实际情况决定是否颁发</w:t>
      </w:r>
      <w:r>
        <w:rPr>
          <w:rFonts w:hint="eastAsia" w:ascii="宋体" w:hAnsi="宋体" w:eastAsia="宋体" w:cs="宋体"/>
          <w:color w:val="auto"/>
          <w:spacing w:val="-2"/>
          <w:sz w:val="21"/>
          <w:szCs w:val="21"/>
          <w:highlight w:val="none"/>
          <w:u w:val="single"/>
        </w:rPr>
        <w:t>工程量清单</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8"/>
          <w:sz w:val="21"/>
          <w:szCs w:val="21"/>
          <w:highlight w:val="none"/>
          <w:lang w:eastAsia="zh-CN"/>
        </w:rPr>
        <w:t>最高投标限价</w:t>
      </w:r>
      <w:r>
        <w:rPr>
          <w:rFonts w:hint="eastAsia" w:ascii="宋体" w:hAnsi="宋体" w:eastAsia="宋体" w:cs="宋体"/>
          <w:color w:val="auto"/>
          <w:spacing w:val="-8"/>
          <w:sz w:val="21"/>
          <w:szCs w:val="21"/>
          <w:highlight w:val="none"/>
        </w:rPr>
        <w:t>的</w:t>
      </w:r>
      <w:r>
        <w:rPr>
          <w:rFonts w:hint="eastAsia" w:ascii="宋体" w:hAnsi="宋体" w:eastAsia="宋体" w:cs="宋体"/>
          <w:color w:val="auto"/>
          <w:spacing w:val="-2"/>
          <w:sz w:val="21"/>
          <w:szCs w:val="21"/>
          <w:highlight w:val="none"/>
        </w:rPr>
        <w:t>补充和</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或</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修改文件。</w:t>
      </w:r>
    </w:p>
    <w:p w14:paraId="3FCA4C7D">
      <w:pPr>
        <w:spacing w:before="79" w:line="263" w:lineRule="auto"/>
        <w:ind w:left="2" w:right="2" w:firstLine="48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（3）本招标工程量清单措施项目中的</w:t>
      </w:r>
      <w:r>
        <w:rPr>
          <w:rFonts w:hint="eastAsia" w:ascii="宋体" w:hAnsi="宋体" w:eastAsia="宋体" w:cs="宋体"/>
          <w:b/>
          <w:bCs/>
          <w:color w:val="auto"/>
          <w:spacing w:val="-6"/>
          <w:sz w:val="21"/>
          <w:szCs w:val="21"/>
          <w:highlight w:val="none"/>
          <w:u w:val="single"/>
        </w:rPr>
        <w:t>暂列金额、暂估价</w:t>
      </w:r>
      <w:r>
        <w:rPr>
          <w:rFonts w:hint="eastAsia" w:ascii="宋体" w:hAnsi="宋体" w:eastAsia="宋体" w:cs="宋体"/>
          <w:color w:val="auto"/>
          <w:spacing w:val="-2"/>
          <w:sz w:val="21"/>
          <w:szCs w:val="21"/>
          <w:highlight w:val="none"/>
        </w:rPr>
        <w:t>不得作为竞争性费用，投标报价必须按本招标工程量清</w:t>
      </w:r>
      <w:r>
        <w:rPr>
          <w:rFonts w:hint="eastAsia" w:ascii="宋体" w:hAnsi="宋体" w:eastAsia="宋体" w:cs="宋体"/>
          <w:color w:val="auto"/>
          <w:spacing w:val="-3"/>
          <w:sz w:val="21"/>
          <w:szCs w:val="21"/>
          <w:highlight w:val="none"/>
        </w:rPr>
        <w:t>单规定</w:t>
      </w:r>
      <w:r>
        <w:rPr>
          <w:rFonts w:hint="eastAsia" w:ascii="宋体" w:hAnsi="宋体" w:eastAsia="宋体" w:cs="宋体"/>
          <w:color w:val="auto"/>
          <w:spacing w:val="-2"/>
          <w:sz w:val="21"/>
          <w:szCs w:val="21"/>
          <w:highlight w:val="none"/>
        </w:rPr>
        <w:t>的金额填</w:t>
      </w:r>
      <w:r>
        <w:rPr>
          <w:rFonts w:hint="eastAsia" w:ascii="宋体" w:hAnsi="宋体" w:eastAsia="宋体" w:cs="宋体"/>
          <w:color w:val="auto"/>
          <w:spacing w:val="-3"/>
          <w:sz w:val="21"/>
          <w:szCs w:val="21"/>
          <w:highlight w:val="none"/>
        </w:rPr>
        <w:t>报。</w:t>
      </w:r>
    </w:p>
    <w:p w14:paraId="771762E6">
      <w:pPr>
        <w:spacing w:before="118" w:line="265" w:lineRule="auto"/>
        <w:ind w:left="7" w:right="4" w:firstLine="48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（4）投标报价使用的表格格式须按照 GB50500-20</w:t>
      </w:r>
      <w:r>
        <w:rPr>
          <w:rFonts w:hint="eastAsia" w:ascii="宋体" w:hAnsi="宋体" w:eastAsia="宋体" w:cs="宋体"/>
          <w:color w:val="auto"/>
          <w:spacing w:val="-2"/>
          <w:sz w:val="21"/>
          <w:szCs w:val="21"/>
          <w:highlight w:val="none"/>
          <w:lang w:val="en-US" w:eastAsia="zh-CN"/>
        </w:rPr>
        <w:t>24</w:t>
      </w:r>
      <w:r>
        <w:rPr>
          <w:rFonts w:hint="eastAsia" w:ascii="宋体" w:hAnsi="宋体" w:eastAsia="宋体" w:cs="宋体"/>
          <w:color w:val="auto"/>
          <w:spacing w:val="-2"/>
          <w:sz w:val="21"/>
          <w:szCs w:val="21"/>
          <w:highlight w:val="none"/>
        </w:rPr>
        <w:t>《建设工程工程量清单计价</w:t>
      </w:r>
      <w:r>
        <w:rPr>
          <w:rFonts w:hint="eastAsia" w:ascii="宋体" w:hAnsi="宋体" w:eastAsia="宋体" w:cs="宋体"/>
          <w:color w:val="auto"/>
          <w:spacing w:val="-2"/>
          <w:sz w:val="21"/>
          <w:szCs w:val="21"/>
          <w:highlight w:val="none"/>
          <w:lang w:val="en-US" w:eastAsia="zh-CN"/>
        </w:rPr>
        <w:t>标准</w:t>
      </w:r>
      <w:r>
        <w:rPr>
          <w:rFonts w:hint="eastAsia" w:ascii="宋体" w:hAnsi="宋体" w:eastAsia="宋体" w:cs="宋体"/>
          <w:color w:val="auto"/>
          <w:spacing w:val="-6"/>
          <w:sz w:val="21"/>
          <w:szCs w:val="21"/>
          <w:highlight w:val="none"/>
        </w:rPr>
        <w:t>》。</w:t>
      </w:r>
    </w:p>
    <w:p w14:paraId="12F193A0">
      <w:pPr>
        <w:spacing w:before="107" w:line="286" w:lineRule="auto"/>
        <w:ind w:right="4" w:firstLine="492"/>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（5）《市政工程工程量计算标准》</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GB/T50857-2024）、《园林绿化工程工程量计算标准》</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GB/T50858-2024）、2018年《广东省市政工程综合定额》、2018年《广东省园林绿化工程综合定额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广东省建设工程施工机具台班费用编制规则（2018）</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广东省通用安装工程综合定额（2018）》及现行的建筑施工规范和省市有关文件、规定为编制依据进行编制；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（6）施工图及相关资料；</w:t>
      </w:r>
    </w:p>
    <w:p w14:paraId="75A26699">
      <w:pPr>
        <w:spacing w:before="153" w:line="220" w:lineRule="auto"/>
        <w:ind w:left="49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（7）招标文件；</w:t>
      </w:r>
    </w:p>
    <w:p w14:paraId="37B4AFD5">
      <w:pPr>
        <w:spacing w:before="155" w:line="220" w:lineRule="auto"/>
        <w:ind w:left="49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（9）与建设工程有关的标准、规范、技术资料、材料设备信息价或市场价格等</w:t>
      </w:r>
      <w:r>
        <w:rPr>
          <w:rFonts w:hint="eastAsia" w:ascii="宋体" w:hAnsi="宋体" w:eastAsia="宋体" w:cs="宋体"/>
          <w:color w:val="auto"/>
          <w:spacing w:val="-2"/>
          <w:sz w:val="21"/>
          <w:szCs w:val="21"/>
          <w:highlight w:val="none"/>
        </w:rPr>
        <w:t>。</w:t>
      </w:r>
    </w:p>
    <w:p w14:paraId="429B0728">
      <w:pPr>
        <w:spacing w:line="219" w:lineRule="auto"/>
        <w:rPr>
          <w:rFonts w:hint="eastAsia" w:ascii="宋体" w:hAnsi="宋体" w:eastAsia="宋体" w:cs="宋体"/>
          <w:color w:val="auto"/>
          <w:sz w:val="21"/>
          <w:szCs w:val="21"/>
          <w:highlight w:val="none"/>
        </w:rPr>
        <w:sectPr>
          <w:footerReference r:id="rId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6"/>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23" w:name="_Toc3602"/>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23"/>
    </w:p>
    <w:p w14:paraId="0D0857B6">
      <w:pPr>
        <w:pStyle w:val="6"/>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24" w:name="_Toc27490"/>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4"/>
    </w:p>
    <w:p w14:paraId="7F1D5484">
      <w:pPr>
        <w:pStyle w:val="6"/>
        <w:spacing w:line="258" w:lineRule="auto"/>
        <w:rPr>
          <w:rFonts w:hint="eastAsia" w:ascii="宋体" w:hAnsi="宋体" w:eastAsia="宋体" w:cs="宋体"/>
          <w:color w:val="auto"/>
          <w:highlight w:val="none"/>
        </w:rPr>
      </w:pPr>
    </w:p>
    <w:p w14:paraId="2CD8482C">
      <w:pPr>
        <w:pStyle w:val="6"/>
        <w:spacing w:line="259" w:lineRule="auto"/>
        <w:rPr>
          <w:rFonts w:hint="eastAsia" w:ascii="宋体" w:hAnsi="宋体" w:eastAsia="宋体" w:cs="宋体"/>
          <w:color w:val="auto"/>
          <w:highlight w:val="none"/>
        </w:rPr>
      </w:pPr>
    </w:p>
    <w:p w14:paraId="102EDF3E">
      <w:pPr>
        <w:pStyle w:val="6"/>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6"/>
        <w:spacing w:line="247" w:lineRule="auto"/>
        <w:rPr>
          <w:rFonts w:hint="eastAsia" w:ascii="宋体" w:hAnsi="宋体" w:eastAsia="宋体" w:cs="宋体"/>
          <w:color w:val="auto"/>
          <w:highlight w:val="none"/>
        </w:rPr>
      </w:pPr>
    </w:p>
    <w:p w14:paraId="54606FEC">
      <w:pPr>
        <w:pStyle w:val="6"/>
        <w:spacing w:line="247" w:lineRule="auto"/>
        <w:rPr>
          <w:rFonts w:hint="eastAsia" w:ascii="宋体" w:hAnsi="宋体" w:eastAsia="宋体" w:cs="宋体"/>
          <w:color w:val="auto"/>
          <w:highlight w:val="none"/>
        </w:rPr>
      </w:pPr>
    </w:p>
    <w:p w14:paraId="5399F95B">
      <w:pPr>
        <w:pStyle w:val="6"/>
        <w:spacing w:line="247" w:lineRule="auto"/>
        <w:rPr>
          <w:rFonts w:hint="eastAsia" w:ascii="宋体" w:hAnsi="宋体" w:eastAsia="宋体" w:cs="宋体"/>
          <w:color w:val="auto"/>
          <w:highlight w:val="none"/>
        </w:rPr>
      </w:pPr>
    </w:p>
    <w:p w14:paraId="290C2C2C">
      <w:pPr>
        <w:pStyle w:val="6"/>
        <w:spacing w:line="247" w:lineRule="auto"/>
        <w:rPr>
          <w:rFonts w:hint="eastAsia" w:ascii="宋体" w:hAnsi="宋体" w:eastAsia="宋体" w:cs="宋体"/>
          <w:color w:val="auto"/>
          <w:highlight w:val="none"/>
        </w:rPr>
      </w:pPr>
    </w:p>
    <w:p w14:paraId="59ACBFD9">
      <w:pPr>
        <w:pStyle w:val="6"/>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6"/>
        <w:spacing w:line="293" w:lineRule="auto"/>
        <w:rPr>
          <w:rFonts w:hint="eastAsia" w:ascii="宋体" w:hAnsi="宋体" w:eastAsia="宋体" w:cs="宋体"/>
          <w:color w:val="auto"/>
          <w:highlight w:val="none"/>
        </w:rPr>
      </w:pPr>
    </w:p>
    <w:p w14:paraId="324C9182">
      <w:pPr>
        <w:pStyle w:val="6"/>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5" w:name="bookmark105"/>
      <w:bookmarkEnd w:id="225"/>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45"/>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45"/>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45"/>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45"/>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45"/>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45"/>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45"/>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6" w:name="_Toc13637"/>
      <w:r>
        <w:rPr>
          <w:rFonts w:hint="eastAsia" w:ascii="宋体" w:hAnsi="宋体" w:eastAsia="宋体" w:cs="宋体"/>
          <w:b/>
          <w:bCs/>
          <w:color w:val="auto"/>
          <w:spacing w:val="-4"/>
          <w:sz w:val="24"/>
          <w:szCs w:val="24"/>
          <w:highlight w:val="none"/>
        </w:rPr>
        <w:t>格式二 投标函</w:t>
      </w:r>
      <w:bookmarkEnd w:id="226"/>
    </w:p>
    <w:p w14:paraId="3A37F6C7">
      <w:pPr>
        <w:pStyle w:val="6"/>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7" w:name="bookmark148"/>
      <w:bookmarkEnd w:id="227"/>
      <w:bookmarkStart w:id="228" w:name="_Toc317"/>
      <w:bookmarkStart w:id="229" w:name="_Toc27397"/>
      <w:bookmarkStart w:id="230" w:name="_Toc2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8"/>
      <w:bookmarkEnd w:id="229"/>
      <w:bookmarkEnd w:id="230"/>
    </w:p>
    <w:p w14:paraId="7874E16E">
      <w:pPr>
        <w:pStyle w:val="6"/>
        <w:spacing w:line="249" w:lineRule="auto"/>
        <w:rPr>
          <w:rFonts w:hint="eastAsia" w:ascii="宋体" w:hAnsi="宋体" w:eastAsia="宋体" w:cs="宋体"/>
          <w:color w:val="auto"/>
          <w:highlight w:val="none"/>
        </w:rPr>
      </w:pPr>
    </w:p>
    <w:p w14:paraId="75D83E64">
      <w:pPr>
        <w:pStyle w:val="6"/>
        <w:spacing w:line="250" w:lineRule="auto"/>
        <w:rPr>
          <w:rFonts w:hint="eastAsia" w:ascii="宋体" w:hAnsi="宋体" w:eastAsia="宋体" w:cs="宋体"/>
          <w:color w:val="auto"/>
          <w:highlight w:val="none"/>
        </w:rPr>
      </w:pPr>
    </w:p>
    <w:p w14:paraId="5FC5B2DC">
      <w:pPr>
        <w:pStyle w:val="6"/>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致</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30"/>
          <w:sz w:val="21"/>
          <w:szCs w:val="21"/>
          <w:highlight w:val="none"/>
          <w:u w:val="single"/>
          <w:lang w:val="en-US" w:eastAsia="zh-CN"/>
        </w:rPr>
        <w:t xml:space="preserve">                    </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7"/>
          <w:sz w:val="21"/>
          <w:szCs w:val="21"/>
          <w:highlight w:val="none"/>
        </w:rPr>
        <w:t>招标人名称）</w:t>
      </w:r>
    </w:p>
    <w:p w14:paraId="0506ED9A">
      <w:pPr>
        <w:pStyle w:val="6"/>
        <w:spacing w:before="156" w:line="328" w:lineRule="auto"/>
        <w:ind w:left="9" w:right="142" w:firstLine="589"/>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我方考察现场并充分研究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（项目名称</w:t>
      </w:r>
      <w:r>
        <w:rPr>
          <w:rFonts w:hint="eastAsia" w:ascii="宋体" w:hAnsi="宋体" w:eastAsia="宋体" w:cs="宋体"/>
          <w:color w:val="auto"/>
          <w:spacing w:val="-12"/>
          <w:sz w:val="21"/>
          <w:szCs w:val="21"/>
          <w:highlight w:val="none"/>
        </w:rPr>
        <w:t>）（</w:t>
      </w:r>
      <w:r>
        <w:rPr>
          <w:rFonts w:hint="eastAsia" w:ascii="宋体" w:hAnsi="宋体" w:eastAsia="宋体" w:cs="宋体"/>
          <w:color w:val="auto"/>
          <w:sz w:val="21"/>
          <w:szCs w:val="21"/>
          <w:highlight w:val="none"/>
        </w:rPr>
        <w:t>以下简称“本项目</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z w:val="21"/>
          <w:szCs w:val="21"/>
          <w:highlight w:val="none"/>
        </w:rPr>
        <w:t>”）招标文件</w:t>
      </w:r>
      <w:r>
        <w:rPr>
          <w:rFonts w:hint="eastAsia" w:ascii="宋体" w:hAnsi="宋体" w:eastAsia="宋体" w:cs="宋体"/>
          <w:color w:val="auto"/>
          <w:spacing w:val="-2"/>
          <w:sz w:val="21"/>
          <w:szCs w:val="21"/>
          <w:highlight w:val="none"/>
        </w:rPr>
        <w:t>所有内容后，结合自身资质、能力和特点，愿意接受招标文件的全部内容和条件，兹以</w:t>
      </w:r>
      <w:r>
        <w:rPr>
          <w:rFonts w:hint="eastAsia" w:ascii="宋体" w:hAnsi="宋体" w:eastAsia="宋体" w:cs="宋体"/>
          <w:color w:val="auto"/>
          <w:spacing w:val="-5"/>
          <w:sz w:val="21"/>
          <w:szCs w:val="21"/>
          <w:highlight w:val="none"/>
        </w:rPr>
        <w:t>人民币（大写</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5"/>
          <w:sz w:val="21"/>
          <w:szCs w:val="21"/>
          <w:highlight w:val="none"/>
        </w:rPr>
        <w:t>的投标总价竞投本项目施工。</w:t>
      </w:r>
    </w:p>
    <w:p w14:paraId="42232FD7">
      <w:pPr>
        <w:spacing w:before="39" w:line="323" w:lineRule="auto"/>
        <w:ind w:right="142" w:firstLine="57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在我方的上述投标总价中，包括：</w:t>
      </w:r>
      <w:r>
        <w:rPr>
          <w:rFonts w:hint="eastAsia" w:ascii="宋体" w:hAnsi="宋体" w:eastAsia="宋体" w:cs="宋体"/>
          <w:color w:val="auto"/>
          <w:spacing w:val="-2"/>
          <w:sz w:val="21"/>
          <w:szCs w:val="21"/>
          <w:highlight w:val="none"/>
          <w:lang w:val="en-US" w:eastAsia="zh-CN"/>
        </w:rPr>
        <w:t>安全生产措施费</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3"/>
          <w:sz w:val="21"/>
          <w:szCs w:val="21"/>
          <w:highlight w:val="none"/>
          <w:u w:val="single"/>
        </w:rPr>
        <w:t xml:space="preserve">                </w:t>
      </w:r>
      <w:r>
        <w:rPr>
          <w:rFonts w:hint="eastAsia" w:ascii="宋体" w:hAnsi="宋体" w:eastAsia="宋体" w:cs="宋体"/>
          <w:color w:val="auto"/>
          <w:spacing w:val="-3"/>
          <w:sz w:val="21"/>
          <w:szCs w:val="21"/>
          <w:highlight w:val="none"/>
          <w:u w:val="none"/>
          <w:lang w:eastAsia="zh-CN"/>
        </w:rPr>
        <w:t>；暂列金额</w:t>
      </w:r>
      <w:r>
        <w:rPr>
          <w:rFonts w:hint="eastAsia" w:ascii="宋体" w:hAnsi="宋体" w:eastAsia="宋体" w:cs="宋体"/>
          <w:color w:val="auto"/>
          <w:spacing w:val="-2"/>
          <w:sz w:val="21"/>
          <w:szCs w:val="21"/>
          <w:highlight w:val="none"/>
          <w:u w:val="none"/>
        </w:rPr>
        <w:t>¥</w:t>
      </w:r>
      <w:r>
        <w:rPr>
          <w:rFonts w:hint="eastAsia" w:ascii="宋体" w:hAnsi="宋体" w:eastAsia="宋体" w:cs="宋体"/>
          <w:color w:val="auto"/>
          <w:spacing w:val="-3"/>
          <w:sz w:val="21"/>
          <w:szCs w:val="21"/>
          <w:highlight w:val="none"/>
          <w:u w:val="single"/>
        </w:rPr>
        <w:t xml:space="preserve">                </w:t>
      </w:r>
      <w:r>
        <w:rPr>
          <w:rFonts w:hint="eastAsia" w:ascii="宋体" w:hAnsi="宋体" w:eastAsia="宋体" w:cs="宋体"/>
          <w:color w:val="auto"/>
          <w:spacing w:val="-3"/>
          <w:sz w:val="21"/>
          <w:szCs w:val="21"/>
          <w:highlight w:val="none"/>
          <w:u w:val="none"/>
          <w:lang w:eastAsia="zh-CN"/>
        </w:rPr>
        <w:t>；暂估价</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3"/>
          <w:sz w:val="21"/>
          <w:szCs w:val="21"/>
          <w:highlight w:val="none"/>
          <w:u w:val="single"/>
        </w:rPr>
        <w:t xml:space="preserve">                </w:t>
      </w:r>
      <w:r>
        <w:rPr>
          <w:rFonts w:hint="eastAsia" w:ascii="宋体" w:hAnsi="宋体" w:eastAsia="宋体" w:cs="宋体"/>
          <w:color w:val="auto"/>
          <w:spacing w:val="-8"/>
          <w:sz w:val="21"/>
          <w:szCs w:val="21"/>
          <w:highlight w:val="none"/>
        </w:rPr>
        <w:t>。</w:t>
      </w:r>
    </w:p>
    <w:p w14:paraId="50640A5A">
      <w:pPr>
        <w:spacing w:before="38" w:line="280" w:lineRule="auto"/>
        <w:ind w:left="13" w:right="142" w:firstLine="56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  如果我方中标，我方保证按照合同约定的开工日期开始本项目的施工</w:t>
      </w:r>
      <w:r>
        <w:rPr>
          <w:rFonts w:hint="eastAsia" w:ascii="宋体" w:hAnsi="宋体" w:eastAsia="宋体" w:cs="宋体"/>
          <w:color w:val="auto"/>
          <w:sz w:val="21"/>
          <w:szCs w:val="21"/>
          <w:highlight w:val="none"/>
        </w:rPr>
        <w:t>，</w:t>
      </w:r>
      <w:bookmarkStart w:id="231" w:name="OLE_LINK34"/>
      <w:r>
        <w:rPr>
          <w:rFonts w:hint="eastAsia" w:ascii="宋体" w:hAnsi="宋体" w:eastAsia="宋体" w:cs="宋体"/>
          <w:color w:val="auto"/>
          <w:sz w:val="21"/>
          <w:szCs w:val="21"/>
          <w:highlight w:val="none"/>
          <w:u w:val="single"/>
          <w:lang w:val="en-US" w:eastAsia="zh-CN"/>
        </w:rPr>
        <w:t xml:space="preserve">     </w:t>
      </w:r>
      <w:bookmarkEnd w:id="231"/>
      <w:r>
        <w:rPr>
          <w:rFonts w:hint="eastAsia" w:ascii="宋体" w:hAnsi="宋体" w:eastAsia="宋体" w:cs="宋体"/>
          <w:color w:val="auto"/>
          <w:sz w:val="21"/>
          <w:szCs w:val="21"/>
          <w:highlight w:val="none"/>
        </w:rPr>
        <w:t>个日历</w:t>
      </w:r>
      <w:r>
        <w:rPr>
          <w:rFonts w:hint="eastAsia" w:ascii="宋体" w:hAnsi="宋体" w:eastAsia="宋体" w:cs="宋体"/>
          <w:color w:val="auto"/>
          <w:spacing w:val="-1"/>
          <w:sz w:val="21"/>
          <w:szCs w:val="21"/>
          <w:highlight w:val="none"/>
        </w:rPr>
        <w:t>天内竣工，并确保工程质量达到</w:t>
      </w:r>
      <w:r>
        <w:rPr>
          <w:rFonts w:hint="eastAsia" w:ascii="宋体" w:hAnsi="宋体" w:eastAsia="宋体" w:cs="宋体"/>
          <w:color w:val="auto"/>
          <w:spacing w:val="-1"/>
          <w:sz w:val="21"/>
          <w:szCs w:val="21"/>
          <w:highlight w:val="none"/>
          <w:u w:val="single"/>
          <w:lang w:val="en-US" w:eastAsia="zh-CN"/>
        </w:rPr>
        <w:t xml:space="preserve">     </w:t>
      </w:r>
      <w:r>
        <w:rPr>
          <w:rFonts w:hint="eastAsia" w:ascii="宋体" w:hAnsi="宋体" w:eastAsia="宋体" w:cs="宋体"/>
          <w:color w:val="auto"/>
          <w:spacing w:val="-1"/>
          <w:sz w:val="21"/>
          <w:szCs w:val="21"/>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  本投标函在你方接</w:t>
      </w:r>
      <w:r>
        <w:rPr>
          <w:rFonts w:hint="eastAsia" w:ascii="宋体" w:hAnsi="宋体" w:eastAsia="宋体" w:cs="宋体"/>
          <w:color w:val="auto"/>
          <w:spacing w:val="1"/>
          <w:sz w:val="21"/>
          <w:szCs w:val="21"/>
          <w:highlight w:val="none"/>
          <w:lang w:eastAsia="zh-CN"/>
        </w:rPr>
        <w:t>收到</w:t>
      </w:r>
      <w:r>
        <w:rPr>
          <w:rFonts w:hint="eastAsia" w:ascii="宋体" w:hAnsi="宋体" w:eastAsia="宋体" w:cs="宋体"/>
          <w:color w:val="auto"/>
          <w:spacing w:val="1"/>
          <w:sz w:val="21"/>
          <w:szCs w:val="21"/>
          <w:highlight w:val="none"/>
        </w:rPr>
        <w:t>我方递交的投标文件之日起、到招标</w:t>
      </w:r>
      <w:r>
        <w:rPr>
          <w:rFonts w:hint="eastAsia" w:ascii="宋体" w:hAnsi="宋体" w:eastAsia="宋体" w:cs="宋体"/>
          <w:color w:val="auto"/>
          <w:sz w:val="21"/>
          <w:szCs w:val="21"/>
          <w:highlight w:val="none"/>
        </w:rPr>
        <w:t>文件规定的投标有效</w:t>
      </w:r>
      <w:r>
        <w:rPr>
          <w:rFonts w:hint="eastAsia" w:ascii="宋体" w:hAnsi="宋体" w:eastAsia="宋体" w:cs="宋体"/>
          <w:color w:val="auto"/>
          <w:spacing w:val="-1"/>
          <w:sz w:val="21"/>
          <w:szCs w:val="21"/>
          <w:highlight w:val="none"/>
        </w:rPr>
        <w:t>期期满前对我方具有约束力。我方随时准备</w:t>
      </w:r>
      <w:r>
        <w:rPr>
          <w:rFonts w:hint="eastAsia" w:ascii="宋体" w:hAnsi="宋体" w:eastAsia="宋体" w:cs="宋体"/>
          <w:color w:val="auto"/>
          <w:spacing w:val="-1"/>
          <w:sz w:val="21"/>
          <w:szCs w:val="21"/>
          <w:highlight w:val="none"/>
          <w:lang w:eastAsia="zh-CN"/>
        </w:rPr>
        <w:t>接收</w:t>
      </w:r>
      <w:r>
        <w:rPr>
          <w:rFonts w:hint="eastAsia" w:ascii="宋体" w:hAnsi="宋体" w:eastAsia="宋体" w:cs="宋体"/>
          <w:color w:val="auto"/>
          <w:spacing w:val="-1"/>
          <w:sz w:val="21"/>
          <w:szCs w:val="21"/>
          <w:highlight w:val="none"/>
        </w:rPr>
        <w:t>你方发出的中标通知书。</w:t>
      </w:r>
    </w:p>
    <w:p w14:paraId="12CDD9D6">
      <w:pPr>
        <w:spacing w:before="156" w:line="279" w:lineRule="auto"/>
        <w:ind w:left="11" w:right="61" w:firstLine="5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rPr>
        <w:t>．我方在此声明，我方不存在本项目招标</w:t>
      </w:r>
      <w:r>
        <w:rPr>
          <w:rFonts w:hint="eastAsia" w:ascii="宋体" w:hAnsi="宋体" w:eastAsia="宋体" w:cs="宋体"/>
          <w:color w:val="auto"/>
          <w:spacing w:val="-1"/>
          <w:sz w:val="21"/>
          <w:szCs w:val="21"/>
          <w:highlight w:val="none"/>
        </w:rPr>
        <w:t>文件第一章第三节第</w:t>
      </w:r>
      <w:r>
        <w:rPr>
          <w:rFonts w:hint="eastAsia" w:ascii="宋体" w:hAnsi="宋体" w:eastAsia="宋体" w:cs="宋体"/>
          <w:color w:val="auto"/>
          <w:spacing w:val="-55"/>
          <w:sz w:val="21"/>
          <w:szCs w:val="21"/>
          <w:highlight w:val="none"/>
        </w:rPr>
        <w:t xml:space="preserve"> </w:t>
      </w:r>
      <w:r>
        <w:rPr>
          <w:rFonts w:hint="eastAsia" w:ascii="宋体" w:hAnsi="宋体" w:eastAsia="宋体" w:cs="宋体"/>
          <w:b/>
          <w:bCs/>
          <w:color w:val="auto"/>
          <w:spacing w:val="-1"/>
          <w:sz w:val="21"/>
          <w:szCs w:val="21"/>
          <w:highlight w:val="none"/>
        </w:rPr>
        <w:t>2.4</w:t>
      </w:r>
      <w:r>
        <w:rPr>
          <w:rFonts w:hint="eastAsia" w:ascii="宋体" w:hAnsi="宋体" w:eastAsia="宋体" w:cs="宋体"/>
          <w:b/>
          <w:bCs/>
          <w:color w:val="auto"/>
          <w:spacing w:val="16"/>
          <w:w w:val="101"/>
          <w:sz w:val="21"/>
          <w:szCs w:val="21"/>
          <w:highlight w:val="none"/>
        </w:rPr>
        <w:t xml:space="preserve"> </w:t>
      </w:r>
      <w:r>
        <w:rPr>
          <w:rFonts w:hint="eastAsia" w:ascii="宋体" w:hAnsi="宋体" w:eastAsia="宋体" w:cs="宋体"/>
          <w:color w:val="auto"/>
          <w:spacing w:val="-1"/>
          <w:sz w:val="21"/>
          <w:szCs w:val="21"/>
          <w:highlight w:val="none"/>
        </w:rPr>
        <w:t>条“禁止投标</w:t>
      </w:r>
      <w:r>
        <w:rPr>
          <w:rFonts w:hint="eastAsia" w:ascii="宋体" w:hAnsi="宋体" w:eastAsia="宋体" w:cs="宋体"/>
          <w:color w:val="auto"/>
          <w:spacing w:val="-6"/>
          <w:sz w:val="21"/>
          <w:szCs w:val="21"/>
          <w:highlight w:val="none"/>
        </w:rPr>
        <w:t>条款</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6"/>
          <w:sz w:val="21"/>
          <w:szCs w:val="21"/>
          <w:highlight w:val="none"/>
        </w:rPr>
        <w:t>”所列出的任何一种情形，并愿意承担因我</w:t>
      </w:r>
      <w:r>
        <w:rPr>
          <w:rFonts w:hint="eastAsia" w:ascii="宋体" w:hAnsi="宋体" w:eastAsia="宋体" w:cs="宋体"/>
          <w:color w:val="auto"/>
          <w:spacing w:val="-7"/>
          <w:sz w:val="21"/>
          <w:szCs w:val="21"/>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
          <w:sz w:val="21"/>
          <w:szCs w:val="21"/>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多的资料。</w:t>
      </w:r>
    </w:p>
    <w:p w14:paraId="47668C44">
      <w:pPr>
        <w:spacing w:before="153" w:line="326" w:lineRule="auto"/>
        <w:ind w:left="13" w:firstLine="56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  我方理解你方不一定要接纳收到的最低投标总价或任何投标总价的投标人中标，</w:t>
      </w:r>
      <w:r>
        <w:rPr>
          <w:rFonts w:hint="eastAsia" w:ascii="宋体" w:hAnsi="宋体" w:eastAsia="宋体" w:cs="宋体"/>
          <w:color w:val="auto"/>
          <w:spacing w:val="-1"/>
          <w:sz w:val="21"/>
          <w:szCs w:val="21"/>
          <w:highlight w:val="none"/>
        </w:rPr>
        <w:t>也不要求你方解释我方是否中标的原因。</w:t>
      </w:r>
    </w:p>
    <w:p w14:paraId="13B4F1F2">
      <w:pPr>
        <w:pStyle w:val="6"/>
        <w:spacing w:line="276" w:lineRule="auto"/>
        <w:rPr>
          <w:rFonts w:hint="eastAsia" w:ascii="宋体" w:hAnsi="宋体" w:eastAsia="宋体" w:cs="宋体"/>
          <w:color w:val="auto"/>
          <w:sz w:val="21"/>
          <w:szCs w:val="21"/>
          <w:highlight w:val="none"/>
        </w:rPr>
      </w:pPr>
    </w:p>
    <w:p w14:paraId="1831F436">
      <w:pPr>
        <w:pStyle w:val="6"/>
        <w:spacing w:line="277" w:lineRule="auto"/>
        <w:rPr>
          <w:rFonts w:hint="eastAsia" w:ascii="宋体" w:hAnsi="宋体" w:eastAsia="宋体" w:cs="宋体"/>
          <w:color w:val="auto"/>
          <w:sz w:val="21"/>
          <w:szCs w:val="21"/>
          <w:highlight w:val="none"/>
        </w:rPr>
      </w:pPr>
    </w:p>
    <w:p w14:paraId="3AC7C5A8">
      <w:pPr>
        <w:pStyle w:val="6"/>
        <w:spacing w:line="277" w:lineRule="auto"/>
        <w:rPr>
          <w:rFonts w:hint="eastAsia" w:ascii="宋体" w:hAnsi="宋体" w:eastAsia="宋体" w:cs="宋体"/>
          <w:color w:val="auto"/>
          <w:sz w:val="21"/>
          <w:szCs w:val="21"/>
          <w:highlight w:val="none"/>
        </w:rPr>
      </w:pPr>
    </w:p>
    <w:p w14:paraId="21D36DDF">
      <w:pPr>
        <w:spacing w:before="79" w:line="219" w:lineRule="auto"/>
        <w:ind w:firstLine="5136" w:firstLineChars="240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投标人</w:t>
      </w:r>
      <w:r>
        <w:rPr>
          <w:rFonts w:hint="eastAsia" w:ascii="宋体" w:hAnsi="宋体" w:eastAsia="宋体" w:cs="宋体"/>
          <w:color w:val="auto"/>
          <w:spacing w:val="-15"/>
          <w:sz w:val="21"/>
          <w:szCs w:val="21"/>
          <w:highlight w:val="none"/>
        </w:rPr>
        <w:t>：</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盖单位章）</w:t>
      </w:r>
    </w:p>
    <w:p w14:paraId="78B3688F">
      <w:pPr>
        <w:pStyle w:val="6"/>
        <w:spacing w:line="256" w:lineRule="auto"/>
        <w:jc w:val="right"/>
        <w:rPr>
          <w:rFonts w:hint="eastAsia" w:ascii="宋体" w:hAnsi="宋体" w:eastAsia="宋体" w:cs="宋体"/>
          <w:color w:val="auto"/>
          <w:sz w:val="21"/>
          <w:szCs w:val="21"/>
          <w:highlight w:val="none"/>
        </w:rPr>
      </w:pPr>
    </w:p>
    <w:p w14:paraId="357977FD">
      <w:pPr>
        <w:pStyle w:val="6"/>
        <w:spacing w:line="256" w:lineRule="auto"/>
        <w:jc w:val="right"/>
        <w:rPr>
          <w:rFonts w:hint="eastAsia" w:ascii="宋体" w:hAnsi="宋体" w:eastAsia="宋体" w:cs="宋体"/>
          <w:color w:val="auto"/>
          <w:sz w:val="21"/>
          <w:szCs w:val="21"/>
          <w:highlight w:val="none"/>
        </w:rPr>
      </w:pPr>
    </w:p>
    <w:p w14:paraId="053292DD">
      <w:pPr>
        <w:spacing w:before="78" w:line="219" w:lineRule="auto"/>
        <w:ind w:left="3922"/>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法定代表人或其委托代理人</w:t>
      </w:r>
      <w:r>
        <w:rPr>
          <w:rFonts w:hint="eastAsia" w:ascii="宋体" w:hAnsi="宋体" w:eastAsia="宋体" w:cs="宋体"/>
          <w:color w:val="auto"/>
          <w:spacing w:val="-15"/>
          <w:sz w:val="21"/>
          <w:szCs w:val="21"/>
          <w:highlight w:val="none"/>
        </w:rPr>
        <w:t>：</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
          <w:sz w:val="21"/>
          <w:szCs w:val="21"/>
          <w:highlight w:val="none"/>
        </w:rPr>
        <w:t>签字或盖章）</w:t>
      </w:r>
    </w:p>
    <w:p w14:paraId="6662D32F">
      <w:pPr>
        <w:pStyle w:val="6"/>
        <w:spacing w:line="257" w:lineRule="auto"/>
        <w:rPr>
          <w:rFonts w:hint="eastAsia" w:ascii="宋体" w:hAnsi="宋体" w:eastAsia="宋体" w:cs="宋体"/>
          <w:color w:val="auto"/>
          <w:sz w:val="21"/>
          <w:szCs w:val="21"/>
          <w:highlight w:val="none"/>
        </w:rPr>
      </w:pPr>
    </w:p>
    <w:p w14:paraId="070C60B1">
      <w:pPr>
        <w:pStyle w:val="6"/>
        <w:spacing w:line="257" w:lineRule="auto"/>
        <w:rPr>
          <w:rFonts w:hint="eastAsia" w:ascii="宋体" w:hAnsi="宋体" w:eastAsia="宋体" w:cs="宋体"/>
          <w:color w:val="auto"/>
          <w:sz w:val="21"/>
          <w:szCs w:val="21"/>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color w:val="auto"/>
          <w:spacing w:val="-9"/>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color w:val="auto"/>
          <w:spacing w:val="-9"/>
          <w:sz w:val="21"/>
          <w:szCs w:val="21"/>
          <w:highlight w:val="none"/>
        </w:rPr>
        <w:t>日</w:t>
      </w:r>
    </w:p>
    <w:p w14:paraId="533951B9">
      <w:pPr>
        <w:spacing w:line="220" w:lineRule="auto"/>
        <w:rPr>
          <w:rFonts w:hint="eastAsia" w:ascii="宋体" w:hAnsi="宋体" w:eastAsia="宋体" w:cs="宋体"/>
          <w:color w:val="auto"/>
          <w:sz w:val="24"/>
          <w:szCs w:val="24"/>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32" w:name="_Toc30611"/>
      <w:r>
        <w:rPr>
          <w:rFonts w:hint="eastAsia" w:ascii="宋体" w:hAnsi="宋体" w:eastAsia="宋体" w:cs="宋体"/>
          <w:b/>
          <w:bCs/>
          <w:color w:val="auto"/>
          <w:spacing w:val="-4"/>
          <w:sz w:val="24"/>
          <w:szCs w:val="24"/>
          <w:highlight w:val="none"/>
        </w:rPr>
        <w:t>格式三 各项承诺一览表</w:t>
      </w:r>
      <w:bookmarkEnd w:id="232"/>
    </w:p>
    <w:p w14:paraId="0D7CCACD">
      <w:pPr>
        <w:pStyle w:val="6"/>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33" w:name="bookmark149"/>
      <w:bookmarkEnd w:id="233"/>
      <w:bookmarkStart w:id="234" w:name="_Toc10326"/>
      <w:bookmarkStart w:id="235" w:name="_Toc4767"/>
      <w:bookmarkStart w:id="236" w:name="_Toc2936"/>
      <w:r>
        <w:rPr>
          <w:rFonts w:hint="eastAsia" w:ascii="宋体" w:hAnsi="宋体" w:eastAsia="宋体" w:cs="宋体"/>
          <w:b/>
          <w:bCs/>
          <w:color w:val="auto"/>
          <w:spacing w:val="-5"/>
          <w:sz w:val="30"/>
          <w:szCs w:val="30"/>
          <w:highlight w:val="none"/>
        </w:rPr>
        <w:t>各项承诺一览表</w:t>
      </w:r>
      <w:bookmarkEnd w:id="234"/>
      <w:bookmarkEnd w:id="235"/>
      <w:bookmarkEnd w:id="236"/>
    </w:p>
    <w:p w14:paraId="1040ACDB">
      <w:pPr>
        <w:spacing w:before="6"/>
        <w:rPr>
          <w:rFonts w:hint="eastAsia" w:ascii="宋体" w:hAnsi="宋体" w:eastAsia="宋体" w:cs="宋体"/>
          <w:color w:val="auto"/>
          <w:highlight w:val="none"/>
        </w:rPr>
      </w:pPr>
    </w:p>
    <w:tbl>
      <w:tblPr>
        <w:tblStyle w:val="17"/>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5968E03B">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0F6DB51F">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75" w:type="dxa"/>
            <w:vAlign w:val="top"/>
          </w:tcPr>
          <w:p w14:paraId="1A6424C5">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09254A2E">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自愿接受招标</w:t>
            </w:r>
            <w:r>
              <w:rPr>
                <w:rFonts w:hint="eastAsia" w:ascii="宋体" w:hAnsi="宋体" w:eastAsia="宋体" w:cs="宋体"/>
                <w:color w:val="auto"/>
                <w:spacing w:val="8"/>
                <w:sz w:val="21"/>
                <w:szCs w:val="21"/>
                <w:highlight w:val="none"/>
              </w:rPr>
              <w:t>文件条款的承诺</w:t>
            </w:r>
          </w:p>
        </w:tc>
        <w:tc>
          <w:tcPr>
            <w:tcW w:w="3107" w:type="dxa"/>
            <w:vAlign w:val="top"/>
          </w:tcPr>
          <w:p w14:paraId="17F8556B">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我方自愿接受招标文件的</w:t>
            </w:r>
            <w:r>
              <w:rPr>
                <w:rFonts w:hint="eastAsia" w:ascii="宋体" w:hAnsi="宋体" w:eastAsia="宋体" w:cs="宋体"/>
                <w:color w:val="auto"/>
                <w:spacing w:val="7"/>
                <w:sz w:val="21"/>
                <w:szCs w:val="21"/>
                <w:highlight w:val="none"/>
              </w:rPr>
              <w:t>所有条款，所递交的投标文件已</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3"/>
                <w:sz w:val="21"/>
                <w:szCs w:val="21"/>
                <w:highlight w:val="none"/>
              </w:rPr>
              <w:t>经充分响应招标文件的实质性</w:t>
            </w:r>
            <w:r>
              <w:rPr>
                <w:rFonts w:hint="eastAsia" w:ascii="宋体" w:hAnsi="宋体" w:eastAsia="宋体" w:cs="宋体"/>
                <w:color w:val="auto"/>
                <w:spacing w:val="3"/>
                <w:sz w:val="21"/>
                <w:szCs w:val="21"/>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如果我方的投标文件未响应、违反、偏</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0"/>
                <w:sz w:val="21"/>
                <w:szCs w:val="21"/>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1"/>
                <w:szCs w:val="21"/>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6B11ADA9">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746CB1AB">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7D78AF5B">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75" w:type="dxa"/>
            <w:vAlign w:val="top"/>
          </w:tcPr>
          <w:p w14:paraId="05B3009D">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4BE0188E">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465F625A">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无禁止投标</w:t>
            </w:r>
            <w:r>
              <w:rPr>
                <w:rFonts w:hint="eastAsia" w:ascii="宋体" w:hAnsi="宋体" w:eastAsia="宋体" w:cs="宋体"/>
                <w:color w:val="auto"/>
                <w:spacing w:val="8"/>
                <w:sz w:val="21"/>
                <w:szCs w:val="21"/>
                <w:highlight w:val="none"/>
              </w:rPr>
              <w:t>情形的承诺</w:t>
            </w:r>
          </w:p>
        </w:tc>
        <w:tc>
          <w:tcPr>
            <w:tcW w:w="3107" w:type="dxa"/>
            <w:vAlign w:val="top"/>
          </w:tcPr>
          <w:p w14:paraId="43B9FDAD">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51E22312">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我方不存在招标文件第一</w:t>
            </w:r>
            <w:r>
              <w:rPr>
                <w:rFonts w:hint="eastAsia" w:ascii="宋体" w:hAnsi="宋体" w:eastAsia="宋体" w:cs="宋体"/>
                <w:color w:val="auto"/>
                <w:spacing w:val="8"/>
                <w:sz w:val="21"/>
                <w:szCs w:val="21"/>
                <w:highlight w:val="none"/>
              </w:rPr>
              <w:t>章第三节第</w:t>
            </w:r>
            <w:r>
              <w:rPr>
                <w:rFonts w:hint="eastAsia" w:ascii="宋体" w:hAnsi="宋体" w:eastAsia="宋体" w:cs="宋体"/>
                <w:color w:val="auto"/>
                <w:spacing w:val="-35"/>
                <w:sz w:val="21"/>
                <w:szCs w:val="21"/>
                <w:highlight w:val="none"/>
              </w:rPr>
              <w:t xml:space="preserve"> </w:t>
            </w:r>
            <w:r>
              <w:rPr>
                <w:rFonts w:hint="eastAsia" w:ascii="宋体" w:hAnsi="宋体" w:eastAsia="宋体" w:cs="宋体"/>
                <w:b/>
                <w:bCs/>
                <w:color w:val="auto"/>
                <w:spacing w:val="8"/>
                <w:sz w:val="21"/>
                <w:szCs w:val="21"/>
                <w:highlight w:val="none"/>
              </w:rPr>
              <w:t>2.4</w:t>
            </w:r>
            <w:r>
              <w:rPr>
                <w:rFonts w:hint="eastAsia" w:ascii="宋体" w:hAnsi="宋体" w:eastAsia="宋体" w:cs="宋体"/>
                <w:b/>
                <w:bCs/>
                <w:color w:val="auto"/>
                <w:spacing w:val="16"/>
                <w:sz w:val="21"/>
                <w:szCs w:val="21"/>
                <w:highlight w:val="none"/>
              </w:rPr>
              <w:t xml:space="preserve"> </w:t>
            </w:r>
            <w:r>
              <w:rPr>
                <w:rFonts w:hint="eastAsia" w:ascii="宋体" w:hAnsi="宋体" w:eastAsia="宋体" w:cs="宋体"/>
                <w:color w:val="auto"/>
                <w:spacing w:val="8"/>
                <w:sz w:val="21"/>
                <w:szCs w:val="21"/>
                <w:highlight w:val="none"/>
              </w:rPr>
              <w:t>条“禁止投标条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款</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6"/>
                <w:sz w:val="21"/>
                <w:szCs w:val="21"/>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如果我方有招标文件第一章第三节第</w:t>
            </w:r>
            <w:r>
              <w:rPr>
                <w:rFonts w:hint="eastAsia" w:ascii="宋体" w:hAnsi="宋体" w:eastAsia="宋体" w:cs="宋体"/>
                <w:color w:val="auto"/>
                <w:spacing w:val="-27"/>
                <w:sz w:val="21"/>
                <w:szCs w:val="21"/>
                <w:highlight w:val="none"/>
              </w:rPr>
              <w:t xml:space="preserve"> </w:t>
            </w:r>
            <w:r>
              <w:rPr>
                <w:rFonts w:hint="eastAsia" w:ascii="宋体" w:hAnsi="宋体" w:eastAsia="宋体" w:cs="宋体"/>
                <w:b/>
                <w:bCs/>
                <w:color w:val="auto"/>
                <w:spacing w:val="6"/>
                <w:sz w:val="21"/>
                <w:szCs w:val="21"/>
                <w:highlight w:val="none"/>
              </w:rPr>
              <w:t>2.</w:t>
            </w:r>
            <w:r>
              <w:rPr>
                <w:rFonts w:hint="eastAsia" w:ascii="宋体" w:hAnsi="宋体" w:eastAsia="宋体" w:cs="宋体"/>
                <w:b/>
                <w:bCs/>
                <w:color w:val="auto"/>
                <w:spacing w:val="1"/>
                <w:sz w:val="21"/>
                <w:szCs w:val="21"/>
                <w:highlight w:val="none"/>
              </w:rPr>
              <w:t xml:space="preserve">4 </w:t>
            </w:r>
            <w:r>
              <w:rPr>
                <w:rFonts w:hint="eastAsia" w:ascii="宋体" w:hAnsi="宋体" w:eastAsia="宋体" w:cs="宋体"/>
                <w:color w:val="auto"/>
                <w:spacing w:val="1"/>
                <w:sz w:val="21"/>
                <w:szCs w:val="21"/>
                <w:highlight w:val="none"/>
              </w:rPr>
              <w:t>条“禁止投标条款</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1"/>
                <w:sz w:val="21"/>
                <w:szCs w:val="21"/>
                <w:highlight w:val="none"/>
              </w:rPr>
              <w:t>”规定的任何一种情形，</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我方接受招标人或其授权的招标代理机构或</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8"/>
                <w:sz w:val="21"/>
                <w:szCs w:val="21"/>
                <w:highlight w:val="none"/>
              </w:rPr>
              <w:t>其组建的评标委员会依据招标文件作出的相</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8"/>
                <w:sz w:val="21"/>
                <w:szCs w:val="21"/>
                <w:highlight w:val="none"/>
              </w:rPr>
              <w:t>应处理以及有关监督部门作出的行政处罚，</w:t>
            </w:r>
            <w:r>
              <w:rPr>
                <w:rFonts w:hint="eastAsia" w:ascii="宋体" w:hAnsi="宋体" w:eastAsia="宋体" w:cs="宋体"/>
                <w:color w:val="auto"/>
                <w:spacing w:val="6"/>
                <w:sz w:val="21"/>
                <w:szCs w:val="21"/>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3BFA5DE0">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060ED34B">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EF741A1">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75" w:type="dxa"/>
            <w:vAlign w:val="top"/>
          </w:tcPr>
          <w:p w14:paraId="438AD487">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92BBB59">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作假行为的承诺</w:t>
            </w:r>
          </w:p>
        </w:tc>
        <w:tc>
          <w:tcPr>
            <w:tcW w:w="3107" w:type="dxa"/>
            <w:vAlign w:val="top"/>
          </w:tcPr>
          <w:p w14:paraId="0DE69FDB">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我方合法正当、诚实守信地</w:t>
            </w:r>
            <w:r>
              <w:rPr>
                <w:rFonts w:hint="eastAsia" w:ascii="宋体" w:hAnsi="宋体" w:eastAsia="宋体" w:cs="宋体"/>
                <w:color w:val="auto"/>
                <w:spacing w:val="7"/>
                <w:sz w:val="21"/>
                <w:szCs w:val="21"/>
                <w:highlight w:val="none"/>
              </w:rPr>
              <w:t>参与投标，不组织、不参加围标串标违法行为，不通过弄虚作假</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6"/>
                <w:sz w:val="21"/>
                <w:szCs w:val="21"/>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1"/>
                <w:szCs w:val="21"/>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27D55ACF">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66165398">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F45AC13">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3089FA48">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c>
          <w:tcPr>
            <w:tcW w:w="1675" w:type="dxa"/>
            <w:vAlign w:val="top"/>
          </w:tcPr>
          <w:p w14:paraId="6278EE0E">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26255881">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09D7BD82">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61D658BD">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项目经理</w:t>
            </w:r>
            <w:r>
              <w:rPr>
                <w:rFonts w:hint="eastAsia" w:ascii="宋体" w:hAnsi="宋体" w:eastAsia="宋体" w:cs="宋体"/>
                <w:color w:val="auto"/>
                <w:spacing w:val="7"/>
                <w:sz w:val="21"/>
                <w:szCs w:val="21"/>
                <w:highlight w:val="none"/>
              </w:rPr>
              <w:t>任职承诺</w:t>
            </w:r>
          </w:p>
        </w:tc>
        <w:tc>
          <w:tcPr>
            <w:tcW w:w="3107" w:type="dxa"/>
            <w:vAlign w:val="top"/>
          </w:tcPr>
          <w:p w14:paraId="012273A7">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70115F3C">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我方拟派项目经理现阶段</w:t>
            </w:r>
            <w:r>
              <w:rPr>
                <w:rFonts w:hint="eastAsia" w:ascii="宋体" w:hAnsi="宋体" w:eastAsia="宋体" w:cs="宋体"/>
                <w:color w:val="auto"/>
                <w:spacing w:val="7"/>
                <w:sz w:val="21"/>
                <w:szCs w:val="21"/>
                <w:highlight w:val="none"/>
              </w:rPr>
              <w:t>没有担任任何在施（包括已中标</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7"/>
                <w:sz w:val="21"/>
                <w:szCs w:val="21"/>
                <w:highlight w:val="none"/>
              </w:rPr>
              <w:t>未开工、已开工未竣工）建设工</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7"/>
                <w:sz w:val="21"/>
                <w:szCs w:val="21"/>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如果我方拟派项目经理在本项目招标投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标活动期间有担任其他任何在施（包括已中标未开工、已开工未竣工）建设工程项目的</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7"/>
                <w:sz w:val="21"/>
                <w:szCs w:val="21"/>
                <w:highlight w:val="none"/>
              </w:rPr>
              <w:t>项目经理，我方接受招标人或其授权的招标</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7"/>
                <w:sz w:val="21"/>
                <w:szCs w:val="21"/>
                <w:highlight w:val="none"/>
              </w:rPr>
              <w:t>代理机构或其组建的评标委员会依据招标文件作出的相应处理以及有关监督部门作出的</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C74BABD">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675" w:type="dxa"/>
            <w:vAlign w:val="top"/>
          </w:tcPr>
          <w:p w14:paraId="349DADD9">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投标文件</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7"/>
                <w:sz w:val="21"/>
                <w:szCs w:val="21"/>
                <w:highlight w:val="none"/>
              </w:rPr>
              <w:t>真实性承诺</w:t>
            </w:r>
          </w:p>
        </w:tc>
        <w:tc>
          <w:tcPr>
            <w:tcW w:w="3107" w:type="dxa"/>
            <w:vAlign w:val="top"/>
          </w:tcPr>
          <w:p w14:paraId="48826E6A">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我方所递交投标文件的全</w:t>
            </w:r>
            <w:r>
              <w:rPr>
                <w:rFonts w:hint="eastAsia" w:ascii="宋体" w:hAnsi="宋体" w:eastAsia="宋体" w:cs="宋体"/>
                <w:color w:val="auto"/>
                <w:spacing w:val="-7"/>
                <w:sz w:val="21"/>
                <w:szCs w:val="21"/>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1"/>
                <w:szCs w:val="21"/>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019FAAF4">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p w14:paraId="6D236227">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25"/>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我方提供完整的文件。如果</w:t>
            </w:r>
            <w:r>
              <w:rPr>
                <w:rFonts w:hint="eastAsia" w:ascii="宋体" w:hAnsi="宋体" w:eastAsia="宋体" w:cs="宋体"/>
                <w:color w:val="auto"/>
                <w:spacing w:val="7"/>
                <w:sz w:val="21"/>
                <w:szCs w:val="21"/>
                <w:highlight w:val="none"/>
              </w:rPr>
              <w:t>我方成为本项目中标候选人，我</w:t>
            </w:r>
            <w:r>
              <w:rPr>
                <w:rFonts w:hint="eastAsia" w:ascii="宋体" w:hAnsi="宋体" w:eastAsia="宋体" w:cs="宋体"/>
                <w:color w:val="auto"/>
                <w:spacing w:val="23"/>
                <w:sz w:val="21"/>
                <w:szCs w:val="21"/>
                <w:highlight w:val="none"/>
              </w:rPr>
              <w:t>方同意并授权招标人在评标结果公示期内公开我方商务标书</w:t>
            </w:r>
            <w:r>
              <w:rPr>
                <w:rFonts w:hint="eastAsia" w:ascii="宋体" w:hAnsi="宋体" w:eastAsia="宋体" w:cs="宋体"/>
                <w:color w:val="auto"/>
                <w:spacing w:val="3"/>
                <w:sz w:val="21"/>
                <w:szCs w:val="21"/>
                <w:highlight w:val="none"/>
              </w:rPr>
              <w:t>的全部内容。</w:t>
            </w:r>
          </w:p>
        </w:tc>
        <w:tc>
          <w:tcPr>
            <w:tcW w:w="4272" w:type="dxa"/>
            <w:vAlign w:val="top"/>
          </w:tcPr>
          <w:p w14:paraId="2FBE142D">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45720</wp:posOffset>
                      </wp:positionH>
                      <wp:positionV relativeFrom="paragraph">
                        <wp:posOffset>1153795</wp:posOffset>
                      </wp:positionV>
                      <wp:extent cx="2696845" cy="1546860"/>
                      <wp:effectExtent l="3175" t="5715" r="5080" b="9525"/>
                      <wp:wrapNone/>
                      <wp:docPr id="24" name="直接连接符 24"/>
                      <wp:cNvGraphicFramePr/>
                      <a:graphic xmlns:a="http://schemas.openxmlformats.org/drawingml/2006/main">
                        <a:graphicData uri="http://schemas.microsoft.com/office/word/2010/wordprocessingShape">
                          <wps:wsp>
                            <wps:cNvCnPr/>
                            <wps:spPr>
                              <a:xfrm flipV="1">
                                <a:off x="4217670" y="3238500"/>
                                <a:ext cx="2696845" cy="154686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6pt;margin-top:90.85pt;height:121.8pt;width:212.35pt;z-index:251661312;mso-width-relative:page;mso-height-relative:page;" filled="f" stroked="t" coordsize="21600,21600" o:gfxdata="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usv+tYAAAAJAQAADwAAAAAAAAABACAAAAAiAAAAZHJz&#10;L2Rvd25yZXYueG1sUEsBAhQAFAAAAAgAh07iQDlkLcsGAgAA0AMAAA4AAAAAAAAAAQAgAAAAJQEA&#10;AGRycy9lMm9Eb2MueG1sUEsFBgAAAAAGAAYAWQEAAJ0FAAAAAA==&#10;">
                      <v:fill on="f" focussize="0,0"/>
                      <v:stroke weight="1pt" color="#4874CB [3204]" miterlimit="8" joinstyle="miter"/>
                      <v:imagedata o:title=""/>
                      <o:lock v:ext="edit" aspectratio="f"/>
                    </v:line>
                  </w:pict>
                </mc:Fallback>
              </mc:AlternateContent>
            </w: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F58368B">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2890160C">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0EC89A79">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675" w:type="dxa"/>
            <w:vAlign w:val="top"/>
          </w:tcPr>
          <w:p w14:paraId="10987C8F">
            <w:pPr>
              <w:pStyle w:val="27"/>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1"/>
                <w:szCs w:val="21"/>
                <w:highlight w:val="none"/>
              </w:rPr>
            </w:pPr>
          </w:p>
          <w:p w14:paraId="49332366">
            <w:pPr>
              <w:pStyle w:val="27"/>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1"/>
                <w:szCs w:val="21"/>
                <w:highlight w:val="none"/>
              </w:rPr>
            </w:pPr>
          </w:p>
          <w:p w14:paraId="32B67BD4">
            <w:pPr>
              <w:pStyle w:val="27"/>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1"/>
                <w:szCs w:val="21"/>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对不正常报价</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如果我方中标，我方接受招</w:t>
            </w:r>
            <w:r>
              <w:rPr>
                <w:rFonts w:hint="eastAsia" w:ascii="宋体" w:hAnsi="宋体" w:eastAsia="宋体" w:cs="宋体"/>
                <w:color w:val="auto"/>
                <w:spacing w:val="23"/>
                <w:sz w:val="21"/>
                <w:szCs w:val="21"/>
                <w:highlight w:val="none"/>
              </w:rPr>
              <w:t>标人在合同订立期间依据招标文件有关条款约定对我方已标价工程量清单中不正常报价的</w:t>
            </w:r>
            <w:r>
              <w:rPr>
                <w:rFonts w:hint="eastAsia" w:ascii="宋体" w:hAnsi="宋体" w:eastAsia="宋体" w:cs="宋体"/>
                <w:color w:val="auto"/>
                <w:spacing w:val="7"/>
                <w:sz w:val="21"/>
                <w:szCs w:val="21"/>
                <w:highlight w:val="none"/>
              </w:rPr>
              <w:t>修正或认定，并按要求签署《不</w:t>
            </w:r>
            <w:r>
              <w:rPr>
                <w:rFonts w:hint="eastAsia" w:ascii="宋体" w:hAnsi="宋体" w:eastAsia="宋体" w:cs="宋体"/>
                <w:color w:val="auto"/>
                <w:spacing w:val="8"/>
                <w:sz w:val="21"/>
                <w:szCs w:val="21"/>
                <w:highlight w:val="none"/>
              </w:rPr>
              <w:t>正常报价清单》加以确认。</w:t>
            </w:r>
          </w:p>
        </w:tc>
        <w:tc>
          <w:tcPr>
            <w:tcW w:w="4272" w:type="dxa"/>
            <w:vAlign w:val="top"/>
          </w:tcPr>
          <w:p w14:paraId="2AC2D7AD">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7C9BB7EC">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51A5536F">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1"/>
                <w:szCs w:val="21"/>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0474C16A">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3705BF3F">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675" w:type="dxa"/>
            <w:vAlign w:val="top"/>
          </w:tcPr>
          <w:p w14:paraId="4EE17AC8">
            <w:pPr>
              <w:pStyle w:val="27"/>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1"/>
                <w:szCs w:val="21"/>
                <w:highlight w:val="none"/>
              </w:rPr>
            </w:pPr>
          </w:p>
          <w:p w14:paraId="3BB363F9">
            <w:pPr>
              <w:pStyle w:val="27"/>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1"/>
                <w:szCs w:val="21"/>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按时提交履约</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7"/>
                <w:sz w:val="21"/>
                <w:szCs w:val="21"/>
                <w:highlight w:val="none"/>
              </w:rPr>
              <w:t>保证的承诺</w:t>
            </w:r>
          </w:p>
        </w:tc>
        <w:tc>
          <w:tcPr>
            <w:tcW w:w="3107" w:type="dxa"/>
            <w:vAlign w:val="top"/>
          </w:tcPr>
          <w:p w14:paraId="2F2EF5F6">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如果我方中标，我方保证在</w:t>
            </w:r>
            <w:r>
              <w:rPr>
                <w:rFonts w:hint="eastAsia" w:ascii="宋体" w:hAnsi="宋体" w:eastAsia="宋体" w:cs="宋体"/>
                <w:color w:val="auto"/>
                <w:spacing w:val="23"/>
                <w:sz w:val="21"/>
                <w:szCs w:val="21"/>
                <w:highlight w:val="none"/>
              </w:rPr>
              <w:t>招标文件规定的时限内全额提</w:t>
            </w:r>
            <w:r>
              <w:rPr>
                <w:rFonts w:hint="eastAsia" w:ascii="宋体" w:hAnsi="宋体" w:eastAsia="宋体" w:cs="宋体"/>
                <w:color w:val="auto"/>
                <w:spacing w:val="6"/>
                <w:sz w:val="21"/>
                <w:szCs w:val="21"/>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如果我方未在招标文件规定的时限内全</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9"/>
                <w:sz w:val="21"/>
                <w:szCs w:val="21"/>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0C02A7C0">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7B620D0E">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44F4C3A4">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675" w:type="dxa"/>
            <w:vAlign w:val="top"/>
          </w:tcPr>
          <w:p w14:paraId="3984E433">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7D7846EB">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700D32F0">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按时签订合同</w:t>
            </w:r>
            <w:r>
              <w:rPr>
                <w:rFonts w:hint="eastAsia" w:ascii="宋体" w:hAnsi="宋体" w:eastAsia="宋体" w:cs="宋体"/>
                <w:color w:val="auto"/>
                <w:spacing w:val="1"/>
                <w:sz w:val="21"/>
                <w:szCs w:val="21"/>
                <w:highlight w:val="none"/>
              </w:rPr>
              <w:t>的承诺</w:t>
            </w:r>
          </w:p>
        </w:tc>
        <w:tc>
          <w:tcPr>
            <w:tcW w:w="3107" w:type="dxa"/>
            <w:vAlign w:val="top"/>
          </w:tcPr>
          <w:p w14:paraId="45DF0271">
            <w:pPr>
              <w:pStyle w:val="27"/>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1"/>
                <w:szCs w:val="21"/>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如果我方中标，我方保证在</w:t>
            </w:r>
            <w:r>
              <w:rPr>
                <w:rFonts w:hint="eastAsia" w:ascii="宋体" w:hAnsi="宋体" w:eastAsia="宋体" w:cs="宋体"/>
                <w:color w:val="auto"/>
                <w:spacing w:val="23"/>
                <w:sz w:val="21"/>
                <w:szCs w:val="21"/>
                <w:highlight w:val="none"/>
              </w:rPr>
              <w:t>招标文件规定的时限内与招标</w:t>
            </w:r>
            <w:r>
              <w:rPr>
                <w:rFonts w:hint="eastAsia" w:ascii="宋体" w:hAnsi="宋体" w:eastAsia="宋体" w:cs="宋体"/>
                <w:color w:val="auto"/>
                <w:spacing w:val="7"/>
                <w:sz w:val="21"/>
                <w:szCs w:val="21"/>
                <w:highlight w:val="none"/>
              </w:rPr>
              <w:t>人签订合同，不提出违背或超出</w:t>
            </w:r>
            <w:r>
              <w:rPr>
                <w:rFonts w:hint="eastAsia" w:ascii="宋体" w:hAnsi="宋体" w:eastAsia="宋体" w:cs="宋体"/>
                <w:color w:val="auto"/>
                <w:spacing w:val="8"/>
                <w:sz w:val="21"/>
                <w:szCs w:val="21"/>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如果我方未在招标文件规定的时限内与招标人签订合同，或我方在签订合同过程中</w:t>
            </w:r>
            <w:r>
              <w:rPr>
                <w:rFonts w:hint="eastAsia" w:ascii="宋体" w:hAnsi="宋体" w:eastAsia="宋体" w:cs="宋体"/>
                <w:color w:val="auto"/>
                <w:sz w:val="21"/>
                <w:szCs w:val="21"/>
                <w:highlight w:val="none"/>
              </w:rPr>
              <w:t>提出违背或超出招标文件、中标文件的要求。</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7"/>
                <w:sz w:val="21"/>
                <w:szCs w:val="21"/>
                <w:highlight w:val="none"/>
              </w:rPr>
              <w:t>我方接受招标人依据招标文件作出的相应处</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7"/>
                <w:sz w:val="21"/>
                <w:szCs w:val="21"/>
                <w:highlight w:val="none"/>
              </w:rPr>
              <w:t>理以及有关监督部门作出的行政处罚，并承</w:t>
            </w:r>
            <w:r>
              <w:rPr>
                <w:rFonts w:hint="eastAsia" w:ascii="宋体" w:hAnsi="宋体" w:eastAsia="宋体" w:cs="宋体"/>
                <w:color w:val="auto"/>
                <w:spacing w:val="5"/>
                <w:sz w:val="21"/>
                <w:szCs w:val="21"/>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6"/>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7" w:name="_Toc16497"/>
      <w:r>
        <w:rPr>
          <w:rFonts w:hint="eastAsia" w:ascii="宋体" w:hAnsi="宋体" w:eastAsia="宋体" w:cs="宋体"/>
          <w:b/>
          <w:bCs/>
          <w:color w:val="auto"/>
          <w:spacing w:val="-4"/>
          <w:sz w:val="24"/>
          <w:szCs w:val="24"/>
          <w:highlight w:val="none"/>
        </w:rPr>
        <w:t>格式四 授权委托书</w:t>
      </w:r>
      <w:bookmarkEnd w:id="237"/>
    </w:p>
    <w:p w14:paraId="6CD0F9BB">
      <w:pPr>
        <w:pStyle w:val="6"/>
        <w:spacing w:line="351" w:lineRule="auto"/>
        <w:rPr>
          <w:rFonts w:hint="eastAsia" w:ascii="宋体" w:hAnsi="宋体" w:eastAsia="宋体" w:cs="宋体"/>
          <w:color w:val="auto"/>
          <w:highlight w:val="none"/>
        </w:rPr>
      </w:pPr>
    </w:p>
    <w:p w14:paraId="18A875F0">
      <w:pPr>
        <w:pStyle w:val="6"/>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8" w:name="bookmark151"/>
      <w:bookmarkEnd w:id="238"/>
      <w:r>
        <w:rPr>
          <w:rFonts w:hint="eastAsia" w:ascii="宋体" w:hAnsi="宋体" w:eastAsia="宋体" w:cs="宋体"/>
          <w:b/>
          <w:bCs/>
          <w:color w:val="auto"/>
          <w:spacing w:val="-5"/>
          <w:sz w:val="30"/>
          <w:szCs w:val="30"/>
          <w:highlight w:val="none"/>
        </w:rPr>
        <w:t>授权委托书</w:t>
      </w:r>
    </w:p>
    <w:p w14:paraId="473B7E5C">
      <w:pPr>
        <w:pStyle w:val="6"/>
        <w:spacing w:line="250" w:lineRule="auto"/>
        <w:rPr>
          <w:rFonts w:hint="eastAsia" w:ascii="宋体" w:hAnsi="宋体" w:eastAsia="宋体" w:cs="宋体"/>
          <w:color w:val="auto"/>
          <w:highlight w:val="none"/>
        </w:rPr>
      </w:pPr>
    </w:p>
    <w:p w14:paraId="72DA4D73">
      <w:pPr>
        <w:pStyle w:val="6"/>
        <w:spacing w:line="250" w:lineRule="auto"/>
        <w:rPr>
          <w:rFonts w:hint="eastAsia" w:ascii="宋体" w:hAnsi="宋体" w:eastAsia="宋体" w:cs="宋体"/>
          <w:color w:val="auto"/>
          <w:highlight w:val="none"/>
        </w:rPr>
      </w:pPr>
    </w:p>
    <w:p w14:paraId="18BC7C34">
      <w:pPr>
        <w:pStyle w:val="6"/>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eastAsia="zh-CN"/>
        </w:rPr>
        <w:t>本人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lang w:eastAsia="zh-CN"/>
        </w:rPr>
        <w:t>（姓名）系</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lang w:eastAsia="zh-CN"/>
        </w:rPr>
        <w:t>（投标人名称）的法定代表人，现委托</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single"/>
          <w:lang w:eastAsia="zh-CN"/>
        </w:rPr>
        <w:t>（项目名称）</w:t>
      </w:r>
      <w:r>
        <w:rPr>
          <w:rFonts w:hint="eastAsia" w:ascii="宋体" w:hAnsi="宋体" w:eastAsia="宋体" w:cs="宋体"/>
          <w:snapToGrid w:val="0"/>
          <w:color w:val="auto"/>
          <w:kern w:val="0"/>
          <w:sz w:val="21"/>
          <w:szCs w:val="21"/>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1"/>
          <w:szCs w:val="21"/>
          <w:highlight w:val="none"/>
        </w:rPr>
      </w:pPr>
      <w:r>
        <w:rPr>
          <w:rFonts w:hint="eastAsia" w:ascii="宋体" w:hAnsi="宋体" w:eastAsia="宋体" w:cs="宋体"/>
          <w:color w:val="auto"/>
          <w:spacing w:val="-9"/>
          <w:sz w:val="21"/>
          <w:szCs w:val="21"/>
          <w:highlight w:val="none"/>
        </w:rPr>
        <w:t>委托期限：至</w:t>
      </w:r>
      <w:r>
        <w:rPr>
          <w:rFonts w:hint="eastAsia" w:ascii="宋体" w:hAnsi="宋体" w:eastAsia="宋体" w:cs="宋体"/>
          <w:color w:val="auto"/>
          <w:spacing w:val="-9"/>
          <w:sz w:val="21"/>
          <w:szCs w:val="21"/>
          <w:highlight w:val="none"/>
          <w:u w:val="single"/>
        </w:rPr>
        <w:t xml:space="preserve">     年   月    日</w:t>
      </w:r>
      <w:r>
        <w:rPr>
          <w:rFonts w:hint="eastAsia" w:ascii="宋体" w:hAnsi="宋体" w:eastAsia="宋体" w:cs="宋体"/>
          <w:i/>
          <w:iCs/>
          <w:color w:val="auto"/>
          <w:spacing w:val="-9"/>
          <w:sz w:val="21"/>
          <w:szCs w:val="21"/>
          <w:highlight w:val="none"/>
          <w:u w:val="single"/>
        </w:rPr>
        <w:t>（不得短于招标文件规定的投标有效期）</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5"/>
          <w:sz w:val="21"/>
          <w:szCs w:val="21"/>
          <w:highlight w:val="none"/>
        </w:rPr>
        <w:t xml:space="preserve"> </w:t>
      </w:r>
    </w:p>
    <w:p w14:paraId="2D61A797">
      <w:pPr>
        <w:spacing w:before="32" w:line="320" w:lineRule="auto"/>
        <w:ind w:left="480" w:right="49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代理人无转委托权。</w:t>
      </w:r>
    </w:p>
    <w:p w14:paraId="1E74F1A2">
      <w:pPr>
        <w:pStyle w:val="6"/>
        <w:spacing w:line="276" w:lineRule="auto"/>
        <w:rPr>
          <w:rFonts w:hint="eastAsia" w:ascii="宋体" w:hAnsi="宋体" w:eastAsia="宋体" w:cs="宋体"/>
          <w:color w:val="auto"/>
          <w:sz w:val="21"/>
          <w:szCs w:val="21"/>
          <w:highlight w:val="none"/>
        </w:rPr>
      </w:pPr>
    </w:p>
    <w:p w14:paraId="2A536516">
      <w:pPr>
        <w:pStyle w:val="6"/>
        <w:spacing w:line="277" w:lineRule="auto"/>
        <w:rPr>
          <w:rFonts w:hint="eastAsia" w:ascii="宋体" w:hAnsi="宋体" w:eastAsia="宋体" w:cs="宋体"/>
          <w:color w:val="auto"/>
          <w:sz w:val="21"/>
          <w:szCs w:val="21"/>
          <w:highlight w:val="none"/>
        </w:rPr>
      </w:pPr>
    </w:p>
    <w:p w14:paraId="1CDFB82E">
      <w:pPr>
        <w:pStyle w:val="6"/>
        <w:spacing w:line="277" w:lineRule="auto"/>
        <w:rPr>
          <w:rFonts w:hint="eastAsia" w:ascii="宋体" w:hAnsi="宋体" w:eastAsia="宋体" w:cs="宋体"/>
          <w:color w:val="auto"/>
          <w:sz w:val="21"/>
          <w:szCs w:val="21"/>
          <w:highlight w:val="none"/>
        </w:rPr>
      </w:pPr>
    </w:p>
    <w:p w14:paraId="6D45D633">
      <w:pPr>
        <w:spacing w:before="78" w:line="219" w:lineRule="auto"/>
        <w:ind w:left="3123"/>
        <w:jc w:val="right"/>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投  标  人</w:t>
      </w:r>
      <w:r>
        <w:rPr>
          <w:rFonts w:hint="eastAsia" w:ascii="宋体" w:hAnsi="宋体" w:eastAsia="宋体" w:cs="宋体"/>
          <w:color w:val="auto"/>
          <w:spacing w:val="-31"/>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31"/>
          <w:sz w:val="21"/>
          <w:szCs w:val="21"/>
          <w:highlight w:val="none"/>
        </w:rPr>
        <w:t>（</w:t>
      </w:r>
      <w:r>
        <w:rPr>
          <w:rFonts w:hint="eastAsia" w:ascii="宋体" w:hAnsi="宋体" w:eastAsia="宋体" w:cs="宋体"/>
          <w:color w:val="auto"/>
          <w:spacing w:val="4"/>
          <w:sz w:val="21"/>
          <w:szCs w:val="21"/>
          <w:highlight w:val="none"/>
        </w:rPr>
        <w:t>盖单位章）</w:t>
      </w:r>
    </w:p>
    <w:p w14:paraId="63BD962A">
      <w:pPr>
        <w:pStyle w:val="6"/>
        <w:spacing w:line="317" w:lineRule="auto"/>
        <w:jc w:val="right"/>
        <w:rPr>
          <w:rFonts w:hint="eastAsia" w:ascii="宋体" w:hAnsi="宋体" w:eastAsia="宋体" w:cs="宋体"/>
          <w:color w:val="auto"/>
          <w:sz w:val="21"/>
          <w:szCs w:val="21"/>
          <w:highlight w:val="none"/>
        </w:rPr>
      </w:pPr>
    </w:p>
    <w:p w14:paraId="57132AE9">
      <w:pPr>
        <w:pStyle w:val="6"/>
        <w:spacing w:line="317" w:lineRule="auto"/>
        <w:jc w:val="right"/>
        <w:rPr>
          <w:rFonts w:hint="eastAsia" w:ascii="宋体" w:hAnsi="宋体" w:eastAsia="宋体" w:cs="宋体"/>
          <w:color w:val="auto"/>
          <w:sz w:val="21"/>
          <w:szCs w:val="21"/>
          <w:highlight w:val="none"/>
        </w:rPr>
      </w:pPr>
    </w:p>
    <w:p w14:paraId="32FCF699">
      <w:pPr>
        <w:pStyle w:val="6"/>
        <w:spacing w:line="317" w:lineRule="auto"/>
        <w:jc w:val="right"/>
        <w:rPr>
          <w:rFonts w:hint="eastAsia" w:ascii="宋体" w:hAnsi="宋体" w:eastAsia="宋体" w:cs="宋体"/>
          <w:color w:val="auto"/>
          <w:sz w:val="21"/>
          <w:szCs w:val="21"/>
          <w:highlight w:val="none"/>
        </w:rPr>
      </w:pPr>
    </w:p>
    <w:p w14:paraId="0C20E36F">
      <w:pPr>
        <w:spacing w:before="79" w:line="219" w:lineRule="auto"/>
        <w:ind w:left="3121"/>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法定代表人</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2"/>
          <w:sz w:val="21"/>
          <w:szCs w:val="21"/>
          <w:highlight w:val="none"/>
        </w:rPr>
        <w:t>签字或盖章）</w:t>
      </w:r>
    </w:p>
    <w:p w14:paraId="2807F6C8">
      <w:pPr>
        <w:pStyle w:val="6"/>
        <w:spacing w:line="317" w:lineRule="auto"/>
        <w:jc w:val="right"/>
        <w:rPr>
          <w:rFonts w:hint="eastAsia" w:ascii="宋体" w:hAnsi="宋体" w:eastAsia="宋体" w:cs="宋体"/>
          <w:color w:val="auto"/>
          <w:sz w:val="21"/>
          <w:szCs w:val="21"/>
          <w:highlight w:val="none"/>
        </w:rPr>
      </w:pPr>
    </w:p>
    <w:p w14:paraId="6B89A96E">
      <w:pPr>
        <w:pStyle w:val="6"/>
        <w:spacing w:line="317" w:lineRule="auto"/>
        <w:jc w:val="right"/>
        <w:rPr>
          <w:rFonts w:hint="eastAsia" w:ascii="宋体" w:hAnsi="宋体" w:eastAsia="宋体" w:cs="宋体"/>
          <w:color w:val="auto"/>
          <w:sz w:val="21"/>
          <w:szCs w:val="21"/>
          <w:highlight w:val="none"/>
        </w:rPr>
      </w:pPr>
    </w:p>
    <w:p w14:paraId="52524FDC">
      <w:pPr>
        <w:pStyle w:val="6"/>
        <w:spacing w:line="317" w:lineRule="auto"/>
        <w:jc w:val="right"/>
        <w:rPr>
          <w:rFonts w:hint="eastAsia" w:ascii="宋体" w:hAnsi="宋体" w:eastAsia="宋体" w:cs="宋体"/>
          <w:color w:val="auto"/>
          <w:sz w:val="21"/>
          <w:szCs w:val="21"/>
          <w:highlight w:val="none"/>
        </w:rPr>
      </w:pPr>
    </w:p>
    <w:p w14:paraId="414B89CB">
      <w:pPr>
        <w:spacing w:before="78" w:line="219" w:lineRule="auto"/>
        <w:ind w:left="2880"/>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委托代理人</w:t>
      </w:r>
      <w:r>
        <w:rPr>
          <w:rFonts w:hint="eastAsia" w:ascii="宋体" w:hAnsi="宋体" w:eastAsia="宋体" w:cs="宋体"/>
          <w:color w:val="auto"/>
          <w:spacing w:val="-16"/>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2"/>
          <w:sz w:val="21"/>
          <w:szCs w:val="21"/>
          <w:highlight w:val="none"/>
        </w:rPr>
        <w:t>签字或盖章）</w:t>
      </w:r>
    </w:p>
    <w:p w14:paraId="085218DE">
      <w:pPr>
        <w:pStyle w:val="6"/>
        <w:spacing w:line="256" w:lineRule="auto"/>
        <w:jc w:val="right"/>
        <w:rPr>
          <w:rFonts w:hint="eastAsia" w:ascii="宋体" w:hAnsi="宋体" w:eastAsia="宋体" w:cs="宋体"/>
          <w:color w:val="auto"/>
          <w:sz w:val="21"/>
          <w:szCs w:val="21"/>
          <w:highlight w:val="none"/>
        </w:rPr>
      </w:pPr>
    </w:p>
    <w:p w14:paraId="635562C0">
      <w:pPr>
        <w:pStyle w:val="6"/>
        <w:spacing w:line="256" w:lineRule="auto"/>
        <w:jc w:val="right"/>
        <w:rPr>
          <w:rFonts w:hint="eastAsia" w:ascii="宋体" w:hAnsi="宋体" w:eastAsia="宋体" w:cs="宋体"/>
          <w:color w:val="auto"/>
          <w:sz w:val="21"/>
          <w:szCs w:val="21"/>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7"/>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2570" w:hRule="atLeast"/>
        </w:trPr>
        <w:tc>
          <w:tcPr>
            <w:tcW w:w="5600" w:type="dxa"/>
            <w:vAlign w:val="top"/>
          </w:tcPr>
          <w:p w14:paraId="49F11E44">
            <w:pPr>
              <w:pStyle w:val="27"/>
              <w:spacing w:line="245" w:lineRule="auto"/>
              <w:rPr>
                <w:rFonts w:hint="eastAsia" w:ascii="宋体" w:hAnsi="宋体" w:eastAsia="宋体" w:cs="宋体"/>
                <w:color w:val="auto"/>
                <w:highlight w:val="none"/>
              </w:rPr>
            </w:pPr>
          </w:p>
          <w:p w14:paraId="3EAC8CC5">
            <w:pPr>
              <w:pStyle w:val="27"/>
              <w:spacing w:line="245" w:lineRule="auto"/>
              <w:rPr>
                <w:rFonts w:hint="eastAsia" w:ascii="宋体" w:hAnsi="宋体" w:eastAsia="宋体" w:cs="宋体"/>
                <w:color w:val="auto"/>
                <w:highlight w:val="none"/>
              </w:rPr>
            </w:pPr>
          </w:p>
          <w:p w14:paraId="19684FD2">
            <w:pPr>
              <w:pStyle w:val="27"/>
              <w:spacing w:line="245" w:lineRule="auto"/>
              <w:rPr>
                <w:rFonts w:hint="eastAsia" w:ascii="宋体" w:hAnsi="宋体" w:eastAsia="宋体" w:cs="宋体"/>
                <w:color w:val="auto"/>
                <w:highlight w:val="none"/>
              </w:rPr>
            </w:pPr>
          </w:p>
          <w:p w14:paraId="7DA52306">
            <w:pPr>
              <w:pStyle w:val="27"/>
              <w:spacing w:line="245" w:lineRule="auto"/>
              <w:rPr>
                <w:rFonts w:hint="eastAsia" w:ascii="宋体" w:hAnsi="宋体" w:eastAsia="宋体" w:cs="宋体"/>
                <w:color w:val="auto"/>
                <w:highlight w:val="none"/>
              </w:rPr>
            </w:pPr>
          </w:p>
          <w:p w14:paraId="2B4D522A">
            <w:pPr>
              <w:pStyle w:val="27"/>
              <w:spacing w:line="245" w:lineRule="auto"/>
              <w:rPr>
                <w:rFonts w:hint="eastAsia" w:ascii="宋体" w:hAnsi="宋体" w:eastAsia="宋体" w:cs="宋体"/>
                <w:color w:val="auto"/>
                <w:highlight w:val="none"/>
              </w:rPr>
            </w:pPr>
          </w:p>
          <w:p w14:paraId="6375CF52">
            <w:pPr>
              <w:pStyle w:val="27"/>
              <w:spacing w:line="245" w:lineRule="auto"/>
              <w:rPr>
                <w:rFonts w:hint="eastAsia" w:ascii="宋体" w:hAnsi="宋体" w:eastAsia="宋体" w:cs="宋体"/>
                <w:color w:val="auto"/>
                <w:highlight w:val="none"/>
              </w:rPr>
            </w:pPr>
          </w:p>
          <w:p w14:paraId="761F0736">
            <w:pPr>
              <w:pStyle w:val="27"/>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6"/>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9" w:name="_Toc10098"/>
      <w:r>
        <w:rPr>
          <w:rFonts w:hint="eastAsia" w:ascii="宋体" w:hAnsi="宋体" w:eastAsia="宋体" w:cs="宋体"/>
          <w:b/>
          <w:bCs/>
          <w:color w:val="auto"/>
          <w:spacing w:val="-4"/>
          <w:sz w:val="24"/>
          <w:szCs w:val="24"/>
          <w:highlight w:val="none"/>
        </w:rPr>
        <w:t>格式五 法定代表人身份证明</w:t>
      </w:r>
      <w:bookmarkEnd w:id="239"/>
    </w:p>
    <w:p w14:paraId="2DA7024D">
      <w:pPr>
        <w:pStyle w:val="6"/>
        <w:spacing w:line="350" w:lineRule="auto"/>
        <w:rPr>
          <w:rFonts w:hint="eastAsia" w:ascii="宋体" w:hAnsi="宋体" w:eastAsia="宋体" w:cs="宋体"/>
          <w:color w:val="auto"/>
          <w:highlight w:val="none"/>
        </w:rPr>
      </w:pPr>
    </w:p>
    <w:p w14:paraId="0868334D">
      <w:pPr>
        <w:pStyle w:val="6"/>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40" w:name="bookmark152"/>
      <w:bookmarkEnd w:id="240"/>
      <w:r>
        <w:rPr>
          <w:rFonts w:hint="eastAsia" w:ascii="宋体" w:hAnsi="宋体" w:eastAsia="宋体" w:cs="宋体"/>
          <w:b/>
          <w:bCs/>
          <w:color w:val="auto"/>
          <w:spacing w:val="-4"/>
          <w:sz w:val="30"/>
          <w:szCs w:val="30"/>
          <w:highlight w:val="none"/>
        </w:rPr>
        <w:t>法定代表人身份证明</w:t>
      </w:r>
    </w:p>
    <w:p w14:paraId="136F935F">
      <w:pPr>
        <w:pStyle w:val="6"/>
        <w:spacing w:line="250" w:lineRule="auto"/>
        <w:rPr>
          <w:rFonts w:hint="eastAsia" w:ascii="宋体" w:hAnsi="宋体" w:eastAsia="宋体" w:cs="宋体"/>
          <w:color w:val="auto"/>
          <w:highlight w:val="none"/>
        </w:rPr>
      </w:pPr>
    </w:p>
    <w:p w14:paraId="2E1E9E2A">
      <w:pPr>
        <w:pStyle w:val="6"/>
        <w:spacing w:line="250" w:lineRule="auto"/>
        <w:rPr>
          <w:rFonts w:hint="eastAsia" w:ascii="宋体" w:hAnsi="宋体" w:eastAsia="宋体" w:cs="宋体"/>
          <w:color w:val="auto"/>
          <w:highlight w:val="none"/>
        </w:rPr>
      </w:pPr>
    </w:p>
    <w:p w14:paraId="6ABEAEB7">
      <w:pPr>
        <w:pStyle w:val="6"/>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1"/>
          <w:szCs w:val="21"/>
          <w:highlight w:val="none"/>
          <w:u w:val="single"/>
        </w:rPr>
      </w:pPr>
      <w:r>
        <w:rPr>
          <w:rFonts w:hint="eastAsia" w:ascii="宋体" w:hAnsi="宋体" w:eastAsia="宋体" w:cs="宋体"/>
          <w:snapToGrid w:val="0"/>
          <w:color w:val="auto"/>
          <w:kern w:val="0"/>
          <w:sz w:val="21"/>
          <w:szCs w:val="21"/>
          <w:highlight w:val="none"/>
        </w:rPr>
        <w:t>投标人名称：</w:t>
      </w:r>
      <w:r>
        <w:rPr>
          <w:rFonts w:hint="eastAsia" w:ascii="宋体" w:hAnsi="宋体" w:eastAsia="宋体" w:cs="宋体"/>
          <w:snapToGrid w:val="0"/>
          <w:color w:val="auto"/>
          <w:kern w:val="0"/>
          <w:sz w:val="21"/>
          <w:szCs w:val="21"/>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1"/>
          <w:szCs w:val="21"/>
          <w:highlight w:val="none"/>
          <w:u w:val="single"/>
        </w:rPr>
      </w:pPr>
      <w:r>
        <w:rPr>
          <w:rFonts w:hint="eastAsia" w:ascii="宋体" w:hAnsi="宋体" w:eastAsia="宋体" w:cs="宋体"/>
          <w:snapToGrid w:val="0"/>
          <w:color w:val="auto"/>
          <w:kern w:val="0"/>
          <w:sz w:val="21"/>
          <w:szCs w:val="21"/>
          <w:highlight w:val="none"/>
        </w:rPr>
        <w:t>姓名：</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性别：</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年龄：</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职务：</w:t>
      </w:r>
      <w:r>
        <w:rPr>
          <w:rFonts w:hint="eastAsia" w:ascii="宋体" w:hAnsi="宋体" w:eastAsia="宋体" w:cs="宋体"/>
          <w:snapToGrid w:val="0"/>
          <w:color w:val="auto"/>
          <w:kern w:val="0"/>
          <w:sz w:val="21"/>
          <w:szCs w:val="21"/>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系</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特此证明。</w:t>
      </w:r>
    </w:p>
    <w:p w14:paraId="3B4AAF0B">
      <w:pPr>
        <w:pStyle w:val="6"/>
        <w:spacing w:line="277" w:lineRule="auto"/>
        <w:rPr>
          <w:rFonts w:hint="eastAsia" w:ascii="宋体" w:hAnsi="宋体" w:eastAsia="宋体" w:cs="宋体"/>
          <w:color w:val="auto"/>
          <w:sz w:val="21"/>
          <w:szCs w:val="21"/>
          <w:highlight w:val="none"/>
        </w:rPr>
      </w:pPr>
    </w:p>
    <w:p w14:paraId="6D7B4DE3">
      <w:pPr>
        <w:pStyle w:val="6"/>
        <w:spacing w:line="277" w:lineRule="auto"/>
        <w:rPr>
          <w:rFonts w:hint="eastAsia" w:ascii="宋体" w:hAnsi="宋体" w:eastAsia="宋体" w:cs="宋体"/>
          <w:color w:val="auto"/>
          <w:sz w:val="21"/>
          <w:szCs w:val="21"/>
          <w:highlight w:val="none"/>
        </w:rPr>
      </w:pPr>
    </w:p>
    <w:p w14:paraId="2D9D6E99">
      <w:pPr>
        <w:pStyle w:val="6"/>
        <w:spacing w:line="278" w:lineRule="auto"/>
        <w:rPr>
          <w:rFonts w:hint="eastAsia" w:ascii="宋体" w:hAnsi="宋体" w:eastAsia="宋体" w:cs="宋体"/>
          <w:color w:val="auto"/>
          <w:sz w:val="21"/>
          <w:szCs w:val="21"/>
          <w:highlight w:val="none"/>
        </w:rPr>
      </w:pPr>
    </w:p>
    <w:p w14:paraId="125D92B0">
      <w:pPr>
        <w:spacing w:before="78" w:line="219"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pacing w:val="-18"/>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8"/>
          <w:sz w:val="21"/>
          <w:szCs w:val="21"/>
          <w:highlight w:val="none"/>
        </w:rPr>
        <w:t>（</w:t>
      </w:r>
      <w:r>
        <w:rPr>
          <w:rFonts w:hint="eastAsia" w:ascii="宋体" w:hAnsi="宋体" w:eastAsia="宋体" w:cs="宋体"/>
          <w:color w:val="auto"/>
          <w:sz w:val="21"/>
          <w:szCs w:val="21"/>
          <w:highlight w:val="none"/>
        </w:rPr>
        <w:t>盖单位章）</w:t>
      </w:r>
    </w:p>
    <w:p w14:paraId="027B6A92">
      <w:pPr>
        <w:pStyle w:val="6"/>
        <w:spacing w:line="317" w:lineRule="auto"/>
        <w:jc w:val="right"/>
        <w:rPr>
          <w:rFonts w:hint="eastAsia" w:ascii="宋体" w:hAnsi="宋体" w:eastAsia="宋体" w:cs="宋体"/>
          <w:color w:val="auto"/>
          <w:sz w:val="21"/>
          <w:szCs w:val="21"/>
          <w:highlight w:val="none"/>
        </w:rPr>
      </w:pPr>
    </w:p>
    <w:p w14:paraId="6F4B4B3A">
      <w:pPr>
        <w:pStyle w:val="6"/>
        <w:spacing w:line="317" w:lineRule="auto"/>
        <w:jc w:val="right"/>
        <w:rPr>
          <w:rFonts w:hint="eastAsia" w:ascii="宋体" w:hAnsi="宋体" w:eastAsia="宋体" w:cs="宋体"/>
          <w:color w:val="auto"/>
          <w:sz w:val="21"/>
          <w:szCs w:val="21"/>
          <w:highlight w:val="none"/>
        </w:rPr>
      </w:pPr>
    </w:p>
    <w:p w14:paraId="1110A429">
      <w:pPr>
        <w:pStyle w:val="6"/>
        <w:spacing w:line="317" w:lineRule="auto"/>
        <w:jc w:val="right"/>
        <w:rPr>
          <w:rFonts w:hint="eastAsia" w:ascii="宋体" w:hAnsi="宋体" w:eastAsia="宋体" w:cs="宋体"/>
          <w:color w:val="auto"/>
          <w:sz w:val="21"/>
          <w:szCs w:val="21"/>
          <w:highlight w:val="none"/>
        </w:rPr>
      </w:pPr>
    </w:p>
    <w:p w14:paraId="0997B4DF">
      <w:pPr>
        <w:spacing w:before="79" w:line="219"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rPr>
        <w:t>签字或盖章）</w:t>
      </w:r>
    </w:p>
    <w:p w14:paraId="72F193EB">
      <w:pPr>
        <w:pStyle w:val="6"/>
        <w:spacing w:line="257" w:lineRule="auto"/>
        <w:jc w:val="right"/>
        <w:rPr>
          <w:rFonts w:hint="eastAsia" w:ascii="宋体" w:hAnsi="宋体" w:eastAsia="宋体" w:cs="宋体"/>
          <w:color w:val="auto"/>
          <w:sz w:val="21"/>
          <w:szCs w:val="21"/>
          <w:highlight w:val="none"/>
        </w:rPr>
      </w:pPr>
    </w:p>
    <w:p w14:paraId="407142E8">
      <w:pPr>
        <w:pStyle w:val="6"/>
        <w:spacing w:line="257" w:lineRule="auto"/>
        <w:jc w:val="right"/>
        <w:rPr>
          <w:rFonts w:hint="eastAsia" w:ascii="宋体" w:hAnsi="宋体" w:eastAsia="宋体" w:cs="宋体"/>
          <w:color w:val="auto"/>
          <w:sz w:val="21"/>
          <w:szCs w:val="21"/>
          <w:highlight w:val="none"/>
        </w:rPr>
      </w:pPr>
    </w:p>
    <w:p w14:paraId="0A27F30D">
      <w:pPr>
        <w:pStyle w:val="6"/>
        <w:spacing w:line="254" w:lineRule="auto"/>
        <w:jc w:val="righ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0BF375B2">
      <w:pPr>
        <w:pStyle w:val="6"/>
        <w:spacing w:line="254" w:lineRule="auto"/>
        <w:rPr>
          <w:rFonts w:hint="eastAsia" w:ascii="宋体" w:hAnsi="宋体" w:eastAsia="宋体" w:cs="宋体"/>
          <w:color w:val="auto"/>
          <w:sz w:val="21"/>
          <w:szCs w:val="21"/>
          <w:highlight w:val="none"/>
        </w:rPr>
      </w:pPr>
    </w:p>
    <w:p w14:paraId="03AC5067">
      <w:pPr>
        <w:pStyle w:val="6"/>
        <w:spacing w:line="254" w:lineRule="auto"/>
        <w:rPr>
          <w:rFonts w:hint="eastAsia" w:ascii="宋体" w:hAnsi="宋体" w:eastAsia="宋体" w:cs="宋体"/>
          <w:color w:val="auto"/>
          <w:highlight w:val="none"/>
        </w:rPr>
      </w:pPr>
    </w:p>
    <w:p w14:paraId="36A90F84">
      <w:pPr>
        <w:pStyle w:val="6"/>
        <w:spacing w:line="254" w:lineRule="auto"/>
        <w:rPr>
          <w:rFonts w:hint="eastAsia" w:ascii="宋体" w:hAnsi="宋体" w:eastAsia="宋体" w:cs="宋体"/>
          <w:color w:val="auto"/>
          <w:highlight w:val="none"/>
        </w:rPr>
      </w:pPr>
    </w:p>
    <w:p w14:paraId="259164D9">
      <w:pPr>
        <w:pStyle w:val="6"/>
        <w:spacing w:line="254" w:lineRule="auto"/>
        <w:rPr>
          <w:rFonts w:hint="eastAsia" w:ascii="宋体" w:hAnsi="宋体" w:eastAsia="宋体" w:cs="宋体"/>
          <w:color w:val="auto"/>
          <w:highlight w:val="none"/>
        </w:rPr>
      </w:pPr>
    </w:p>
    <w:p w14:paraId="0C625CC7">
      <w:pPr>
        <w:pStyle w:val="6"/>
        <w:spacing w:line="255" w:lineRule="auto"/>
        <w:rPr>
          <w:rFonts w:hint="eastAsia" w:ascii="宋体" w:hAnsi="宋体" w:eastAsia="宋体" w:cs="宋体"/>
          <w:color w:val="auto"/>
          <w:highlight w:val="none"/>
        </w:rPr>
      </w:pPr>
    </w:p>
    <w:p w14:paraId="1979E48F">
      <w:pPr>
        <w:pStyle w:val="6"/>
        <w:spacing w:line="255" w:lineRule="auto"/>
        <w:rPr>
          <w:rFonts w:hint="eastAsia" w:ascii="宋体" w:hAnsi="宋体" w:eastAsia="宋体" w:cs="宋体"/>
          <w:color w:val="auto"/>
          <w:highlight w:val="none"/>
        </w:rPr>
      </w:pPr>
    </w:p>
    <w:p w14:paraId="6E23282B">
      <w:pPr>
        <w:pStyle w:val="6"/>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26"/>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26"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default" w:ascii="宋体" w:hAnsi="宋体" w:eastAsia="宋体" w:cs="宋体"/>
          <w:b/>
          <w:bCs/>
          <w:color w:val="auto"/>
          <w:spacing w:val="-4"/>
          <w:sz w:val="24"/>
          <w:szCs w:val="24"/>
          <w:highlight w:val="none"/>
          <w:lang w:val="en-US" w:eastAsia="zh-CN"/>
        </w:rPr>
      </w:pPr>
      <w:bookmarkStart w:id="241" w:name="_Toc6867"/>
      <w:r>
        <w:rPr>
          <w:rFonts w:hint="eastAsia" w:ascii="宋体" w:hAnsi="宋体" w:eastAsia="宋体" w:cs="宋体"/>
          <w:b/>
          <w:bCs/>
          <w:color w:val="auto"/>
          <w:spacing w:val="-4"/>
          <w:sz w:val="24"/>
          <w:szCs w:val="24"/>
          <w:highlight w:val="none"/>
        </w:rPr>
        <w:t>格式六 联合体协议书</w:t>
      </w:r>
      <w:bookmarkEnd w:id="241"/>
    </w:p>
    <w:p w14:paraId="48BC7635">
      <w:pPr>
        <w:spacing w:before="98" w:line="219" w:lineRule="auto"/>
        <w:ind w:left="3638"/>
        <w:rPr>
          <w:rFonts w:hint="eastAsia" w:ascii="宋体" w:hAnsi="宋体" w:eastAsia="宋体" w:cs="宋体"/>
          <w:color w:val="auto"/>
          <w:sz w:val="30"/>
          <w:szCs w:val="30"/>
          <w:highlight w:val="none"/>
          <w:lang w:eastAsia="zh-CN"/>
        </w:rPr>
      </w:pPr>
      <w:bookmarkStart w:id="242" w:name="bookmark153"/>
      <w:bookmarkEnd w:id="242"/>
      <w:r>
        <w:rPr>
          <w:rFonts w:hint="eastAsia" w:ascii="宋体" w:hAnsi="宋体" w:eastAsia="宋体" w:cs="宋体"/>
          <w:b/>
          <w:bCs/>
          <w:color w:val="auto"/>
          <w:spacing w:val="-5"/>
          <w:sz w:val="30"/>
          <w:szCs w:val="30"/>
          <w:highlight w:val="none"/>
        </w:rPr>
        <w:t>联合体协议书</w:t>
      </w:r>
    </w:p>
    <w:p w14:paraId="2AC3F97F">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1"/>
          <w:szCs w:val="21"/>
          <w:highlight w:val="none"/>
        </w:rPr>
      </w:pPr>
      <w:r>
        <w:rPr>
          <w:rFonts w:hint="eastAsia" w:ascii="宋体" w:hAnsi="宋体" w:eastAsia="宋体" w:cs="宋体"/>
          <w:color w:val="auto"/>
          <w:spacing w:val="-12"/>
          <w:sz w:val="21"/>
          <w:szCs w:val="21"/>
          <w:highlight w:val="none"/>
        </w:rPr>
        <w:t>牵头人名称：</w:t>
      </w:r>
      <w:r>
        <w:rPr>
          <w:rFonts w:hint="eastAsia" w:ascii="宋体" w:hAnsi="宋体" w:eastAsia="宋体" w:cs="宋体"/>
          <w:color w:val="auto"/>
          <w:spacing w:val="4"/>
          <w:sz w:val="21"/>
          <w:szCs w:val="21"/>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法定代表人：</w:t>
      </w:r>
      <w:r>
        <w:rPr>
          <w:rFonts w:hint="eastAsia" w:ascii="宋体" w:hAnsi="宋体" w:eastAsia="宋体" w:cs="宋体"/>
          <w:color w:val="auto"/>
          <w:sz w:val="21"/>
          <w:szCs w:val="21"/>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法定住所：</w:t>
      </w:r>
    </w:p>
    <w:p w14:paraId="2D6BB855">
      <w:pPr>
        <w:outlineLvl w:val="9"/>
        <w:rPr>
          <w:rFonts w:hint="eastAsia"/>
          <w:color w:val="auto"/>
          <w:sz w:val="21"/>
          <w:szCs w:val="21"/>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成员二名称：</w:t>
      </w:r>
      <w:r>
        <w:rPr>
          <w:rFonts w:hint="eastAsia" w:ascii="宋体" w:hAnsi="宋体" w:eastAsia="宋体" w:cs="宋体"/>
          <w:color w:val="auto"/>
          <w:sz w:val="21"/>
          <w:szCs w:val="21"/>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法定代表人：</w:t>
      </w:r>
      <w:r>
        <w:rPr>
          <w:rFonts w:hint="eastAsia" w:ascii="宋体" w:hAnsi="宋体" w:eastAsia="宋体" w:cs="宋体"/>
          <w:color w:val="auto"/>
          <w:sz w:val="21"/>
          <w:szCs w:val="21"/>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3"/>
          <w:position w:val="3"/>
          <w:sz w:val="21"/>
          <w:szCs w:val="21"/>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上述各成员单位经过友好协商，自愿组成联合体，</w:t>
      </w:r>
      <w:r>
        <w:rPr>
          <w:rFonts w:hint="eastAsia" w:ascii="宋体" w:hAnsi="宋体" w:eastAsia="宋体" w:cs="宋体"/>
          <w:color w:val="auto"/>
          <w:sz w:val="21"/>
          <w:szCs w:val="21"/>
          <w:highlight w:val="none"/>
        </w:rPr>
        <w:t>共同参加（项目名称</w:t>
      </w:r>
      <w:r>
        <w:rPr>
          <w:rFonts w:hint="eastAsia" w:ascii="宋体" w:hAnsi="宋体" w:eastAsia="宋体" w:cs="宋体"/>
          <w:color w:val="auto"/>
          <w:spacing w:val="-18"/>
          <w:sz w:val="21"/>
          <w:szCs w:val="21"/>
          <w:highlight w:val="none"/>
        </w:rPr>
        <w:t>）（</w:t>
      </w:r>
      <w:r>
        <w:rPr>
          <w:rFonts w:hint="eastAsia" w:ascii="宋体" w:hAnsi="宋体" w:eastAsia="宋体" w:cs="宋体"/>
          <w:color w:val="auto"/>
          <w:sz w:val="21"/>
          <w:szCs w:val="21"/>
          <w:highlight w:val="none"/>
        </w:rPr>
        <w:t>以下简</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称“本项目</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”）的施工投标并争取赢得本项目施工承包</w:t>
      </w:r>
      <w:r>
        <w:rPr>
          <w:rFonts w:hint="eastAsia" w:ascii="宋体" w:hAnsi="宋体" w:eastAsia="宋体" w:cs="宋体"/>
          <w:color w:val="auto"/>
          <w:spacing w:val="-3"/>
          <w:sz w:val="21"/>
          <w:szCs w:val="21"/>
          <w:highlight w:val="none"/>
        </w:rPr>
        <w:t>合同（以下简称合同）。现就联</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1"/>
          <w:sz w:val="21"/>
          <w:szCs w:val="21"/>
          <w:highlight w:val="none"/>
        </w:rPr>
        <w:t>．（</w:t>
      </w:r>
      <w:r>
        <w:rPr>
          <w:rFonts w:hint="eastAsia" w:ascii="宋体" w:hAnsi="宋体" w:eastAsia="宋体" w:cs="宋体"/>
          <w:color w:val="auto"/>
          <w:sz w:val="21"/>
          <w:szCs w:val="21"/>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
          <w:sz w:val="21"/>
          <w:szCs w:val="21"/>
          <w:highlight w:val="none"/>
        </w:rPr>
        <w:t>．在本项目投标阶段，联合体牵头人合法代表联合体各成员负责本项目投标</w:t>
      </w:r>
      <w:r>
        <w:rPr>
          <w:rFonts w:hint="eastAsia" w:ascii="宋体" w:hAnsi="宋体" w:eastAsia="宋体" w:cs="宋体"/>
          <w:color w:val="auto"/>
          <w:spacing w:val="-2"/>
          <w:sz w:val="21"/>
          <w:szCs w:val="21"/>
          <w:highlight w:val="none"/>
        </w:rPr>
        <w:t>文件编制活动，代表联合体提交和接收相关的资料、信息及指示，并处理与投标和中标有关</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
          <w:sz w:val="21"/>
          <w:szCs w:val="21"/>
          <w:highlight w:val="none"/>
        </w:rPr>
        <w:t>的一切事务；联合体中标后，联合体牵头人负责合同订立和合同实施阶段的主办、组织</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
          <w:sz w:val="21"/>
          <w:szCs w:val="21"/>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．联合体将严格按照招标文件的各项要求，递交投标文件，履行</w:t>
      </w:r>
      <w:r>
        <w:rPr>
          <w:rFonts w:hint="eastAsia" w:ascii="宋体" w:hAnsi="宋体" w:eastAsia="宋体" w:cs="宋体"/>
          <w:color w:val="auto"/>
          <w:spacing w:val="-2"/>
          <w:sz w:val="21"/>
          <w:szCs w:val="21"/>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
          <w:sz w:val="21"/>
          <w:szCs w:val="21"/>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default" w:ascii="宋体" w:hAnsi="宋体" w:eastAsia="宋体" w:cs="宋体"/>
          <w:color w:val="auto"/>
          <w:sz w:val="21"/>
          <w:szCs w:val="21"/>
          <w:highlight w:val="none"/>
          <w:lang w:val="en-US"/>
        </w:rPr>
      </w:pPr>
      <w:bookmarkStart w:id="243" w:name="_Toc32149"/>
      <w:bookmarkStart w:id="244" w:name="_Toc5365"/>
      <w:r>
        <w:rPr>
          <w:rFonts w:hint="eastAsia" w:ascii="宋体" w:hAnsi="宋体" w:eastAsia="宋体" w:cs="宋体"/>
          <w:color w:val="auto"/>
          <w:spacing w:val="-2"/>
          <w:sz w:val="21"/>
          <w:szCs w:val="21"/>
          <w:highlight w:val="none"/>
        </w:rPr>
        <w:t>4</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2"/>
          <w:sz w:val="21"/>
          <w:szCs w:val="21"/>
          <w:highlight w:val="none"/>
        </w:rPr>
        <w:t>．联合体各成员单位内部的职责分工如下</w:t>
      </w:r>
      <w:r>
        <w:rPr>
          <w:rFonts w:hint="eastAsia" w:ascii="宋体" w:hAnsi="宋体" w:eastAsia="宋体" w:cs="宋体"/>
          <w:color w:val="auto"/>
          <w:spacing w:val="-2"/>
          <w:sz w:val="21"/>
          <w:szCs w:val="21"/>
          <w:highlight w:val="none"/>
          <w:lang w:eastAsia="zh-CN"/>
        </w:rPr>
        <w:t>：</w:t>
      </w:r>
      <w:bookmarkEnd w:id="243"/>
      <w:bookmarkEnd w:id="244"/>
      <w:r>
        <w:rPr>
          <w:rFonts w:hint="eastAsia" w:ascii="宋体" w:hAnsi="宋体" w:eastAsia="宋体" w:cs="宋体"/>
          <w:color w:val="auto"/>
          <w:spacing w:val="-2"/>
          <w:sz w:val="21"/>
          <w:szCs w:val="21"/>
          <w:highlight w:val="none"/>
          <w:lang w:val="en-US" w:eastAsia="zh-CN"/>
        </w:rPr>
        <w:t xml:space="preserve">                            。</w:t>
      </w:r>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．投标工作和联合体在中标后工程实施过程中的有关费用按</w:t>
      </w:r>
      <w:r>
        <w:rPr>
          <w:rFonts w:hint="eastAsia" w:ascii="宋体" w:hAnsi="宋体" w:eastAsia="宋体" w:cs="宋体"/>
          <w:color w:val="auto"/>
          <w:spacing w:val="-2"/>
          <w:sz w:val="21"/>
          <w:szCs w:val="21"/>
          <w:highlight w:val="none"/>
        </w:rPr>
        <w:t>各自承担的工作量分</w:t>
      </w:r>
      <w:r>
        <w:rPr>
          <w:rFonts w:hint="eastAsia" w:ascii="宋体" w:hAnsi="宋体" w:eastAsia="宋体" w:cs="宋体"/>
          <w:color w:val="auto"/>
          <w:spacing w:val="-5"/>
          <w:sz w:val="21"/>
          <w:szCs w:val="21"/>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．联合体中标后，本联合体协议是合同的附件，对联合体各成</w:t>
      </w:r>
      <w:r>
        <w:rPr>
          <w:rFonts w:hint="eastAsia" w:ascii="宋体" w:hAnsi="宋体" w:eastAsia="宋体" w:cs="宋体"/>
          <w:color w:val="auto"/>
          <w:spacing w:val="-2"/>
          <w:sz w:val="21"/>
          <w:szCs w:val="21"/>
          <w:highlight w:val="none"/>
        </w:rPr>
        <w:t>员单位有合同约束</w:t>
      </w:r>
      <w:r>
        <w:rPr>
          <w:rFonts w:hint="eastAsia" w:ascii="宋体" w:hAnsi="宋体" w:eastAsia="宋体" w:cs="宋体"/>
          <w:color w:val="auto"/>
          <w:spacing w:val="-7"/>
          <w:sz w:val="21"/>
          <w:szCs w:val="21"/>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．本协议书自签署之日起生效，联合体未中标或者中标时合同履行</w:t>
      </w:r>
      <w:r>
        <w:rPr>
          <w:rFonts w:hint="eastAsia" w:ascii="宋体" w:hAnsi="宋体" w:eastAsia="宋体" w:cs="宋体"/>
          <w:color w:val="auto"/>
          <w:spacing w:val="-2"/>
          <w:sz w:val="21"/>
          <w:szCs w:val="21"/>
          <w:highlight w:val="none"/>
        </w:rPr>
        <w:t>完毕后自动失</w:t>
      </w:r>
      <w:r>
        <w:rPr>
          <w:rFonts w:hint="eastAsia" w:ascii="宋体" w:hAnsi="宋体" w:eastAsia="宋体" w:cs="宋体"/>
          <w:color w:val="auto"/>
          <w:spacing w:val="-8"/>
          <w:sz w:val="21"/>
          <w:szCs w:val="21"/>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1"/>
          <w:szCs w:val="21"/>
          <w:highlight w:val="none"/>
        </w:rPr>
      </w:pPr>
      <w:bookmarkStart w:id="245" w:name="_Toc22612"/>
      <w:bookmarkStart w:id="246" w:name="_Toc26708"/>
      <w:r>
        <w:rPr>
          <w:rFonts w:hint="eastAsia" w:ascii="宋体" w:hAnsi="宋体" w:eastAsia="宋体" w:cs="宋体"/>
          <w:color w:val="auto"/>
          <w:spacing w:val="-2"/>
          <w:sz w:val="21"/>
          <w:szCs w:val="21"/>
          <w:highlight w:val="none"/>
        </w:rPr>
        <w:t>8</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
          <w:sz w:val="21"/>
          <w:szCs w:val="21"/>
          <w:highlight w:val="none"/>
        </w:rPr>
        <w:t>．本协议书一式份，联合体成员和招标人各执一份。</w:t>
      </w:r>
      <w:bookmarkEnd w:id="245"/>
      <w:bookmarkEnd w:id="246"/>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1"/>
          <w:szCs w:val="21"/>
          <w:highlight w:val="none"/>
        </w:rPr>
      </w:pPr>
      <w:bookmarkStart w:id="247" w:name="bookmark154"/>
      <w:bookmarkEnd w:id="247"/>
      <w:r>
        <w:rPr>
          <w:rFonts w:hint="eastAsia" w:ascii="宋体" w:hAnsi="宋体" w:eastAsia="宋体" w:cs="宋体"/>
          <w:color w:val="auto"/>
          <w:sz w:val="21"/>
          <w:szCs w:val="21"/>
          <w:highlight w:val="none"/>
        </w:rPr>
        <w:t>牵头人名称</w:t>
      </w:r>
      <w:r>
        <w:rPr>
          <w:rFonts w:hint="eastAsia" w:ascii="宋体" w:hAnsi="宋体" w:eastAsia="宋体" w:cs="宋体"/>
          <w:color w:val="auto"/>
          <w:spacing w:val="-15"/>
          <w:sz w:val="21"/>
          <w:szCs w:val="21"/>
          <w:highlight w:val="none"/>
        </w:rPr>
        <w:t>：</w:t>
      </w:r>
      <w:r>
        <w:rPr>
          <w:rFonts w:hint="eastAsia" w:ascii="宋体" w:hAnsi="宋体" w:eastAsia="宋体" w:cs="宋体"/>
          <w:snapToGrid w:val="0"/>
          <w:color w:val="auto"/>
          <w:kern w:val="0"/>
          <w:sz w:val="21"/>
          <w:szCs w:val="21"/>
          <w:highlight w:val="none"/>
          <w:u w:val="single"/>
          <w:lang w:val="en-US" w:eastAsia="zh-CN" w:bidi="ar-SA"/>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rPr>
        <w:t>盖单位章）</w:t>
      </w:r>
    </w:p>
    <w:p w14:paraId="109CFDDE">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1"/>
          <w:szCs w:val="21"/>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pacing w:val="-17"/>
          <w:sz w:val="21"/>
          <w:szCs w:val="21"/>
          <w:highlight w:val="none"/>
        </w:rPr>
        <w:t>：</w:t>
      </w:r>
      <w:r>
        <w:rPr>
          <w:rFonts w:hint="eastAsia" w:ascii="宋体" w:hAnsi="宋体" w:eastAsia="宋体" w:cs="宋体"/>
          <w:snapToGrid w:val="0"/>
          <w:color w:val="auto"/>
          <w:kern w:val="0"/>
          <w:sz w:val="21"/>
          <w:szCs w:val="21"/>
          <w:highlight w:val="none"/>
          <w:u w:val="single"/>
          <w:lang w:val="en-US" w:eastAsia="zh-CN" w:bidi="ar-SA"/>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成员二名称</w:t>
      </w:r>
      <w:r>
        <w:rPr>
          <w:rFonts w:hint="eastAsia" w:ascii="宋体" w:hAnsi="宋体" w:eastAsia="宋体" w:cs="宋体"/>
          <w:color w:val="auto"/>
          <w:spacing w:val="-17"/>
          <w:sz w:val="21"/>
          <w:szCs w:val="21"/>
          <w:highlight w:val="none"/>
        </w:rPr>
        <w:t>：</w:t>
      </w:r>
      <w:r>
        <w:rPr>
          <w:rFonts w:hint="eastAsia" w:ascii="宋体" w:hAnsi="宋体" w:eastAsia="宋体" w:cs="宋体"/>
          <w:snapToGrid w:val="0"/>
          <w:color w:val="auto"/>
          <w:kern w:val="0"/>
          <w:sz w:val="21"/>
          <w:szCs w:val="21"/>
          <w:highlight w:val="none"/>
          <w:u w:val="single"/>
          <w:lang w:val="en-US" w:eastAsia="zh-CN" w:bidi="ar-SA"/>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rPr>
        <w:t>盖单位章）</w:t>
      </w:r>
    </w:p>
    <w:p w14:paraId="05AA9D56">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1"/>
          <w:szCs w:val="21"/>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pacing w:val="-17"/>
          <w:sz w:val="21"/>
          <w:szCs w:val="21"/>
          <w:highlight w:val="none"/>
        </w:rPr>
        <w:t>：</w:t>
      </w:r>
      <w:r>
        <w:rPr>
          <w:rFonts w:hint="eastAsia" w:ascii="宋体" w:hAnsi="宋体" w:eastAsia="宋体" w:cs="宋体"/>
          <w:snapToGrid w:val="0"/>
          <w:color w:val="auto"/>
          <w:kern w:val="0"/>
          <w:sz w:val="21"/>
          <w:szCs w:val="21"/>
          <w:highlight w:val="none"/>
          <w:u w:val="single"/>
          <w:lang w:val="en-US" w:eastAsia="zh-CN" w:bidi="ar-SA"/>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rPr>
        <w:t>签字或盖章）</w:t>
      </w:r>
    </w:p>
    <w:p w14:paraId="6B70E035">
      <w:pPr>
        <w:spacing w:before="78" w:line="220" w:lineRule="auto"/>
        <w:ind w:left="6730"/>
        <w:jc w:val="righ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601F5F4F">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1"/>
          <w:szCs w:val="21"/>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说明：《联合体协议书》</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9"/>
          <w:sz w:val="21"/>
          <w:szCs w:val="21"/>
          <w:highlight w:val="none"/>
        </w:rPr>
        <w:t>由委托代理人签字或盖章的，</w:t>
      </w:r>
      <w:r>
        <w:rPr>
          <w:rFonts w:hint="eastAsia" w:ascii="宋体" w:hAnsi="宋体" w:eastAsia="宋体" w:cs="宋体"/>
          <w:color w:val="auto"/>
          <w:spacing w:val="8"/>
          <w:sz w:val="21"/>
          <w:szCs w:val="21"/>
          <w:highlight w:val="none"/>
        </w:rPr>
        <w:t>应附法定代表人签字或盖章的授权委托</w:t>
      </w:r>
      <w:r>
        <w:rPr>
          <w:rFonts w:hint="eastAsia" w:ascii="宋体" w:hAnsi="宋体" w:eastAsia="宋体" w:cs="宋体"/>
          <w:color w:val="auto"/>
          <w:spacing w:val="-2"/>
          <w:sz w:val="21"/>
          <w:szCs w:val="21"/>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1"/>
          <w:szCs w:val="21"/>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8" w:name="_Toc16373"/>
      <w:r>
        <w:rPr>
          <w:rFonts w:hint="eastAsia" w:ascii="宋体" w:hAnsi="宋体" w:eastAsia="宋体" w:cs="宋体"/>
          <w:b/>
          <w:bCs/>
          <w:color w:val="auto"/>
          <w:spacing w:val="-4"/>
          <w:sz w:val="24"/>
          <w:szCs w:val="24"/>
          <w:highlight w:val="none"/>
        </w:rPr>
        <w:t>格式七 投标人基本情况表</w:t>
      </w:r>
      <w:bookmarkEnd w:id="248"/>
    </w:p>
    <w:p w14:paraId="365D949B">
      <w:pPr>
        <w:spacing w:before="333" w:line="240"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40" w:lineRule="auto"/>
        <w:rPr>
          <w:rFonts w:hint="eastAsia" w:ascii="宋体" w:hAnsi="宋体" w:eastAsia="宋体" w:cs="宋体"/>
          <w:color w:val="auto"/>
          <w:highlight w:val="none"/>
        </w:rPr>
      </w:pPr>
    </w:p>
    <w:tbl>
      <w:tblPr>
        <w:tblStyle w:val="17"/>
        <w:tblW w:w="961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2"/>
        <w:gridCol w:w="1010"/>
        <w:gridCol w:w="1908"/>
        <w:gridCol w:w="909"/>
        <w:gridCol w:w="318"/>
        <w:gridCol w:w="1087"/>
        <w:gridCol w:w="288"/>
        <w:gridCol w:w="797"/>
        <w:gridCol w:w="1620"/>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682" w:type="dxa"/>
            <w:vAlign w:val="center"/>
          </w:tcPr>
          <w:p w14:paraId="07127D66">
            <w:pPr>
              <w:keepNext w:val="0"/>
              <w:keepLines w:val="0"/>
              <w:pageBreakBefore w:val="0"/>
              <w:widowControl/>
              <w:kinsoku w:val="0"/>
              <w:wordWrap w:val="0"/>
              <w:overflowPunct/>
              <w:topLinePunct w:val="0"/>
              <w:autoSpaceDE w:val="0"/>
              <w:autoSpaceDN w:val="0"/>
              <w:bidi w:val="0"/>
              <w:adjustRightInd w:val="0"/>
              <w:snapToGrid w:val="0"/>
              <w:spacing w:before="149" w:line="216"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投标人名称</w:t>
            </w:r>
          </w:p>
        </w:tc>
        <w:tc>
          <w:tcPr>
            <w:tcW w:w="7937" w:type="dxa"/>
            <w:gridSpan w:val="8"/>
            <w:vAlign w:val="top"/>
          </w:tcPr>
          <w:p w14:paraId="686AB840">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682" w:type="dxa"/>
            <w:vAlign w:val="center"/>
          </w:tcPr>
          <w:p w14:paraId="19EABCF3">
            <w:pPr>
              <w:keepNext w:val="0"/>
              <w:keepLines w:val="0"/>
              <w:pageBreakBefore w:val="0"/>
              <w:widowControl/>
              <w:kinsoku w:val="0"/>
              <w:wordWrap w:val="0"/>
              <w:overflowPunct/>
              <w:topLinePunct w:val="0"/>
              <w:autoSpaceDE w:val="0"/>
              <w:autoSpaceDN w:val="0"/>
              <w:bidi w:val="0"/>
              <w:adjustRightInd w:val="0"/>
              <w:snapToGrid w:val="0"/>
              <w:spacing w:before="144" w:line="216"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注册地址</w:t>
            </w:r>
          </w:p>
        </w:tc>
        <w:tc>
          <w:tcPr>
            <w:tcW w:w="3827" w:type="dxa"/>
            <w:gridSpan w:val="3"/>
            <w:vAlign w:val="top"/>
          </w:tcPr>
          <w:p w14:paraId="0AC65D35">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1405" w:type="dxa"/>
            <w:gridSpan w:val="2"/>
            <w:vAlign w:val="top"/>
          </w:tcPr>
          <w:p w14:paraId="031EC2C9">
            <w:pPr>
              <w:keepNext w:val="0"/>
              <w:keepLines w:val="0"/>
              <w:pageBreakBefore w:val="0"/>
              <w:widowControl/>
              <w:kinsoku w:val="0"/>
              <w:wordWrap w:val="0"/>
              <w:overflowPunct/>
              <w:topLinePunct w:val="0"/>
              <w:autoSpaceDE w:val="0"/>
              <w:autoSpaceDN w:val="0"/>
              <w:bidi w:val="0"/>
              <w:adjustRightInd w:val="0"/>
              <w:snapToGrid w:val="0"/>
              <w:spacing w:before="144" w:line="216" w:lineRule="auto"/>
              <w:ind w:left="22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邮政编码</w:t>
            </w:r>
          </w:p>
        </w:tc>
        <w:tc>
          <w:tcPr>
            <w:tcW w:w="2705" w:type="dxa"/>
            <w:gridSpan w:val="3"/>
            <w:vAlign w:val="top"/>
          </w:tcPr>
          <w:p w14:paraId="7AD354B7">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682" w:type="dxa"/>
            <w:vMerge w:val="restart"/>
            <w:tcBorders>
              <w:bottom w:val="nil"/>
            </w:tcBorders>
            <w:vAlign w:val="center"/>
          </w:tcPr>
          <w:p w14:paraId="3917AF4F">
            <w:pPr>
              <w:keepNext w:val="0"/>
              <w:keepLines w:val="0"/>
              <w:pageBreakBefore w:val="0"/>
              <w:widowControl/>
              <w:kinsoku w:val="0"/>
              <w:wordWrap w:val="0"/>
              <w:overflowPunct/>
              <w:topLinePunct w:val="0"/>
              <w:autoSpaceDE w:val="0"/>
              <w:autoSpaceDN w:val="0"/>
              <w:bidi w:val="0"/>
              <w:adjustRightInd w:val="0"/>
              <w:snapToGrid w:val="0"/>
              <w:spacing w:before="65" w:line="216"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联系方式</w:t>
            </w:r>
          </w:p>
        </w:tc>
        <w:tc>
          <w:tcPr>
            <w:tcW w:w="1010" w:type="dxa"/>
            <w:vAlign w:val="top"/>
          </w:tcPr>
          <w:p w14:paraId="3D7FC625">
            <w:pPr>
              <w:keepNext w:val="0"/>
              <w:keepLines w:val="0"/>
              <w:pageBreakBefore w:val="0"/>
              <w:widowControl/>
              <w:kinsoku w:val="0"/>
              <w:wordWrap w:val="0"/>
              <w:overflowPunct/>
              <w:topLinePunct w:val="0"/>
              <w:autoSpaceDE w:val="0"/>
              <w:autoSpaceDN w:val="0"/>
              <w:bidi w:val="0"/>
              <w:adjustRightInd w:val="0"/>
              <w:snapToGrid w:val="0"/>
              <w:spacing w:before="145" w:line="216" w:lineRule="auto"/>
              <w:ind w:left="136"/>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联系人</w:t>
            </w:r>
          </w:p>
        </w:tc>
        <w:tc>
          <w:tcPr>
            <w:tcW w:w="2817" w:type="dxa"/>
            <w:gridSpan w:val="2"/>
            <w:vAlign w:val="top"/>
          </w:tcPr>
          <w:p w14:paraId="74C76AE1">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1405" w:type="dxa"/>
            <w:gridSpan w:val="2"/>
            <w:vAlign w:val="top"/>
          </w:tcPr>
          <w:p w14:paraId="65D93497">
            <w:pPr>
              <w:keepNext w:val="0"/>
              <w:keepLines w:val="0"/>
              <w:pageBreakBefore w:val="0"/>
              <w:widowControl/>
              <w:kinsoku w:val="0"/>
              <w:wordWrap w:val="0"/>
              <w:overflowPunct/>
              <w:topLinePunct w:val="0"/>
              <w:autoSpaceDE w:val="0"/>
              <w:autoSpaceDN w:val="0"/>
              <w:bidi w:val="0"/>
              <w:adjustRightInd w:val="0"/>
              <w:snapToGrid w:val="0"/>
              <w:spacing w:before="145" w:line="216" w:lineRule="auto"/>
              <w:ind w:left="33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电</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2"/>
                <w:sz w:val="21"/>
                <w:szCs w:val="21"/>
                <w:highlight w:val="none"/>
              </w:rPr>
              <w:t>话</w:t>
            </w:r>
          </w:p>
        </w:tc>
        <w:tc>
          <w:tcPr>
            <w:tcW w:w="2705" w:type="dxa"/>
            <w:gridSpan w:val="3"/>
            <w:vAlign w:val="top"/>
          </w:tcPr>
          <w:p w14:paraId="275175F8">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682" w:type="dxa"/>
            <w:vMerge w:val="continue"/>
            <w:tcBorders>
              <w:top w:val="nil"/>
            </w:tcBorders>
            <w:vAlign w:val="center"/>
          </w:tcPr>
          <w:p w14:paraId="173CE181">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jc w:val="center"/>
              <w:textAlignment w:val="baseline"/>
              <w:rPr>
                <w:rFonts w:hint="eastAsia" w:ascii="宋体" w:hAnsi="宋体" w:eastAsia="宋体" w:cs="宋体"/>
                <w:color w:val="auto"/>
                <w:sz w:val="21"/>
                <w:szCs w:val="21"/>
                <w:highlight w:val="none"/>
              </w:rPr>
            </w:pPr>
          </w:p>
        </w:tc>
        <w:tc>
          <w:tcPr>
            <w:tcW w:w="1010" w:type="dxa"/>
            <w:vAlign w:val="top"/>
          </w:tcPr>
          <w:p w14:paraId="42FC9B75">
            <w:pPr>
              <w:keepNext w:val="0"/>
              <w:keepLines w:val="0"/>
              <w:pageBreakBefore w:val="0"/>
              <w:widowControl/>
              <w:kinsoku w:val="0"/>
              <w:wordWrap w:val="0"/>
              <w:overflowPunct/>
              <w:topLinePunct w:val="0"/>
              <w:autoSpaceDE w:val="0"/>
              <w:autoSpaceDN w:val="0"/>
              <w:bidi w:val="0"/>
              <w:adjustRightInd w:val="0"/>
              <w:snapToGrid w:val="0"/>
              <w:spacing w:before="143" w:line="216" w:lineRule="auto"/>
              <w:ind w:left="13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传</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真</w:t>
            </w:r>
          </w:p>
        </w:tc>
        <w:tc>
          <w:tcPr>
            <w:tcW w:w="2817" w:type="dxa"/>
            <w:gridSpan w:val="2"/>
            <w:vAlign w:val="top"/>
          </w:tcPr>
          <w:p w14:paraId="7E63A544">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1405" w:type="dxa"/>
            <w:gridSpan w:val="2"/>
            <w:vAlign w:val="top"/>
          </w:tcPr>
          <w:p w14:paraId="6612B606">
            <w:pPr>
              <w:keepNext w:val="0"/>
              <w:keepLines w:val="0"/>
              <w:pageBreakBefore w:val="0"/>
              <w:widowControl/>
              <w:kinsoku w:val="0"/>
              <w:wordWrap w:val="0"/>
              <w:overflowPunct/>
              <w:topLinePunct w:val="0"/>
              <w:autoSpaceDE w:val="0"/>
              <w:autoSpaceDN w:val="0"/>
              <w:bidi w:val="0"/>
              <w:adjustRightInd w:val="0"/>
              <w:snapToGrid w:val="0"/>
              <w:spacing w:before="144" w:line="216" w:lineRule="auto"/>
              <w:ind w:left="235"/>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电子邮箱</w:t>
            </w:r>
          </w:p>
        </w:tc>
        <w:tc>
          <w:tcPr>
            <w:tcW w:w="2705" w:type="dxa"/>
            <w:gridSpan w:val="3"/>
            <w:vAlign w:val="top"/>
          </w:tcPr>
          <w:p w14:paraId="5F4345F5">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682" w:type="dxa"/>
            <w:vAlign w:val="center"/>
          </w:tcPr>
          <w:p w14:paraId="45F28E6B">
            <w:pPr>
              <w:keepNext w:val="0"/>
              <w:keepLines w:val="0"/>
              <w:pageBreakBefore w:val="0"/>
              <w:widowControl/>
              <w:kinsoku w:val="0"/>
              <w:wordWrap w:val="0"/>
              <w:overflowPunct/>
              <w:topLinePunct w:val="0"/>
              <w:autoSpaceDE w:val="0"/>
              <w:autoSpaceDN w:val="0"/>
              <w:bidi w:val="0"/>
              <w:adjustRightInd w:val="0"/>
              <w:snapToGrid w:val="0"/>
              <w:spacing w:before="145" w:line="216"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单位性质</w:t>
            </w:r>
          </w:p>
        </w:tc>
        <w:tc>
          <w:tcPr>
            <w:tcW w:w="7937" w:type="dxa"/>
            <w:gridSpan w:val="8"/>
            <w:vAlign w:val="top"/>
          </w:tcPr>
          <w:p w14:paraId="1E0E32B6">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1682" w:type="dxa"/>
            <w:vAlign w:val="center"/>
          </w:tcPr>
          <w:p w14:paraId="183ED7E1">
            <w:pPr>
              <w:keepNext w:val="0"/>
              <w:keepLines w:val="0"/>
              <w:pageBreakBefore w:val="0"/>
              <w:widowControl/>
              <w:kinsoku w:val="0"/>
              <w:wordWrap w:val="0"/>
              <w:overflowPunct/>
              <w:topLinePunct w:val="0"/>
              <w:autoSpaceDE w:val="0"/>
              <w:autoSpaceDN w:val="0"/>
              <w:bidi w:val="0"/>
              <w:adjustRightInd w:val="0"/>
              <w:snapToGrid w:val="0"/>
              <w:spacing w:before="144" w:line="216"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w:t>
            </w:r>
          </w:p>
        </w:tc>
        <w:tc>
          <w:tcPr>
            <w:tcW w:w="1010" w:type="dxa"/>
            <w:vAlign w:val="top"/>
          </w:tcPr>
          <w:p w14:paraId="07222CE7">
            <w:pPr>
              <w:keepNext w:val="0"/>
              <w:keepLines w:val="0"/>
              <w:pageBreakBefore w:val="0"/>
              <w:widowControl/>
              <w:kinsoku w:val="0"/>
              <w:wordWrap w:val="0"/>
              <w:overflowPunct/>
              <w:topLinePunct w:val="0"/>
              <w:autoSpaceDE w:val="0"/>
              <w:autoSpaceDN w:val="0"/>
              <w:bidi w:val="0"/>
              <w:adjustRightInd w:val="0"/>
              <w:snapToGrid w:val="0"/>
              <w:spacing w:before="144" w:line="216" w:lineRule="auto"/>
              <w:ind w:left="24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姓名</w:t>
            </w:r>
          </w:p>
        </w:tc>
        <w:tc>
          <w:tcPr>
            <w:tcW w:w="1908" w:type="dxa"/>
            <w:vAlign w:val="top"/>
          </w:tcPr>
          <w:p w14:paraId="091073F5">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1227" w:type="dxa"/>
            <w:gridSpan w:val="2"/>
            <w:vAlign w:val="top"/>
          </w:tcPr>
          <w:p w14:paraId="4A11ACAE">
            <w:pPr>
              <w:keepNext w:val="0"/>
              <w:keepLines w:val="0"/>
              <w:pageBreakBefore w:val="0"/>
              <w:widowControl/>
              <w:kinsoku w:val="0"/>
              <w:wordWrap w:val="0"/>
              <w:overflowPunct/>
              <w:topLinePunct w:val="0"/>
              <w:autoSpaceDE w:val="0"/>
              <w:autoSpaceDN w:val="0"/>
              <w:bidi w:val="0"/>
              <w:adjustRightInd w:val="0"/>
              <w:snapToGrid w:val="0"/>
              <w:spacing w:before="144" w:line="216" w:lineRule="auto"/>
              <w:ind w:left="13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技术职称</w:t>
            </w:r>
          </w:p>
        </w:tc>
        <w:tc>
          <w:tcPr>
            <w:tcW w:w="1375" w:type="dxa"/>
            <w:gridSpan w:val="2"/>
            <w:vAlign w:val="top"/>
          </w:tcPr>
          <w:p w14:paraId="6ADE5618">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797" w:type="dxa"/>
            <w:vAlign w:val="top"/>
          </w:tcPr>
          <w:p w14:paraId="5C8E96FC">
            <w:pPr>
              <w:keepNext w:val="0"/>
              <w:keepLines w:val="0"/>
              <w:pageBreakBefore w:val="0"/>
              <w:widowControl/>
              <w:kinsoku w:val="0"/>
              <w:wordWrap w:val="0"/>
              <w:overflowPunct/>
              <w:topLinePunct w:val="0"/>
              <w:autoSpaceDE w:val="0"/>
              <w:autoSpaceDN w:val="0"/>
              <w:bidi w:val="0"/>
              <w:adjustRightInd w:val="0"/>
              <w:snapToGrid w:val="0"/>
              <w:spacing w:before="143" w:line="216" w:lineRule="auto"/>
              <w:ind w:left="17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电话</w:t>
            </w:r>
          </w:p>
        </w:tc>
        <w:tc>
          <w:tcPr>
            <w:tcW w:w="1620" w:type="dxa"/>
            <w:vAlign w:val="top"/>
          </w:tcPr>
          <w:p w14:paraId="6AD0C2BC">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682" w:type="dxa"/>
            <w:vAlign w:val="center"/>
          </w:tcPr>
          <w:p w14:paraId="5ADD1B28">
            <w:pPr>
              <w:keepNext w:val="0"/>
              <w:keepLines w:val="0"/>
              <w:pageBreakBefore w:val="0"/>
              <w:widowControl/>
              <w:kinsoku w:val="0"/>
              <w:wordWrap w:val="0"/>
              <w:overflowPunct/>
              <w:topLinePunct w:val="0"/>
              <w:autoSpaceDE w:val="0"/>
              <w:autoSpaceDN w:val="0"/>
              <w:bidi w:val="0"/>
              <w:adjustRightInd w:val="0"/>
              <w:snapToGrid w:val="0"/>
              <w:spacing w:before="145" w:line="216" w:lineRule="auto"/>
              <w:ind w:firstLine="222" w:firstLineChars="1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成立时间</w:t>
            </w:r>
          </w:p>
        </w:tc>
        <w:tc>
          <w:tcPr>
            <w:tcW w:w="2918" w:type="dxa"/>
            <w:gridSpan w:val="2"/>
            <w:vAlign w:val="top"/>
          </w:tcPr>
          <w:p w14:paraId="4BAD1642">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5019" w:type="dxa"/>
            <w:gridSpan w:val="6"/>
            <w:vAlign w:val="top"/>
          </w:tcPr>
          <w:p w14:paraId="30D24B75">
            <w:pPr>
              <w:keepNext w:val="0"/>
              <w:keepLines w:val="0"/>
              <w:pageBreakBefore w:val="0"/>
              <w:widowControl/>
              <w:kinsoku w:val="0"/>
              <w:wordWrap w:val="0"/>
              <w:overflowPunct/>
              <w:topLinePunct w:val="0"/>
              <w:autoSpaceDE w:val="0"/>
              <w:autoSpaceDN w:val="0"/>
              <w:bidi w:val="0"/>
              <w:adjustRightInd w:val="0"/>
              <w:snapToGrid w:val="0"/>
              <w:spacing w:before="145" w:line="216" w:lineRule="auto"/>
              <w:ind w:left="128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员工总人数（个</w:t>
            </w:r>
            <w:r>
              <w:rPr>
                <w:rFonts w:hint="eastAsia" w:ascii="宋体" w:hAnsi="宋体" w:eastAsia="宋体" w:cs="宋体"/>
                <w:color w:val="auto"/>
                <w:sz w:val="21"/>
                <w:szCs w:val="21"/>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682" w:type="dxa"/>
            <w:vAlign w:val="center"/>
          </w:tcPr>
          <w:p w14:paraId="754966A2">
            <w:pPr>
              <w:keepNext w:val="0"/>
              <w:keepLines w:val="0"/>
              <w:pageBreakBefore w:val="0"/>
              <w:widowControl/>
              <w:kinsoku w:val="0"/>
              <w:wordWrap w:val="0"/>
              <w:overflowPunct/>
              <w:topLinePunct w:val="0"/>
              <w:autoSpaceDE w:val="0"/>
              <w:autoSpaceDN w:val="0"/>
              <w:bidi w:val="0"/>
              <w:adjustRightInd w:val="0"/>
              <w:snapToGrid w:val="0"/>
              <w:spacing w:before="61" w:line="216" w:lineRule="auto"/>
              <w:ind w:right="22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企业资质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类型和等级</w:t>
            </w:r>
          </w:p>
        </w:tc>
        <w:tc>
          <w:tcPr>
            <w:tcW w:w="2918" w:type="dxa"/>
            <w:gridSpan w:val="2"/>
            <w:vAlign w:val="top"/>
          </w:tcPr>
          <w:p w14:paraId="782B0B60">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1227" w:type="dxa"/>
            <w:gridSpan w:val="2"/>
            <w:vMerge w:val="restart"/>
            <w:tcBorders>
              <w:bottom w:val="nil"/>
            </w:tcBorders>
            <w:vAlign w:val="top"/>
          </w:tcPr>
          <w:p w14:paraId="7A69FEFC">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p w14:paraId="02C0E7FA">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p w14:paraId="1FBAEACC">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p w14:paraId="64C94A08">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p w14:paraId="69BBE9A7">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p w14:paraId="7C094C19">
            <w:pPr>
              <w:keepNext w:val="0"/>
              <w:keepLines w:val="0"/>
              <w:pageBreakBefore w:val="0"/>
              <w:widowControl/>
              <w:kinsoku w:val="0"/>
              <w:wordWrap w:val="0"/>
              <w:overflowPunct/>
              <w:topLinePunct w:val="0"/>
              <w:autoSpaceDE w:val="0"/>
              <w:autoSpaceDN w:val="0"/>
              <w:bidi w:val="0"/>
              <w:adjustRightInd w:val="0"/>
              <w:snapToGrid w:val="0"/>
              <w:spacing w:before="65" w:line="216" w:lineRule="auto"/>
              <w:ind w:left="34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其中</w:t>
            </w:r>
          </w:p>
        </w:tc>
        <w:tc>
          <w:tcPr>
            <w:tcW w:w="2172" w:type="dxa"/>
            <w:gridSpan w:val="3"/>
            <w:vAlign w:val="top"/>
          </w:tcPr>
          <w:p w14:paraId="010F104F">
            <w:pPr>
              <w:keepNext w:val="0"/>
              <w:keepLines w:val="0"/>
              <w:pageBreakBefore w:val="0"/>
              <w:widowControl/>
              <w:kinsoku w:val="0"/>
              <w:wordWrap w:val="0"/>
              <w:overflowPunct/>
              <w:topLinePunct w:val="0"/>
              <w:autoSpaceDE w:val="0"/>
              <w:autoSpaceDN w:val="0"/>
              <w:bidi w:val="0"/>
              <w:adjustRightInd w:val="0"/>
              <w:snapToGrid w:val="0"/>
              <w:spacing w:before="214" w:line="216" w:lineRule="auto"/>
              <w:ind w:left="55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项目经理</w:t>
            </w:r>
          </w:p>
        </w:tc>
        <w:tc>
          <w:tcPr>
            <w:tcW w:w="1620" w:type="dxa"/>
            <w:vAlign w:val="top"/>
          </w:tcPr>
          <w:p w14:paraId="67C64A1C">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1682" w:type="dxa"/>
            <w:vAlign w:val="center"/>
          </w:tcPr>
          <w:p w14:paraId="6F14B77C">
            <w:pPr>
              <w:keepNext w:val="0"/>
              <w:keepLines w:val="0"/>
              <w:pageBreakBefore w:val="0"/>
              <w:widowControl/>
              <w:kinsoku w:val="0"/>
              <w:wordWrap w:val="0"/>
              <w:overflowPunct/>
              <w:topLinePunct w:val="0"/>
              <w:autoSpaceDE w:val="0"/>
              <w:autoSpaceDN w:val="0"/>
              <w:bidi w:val="0"/>
              <w:adjustRightInd w:val="0"/>
              <w:snapToGrid w:val="0"/>
              <w:spacing w:before="146" w:line="216"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营业执照号</w:t>
            </w:r>
          </w:p>
        </w:tc>
        <w:tc>
          <w:tcPr>
            <w:tcW w:w="2918" w:type="dxa"/>
            <w:gridSpan w:val="2"/>
            <w:vAlign w:val="top"/>
          </w:tcPr>
          <w:p w14:paraId="4431F67B">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1227" w:type="dxa"/>
            <w:gridSpan w:val="2"/>
            <w:vMerge w:val="continue"/>
            <w:tcBorders>
              <w:top w:val="nil"/>
              <w:bottom w:val="nil"/>
            </w:tcBorders>
            <w:vAlign w:val="top"/>
          </w:tcPr>
          <w:p w14:paraId="425F8241">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2172" w:type="dxa"/>
            <w:gridSpan w:val="3"/>
            <w:vAlign w:val="top"/>
          </w:tcPr>
          <w:p w14:paraId="52E9EE82">
            <w:pPr>
              <w:keepNext w:val="0"/>
              <w:keepLines w:val="0"/>
              <w:pageBreakBefore w:val="0"/>
              <w:widowControl/>
              <w:kinsoku w:val="0"/>
              <w:wordWrap w:val="0"/>
              <w:overflowPunct/>
              <w:topLinePunct w:val="0"/>
              <w:autoSpaceDE w:val="0"/>
              <w:autoSpaceDN w:val="0"/>
              <w:bidi w:val="0"/>
              <w:adjustRightInd w:val="0"/>
              <w:snapToGrid w:val="0"/>
              <w:spacing w:before="146" w:line="216" w:lineRule="auto"/>
              <w:ind w:firstLine="224" w:firstLineChars="1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高级职称人员</w:t>
            </w:r>
          </w:p>
        </w:tc>
        <w:tc>
          <w:tcPr>
            <w:tcW w:w="1620" w:type="dxa"/>
            <w:vAlign w:val="top"/>
          </w:tcPr>
          <w:p w14:paraId="5AB52FD6">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1682" w:type="dxa"/>
            <w:vAlign w:val="center"/>
          </w:tcPr>
          <w:p w14:paraId="2B0CF379">
            <w:pPr>
              <w:keepNext w:val="0"/>
              <w:keepLines w:val="0"/>
              <w:pageBreakBefore w:val="0"/>
              <w:widowControl/>
              <w:kinsoku w:val="0"/>
              <w:wordWrap w:val="0"/>
              <w:overflowPunct/>
              <w:topLinePunct w:val="0"/>
              <w:autoSpaceDE w:val="0"/>
              <w:autoSpaceDN w:val="0"/>
              <w:bidi w:val="0"/>
              <w:adjustRightInd w:val="0"/>
              <w:snapToGrid w:val="0"/>
              <w:spacing w:before="146" w:line="216" w:lineRule="auto"/>
              <w:ind w:firstLine="224" w:firstLineChars="1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注册资金</w:t>
            </w:r>
          </w:p>
        </w:tc>
        <w:tc>
          <w:tcPr>
            <w:tcW w:w="2918" w:type="dxa"/>
            <w:gridSpan w:val="2"/>
            <w:vAlign w:val="top"/>
          </w:tcPr>
          <w:p w14:paraId="55DE9293">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1227" w:type="dxa"/>
            <w:gridSpan w:val="2"/>
            <w:vMerge w:val="continue"/>
            <w:tcBorders>
              <w:top w:val="nil"/>
              <w:bottom w:val="nil"/>
            </w:tcBorders>
            <w:vAlign w:val="top"/>
          </w:tcPr>
          <w:p w14:paraId="0C4A9705">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2172" w:type="dxa"/>
            <w:gridSpan w:val="3"/>
            <w:vAlign w:val="top"/>
          </w:tcPr>
          <w:p w14:paraId="4B26D2D4">
            <w:pPr>
              <w:keepNext w:val="0"/>
              <w:keepLines w:val="0"/>
              <w:pageBreakBefore w:val="0"/>
              <w:widowControl/>
              <w:kinsoku w:val="0"/>
              <w:wordWrap w:val="0"/>
              <w:overflowPunct/>
              <w:topLinePunct w:val="0"/>
              <w:autoSpaceDE w:val="0"/>
              <w:autoSpaceDN w:val="0"/>
              <w:bidi w:val="0"/>
              <w:adjustRightInd w:val="0"/>
              <w:snapToGrid w:val="0"/>
              <w:spacing w:before="147" w:line="216" w:lineRule="auto"/>
              <w:ind w:firstLine="218" w:firstLineChars="1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中级职称人员</w:t>
            </w:r>
          </w:p>
        </w:tc>
        <w:tc>
          <w:tcPr>
            <w:tcW w:w="1620" w:type="dxa"/>
            <w:vAlign w:val="top"/>
          </w:tcPr>
          <w:p w14:paraId="262A2EE0">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682" w:type="dxa"/>
            <w:vAlign w:val="center"/>
          </w:tcPr>
          <w:p w14:paraId="2688AE8B">
            <w:pPr>
              <w:keepNext w:val="0"/>
              <w:keepLines w:val="0"/>
              <w:pageBreakBefore w:val="0"/>
              <w:widowControl/>
              <w:kinsoku w:val="0"/>
              <w:wordWrap w:val="0"/>
              <w:overflowPunct/>
              <w:topLinePunct w:val="0"/>
              <w:autoSpaceDE w:val="0"/>
              <w:autoSpaceDN w:val="0"/>
              <w:bidi w:val="0"/>
              <w:adjustRightInd w:val="0"/>
              <w:snapToGrid w:val="0"/>
              <w:spacing w:before="62" w:line="216" w:lineRule="auto"/>
              <w:ind w:right="325"/>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val="en-US" w:eastAsia="zh-CN"/>
              </w:rPr>
              <w:t xml:space="preserve"> </w:t>
            </w:r>
            <w:r>
              <w:rPr>
                <w:rFonts w:hint="eastAsia" w:ascii="宋体" w:hAnsi="宋体" w:eastAsia="宋体" w:cs="宋体"/>
                <w:color w:val="auto"/>
                <w:spacing w:val="7"/>
                <w:sz w:val="21"/>
                <w:szCs w:val="21"/>
                <w:highlight w:val="none"/>
              </w:rPr>
              <w:t>基本账户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开户银行</w:t>
            </w:r>
          </w:p>
        </w:tc>
        <w:tc>
          <w:tcPr>
            <w:tcW w:w="2918" w:type="dxa"/>
            <w:gridSpan w:val="2"/>
            <w:vAlign w:val="top"/>
          </w:tcPr>
          <w:p w14:paraId="45553C43">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1227" w:type="dxa"/>
            <w:gridSpan w:val="2"/>
            <w:vMerge w:val="continue"/>
            <w:tcBorders>
              <w:top w:val="nil"/>
              <w:bottom w:val="nil"/>
            </w:tcBorders>
            <w:vAlign w:val="top"/>
          </w:tcPr>
          <w:p w14:paraId="56532354">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2172" w:type="dxa"/>
            <w:gridSpan w:val="3"/>
            <w:vAlign w:val="top"/>
          </w:tcPr>
          <w:p w14:paraId="5A3DA22F">
            <w:pPr>
              <w:keepNext w:val="0"/>
              <w:keepLines w:val="0"/>
              <w:pageBreakBefore w:val="0"/>
              <w:widowControl/>
              <w:kinsoku w:val="0"/>
              <w:wordWrap w:val="0"/>
              <w:overflowPunct/>
              <w:topLinePunct w:val="0"/>
              <w:autoSpaceDE w:val="0"/>
              <w:autoSpaceDN w:val="0"/>
              <w:bidi w:val="0"/>
              <w:adjustRightInd w:val="0"/>
              <w:snapToGrid w:val="0"/>
              <w:spacing w:before="191" w:line="216" w:lineRule="auto"/>
              <w:ind w:firstLine="226" w:firstLineChars="1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初级职称人员</w:t>
            </w:r>
          </w:p>
        </w:tc>
        <w:tc>
          <w:tcPr>
            <w:tcW w:w="1620" w:type="dxa"/>
            <w:vAlign w:val="top"/>
          </w:tcPr>
          <w:p w14:paraId="184D3D43">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682" w:type="dxa"/>
            <w:vAlign w:val="center"/>
          </w:tcPr>
          <w:p w14:paraId="301FBDE6">
            <w:pPr>
              <w:keepNext w:val="0"/>
              <w:keepLines w:val="0"/>
              <w:pageBreakBefore w:val="0"/>
              <w:widowControl/>
              <w:kinsoku w:val="0"/>
              <w:wordWrap w:val="0"/>
              <w:overflowPunct/>
              <w:topLinePunct w:val="0"/>
              <w:autoSpaceDE w:val="0"/>
              <w:autoSpaceDN w:val="0"/>
              <w:bidi w:val="0"/>
              <w:adjustRightInd w:val="0"/>
              <w:snapToGrid w:val="0"/>
              <w:spacing w:before="62" w:line="216" w:lineRule="auto"/>
              <w:ind w:right="325"/>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val="en-US" w:eastAsia="zh-CN"/>
              </w:rPr>
              <w:t xml:space="preserve"> </w:t>
            </w:r>
            <w:r>
              <w:rPr>
                <w:rFonts w:hint="eastAsia" w:ascii="宋体" w:hAnsi="宋体" w:eastAsia="宋体" w:cs="宋体"/>
                <w:color w:val="auto"/>
                <w:spacing w:val="7"/>
                <w:sz w:val="21"/>
                <w:szCs w:val="21"/>
                <w:highlight w:val="none"/>
              </w:rPr>
              <w:t>基本账户银行账号</w:t>
            </w:r>
          </w:p>
        </w:tc>
        <w:tc>
          <w:tcPr>
            <w:tcW w:w="2918" w:type="dxa"/>
            <w:gridSpan w:val="2"/>
            <w:vAlign w:val="top"/>
          </w:tcPr>
          <w:p w14:paraId="5B1DD5F7">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1227" w:type="dxa"/>
            <w:gridSpan w:val="2"/>
            <w:vMerge w:val="continue"/>
            <w:tcBorders>
              <w:top w:val="nil"/>
            </w:tcBorders>
            <w:vAlign w:val="top"/>
          </w:tcPr>
          <w:p w14:paraId="03520BE5">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c>
          <w:tcPr>
            <w:tcW w:w="2172" w:type="dxa"/>
            <w:gridSpan w:val="3"/>
            <w:vAlign w:val="top"/>
          </w:tcPr>
          <w:p w14:paraId="5C48DB8B">
            <w:pPr>
              <w:keepNext w:val="0"/>
              <w:keepLines w:val="0"/>
              <w:pageBreakBefore w:val="0"/>
              <w:widowControl/>
              <w:kinsoku w:val="0"/>
              <w:wordWrap w:val="0"/>
              <w:overflowPunct/>
              <w:topLinePunct w:val="0"/>
              <w:autoSpaceDE w:val="0"/>
              <w:autoSpaceDN w:val="0"/>
              <w:bidi w:val="0"/>
              <w:adjustRightInd w:val="0"/>
              <w:snapToGrid w:val="0"/>
              <w:spacing w:before="211" w:line="216" w:lineRule="auto"/>
              <w:ind w:left="65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技术员</w:t>
            </w:r>
          </w:p>
        </w:tc>
        <w:tc>
          <w:tcPr>
            <w:tcW w:w="1620" w:type="dxa"/>
            <w:vAlign w:val="top"/>
          </w:tcPr>
          <w:p w14:paraId="773ECE69">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1682" w:type="dxa"/>
            <w:vAlign w:val="center"/>
          </w:tcPr>
          <w:p w14:paraId="1C145867">
            <w:pPr>
              <w:keepNext w:val="0"/>
              <w:keepLines w:val="0"/>
              <w:pageBreakBefore w:val="0"/>
              <w:widowControl/>
              <w:kinsoku w:val="0"/>
              <w:wordWrap w:val="0"/>
              <w:overflowPunct/>
              <w:topLinePunct w:val="0"/>
              <w:autoSpaceDE w:val="0"/>
              <w:autoSpaceDN w:val="0"/>
              <w:bidi w:val="0"/>
              <w:adjustRightInd w:val="0"/>
              <w:snapToGrid w:val="0"/>
              <w:spacing w:before="65" w:line="216"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经营范围</w:t>
            </w:r>
          </w:p>
        </w:tc>
        <w:tc>
          <w:tcPr>
            <w:tcW w:w="7937" w:type="dxa"/>
            <w:gridSpan w:val="8"/>
            <w:vAlign w:val="top"/>
          </w:tcPr>
          <w:p w14:paraId="78175160">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7" w:hRule="atLeast"/>
        </w:trPr>
        <w:tc>
          <w:tcPr>
            <w:tcW w:w="1682" w:type="dxa"/>
            <w:vAlign w:val="center"/>
          </w:tcPr>
          <w:p w14:paraId="52A98BFF">
            <w:pPr>
              <w:keepNext w:val="0"/>
              <w:keepLines w:val="0"/>
              <w:pageBreakBefore w:val="0"/>
              <w:widowControl/>
              <w:kinsoku w:val="0"/>
              <w:wordWrap w:val="0"/>
              <w:overflowPunct/>
              <w:topLinePunct w:val="0"/>
              <w:autoSpaceDE w:val="0"/>
              <w:autoSpaceDN w:val="0"/>
              <w:bidi w:val="0"/>
              <w:adjustRightInd w:val="0"/>
              <w:snapToGrid w:val="0"/>
              <w:spacing w:before="65" w:line="216"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关联企业情况</w:t>
            </w:r>
          </w:p>
        </w:tc>
        <w:tc>
          <w:tcPr>
            <w:tcW w:w="7937" w:type="dxa"/>
            <w:gridSpan w:val="8"/>
            <w:vAlign w:val="top"/>
          </w:tcPr>
          <w:p w14:paraId="5EFCA351">
            <w:pPr>
              <w:keepNext w:val="0"/>
              <w:keepLines w:val="0"/>
              <w:pageBreakBefore w:val="0"/>
              <w:widowControl/>
              <w:kinsoku w:val="0"/>
              <w:wordWrap w:val="0"/>
              <w:overflowPunct/>
              <w:topLinePunct w:val="0"/>
              <w:autoSpaceDE w:val="0"/>
              <w:autoSpaceDN w:val="0"/>
              <w:bidi w:val="0"/>
              <w:adjustRightInd w:val="0"/>
              <w:snapToGrid w:val="0"/>
              <w:spacing w:before="168" w:line="216" w:lineRule="auto"/>
              <w:ind w:left="11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包括但不限于与投标人存在以下关系的不同单位：</w:t>
            </w:r>
          </w:p>
          <w:p w14:paraId="4A7FA872">
            <w:pPr>
              <w:keepNext w:val="0"/>
              <w:keepLines w:val="0"/>
              <w:pageBreakBefore w:val="0"/>
              <w:widowControl/>
              <w:kinsoku w:val="0"/>
              <w:wordWrap w:val="0"/>
              <w:overflowPunct/>
              <w:topLinePunct w:val="0"/>
              <w:autoSpaceDE w:val="0"/>
              <w:autoSpaceDN w:val="0"/>
              <w:bidi w:val="0"/>
              <w:adjustRightInd w:val="0"/>
              <w:snapToGrid w:val="0"/>
              <w:spacing w:before="81" w:line="216" w:lineRule="auto"/>
              <w:ind w:left="12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13"/>
                <w:sz w:val="21"/>
                <w:szCs w:val="21"/>
                <w:highlight w:val="none"/>
                <w:lang w:eastAsia="zh-CN"/>
              </w:rPr>
              <w:t>.</w:t>
            </w:r>
            <w:r>
              <w:rPr>
                <w:rFonts w:hint="eastAsia" w:ascii="宋体" w:hAnsi="宋体" w:eastAsia="宋体" w:cs="宋体"/>
                <w:color w:val="auto"/>
                <w:spacing w:val="4"/>
                <w:sz w:val="21"/>
                <w:szCs w:val="21"/>
                <w:highlight w:val="none"/>
              </w:rPr>
              <w:t>法定代表人为同一人的。</w:t>
            </w:r>
          </w:p>
          <w:p w14:paraId="416ED6EF">
            <w:pPr>
              <w:keepNext w:val="0"/>
              <w:keepLines w:val="0"/>
              <w:pageBreakBefore w:val="0"/>
              <w:widowControl/>
              <w:kinsoku w:val="0"/>
              <w:wordWrap w:val="0"/>
              <w:overflowPunct/>
              <w:topLinePunct w:val="0"/>
              <w:autoSpaceDE w:val="0"/>
              <w:autoSpaceDN w:val="0"/>
              <w:bidi w:val="0"/>
              <w:adjustRightInd w:val="0"/>
              <w:snapToGrid w:val="0"/>
              <w:spacing w:before="81" w:line="216" w:lineRule="auto"/>
              <w:ind w:left="107"/>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13"/>
                <w:sz w:val="21"/>
                <w:szCs w:val="21"/>
                <w:highlight w:val="none"/>
                <w:lang w:eastAsia="zh-CN"/>
              </w:rPr>
              <w:t>.</w:t>
            </w:r>
            <w:r>
              <w:rPr>
                <w:rFonts w:hint="eastAsia" w:ascii="宋体" w:hAnsi="宋体" w:eastAsia="宋体" w:cs="宋体"/>
                <w:color w:val="auto"/>
                <w:spacing w:val="6"/>
                <w:sz w:val="21"/>
                <w:szCs w:val="21"/>
                <w:highlight w:val="none"/>
              </w:rPr>
              <w:t>存在控股、管理关系的。</w:t>
            </w:r>
          </w:p>
          <w:p w14:paraId="2E78667B">
            <w:pPr>
              <w:keepNext w:val="0"/>
              <w:keepLines w:val="0"/>
              <w:pageBreakBefore w:val="0"/>
              <w:widowControl/>
              <w:kinsoku w:val="0"/>
              <w:wordWrap w:val="0"/>
              <w:overflowPunct/>
              <w:topLinePunct w:val="0"/>
              <w:autoSpaceDE w:val="0"/>
              <w:autoSpaceDN w:val="0"/>
              <w:bidi w:val="0"/>
              <w:adjustRightInd w:val="0"/>
              <w:snapToGrid w:val="0"/>
              <w:spacing w:before="81" w:line="216" w:lineRule="auto"/>
              <w:ind w:left="11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3"/>
                <w:sz w:val="21"/>
                <w:szCs w:val="21"/>
                <w:highlight w:val="none"/>
                <w:lang w:eastAsia="zh-CN"/>
              </w:rPr>
              <w:t>.</w:t>
            </w:r>
            <w:r>
              <w:rPr>
                <w:rFonts w:hint="eastAsia" w:ascii="宋体" w:hAnsi="宋体" w:eastAsia="宋体" w:cs="宋体"/>
                <w:color w:val="auto"/>
                <w:spacing w:val="5"/>
                <w:sz w:val="21"/>
                <w:szCs w:val="21"/>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682" w:type="dxa"/>
            <w:vAlign w:val="top"/>
          </w:tcPr>
          <w:p w14:paraId="0B1A642B">
            <w:pPr>
              <w:keepNext w:val="0"/>
              <w:keepLines w:val="0"/>
              <w:pageBreakBefore w:val="0"/>
              <w:widowControl/>
              <w:kinsoku w:val="0"/>
              <w:wordWrap w:val="0"/>
              <w:overflowPunct/>
              <w:topLinePunct w:val="0"/>
              <w:autoSpaceDE w:val="0"/>
              <w:autoSpaceDN w:val="0"/>
              <w:bidi w:val="0"/>
              <w:adjustRightInd w:val="0"/>
              <w:snapToGrid w:val="0"/>
              <w:spacing w:before="235" w:line="216" w:lineRule="auto"/>
              <w:ind w:left="542"/>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val="en-US" w:eastAsia="zh-CN"/>
              </w:rPr>
              <w:t>备注</w:t>
            </w:r>
          </w:p>
        </w:tc>
        <w:tc>
          <w:tcPr>
            <w:tcW w:w="7937" w:type="dxa"/>
            <w:gridSpan w:val="8"/>
            <w:vAlign w:val="top"/>
          </w:tcPr>
          <w:p w14:paraId="63E087EA">
            <w:pPr>
              <w:pStyle w:val="27"/>
              <w:keepNext w:val="0"/>
              <w:keepLines w:val="0"/>
              <w:pageBreakBefore w:val="0"/>
              <w:widowControl/>
              <w:kinsoku w:val="0"/>
              <w:wordWrap w:val="0"/>
              <w:overflowPunct/>
              <w:topLinePunct w:val="0"/>
              <w:autoSpaceDE w:val="0"/>
              <w:autoSpaceDN w:val="0"/>
              <w:bidi w:val="0"/>
              <w:adjustRightInd w:val="0"/>
              <w:snapToGrid w:val="0"/>
              <w:spacing w:line="216" w:lineRule="auto"/>
              <w:textAlignment w:val="baseline"/>
              <w:rPr>
                <w:rFonts w:hint="eastAsia" w:ascii="宋体" w:hAnsi="宋体" w:eastAsia="宋体" w:cs="宋体"/>
                <w:color w:val="auto"/>
                <w:sz w:val="21"/>
                <w:szCs w:val="21"/>
                <w:highlight w:val="none"/>
              </w:rPr>
            </w:pPr>
          </w:p>
        </w:tc>
      </w:tr>
    </w:tbl>
    <w:p w14:paraId="2CDDCDA5">
      <w:pPr>
        <w:keepNext w:val="0"/>
        <w:keepLines w:val="0"/>
        <w:pageBreakBefore w:val="0"/>
        <w:kinsoku/>
        <w:wordWrap w:val="0"/>
        <w:overflowPunct/>
        <w:topLinePunct w:val="0"/>
        <w:bidi w:val="0"/>
        <w:adjustRightInd w:val="0"/>
        <w:snapToGrid w:val="0"/>
        <w:spacing w:before="140" w:line="216"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说明：</w:t>
      </w:r>
    </w:p>
    <w:p w14:paraId="3E4045BF">
      <w:pPr>
        <w:keepNext w:val="0"/>
        <w:keepLines w:val="0"/>
        <w:pageBreakBefore w:val="0"/>
        <w:widowControl/>
        <w:kinsoku/>
        <w:wordWrap w:val="0"/>
        <w:overflowPunct/>
        <w:topLinePunct w:val="0"/>
        <w:autoSpaceDE w:val="0"/>
        <w:autoSpaceDN w:val="0"/>
        <w:bidi w:val="0"/>
        <w:adjustRightInd w:val="0"/>
        <w:snapToGrid w:val="0"/>
        <w:spacing w:before="81" w:line="216" w:lineRule="auto"/>
        <w:ind w:firstLine="218" w:firstLineChars="100"/>
        <w:textAlignment w:val="baseline"/>
        <w:outlineLvl w:val="9"/>
        <w:rPr>
          <w:rFonts w:hint="eastAsia" w:ascii="宋体" w:hAnsi="宋体" w:eastAsia="宋体" w:cs="宋体"/>
          <w:color w:val="auto"/>
          <w:spacing w:val="4"/>
          <w:sz w:val="21"/>
          <w:szCs w:val="21"/>
          <w:highlight w:val="none"/>
        </w:rPr>
      </w:pPr>
      <w:bookmarkStart w:id="249" w:name="_Toc5131"/>
      <w:bookmarkStart w:id="250" w:name="_Toc14048"/>
      <w:r>
        <w:rPr>
          <w:rFonts w:hint="eastAsia" w:ascii="宋体" w:hAnsi="宋体" w:eastAsia="宋体" w:cs="宋体"/>
          <w:color w:val="auto"/>
          <w:spacing w:val="4"/>
          <w:sz w:val="21"/>
          <w:szCs w:val="21"/>
          <w:highlight w:val="none"/>
        </w:rPr>
        <w:t>1 ．《投标人基本情况表》后应附以下资料：</w:t>
      </w:r>
      <w:bookmarkEnd w:id="249"/>
      <w:bookmarkEnd w:id="250"/>
    </w:p>
    <w:p w14:paraId="2CEABDBC">
      <w:pPr>
        <w:keepNext w:val="0"/>
        <w:keepLines w:val="0"/>
        <w:pageBreakBefore w:val="0"/>
        <w:widowControl/>
        <w:kinsoku/>
        <w:wordWrap w:val="0"/>
        <w:overflowPunct/>
        <w:topLinePunct w:val="0"/>
        <w:autoSpaceDE w:val="0"/>
        <w:autoSpaceDN w:val="0"/>
        <w:bidi w:val="0"/>
        <w:adjustRightInd w:val="0"/>
        <w:snapToGrid w:val="0"/>
        <w:spacing w:before="153" w:line="216" w:lineRule="auto"/>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9"/>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7EFD6D50">
      <w:pPr>
        <w:keepNext w:val="0"/>
        <w:keepLines w:val="0"/>
        <w:pageBreakBefore w:val="0"/>
        <w:widowControl/>
        <w:kinsoku/>
        <w:wordWrap w:val="0"/>
        <w:overflowPunct/>
        <w:topLinePunct w:val="0"/>
        <w:autoSpaceDE w:val="0"/>
        <w:autoSpaceDN w:val="0"/>
        <w:bidi w:val="0"/>
        <w:adjustRightInd w:val="0"/>
        <w:snapToGrid w:val="0"/>
        <w:spacing w:before="153" w:line="216"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eastAsia="zh-CN"/>
        </w:rPr>
        <w:t>（2）</w:t>
      </w:r>
      <w:r>
        <w:rPr>
          <w:rFonts w:hint="eastAsia" w:ascii="宋体" w:hAnsi="宋体" w:eastAsia="宋体" w:cs="宋体"/>
          <w:color w:val="auto"/>
          <w:spacing w:val="9"/>
          <w:sz w:val="21"/>
          <w:szCs w:val="21"/>
          <w:highlight w:val="none"/>
        </w:rPr>
        <w:t>“进粤企业和人员诚信信息登记平台</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8"/>
          <w:sz w:val="21"/>
          <w:szCs w:val="21"/>
          <w:highlight w:val="none"/>
        </w:rPr>
        <w:t>”企业信息情况打印页。（适用于省外建筑企业）</w:t>
      </w:r>
    </w:p>
    <w:p w14:paraId="6F0B00EB">
      <w:pPr>
        <w:keepNext w:val="0"/>
        <w:keepLines w:val="0"/>
        <w:pageBreakBefore w:val="0"/>
        <w:widowControl/>
        <w:kinsoku/>
        <w:wordWrap w:val="0"/>
        <w:overflowPunct/>
        <w:topLinePunct w:val="0"/>
        <w:autoSpaceDE w:val="0"/>
        <w:autoSpaceDN w:val="0"/>
        <w:bidi w:val="0"/>
        <w:adjustRightInd w:val="0"/>
        <w:snapToGrid w:val="0"/>
        <w:spacing w:before="153" w:line="216" w:lineRule="auto"/>
        <w:jc w:val="both"/>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8"/>
          <w:sz w:val="21"/>
          <w:szCs w:val="21"/>
          <w:highlight w:val="none"/>
          <w:lang w:eastAsia="zh-CN"/>
        </w:rPr>
        <w:t>（3）</w:t>
      </w:r>
      <w:r>
        <w:rPr>
          <w:rFonts w:hint="eastAsia" w:ascii="宋体" w:hAnsi="宋体" w:eastAsia="宋体" w:cs="宋体"/>
          <w:color w:val="auto"/>
          <w:spacing w:val="8"/>
          <w:sz w:val="21"/>
          <w:szCs w:val="21"/>
          <w:highlight w:val="none"/>
        </w:rPr>
        <w:t>《法人和非法人组织公共信用信息报告》（在“信用中国</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”网站企业查询界面</w:t>
      </w:r>
      <w:r>
        <w:rPr>
          <w:rFonts w:hint="eastAsia" w:ascii="宋体" w:hAnsi="宋体" w:eastAsia="宋体" w:cs="宋体"/>
          <w:color w:val="auto"/>
          <w:spacing w:val="7"/>
          <w:sz w:val="21"/>
          <w:szCs w:val="21"/>
          <w:highlight w:val="none"/>
        </w:rPr>
        <w:t>中下载）。</w:t>
      </w:r>
    </w:p>
    <w:p w14:paraId="0052398E">
      <w:pPr>
        <w:keepNext w:val="0"/>
        <w:keepLines w:val="0"/>
        <w:pageBreakBefore w:val="0"/>
        <w:widowControl/>
        <w:kinsoku/>
        <w:wordWrap w:val="0"/>
        <w:overflowPunct/>
        <w:topLinePunct w:val="0"/>
        <w:autoSpaceDE w:val="0"/>
        <w:autoSpaceDN w:val="0"/>
        <w:bidi w:val="0"/>
        <w:adjustRightInd w:val="0"/>
        <w:snapToGrid w:val="0"/>
        <w:spacing w:before="153" w:line="216" w:lineRule="auto"/>
        <w:textAlignment w:val="baseline"/>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2．联合体投标的，联合体成员单位均应填写《投标人基本情况表》并提供以上所需资料。</w:t>
      </w:r>
    </w:p>
    <w:p w14:paraId="466C45A1">
      <w:pPr>
        <w:kinsoku/>
        <w:wordWrap w:val="0"/>
        <w:spacing w:before="0" w:line="240" w:lineRule="auto"/>
        <w:outlineLvl w:val="9"/>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1"/>
          <w:szCs w:val="21"/>
          <w:highlight w:val="none"/>
        </w:rPr>
        <w:br w:type="page"/>
      </w:r>
      <w:bookmarkStart w:id="251" w:name="_Toc10606"/>
      <w:r>
        <w:rPr>
          <w:rFonts w:hint="eastAsia" w:ascii="宋体" w:hAnsi="宋体" w:eastAsia="宋体" w:cs="宋体"/>
          <w:b/>
          <w:bCs/>
          <w:color w:val="auto"/>
          <w:spacing w:val="-4"/>
          <w:sz w:val="24"/>
          <w:szCs w:val="24"/>
          <w:highlight w:val="none"/>
        </w:rPr>
        <w:t>格式八 项目经理简历表</w:t>
      </w:r>
      <w:bookmarkEnd w:id="251"/>
    </w:p>
    <w:p w14:paraId="1DBA7B98">
      <w:pPr>
        <w:pStyle w:val="6"/>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52" w:name="bookmark89"/>
      <w:bookmarkEnd w:id="252"/>
      <w:bookmarkStart w:id="253" w:name="bookmark156"/>
      <w:bookmarkEnd w:id="253"/>
      <w:bookmarkStart w:id="254" w:name="_Toc24489"/>
      <w:bookmarkStart w:id="255" w:name="_Toc31533"/>
      <w:r>
        <w:rPr>
          <w:rFonts w:hint="eastAsia" w:ascii="宋体" w:hAnsi="宋体" w:eastAsia="宋体" w:cs="宋体"/>
          <w:b/>
          <w:bCs/>
          <w:color w:val="auto"/>
          <w:spacing w:val="-5"/>
          <w:sz w:val="30"/>
          <w:szCs w:val="30"/>
          <w:highlight w:val="none"/>
        </w:rPr>
        <w:t>项目经理简历表</w:t>
      </w:r>
      <w:bookmarkEnd w:id="254"/>
      <w:bookmarkEnd w:id="255"/>
    </w:p>
    <w:p w14:paraId="59593258">
      <w:pPr>
        <w:spacing w:line="240" w:lineRule="exact"/>
        <w:rPr>
          <w:rFonts w:hint="eastAsia" w:ascii="宋体" w:hAnsi="宋体" w:eastAsia="宋体" w:cs="宋体"/>
          <w:color w:val="auto"/>
          <w:highlight w:val="none"/>
        </w:rPr>
      </w:pPr>
    </w:p>
    <w:tbl>
      <w:tblPr>
        <w:tblStyle w:val="17"/>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名</w:t>
            </w:r>
          </w:p>
        </w:tc>
        <w:tc>
          <w:tcPr>
            <w:tcW w:w="1294" w:type="dxa"/>
            <w:gridSpan w:val="2"/>
            <w:vAlign w:val="top"/>
          </w:tcPr>
          <w:p w14:paraId="0E27BBB7">
            <w:pPr>
              <w:pStyle w:val="27"/>
              <w:rPr>
                <w:rFonts w:hint="eastAsia" w:ascii="宋体" w:hAnsi="宋体" w:eastAsia="宋体" w:cs="宋体"/>
                <w:color w:val="auto"/>
                <w:sz w:val="21"/>
                <w:szCs w:val="21"/>
                <w:highlight w:val="none"/>
              </w:rPr>
            </w:pPr>
          </w:p>
        </w:tc>
        <w:tc>
          <w:tcPr>
            <w:tcW w:w="1357" w:type="dxa"/>
            <w:vAlign w:val="top"/>
          </w:tcPr>
          <w:p w14:paraId="5E64039D">
            <w:pPr>
              <w:spacing w:before="177" w:line="229" w:lineRule="auto"/>
              <w:ind w:left="33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z w:val="21"/>
                <w:szCs w:val="21"/>
                <w:highlight w:val="none"/>
              </w:rPr>
              <w:t>别</w:t>
            </w:r>
          </w:p>
        </w:tc>
        <w:tc>
          <w:tcPr>
            <w:tcW w:w="2062" w:type="dxa"/>
            <w:vAlign w:val="top"/>
          </w:tcPr>
          <w:p w14:paraId="68D9664A">
            <w:pPr>
              <w:pStyle w:val="27"/>
              <w:rPr>
                <w:rFonts w:hint="eastAsia" w:ascii="宋体" w:hAnsi="宋体" w:eastAsia="宋体" w:cs="宋体"/>
                <w:color w:val="auto"/>
                <w:sz w:val="21"/>
                <w:szCs w:val="21"/>
                <w:highlight w:val="none"/>
              </w:rPr>
            </w:pPr>
          </w:p>
        </w:tc>
        <w:tc>
          <w:tcPr>
            <w:tcW w:w="1798" w:type="dxa"/>
            <w:vAlign w:val="top"/>
          </w:tcPr>
          <w:p w14:paraId="3FC87041">
            <w:pPr>
              <w:spacing w:before="177" w:line="228" w:lineRule="auto"/>
              <w:ind w:left="48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龄</w:t>
            </w:r>
          </w:p>
        </w:tc>
        <w:tc>
          <w:tcPr>
            <w:tcW w:w="1398" w:type="dxa"/>
            <w:vAlign w:val="top"/>
          </w:tcPr>
          <w:p w14:paraId="02E0EF39">
            <w:pPr>
              <w:pStyle w:val="27"/>
              <w:rPr>
                <w:rFonts w:hint="eastAsia" w:ascii="宋体" w:hAnsi="宋体" w:eastAsia="宋体" w:cs="宋体"/>
                <w:color w:val="auto"/>
                <w:sz w:val="21"/>
                <w:szCs w:val="21"/>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务</w:t>
            </w:r>
          </w:p>
        </w:tc>
        <w:tc>
          <w:tcPr>
            <w:tcW w:w="1294" w:type="dxa"/>
            <w:gridSpan w:val="2"/>
            <w:vAlign w:val="top"/>
          </w:tcPr>
          <w:p w14:paraId="59BA2A8F">
            <w:pPr>
              <w:pStyle w:val="27"/>
              <w:rPr>
                <w:rFonts w:hint="eastAsia" w:ascii="宋体" w:hAnsi="宋体" w:eastAsia="宋体" w:cs="宋体"/>
                <w:color w:val="auto"/>
                <w:sz w:val="21"/>
                <w:szCs w:val="21"/>
                <w:highlight w:val="none"/>
              </w:rPr>
            </w:pPr>
          </w:p>
        </w:tc>
        <w:tc>
          <w:tcPr>
            <w:tcW w:w="1357" w:type="dxa"/>
            <w:vAlign w:val="top"/>
          </w:tcPr>
          <w:p w14:paraId="5913F49D">
            <w:pPr>
              <w:spacing w:before="174" w:line="231" w:lineRule="auto"/>
              <w:ind w:left="33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称</w:t>
            </w:r>
          </w:p>
        </w:tc>
        <w:tc>
          <w:tcPr>
            <w:tcW w:w="2062" w:type="dxa"/>
            <w:vAlign w:val="top"/>
          </w:tcPr>
          <w:p w14:paraId="0D719B3D">
            <w:pPr>
              <w:pStyle w:val="27"/>
              <w:rPr>
                <w:rFonts w:hint="eastAsia" w:ascii="宋体" w:hAnsi="宋体" w:eastAsia="宋体" w:cs="宋体"/>
                <w:color w:val="auto"/>
                <w:sz w:val="21"/>
                <w:szCs w:val="21"/>
                <w:highlight w:val="none"/>
              </w:rPr>
            </w:pPr>
          </w:p>
        </w:tc>
        <w:tc>
          <w:tcPr>
            <w:tcW w:w="1798" w:type="dxa"/>
            <w:vAlign w:val="top"/>
          </w:tcPr>
          <w:p w14:paraId="3C4F5945">
            <w:pPr>
              <w:spacing w:before="175" w:line="230" w:lineRule="auto"/>
              <w:ind w:left="49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学</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历</w:t>
            </w:r>
          </w:p>
        </w:tc>
        <w:tc>
          <w:tcPr>
            <w:tcW w:w="1398" w:type="dxa"/>
            <w:vAlign w:val="top"/>
          </w:tcPr>
          <w:p w14:paraId="772D8AB2">
            <w:pPr>
              <w:pStyle w:val="27"/>
              <w:rPr>
                <w:rFonts w:hint="eastAsia" w:ascii="宋体" w:hAnsi="宋体" w:eastAsia="宋体" w:cs="宋体"/>
                <w:color w:val="auto"/>
                <w:sz w:val="21"/>
                <w:szCs w:val="21"/>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828" w:type="dxa"/>
            <w:gridSpan w:val="2"/>
            <w:vAlign w:val="top"/>
          </w:tcPr>
          <w:p w14:paraId="3D285945">
            <w:pPr>
              <w:spacing w:before="175" w:line="229" w:lineRule="auto"/>
              <w:ind w:left="248"/>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参加工作时间</w:t>
            </w:r>
          </w:p>
        </w:tc>
        <w:tc>
          <w:tcPr>
            <w:tcW w:w="2651" w:type="dxa"/>
            <w:gridSpan w:val="3"/>
            <w:vAlign w:val="top"/>
          </w:tcPr>
          <w:p w14:paraId="4D8E12D6">
            <w:pPr>
              <w:pStyle w:val="27"/>
              <w:rPr>
                <w:rFonts w:hint="eastAsia" w:ascii="宋体" w:hAnsi="宋体" w:eastAsia="宋体" w:cs="宋体"/>
                <w:color w:val="auto"/>
                <w:sz w:val="21"/>
                <w:szCs w:val="21"/>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从事工程建设项目管理工作年限</w:t>
            </w:r>
          </w:p>
        </w:tc>
        <w:tc>
          <w:tcPr>
            <w:tcW w:w="1398" w:type="dxa"/>
            <w:vAlign w:val="top"/>
          </w:tcPr>
          <w:p w14:paraId="5CA4498F">
            <w:pPr>
              <w:pStyle w:val="27"/>
              <w:rPr>
                <w:rFonts w:hint="eastAsia" w:ascii="宋体" w:hAnsi="宋体" w:eastAsia="宋体" w:cs="宋体"/>
                <w:color w:val="auto"/>
                <w:sz w:val="21"/>
                <w:szCs w:val="21"/>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24" w:type="dxa"/>
            <w:gridSpan w:val="2"/>
            <w:vAlign w:val="top"/>
          </w:tcPr>
          <w:p w14:paraId="0F1E5CCA">
            <w:pPr>
              <w:pStyle w:val="27"/>
              <w:rPr>
                <w:rFonts w:hint="eastAsia" w:ascii="宋体" w:hAnsi="宋体" w:eastAsia="宋体" w:cs="宋体"/>
                <w:color w:val="auto"/>
                <w:sz w:val="21"/>
                <w:szCs w:val="21"/>
                <w:highlight w:val="none"/>
              </w:rPr>
            </w:pPr>
          </w:p>
        </w:tc>
        <w:tc>
          <w:tcPr>
            <w:tcW w:w="2037" w:type="dxa"/>
            <w:gridSpan w:val="2"/>
            <w:vAlign w:val="top"/>
          </w:tcPr>
          <w:p w14:paraId="78888A3B">
            <w:pPr>
              <w:pStyle w:val="27"/>
              <w:rPr>
                <w:rFonts w:hint="eastAsia" w:ascii="宋体" w:hAnsi="宋体" w:eastAsia="宋体" w:cs="宋体"/>
                <w:color w:val="auto"/>
                <w:sz w:val="21"/>
                <w:szCs w:val="21"/>
                <w:highlight w:val="none"/>
              </w:rPr>
            </w:pPr>
          </w:p>
        </w:tc>
        <w:tc>
          <w:tcPr>
            <w:tcW w:w="2062" w:type="dxa"/>
            <w:vAlign w:val="top"/>
          </w:tcPr>
          <w:p w14:paraId="74289F65">
            <w:pPr>
              <w:pStyle w:val="27"/>
              <w:rPr>
                <w:rFonts w:hint="eastAsia" w:ascii="宋体" w:hAnsi="宋体" w:eastAsia="宋体" w:cs="宋体"/>
                <w:color w:val="auto"/>
                <w:sz w:val="21"/>
                <w:szCs w:val="21"/>
                <w:highlight w:val="none"/>
              </w:rPr>
            </w:pPr>
          </w:p>
        </w:tc>
        <w:tc>
          <w:tcPr>
            <w:tcW w:w="1798" w:type="dxa"/>
            <w:vAlign w:val="top"/>
          </w:tcPr>
          <w:p w14:paraId="22429141">
            <w:pPr>
              <w:pStyle w:val="27"/>
              <w:rPr>
                <w:rFonts w:hint="eastAsia" w:ascii="宋体" w:hAnsi="宋体" w:eastAsia="宋体" w:cs="宋体"/>
                <w:color w:val="auto"/>
                <w:sz w:val="21"/>
                <w:szCs w:val="21"/>
                <w:highlight w:val="none"/>
              </w:rPr>
            </w:pPr>
          </w:p>
        </w:tc>
        <w:tc>
          <w:tcPr>
            <w:tcW w:w="1398" w:type="dxa"/>
            <w:vAlign w:val="top"/>
          </w:tcPr>
          <w:p w14:paraId="0CCA428D">
            <w:pPr>
              <w:pStyle w:val="27"/>
              <w:rPr>
                <w:rFonts w:hint="eastAsia" w:ascii="宋体" w:hAnsi="宋体" w:eastAsia="宋体" w:cs="宋体"/>
                <w:color w:val="auto"/>
                <w:sz w:val="21"/>
                <w:szCs w:val="21"/>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24" w:type="dxa"/>
            <w:gridSpan w:val="2"/>
            <w:vAlign w:val="top"/>
          </w:tcPr>
          <w:p w14:paraId="64A79A29">
            <w:pPr>
              <w:pStyle w:val="27"/>
              <w:rPr>
                <w:rFonts w:hint="eastAsia" w:ascii="宋体" w:hAnsi="宋体" w:eastAsia="宋体" w:cs="宋体"/>
                <w:color w:val="auto"/>
                <w:sz w:val="21"/>
                <w:szCs w:val="21"/>
                <w:highlight w:val="none"/>
              </w:rPr>
            </w:pPr>
          </w:p>
        </w:tc>
        <w:tc>
          <w:tcPr>
            <w:tcW w:w="2037" w:type="dxa"/>
            <w:gridSpan w:val="2"/>
            <w:vAlign w:val="top"/>
          </w:tcPr>
          <w:p w14:paraId="6061C8EF">
            <w:pPr>
              <w:pStyle w:val="27"/>
              <w:rPr>
                <w:rFonts w:hint="eastAsia" w:ascii="宋体" w:hAnsi="宋体" w:eastAsia="宋体" w:cs="宋体"/>
                <w:color w:val="auto"/>
                <w:sz w:val="21"/>
                <w:szCs w:val="21"/>
                <w:highlight w:val="none"/>
              </w:rPr>
            </w:pPr>
          </w:p>
        </w:tc>
        <w:tc>
          <w:tcPr>
            <w:tcW w:w="2062" w:type="dxa"/>
            <w:vAlign w:val="top"/>
          </w:tcPr>
          <w:p w14:paraId="37C2C8FD">
            <w:pPr>
              <w:pStyle w:val="27"/>
              <w:rPr>
                <w:rFonts w:hint="eastAsia" w:ascii="宋体" w:hAnsi="宋体" w:eastAsia="宋体" w:cs="宋体"/>
                <w:color w:val="auto"/>
                <w:sz w:val="21"/>
                <w:szCs w:val="21"/>
                <w:highlight w:val="none"/>
              </w:rPr>
            </w:pPr>
          </w:p>
        </w:tc>
        <w:tc>
          <w:tcPr>
            <w:tcW w:w="1798" w:type="dxa"/>
            <w:vAlign w:val="top"/>
          </w:tcPr>
          <w:p w14:paraId="35838BEB">
            <w:pPr>
              <w:pStyle w:val="27"/>
              <w:rPr>
                <w:rFonts w:hint="eastAsia" w:ascii="宋体" w:hAnsi="宋体" w:eastAsia="宋体" w:cs="宋体"/>
                <w:color w:val="auto"/>
                <w:sz w:val="21"/>
                <w:szCs w:val="21"/>
                <w:highlight w:val="none"/>
              </w:rPr>
            </w:pPr>
          </w:p>
        </w:tc>
        <w:tc>
          <w:tcPr>
            <w:tcW w:w="1398" w:type="dxa"/>
            <w:vAlign w:val="top"/>
          </w:tcPr>
          <w:p w14:paraId="1A7FF52A">
            <w:pPr>
              <w:pStyle w:val="27"/>
              <w:rPr>
                <w:rFonts w:hint="eastAsia" w:ascii="宋体" w:hAnsi="宋体" w:eastAsia="宋体" w:cs="宋体"/>
                <w:color w:val="auto"/>
                <w:sz w:val="21"/>
                <w:szCs w:val="21"/>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24" w:type="dxa"/>
            <w:gridSpan w:val="2"/>
            <w:vAlign w:val="top"/>
          </w:tcPr>
          <w:p w14:paraId="6B3BD65C">
            <w:pPr>
              <w:pStyle w:val="27"/>
              <w:rPr>
                <w:rFonts w:hint="eastAsia" w:ascii="宋体" w:hAnsi="宋体" w:eastAsia="宋体" w:cs="宋体"/>
                <w:color w:val="auto"/>
                <w:sz w:val="21"/>
                <w:szCs w:val="21"/>
                <w:highlight w:val="none"/>
              </w:rPr>
            </w:pPr>
          </w:p>
        </w:tc>
        <w:tc>
          <w:tcPr>
            <w:tcW w:w="2037" w:type="dxa"/>
            <w:gridSpan w:val="2"/>
            <w:vAlign w:val="top"/>
          </w:tcPr>
          <w:p w14:paraId="49395E10">
            <w:pPr>
              <w:pStyle w:val="27"/>
              <w:rPr>
                <w:rFonts w:hint="eastAsia" w:ascii="宋体" w:hAnsi="宋体" w:eastAsia="宋体" w:cs="宋体"/>
                <w:color w:val="auto"/>
                <w:sz w:val="21"/>
                <w:szCs w:val="21"/>
                <w:highlight w:val="none"/>
              </w:rPr>
            </w:pPr>
          </w:p>
        </w:tc>
        <w:tc>
          <w:tcPr>
            <w:tcW w:w="2062" w:type="dxa"/>
            <w:vAlign w:val="top"/>
          </w:tcPr>
          <w:p w14:paraId="38C89432">
            <w:pPr>
              <w:pStyle w:val="27"/>
              <w:rPr>
                <w:rFonts w:hint="eastAsia" w:ascii="宋体" w:hAnsi="宋体" w:eastAsia="宋体" w:cs="宋体"/>
                <w:color w:val="auto"/>
                <w:sz w:val="21"/>
                <w:szCs w:val="21"/>
                <w:highlight w:val="none"/>
              </w:rPr>
            </w:pPr>
          </w:p>
        </w:tc>
        <w:tc>
          <w:tcPr>
            <w:tcW w:w="1798" w:type="dxa"/>
            <w:vAlign w:val="top"/>
          </w:tcPr>
          <w:p w14:paraId="5214B6C3">
            <w:pPr>
              <w:pStyle w:val="27"/>
              <w:rPr>
                <w:rFonts w:hint="eastAsia" w:ascii="宋体" w:hAnsi="宋体" w:eastAsia="宋体" w:cs="宋体"/>
                <w:color w:val="auto"/>
                <w:sz w:val="21"/>
                <w:szCs w:val="21"/>
                <w:highlight w:val="none"/>
              </w:rPr>
            </w:pPr>
          </w:p>
        </w:tc>
        <w:tc>
          <w:tcPr>
            <w:tcW w:w="1398" w:type="dxa"/>
            <w:vAlign w:val="top"/>
          </w:tcPr>
          <w:p w14:paraId="359AD966">
            <w:pPr>
              <w:pStyle w:val="27"/>
              <w:rPr>
                <w:rFonts w:hint="eastAsia" w:ascii="宋体" w:hAnsi="宋体" w:eastAsia="宋体" w:cs="宋体"/>
                <w:color w:val="auto"/>
                <w:sz w:val="21"/>
                <w:szCs w:val="21"/>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1"/>
                <w:szCs w:val="21"/>
                <w:highlight w:val="none"/>
              </w:rPr>
            </w:pPr>
            <w:r>
              <w:rPr>
                <w:rFonts w:hint="eastAsia" w:ascii="宋体" w:hAnsi="宋体" w:eastAsia="宋体" w:cs="宋体"/>
                <w:color w:val="auto"/>
                <w:spacing w:val="-2"/>
                <w:position w:val="3"/>
                <w:sz w:val="21"/>
                <w:szCs w:val="21"/>
                <w:highlight w:val="none"/>
              </w:rPr>
              <w:t>……</w:t>
            </w:r>
          </w:p>
        </w:tc>
        <w:tc>
          <w:tcPr>
            <w:tcW w:w="1624" w:type="dxa"/>
            <w:gridSpan w:val="2"/>
            <w:vAlign w:val="top"/>
          </w:tcPr>
          <w:p w14:paraId="3022258E">
            <w:pPr>
              <w:pStyle w:val="27"/>
              <w:rPr>
                <w:rFonts w:hint="eastAsia" w:ascii="宋体" w:hAnsi="宋体" w:eastAsia="宋体" w:cs="宋体"/>
                <w:color w:val="auto"/>
                <w:sz w:val="21"/>
                <w:szCs w:val="21"/>
                <w:highlight w:val="none"/>
              </w:rPr>
            </w:pPr>
          </w:p>
        </w:tc>
        <w:tc>
          <w:tcPr>
            <w:tcW w:w="2037" w:type="dxa"/>
            <w:gridSpan w:val="2"/>
            <w:vAlign w:val="top"/>
          </w:tcPr>
          <w:p w14:paraId="13591C1A">
            <w:pPr>
              <w:pStyle w:val="27"/>
              <w:rPr>
                <w:rFonts w:hint="eastAsia" w:ascii="宋体" w:hAnsi="宋体" w:eastAsia="宋体" w:cs="宋体"/>
                <w:color w:val="auto"/>
                <w:sz w:val="21"/>
                <w:szCs w:val="21"/>
                <w:highlight w:val="none"/>
              </w:rPr>
            </w:pPr>
          </w:p>
        </w:tc>
        <w:tc>
          <w:tcPr>
            <w:tcW w:w="2062" w:type="dxa"/>
            <w:vAlign w:val="top"/>
          </w:tcPr>
          <w:p w14:paraId="7E190888">
            <w:pPr>
              <w:pStyle w:val="27"/>
              <w:rPr>
                <w:rFonts w:hint="eastAsia" w:ascii="宋体" w:hAnsi="宋体" w:eastAsia="宋体" w:cs="宋体"/>
                <w:color w:val="auto"/>
                <w:sz w:val="21"/>
                <w:szCs w:val="21"/>
                <w:highlight w:val="none"/>
              </w:rPr>
            </w:pPr>
          </w:p>
        </w:tc>
        <w:tc>
          <w:tcPr>
            <w:tcW w:w="1798" w:type="dxa"/>
            <w:vAlign w:val="top"/>
          </w:tcPr>
          <w:p w14:paraId="465A33C8">
            <w:pPr>
              <w:pStyle w:val="27"/>
              <w:rPr>
                <w:rFonts w:hint="eastAsia" w:ascii="宋体" w:hAnsi="宋体" w:eastAsia="宋体" w:cs="宋体"/>
                <w:color w:val="auto"/>
                <w:sz w:val="21"/>
                <w:szCs w:val="21"/>
                <w:highlight w:val="none"/>
              </w:rPr>
            </w:pPr>
          </w:p>
        </w:tc>
        <w:tc>
          <w:tcPr>
            <w:tcW w:w="1398" w:type="dxa"/>
            <w:vAlign w:val="top"/>
          </w:tcPr>
          <w:p w14:paraId="3E8CFEF8">
            <w:pPr>
              <w:pStyle w:val="27"/>
              <w:rPr>
                <w:rFonts w:hint="eastAsia" w:ascii="宋体" w:hAnsi="宋体" w:eastAsia="宋体" w:cs="宋体"/>
                <w:color w:val="auto"/>
                <w:sz w:val="21"/>
                <w:szCs w:val="21"/>
                <w:highlight w:val="none"/>
              </w:rPr>
            </w:pPr>
          </w:p>
        </w:tc>
      </w:tr>
    </w:tbl>
    <w:p w14:paraId="31E2A55D">
      <w:pPr>
        <w:pStyle w:val="6"/>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项目经理</w:t>
      </w:r>
      <w:r>
        <w:rPr>
          <w:rFonts w:hint="eastAsia" w:ascii="宋体" w:hAnsi="宋体" w:eastAsia="宋体" w:cs="宋体"/>
          <w:color w:val="auto"/>
          <w:spacing w:val="-18"/>
          <w:sz w:val="21"/>
          <w:szCs w:val="21"/>
          <w:highlight w:val="none"/>
        </w:rPr>
        <w:t>：</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3"/>
          <w:sz w:val="21"/>
          <w:szCs w:val="21"/>
          <w:highlight w:val="none"/>
        </w:rPr>
        <w:t>签字）</w:t>
      </w:r>
    </w:p>
    <w:p w14:paraId="55084914">
      <w:pPr>
        <w:pStyle w:val="6"/>
        <w:spacing w:line="256" w:lineRule="auto"/>
        <w:rPr>
          <w:rFonts w:hint="eastAsia" w:ascii="宋体" w:hAnsi="宋体" w:eastAsia="宋体" w:cs="宋体"/>
          <w:color w:val="auto"/>
          <w:sz w:val="21"/>
          <w:szCs w:val="21"/>
          <w:highlight w:val="none"/>
        </w:rPr>
      </w:pPr>
    </w:p>
    <w:p w14:paraId="04095A12">
      <w:pPr>
        <w:pStyle w:val="6"/>
        <w:spacing w:line="254"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lang w:val="en-US" w:eastAsia="zh-CN"/>
        </w:rPr>
        <w:t xml:space="preserve">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39040016">
      <w:pPr>
        <w:spacing w:before="78" w:line="220" w:lineRule="auto"/>
        <w:ind w:left="4226"/>
        <w:jc w:val="center"/>
        <w:rPr>
          <w:rFonts w:hint="eastAsia" w:ascii="宋体" w:hAnsi="宋体" w:eastAsia="宋体" w:cs="宋体"/>
          <w:color w:val="auto"/>
          <w:sz w:val="21"/>
          <w:szCs w:val="21"/>
          <w:highlight w:val="none"/>
        </w:rPr>
      </w:pPr>
    </w:p>
    <w:p w14:paraId="09DFFC47">
      <w:pPr>
        <w:pStyle w:val="6"/>
        <w:spacing w:line="241" w:lineRule="auto"/>
        <w:rPr>
          <w:rFonts w:hint="eastAsia" w:ascii="宋体" w:hAnsi="宋体" w:eastAsia="宋体" w:cs="宋体"/>
          <w:color w:val="auto"/>
          <w:sz w:val="21"/>
          <w:szCs w:val="21"/>
          <w:highlight w:val="none"/>
        </w:rPr>
      </w:pPr>
    </w:p>
    <w:p w14:paraId="19347D26">
      <w:pPr>
        <w:spacing w:before="65" w:line="228" w:lineRule="auto"/>
        <w:ind w:left="47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1"/>
          <w:szCs w:val="21"/>
          <w:highlight w:val="none"/>
        </w:rPr>
      </w:pPr>
      <w:bookmarkStart w:id="256" w:name="_Toc25271"/>
      <w:bookmarkStart w:id="257" w:name="_Toc1942"/>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3"/>
          <w:sz w:val="21"/>
          <w:szCs w:val="21"/>
          <w:highlight w:val="none"/>
        </w:rPr>
        <w:t>．身份证彩色扫描件；</w:t>
      </w:r>
      <w:bookmarkEnd w:id="256"/>
      <w:bookmarkEnd w:id="257"/>
    </w:p>
    <w:p w14:paraId="4FCFE8D7">
      <w:pPr>
        <w:spacing w:before="153" w:line="228" w:lineRule="auto"/>
        <w:ind w:left="46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8"/>
          <w:sz w:val="21"/>
          <w:szCs w:val="21"/>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val="en-US" w:eastAsia="zh-CN"/>
        </w:rPr>
        <w:t>3</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8"/>
          <w:sz w:val="21"/>
          <w:szCs w:val="21"/>
          <w:highlight w:val="none"/>
        </w:rPr>
        <w:t>．B 类安全生产考核合格证书彩色扫描件或广东省建筑施工企业管理人员安全生产考核系统考</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7"/>
          <w:sz w:val="21"/>
          <w:szCs w:val="21"/>
          <w:highlight w:val="none"/>
        </w:rPr>
        <w:t>核合格信息彩色扫描件；</w:t>
      </w:r>
    </w:p>
    <w:p w14:paraId="540AD7C6">
      <w:pPr>
        <w:spacing w:before="153" w:line="299" w:lineRule="auto"/>
        <w:ind w:left="49" w:right="167" w:firstLine="41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8"/>
          <w:sz w:val="21"/>
          <w:szCs w:val="21"/>
          <w:highlight w:val="none"/>
        </w:rPr>
        <w:t>．在本单位缴纳社保</w:t>
      </w:r>
      <w:r>
        <w:rPr>
          <w:rFonts w:hint="eastAsia" w:ascii="宋体" w:hAnsi="宋体" w:eastAsia="宋体" w:cs="宋体"/>
          <w:color w:val="auto"/>
          <w:sz w:val="21"/>
          <w:szCs w:val="21"/>
          <w:highlight w:val="none"/>
          <w:lang w:eastAsia="zh-CN"/>
        </w:rPr>
        <w:t>的证明（</w:t>
      </w:r>
      <w:r>
        <w:rPr>
          <w:rFonts w:hint="eastAsia" w:ascii="宋体" w:hAnsi="宋体" w:eastAsia="宋体" w:cs="宋体"/>
          <w:color w:val="auto"/>
          <w:sz w:val="21"/>
          <w:szCs w:val="21"/>
          <w:highlight w:val="none"/>
          <w:lang w:val="en-US" w:eastAsia="zh-CN"/>
        </w:rPr>
        <w:t>至少为近3个月内任意1个月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8"/>
          <w:sz w:val="21"/>
          <w:szCs w:val="21"/>
          <w:highlight w:val="none"/>
        </w:rPr>
        <w:t>彩色扫描件或打印件。拟</w:t>
      </w:r>
      <w:r>
        <w:rPr>
          <w:rFonts w:hint="eastAsia" w:ascii="宋体" w:hAnsi="宋体" w:eastAsia="宋体" w:cs="宋体"/>
          <w:color w:val="auto"/>
          <w:spacing w:val="9"/>
          <w:sz w:val="21"/>
          <w:szCs w:val="21"/>
          <w:highlight w:val="none"/>
        </w:rPr>
        <w:t>派项目经理为退休返聘人员无法提供社保证明的，提供退休证和</w:t>
      </w:r>
      <w:r>
        <w:rPr>
          <w:rFonts w:hint="eastAsia" w:ascii="宋体" w:hAnsi="宋体" w:eastAsia="宋体" w:cs="宋体"/>
          <w:color w:val="auto"/>
          <w:spacing w:val="9"/>
          <w:sz w:val="21"/>
          <w:szCs w:val="21"/>
          <w:highlight w:val="none"/>
          <w:lang w:val="en-US" w:eastAsia="zh-CN"/>
        </w:rPr>
        <w:t>返聘协议</w:t>
      </w:r>
      <w:r>
        <w:rPr>
          <w:rFonts w:hint="eastAsia" w:ascii="宋体" w:hAnsi="宋体" w:eastAsia="宋体" w:cs="宋体"/>
          <w:color w:val="auto"/>
          <w:spacing w:val="9"/>
          <w:sz w:val="21"/>
          <w:szCs w:val="21"/>
          <w:highlight w:val="none"/>
        </w:rPr>
        <w:t>彩色扫描件。</w:t>
      </w:r>
    </w:p>
    <w:p w14:paraId="0D76B9F6">
      <w:pPr>
        <w:spacing w:before="150" w:line="300" w:lineRule="auto"/>
        <w:ind w:left="49" w:right="170" w:firstLine="42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7"/>
          <w:sz w:val="21"/>
          <w:szCs w:val="21"/>
          <w:highlight w:val="none"/>
        </w:rPr>
        <w:t>．“进粤企业和人员诚信信息登记平台</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7"/>
          <w:sz w:val="21"/>
          <w:szCs w:val="21"/>
          <w:highlight w:val="none"/>
        </w:rPr>
        <w:t>”个人（项目经理等）信息</w:t>
      </w:r>
      <w:r>
        <w:rPr>
          <w:rFonts w:hint="eastAsia" w:ascii="宋体" w:hAnsi="宋体" w:eastAsia="宋体" w:cs="宋体"/>
          <w:color w:val="auto"/>
          <w:spacing w:val="6"/>
          <w:sz w:val="21"/>
          <w:szCs w:val="21"/>
          <w:highlight w:val="none"/>
        </w:rPr>
        <w:t>情况截图。（适用于省外建</w:t>
      </w:r>
      <w:r>
        <w:rPr>
          <w:rFonts w:hint="eastAsia" w:ascii="宋体" w:hAnsi="宋体" w:eastAsia="宋体" w:cs="宋体"/>
          <w:color w:val="auto"/>
          <w:spacing w:val="4"/>
          <w:sz w:val="21"/>
          <w:szCs w:val="21"/>
          <w:highlight w:val="none"/>
        </w:rPr>
        <w:t>筑企业）</w:t>
      </w:r>
    </w:p>
    <w:p w14:paraId="0073D580">
      <w:pPr>
        <w:spacing w:line="300" w:lineRule="auto"/>
        <w:rPr>
          <w:rFonts w:hint="eastAsia" w:ascii="宋体" w:hAnsi="宋体" w:eastAsia="宋体" w:cs="宋体"/>
          <w:color w:val="auto"/>
          <w:sz w:val="21"/>
          <w:szCs w:val="21"/>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8" w:name="_Toc7768"/>
      <w:r>
        <w:rPr>
          <w:rFonts w:hint="eastAsia" w:ascii="宋体" w:hAnsi="宋体" w:eastAsia="宋体" w:cs="宋体"/>
          <w:b/>
          <w:bCs/>
          <w:color w:val="auto"/>
          <w:spacing w:val="-4"/>
          <w:sz w:val="24"/>
          <w:szCs w:val="24"/>
          <w:highlight w:val="none"/>
        </w:rPr>
        <w:t>格式九 项目经理任职声明</w:t>
      </w:r>
      <w:bookmarkEnd w:id="258"/>
    </w:p>
    <w:p w14:paraId="612F2BD3">
      <w:pPr>
        <w:pStyle w:val="6"/>
        <w:spacing w:line="350" w:lineRule="auto"/>
        <w:rPr>
          <w:rFonts w:hint="eastAsia" w:ascii="宋体" w:hAnsi="宋体" w:eastAsia="宋体" w:cs="宋体"/>
          <w:color w:val="auto"/>
          <w:highlight w:val="none"/>
        </w:rPr>
      </w:pPr>
    </w:p>
    <w:p w14:paraId="64BA9CAE">
      <w:pPr>
        <w:pStyle w:val="6"/>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9" w:name="bookmark157"/>
      <w:bookmarkEnd w:id="259"/>
      <w:r>
        <w:rPr>
          <w:rFonts w:hint="eastAsia" w:ascii="宋体" w:hAnsi="宋体" w:eastAsia="宋体" w:cs="宋体"/>
          <w:b/>
          <w:bCs/>
          <w:color w:val="auto"/>
          <w:spacing w:val="-5"/>
          <w:sz w:val="30"/>
          <w:szCs w:val="30"/>
          <w:highlight w:val="none"/>
        </w:rPr>
        <w:t>项目经理任职声明</w:t>
      </w:r>
    </w:p>
    <w:p w14:paraId="5E27ED4C">
      <w:pPr>
        <w:pStyle w:val="6"/>
        <w:spacing w:line="250" w:lineRule="auto"/>
        <w:rPr>
          <w:rFonts w:hint="eastAsia" w:ascii="宋体" w:hAnsi="宋体" w:eastAsia="宋体" w:cs="宋体"/>
          <w:color w:val="auto"/>
          <w:highlight w:val="none"/>
        </w:rPr>
      </w:pPr>
    </w:p>
    <w:p w14:paraId="2F282189">
      <w:pPr>
        <w:pStyle w:val="6"/>
        <w:spacing w:line="250" w:lineRule="auto"/>
        <w:rPr>
          <w:rFonts w:hint="eastAsia" w:ascii="宋体" w:hAnsi="宋体" w:eastAsia="宋体" w:cs="宋体"/>
          <w:color w:val="auto"/>
          <w:highlight w:val="none"/>
        </w:rPr>
      </w:pPr>
    </w:p>
    <w:p w14:paraId="5C8AA10A">
      <w:pPr>
        <w:pStyle w:val="6"/>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致</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17"/>
          <w:sz w:val="21"/>
          <w:szCs w:val="21"/>
          <w:highlight w:val="none"/>
          <w:u w:val="single"/>
          <w:lang w:val="en-US" w:eastAsia="zh-CN"/>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9"/>
          <w:sz w:val="21"/>
          <w:szCs w:val="21"/>
          <w:highlight w:val="none"/>
        </w:rPr>
        <w:t>招标人名称</w:t>
      </w:r>
      <w:r>
        <w:rPr>
          <w:rFonts w:hint="eastAsia" w:ascii="宋体" w:hAnsi="宋体" w:eastAsia="宋体" w:cs="宋体"/>
          <w:color w:val="auto"/>
          <w:spacing w:val="-17"/>
          <w:sz w:val="21"/>
          <w:szCs w:val="21"/>
          <w:highlight w:val="none"/>
        </w:rPr>
        <w:t>）</w:t>
      </w:r>
    </w:p>
    <w:p w14:paraId="0904F3EC">
      <w:pPr>
        <w:spacing w:before="155" w:line="324"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我方在此声明，我方拟派往</w:t>
      </w:r>
      <w:r>
        <w:rPr>
          <w:rFonts w:hint="eastAsia" w:ascii="宋体" w:hAnsi="宋体" w:eastAsia="宋体" w:cs="宋体"/>
          <w:color w:val="auto"/>
          <w:spacing w:val="-2"/>
          <w:sz w:val="21"/>
          <w:szCs w:val="21"/>
          <w:highlight w:val="none"/>
          <w:u w:val="single"/>
          <w:lang w:val="en-US" w:eastAsia="zh-CN"/>
        </w:rPr>
        <w:t xml:space="preserve">         </w:t>
      </w:r>
      <w:r>
        <w:rPr>
          <w:rFonts w:hint="eastAsia" w:ascii="宋体" w:hAnsi="宋体" w:eastAsia="宋体" w:cs="宋体"/>
          <w:color w:val="auto"/>
          <w:spacing w:val="-2"/>
          <w:sz w:val="21"/>
          <w:szCs w:val="21"/>
          <w:highlight w:val="none"/>
        </w:rPr>
        <w:t>（项目名称）的项目经理</w:t>
      </w:r>
      <w:r>
        <w:rPr>
          <w:rFonts w:hint="eastAsia" w:ascii="宋体" w:hAnsi="宋体" w:eastAsia="宋体" w:cs="宋体"/>
          <w:color w:val="auto"/>
          <w:spacing w:val="-2"/>
          <w:sz w:val="21"/>
          <w:szCs w:val="21"/>
          <w:highlight w:val="none"/>
          <w:u w:val="single"/>
          <w:lang w:val="en-US" w:eastAsia="zh-CN"/>
        </w:rPr>
        <w:t xml:space="preserve">        </w:t>
      </w:r>
      <w:r>
        <w:rPr>
          <w:rFonts w:hint="eastAsia" w:ascii="宋体" w:hAnsi="宋体" w:eastAsia="宋体" w:cs="宋体"/>
          <w:color w:val="auto"/>
          <w:spacing w:val="-2"/>
          <w:sz w:val="21"/>
          <w:szCs w:val="21"/>
          <w:highlight w:val="none"/>
        </w:rPr>
        <w:t>（项目经理姓名）现阶段没有</w:t>
      </w:r>
      <w:r>
        <w:rPr>
          <w:rFonts w:hint="eastAsia" w:ascii="宋体" w:hAnsi="宋体" w:eastAsia="宋体" w:cs="宋体"/>
          <w:color w:val="auto"/>
          <w:sz w:val="21"/>
          <w:szCs w:val="21"/>
          <w:highlight w:val="none"/>
        </w:rPr>
        <w:t>担任任何在施（包括已中标未开工、已开工未竣工）</w:t>
      </w:r>
      <w:r>
        <w:rPr>
          <w:rFonts w:hint="eastAsia" w:ascii="宋体" w:hAnsi="宋体" w:eastAsia="宋体" w:cs="宋体"/>
          <w:color w:val="auto"/>
          <w:spacing w:val="-1"/>
          <w:sz w:val="21"/>
          <w:szCs w:val="21"/>
          <w:highlight w:val="none"/>
        </w:rPr>
        <w:t>建设工程项目的项目经理。</w:t>
      </w:r>
    </w:p>
    <w:p w14:paraId="640324F8">
      <w:pPr>
        <w:spacing w:before="35" w:line="326" w:lineRule="auto"/>
        <w:ind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我方保证上述信息的真实和准确，并愿意承担因我方就此弄虚作假所引起的一切法</w:t>
      </w:r>
      <w:r>
        <w:rPr>
          <w:rFonts w:hint="eastAsia" w:ascii="宋体" w:hAnsi="宋体" w:eastAsia="宋体" w:cs="宋体"/>
          <w:color w:val="auto"/>
          <w:spacing w:val="-3"/>
          <w:sz w:val="21"/>
          <w:szCs w:val="21"/>
          <w:highlight w:val="none"/>
        </w:rPr>
        <w:t>律后果。</w:t>
      </w:r>
    </w:p>
    <w:p w14:paraId="509BB5DB">
      <w:pPr>
        <w:pStyle w:val="6"/>
        <w:spacing w:line="391" w:lineRule="auto"/>
        <w:rPr>
          <w:rFonts w:hint="eastAsia" w:ascii="宋体" w:hAnsi="宋体" w:eastAsia="宋体" w:cs="宋体"/>
          <w:color w:val="auto"/>
          <w:sz w:val="21"/>
          <w:szCs w:val="21"/>
          <w:highlight w:val="none"/>
        </w:rPr>
      </w:pPr>
    </w:p>
    <w:p w14:paraId="7EA0A4E9">
      <w:pPr>
        <w:spacing w:before="78" w:line="220" w:lineRule="auto"/>
        <w:ind w:left="48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特此承诺</w:t>
      </w:r>
    </w:p>
    <w:p w14:paraId="47C7F522">
      <w:pPr>
        <w:pStyle w:val="6"/>
        <w:spacing w:line="316" w:lineRule="auto"/>
        <w:rPr>
          <w:rFonts w:hint="eastAsia" w:ascii="宋体" w:hAnsi="宋体" w:eastAsia="宋体" w:cs="宋体"/>
          <w:color w:val="auto"/>
          <w:sz w:val="21"/>
          <w:szCs w:val="21"/>
          <w:highlight w:val="none"/>
        </w:rPr>
      </w:pPr>
    </w:p>
    <w:p w14:paraId="166EE9AC">
      <w:pPr>
        <w:pStyle w:val="6"/>
        <w:spacing w:line="317" w:lineRule="auto"/>
        <w:rPr>
          <w:rFonts w:hint="eastAsia" w:ascii="宋体" w:hAnsi="宋体" w:eastAsia="宋体" w:cs="宋体"/>
          <w:color w:val="auto"/>
          <w:sz w:val="21"/>
          <w:szCs w:val="21"/>
          <w:highlight w:val="none"/>
        </w:rPr>
      </w:pPr>
    </w:p>
    <w:p w14:paraId="708846AD">
      <w:pPr>
        <w:pStyle w:val="6"/>
        <w:spacing w:line="317" w:lineRule="auto"/>
        <w:rPr>
          <w:rFonts w:hint="eastAsia" w:ascii="宋体" w:hAnsi="宋体" w:eastAsia="宋体" w:cs="宋体"/>
          <w:color w:val="auto"/>
          <w:sz w:val="21"/>
          <w:szCs w:val="21"/>
          <w:highlight w:val="none"/>
        </w:rPr>
      </w:pPr>
    </w:p>
    <w:p w14:paraId="07D0B977">
      <w:pPr>
        <w:spacing w:before="79" w:line="219"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盖单位章）</w:t>
      </w:r>
    </w:p>
    <w:p w14:paraId="4F711471">
      <w:pPr>
        <w:pStyle w:val="6"/>
        <w:spacing w:line="317" w:lineRule="auto"/>
        <w:rPr>
          <w:rFonts w:hint="eastAsia" w:ascii="宋体" w:hAnsi="宋体" w:eastAsia="宋体" w:cs="宋体"/>
          <w:color w:val="auto"/>
          <w:sz w:val="21"/>
          <w:szCs w:val="21"/>
          <w:highlight w:val="none"/>
        </w:rPr>
      </w:pPr>
    </w:p>
    <w:p w14:paraId="38491E5D">
      <w:pPr>
        <w:pStyle w:val="6"/>
        <w:spacing w:line="317" w:lineRule="auto"/>
        <w:rPr>
          <w:rFonts w:hint="eastAsia" w:ascii="宋体" w:hAnsi="宋体" w:eastAsia="宋体" w:cs="宋体"/>
          <w:color w:val="auto"/>
          <w:sz w:val="21"/>
          <w:szCs w:val="21"/>
          <w:highlight w:val="none"/>
        </w:rPr>
      </w:pPr>
    </w:p>
    <w:p w14:paraId="2845CC21">
      <w:pPr>
        <w:pStyle w:val="6"/>
        <w:spacing w:line="317" w:lineRule="auto"/>
        <w:rPr>
          <w:rFonts w:hint="eastAsia" w:ascii="宋体" w:hAnsi="宋体" w:eastAsia="宋体" w:cs="宋体"/>
          <w:color w:val="auto"/>
          <w:sz w:val="21"/>
          <w:szCs w:val="21"/>
          <w:highlight w:val="none"/>
        </w:rPr>
      </w:pPr>
    </w:p>
    <w:p w14:paraId="270F977A">
      <w:pPr>
        <w:spacing w:before="78" w:line="219"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法定代表人或其委托代理人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
          <w:sz w:val="21"/>
          <w:szCs w:val="21"/>
          <w:highlight w:val="none"/>
        </w:rPr>
        <w:t>签字或盖章）</w:t>
      </w:r>
    </w:p>
    <w:p w14:paraId="4FF68B7A">
      <w:pPr>
        <w:pStyle w:val="6"/>
        <w:spacing w:line="257" w:lineRule="auto"/>
        <w:rPr>
          <w:rFonts w:hint="eastAsia" w:ascii="宋体" w:hAnsi="宋体" w:eastAsia="宋体" w:cs="宋体"/>
          <w:color w:val="auto"/>
          <w:sz w:val="21"/>
          <w:szCs w:val="21"/>
          <w:highlight w:val="none"/>
        </w:rPr>
      </w:pPr>
    </w:p>
    <w:p w14:paraId="24BB67B8">
      <w:pPr>
        <w:pStyle w:val="6"/>
        <w:spacing w:line="257" w:lineRule="auto"/>
        <w:rPr>
          <w:rFonts w:hint="eastAsia" w:ascii="宋体" w:hAnsi="宋体" w:eastAsia="宋体" w:cs="宋体"/>
          <w:color w:val="auto"/>
          <w:sz w:val="21"/>
          <w:szCs w:val="21"/>
          <w:highlight w:val="none"/>
        </w:rPr>
      </w:pPr>
    </w:p>
    <w:p w14:paraId="1DEB93F9">
      <w:pPr>
        <w:pStyle w:val="6"/>
        <w:spacing w:line="254" w:lineRule="auto"/>
        <w:jc w:val="righ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09C55D77">
      <w:pPr>
        <w:spacing w:line="220" w:lineRule="auto"/>
        <w:rPr>
          <w:rFonts w:hint="eastAsia" w:ascii="宋体" w:hAnsi="宋体" w:eastAsia="宋体" w:cs="宋体"/>
          <w:color w:val="auto"/>
          <w:sz w:val="21"/>
          <w:szCs w:val="21"/>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60" w:name="_Toc14280"/>
      <w:r>
        <w:rPr>
          <w:rFonts w:hint="eastAsia" w:ascii="宋体" w:hAnsi="宋体" w:eastAsia="宋体" w:cs="宋体"/>
          <w:b/>
          <w:bCs/>
          <w:color w:val="auto"/>
          <w:spacing w:val="-4"/>
          <w:sz w:val="24"/>
          <w:szCs w:val="24"/>
          <w:highlight w:val="none"/>
        </w:rPr>
        <w:t>格式十 项目技术负责人简历表</w:t>
      </w:r>
      <w:bookmarkEnd w:id="260"/>
    </w:p>
    <w:p w14:paraId="675D0539">
      <w:pPr>
        <w:pStyle w:val="6"/>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61" w:name="_Toc1553"/>
      <w:bookmarkStart w:id="262" w:name="_Toc25712"/>
      <w:r>
        <w:rPr>
          <w:rFonts w:hint="eastAsia" w:ascii="宋体" w:hAnsi="宋体" w:eastAsia="宋体" w:cs="宋体"/>
          <w:b/>
          <w:bCs/>
          <w:color w:val="auto"/>
          <w:spacing w:val="-4"/>
          <w:sz w:val="30"/>
          <w:szCs w:val="30"/>
          <w:highlight w:val="none"/>
        </w:rPr>
        <w:t>项目技术负责人简历表</w:t>
      </w:r>
      <w:bookmarkEnd w:id="261"/>
      <w:bookmarkEnd w:id="262"/>
    </w:p>
    <w:p w14:paraId="0C4EC7B8">
      <w:pPr>
        <w:spacing w:line="240" w:lineRule="exact"/>
        <w:rPr>
          <w:rFonts w:hint="eastAsia" w:ascii="宋体" w:hAnsi="宋体" w:eastAsia="宋体" w:cs="宋体"/>
          <w:color w:val="auto"/>
          <w:highlight w:val="none"/>
        </w:rPr>
      </w:pPr>
    </w:p>
    <w:tbl>
      <w:tblPr>
        <w:tblStyle w:val="17"/>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名</w:t>
            </w:r>
          </w:p>
        </w:tc>
        <w:tc>
          <w:tcPr>
            <w:tcW w:w="1282" w:type="dxa"/>
            <w:gridSpan w:val="2"/>
            <w:vAlign w:val="top"/>
          </w:tcPr>
          <w:p w14:paraId="1DDDCFB5">
            <w:pPr>
              <w:pStyle w:val="27"/>
              <w:rPr>
                <w:rFonts w:hint="eastAsia" w:ascii="宋体" w:hAnsi="宋体" w:eastAsia="宋体" w:cs="宋体"/>
                <w:color w:val="auto"/>
                <w:sz w:val="21"/>
                <w:szCs w:val="21"/>
                <w:highlight w:val="none"/>
              </w:rPr>
            </w:pPr>
          </w:p>
        </w:tc>
        <w:tc>
          <w:tcPr>
            <w:tcW w:w="1346" w:type="dxa"/>
            <w:vAlign w:val="top"/>
          </w:tcPr>
          <w:p w14:paraId="3A00E866">
            <w:pPr>
              <w:spacing w:before="177" w:line="229" w:lineRule="auto"/>
              <w:ind w:left="33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z w:val="21"/>
                <w:szCs w:val="21"/>
                <w:highlight w:val="none"/>
              </w:rPr>
              <w:t>别</w:t>
            </w:r>
          </w:p>
        </w:tc>
        <w:tc>
          <w:tcPr>
            <w:tcW w:w="2047" w:type="dxa"/>
            <w:vAlign w:val="top"/>
          </w:tcPr>
          <w:p w14:paraId="2C9F5B8C">
            <w:pPr>
              <w:pStyle w:val="27"/>
              <w:rPr>
                <w:rFonts w:hint="eastAsia" w:ascii="宋体" w:hAnsi="宋体" w:eastAsia="宋体" w:cs="宋体"/>
                <w:color w:val="auto"/>
                <w:sz w:val="21"/>
                <w:szCs w:val="21"/>
                <w:highlight w:val="none"/>
              </w:rPr>
            </w:pPr>
          </w:p>
        </w:tc>
        <w:tc>
          <w:tcPr>
            <w:tcW w:w="1783" w:type="dxa"/>
            <w:vAlign w:val="top"/>
          </w:tcPr>
          <w:p w14:paraId="7B35F84B">
            <w:pPr>
              <w:spacing w:before="177" w:line="228" w:lineRule="auto"/>
              <w:ind w:left="48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龄</w:t>
            </w:r>
          </w:p>
        </w:tc>
        <w:tc>
          <w:tcPr>
            <w:tcW w:w="1386" w:type="dxa"/>
            <w:vAlign w:val="top"/>
          </w:tcPr>
          <w:p w14:paraId="60520BF4">
            <w:pPr>
              <w:pStyle w:val="27"/>
              <w:rPr>
                <w:rFonts w:hint="eastAsia" w:ascii="宋体" w:hAnsi="宋体" w:eastAsia="宋体" w:cs="宋体"/>
                <w:color w:val="auto"/>
                <w:sz w:val="21"/>
                <w:szCs w:val="21"/>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务</w:t>
            </w:r>
          </w:p>
        </w:tc>
        <w:tc>
          <w:tcPr>
            <w:tcW w:w="1282" w:type="dxa"/>
            <w:gridSpan w:val="2"/>
            <w:vAlign w:val="top"/>
          </w:tcPr>
          <w:p w14:paraId="19790CAF">
            <w:pPr>
              <w:pStyle w:val="27"/>
              <w:rPr>
                <w:rFonts w:hint="eastAsia" w:ascii="宋体" w:hAnsi="宋体" w:eastAsia="宋体" w:cs="宋体"/>
                <w:color w:val="auto"/>
                <w:sz w:val="21"/>
                <w:szCs w:val="21"/>
                <w:highlight w:val="none"/>
              </w:rPr>
            </w:pPr>
          </w:p>
        </w:tc>
        <w:tc>
          <w:tcPr>
            <w:tcW w:w="1346" w:type="dxa"/>
            <w:vAlign w:val="top"/>
          </w:tcPr>
          <w:p w14:paraId="1732E3C0">
            <w:pPr>
              <w:spacing w:before="174" w:line="231" w:lineRule="auto"/>
              <w:ind w:left="33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称</w:t>
            </w:r>
          </w:p>
        </w:tc>
        <w:tc>
          <w:tcPr>
            <w:tcW w:w="2047" w:type="dxa"/>
            <w:vAlign w:val="top"/>
          </w:tcPr>
          <w:p w14:paraId="481B37E4">
            <w:pPr>
              <w:pStyle w:val="27"/>
              <w:rPr>
                <w:rFonts w:hint="eastAsia" w:ascii="宋体" w:hAnsi="宋体" w:eastAsia="宋体" w:cs="宋体"/>
                <w:color w:val="auto"/>
                <w:sz w:val="21"/>
                <w:szCs w:val="21"/>
                <w:highlight w:val="none"/>
              </w:rPr>
            </w:pPr>
          </w:p>
        </w:tc>
        <w:tc>
          <w:tcPr>
            <w:tcW w:w="1783" w:type="dxa"/>
            <w:vAlign w:val="top"/>
          </w:tcPr>
          <w:p w14:paraId="56AB3CDE">
            <w:pPr>
              <w:spacing w:before="175" w:line="230" w:lineRule="auto"/>
              <w:ind w:left="49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学</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2"/>
                <w:sz w:val="21"/>
                <w:szCs w:val="21"/>
                <w:highlight w:val="none"/>
              </w:rPr>
              <w:t>历</w:t>
            </w:r>
          </w:p>
        </w:tc>
        <w:tc>
          <w:tcPr>
            <w:tcW w:w="1386" w:type="dxa"/>
            <w:vAlign w:val="top"/>
          </w:tcPr>
          <w:p w14:paraId="5C9CA710">
            <w:pPr>
              <w:pStyle w:val="27"/>
              <w:rPr>
                <w:rFonts w:hint="eastAsia" w:ascii="宋体" w:hAnsi="宋体" w:eastAsia="宋体" w:cs="宋体"/>
                <w:color w:val="auto"/>
                <w:sz w:val="21"/>
                <w:szCs w:val="21"/>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参加工作时间</w:t>
            </w:r>
          </w:p>
        </w:tc>
        <w:tc>
          <w:tcPr>
            <w:tcW w:w="2628" w:type="dxa"/>
            <w:gridSpan w:val="3"/>
            <w:vAlign w:val="top"/>
          </w:tcPr>
          <w:p w14:paraId="51D2A335">
            <w:pPr>
              <w:pStyle w:val="27"/>
              <w:rPr>
                <w:rFonts w:hint="eastAsia" w:ascii="宋体" w:hAnsi="宋体" w:eastAsia="宋体" w:cs="宋体"/>
                <w:color w:val="auto"/>
                <w:sz w:val="21"/>
                <w:szCs w:val="21"/>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从事工程建设项目管理工作年限</w:t>
            </w:r>
          </w:p>
        </w:tc>
        <w:tc>
          <w:tcPr>
            <w:tcW w:w="1386" w:type="dxa"/>
            <w:vAlign w:val="top"/>
          </w:tcPr>
          <w:p w14:paraId="75D20512">
            <w:pPr>
              <w:pStyle w:val="27"/>
              <w:rPr>
                <w:rFonts w:hint="eastAsia" w:ascii="宋体" w:hAnsi="宋体" w:eastAsia="宋体" w:cs="宋体"/>
                <w:color w:val="auto"/>
                <w:sz w:val="21"/>
                <w:szCs w:val="21"/>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810" w:type="dxa"/>
            <w:vAlign w:val="top"/>
          </w:tcPr>
          <w:p w14:paraId="36F5A08A">
            <w:pPr>
              <w:spacing w:before="176" w:line="230"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10" w:type="dxa"/>
            <w:gridSpan w:val="2"/>
            <w:vAlign w:val="top"/>
          </w:tcPr>
          <w:p w14:paraId="1D017C43">
            <w:pPr>
              <w:pStyle w:val="27"/>
              <w:rPr>
                <w:rFonts w:hint="eastAsia" w:ascii="宋体" w:hAnsi="宋体" w:eastAsia="宋体" w:cs="宋体"/>
                <w:color w:val="auto"/>
                <w:sz w:val="21"/>
                <w:szCs w:val="21"/>
                <w:highlight w:val="none"/>
              </w:rPr>
            </w:pPr>
          </w:p>
        </w:tc>
        <w:tc>
          <w:tcPr>
            <w:tcW w:w="2021" w:type="dxa"/>
            <w:gridSpan w:val="2"/>
            <w:vAlign w:val="top"/>
          </w:tcPr>
          <w:p w14:paraId="270436EC">
            <w:pPr>
              <w:pStyle w:val="27"/>
              <w:rPr>
                <w:rFonts w:hint="eastAsia" w:ascii="宋体" w:hAnsi="宋体" w:eastAsia="宋体" w:cs="宋体"/>
                <w:color w:val="auto"/>
                <w:sz w:val="21"/>
                <w:szCs w:val="21"/>
                <w:highlight w:val="none"/>
              </w:rPr>
            </w:pPr>
          </w:p>
        </w:tc>
        <w:tc>
          <w:tcPr>
            <w:tcW w:w="2047" w:type="dxa"/>
            <w:vAlign w:val="top"/>
          </w:tcPr>
          <w:p w14:paraId="254FE938">
            <w:pPr>
              <w:pStyle w:val="27"/>
              <w:rPr>
                <w:rFonts w:hint="eastAsia" w:ascii="宋体" w:hAnsi="宋体" w:eastAsia="宋体" w:cs="宋体"/>
                <w:color w:val="auto"/>
                <w:sz w:val="21"/>
                <w:szCs w:val="21"/>
                <w:highlight w:val="none"/>
              </w:rPr>
            </w:pPr>
          </w:p>
        </w:tc>
        <w:tc>
          <w:tcPr>
            <w:tcW w:w="1783" w:type="dxa"/>
            <w:vAlign w:val="top"/>
          </w:tcPr>
          <w:p w14:paraId="355EA15C">
            <w:pPr>
              <w:pStyle w:val="27"/>
              <w:rPr>
                <w:rFonts w:hint="eastAsia" w:ascii="宋体" w:hAnsi="宋体" w:eastAsia="宋体" w:cs="宋体"/>
                <w:color w:val="auto"/>
                <w:sz w:val="21"/>
                <w:szCs w:val="21"/>
                <w:highlight w:val="none"/>
              </w:rPr>
            </w:pPr>
          </w:p>
        </w:tc>
        <w:tc>
          <w:tcPr>
            <w:tcW w:w="1386" w:type="dxa"/>
            <w:vAlign w:val="top"/>
          </w:tcPr>
          <w:p w14:paraId="3A063067">
            <w:pPr>
              <w:pStyle w:val="27"/>
              <w:rPr>
                <w:rFonts w:hint="eastAsia" w:ascii="宋体" w:hAnsi="宋体" w:eastAsia="宋体" w:cs="宋体"/>
                <w:color w:val="auto"/>
                <w:sz w:val="21"/>
                <w:szCs w:val="21"/>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10" w:type="dxa"/>
            <w:gridSpan w:val="2"/>
            <w:vAlign w:val="top"/>
          </w:tcPr>
          <w:p w14:paraId="0C5944E3">
            <w:pPr>
              <w:pStyle w:val="27"/>
              <w:rPr>
                <w:rFonts w:hint="eastAsia" w:ascii="宋体" w:hAnsi="宋体" w:eastAsia="宋体" w:cs="宋体"/>
                <w:color w:val="auto"/>
                <w:sz w:val="21"/>
                <w:szCs w:val="21"/>
                <w:highlight w:val="none"/>
              </w:rPr>
            </w:pPr>
          </w:p>
        </w:tc>
        <w:tc>
          <w:tcPr>
            <w:tcW w:w="2021" w:type="dxa"/>
            <w:gridSpan w:val="2"/>
            <w:vAlign w:val="top"/>
          </w:tcPr>
          <w:p w14:paraId="4FF33181">
            <w:pPr>
              <w:pStyle w:val="27"/>
              <w:rPr>
                <w:rFonts w:hint="eastAsia" w:ascii="宋体" w:hAnsi="宋体" w:eastAsia="宋体" w:cs="宋体"/>
                <w:color w:val="auto"/>
                <w:sz w:val="21"/>
                <w:szCs w:val="21"/>
                <w:highlight w:val="none"/>
              </w:rPr>
            </w:pPr>
          </w:p>
        </w:tc>
        <w:tc>
          <w:tcPr>
            <w:tcW w:w="2047" w:type="dxa"/>
            <w:vAlign w:val="top"/>
          </w:tcPr>
          <w:p w14:paraId="7DB0E2CE">
            <w:pPr>
              <w:pStyle w:val="27"/>
              <w:rPr>
                <w:rFonts w:hint="eastAsia" w:ascii="宋体" w:hAnsi="宋体" w:eastAsia="宋体" w:cs="宋体"/>
                <w:color w:val="auto"/>
                <w:sz w:val="21"/>
                <w:szCs w:val="21"/>
                <w:highlight w:val="none"/>
              </w:rPr>
            </w:pPr>
          </w:p>
        </w:tc>
        <w:tc>
          <w:tcPr>
            <w:tcW w:w="1783" w:type="dxa"/>
            <w:vAlign w:val="top"/>
          </w:tcPr>
          <w:p w14:paraId="026AE2C4">
            <w:pPr>
              <w:pStyle w:val="27"/>
              <w:rPr>
                <w:rFonts w:hint="eastAsia" w:ascii="宋体" w:hAnsi="宋体" w:eastAsia="宋体" w:cs="宋体"/>
                <w:color w:val="auto"/>
                <w:sz w:val="21"/>
                <w:szCs w:val="21"/>
                <w:highlight w:val="none"/>
              </w:rPr>
            </w:pPr>
          </w:p>
        </w:tc>
        <w:tc>
          <w:tcPr>
            <w:tcW w:w="1386" w:type="dxa"/>
            <w:vAlign w:val="top"/>
          </w:tcPr>
          <w:p w14:paraId="371023C5">
            <w:pPr>
              <w:pStyle w:val="27"/>
              <w:rPr>
                <w:rFonts w:hint="eastAsia" w:ascii="宋体" w:hAnsi="宋体" w:eastAsia="宋体" w:cs="宋体"/>
                <w:color w:val="auto"/>
                <w:sz w:val="21"/>
                <w:szCs w:val="21"/>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1"/>
                <w:szCs w:val="21"/>
                <w:highlight w:val="none"/>
              </w:rPr>
            </w:pPr>
            <w:r>
              <w:rPr>
                <w:rFonts w:hint="eastAsia" w:ascii="宋体" w:hAnsi="宋体" w:eastAsia="宋体" w:cs="宋体"/>
                <w:color w:val="auto"/>
                <w:spacing w:val="-2"/>
                <w:position w:val="3"/>
                <w:sz w:val="21"/>
                <w:szCs w:val="21"/>
                <w:highlight w:val="none"/>
              </w:rPr>
              <w:t>……</w:t>
            </w:r>
          </w:p>
        </w:tc>
        <w:tc>
          <w:tcPr>
            <w:tcW w:w="1610" w:type="dxa"/>
            <w:gridSpan w:val="2"/>
            <w:vAlign w:val="top"/>
          </w:tcPr>
          <w:p w14:paraId="4A2416CF">
            <w:pPr>
              <w:pStyle w:val="27"/>
              <w:rPr>
                <w:rFonts w:hint="eastAsia" w:ascii="宋体" w:hAnsi="宋体" w:eastAsia="宋体" w:cs="宋体"/>
                <w:color w:val="auto"/>
                <w:sz w:val="21"/>
                <w:szCs w:val="21"/>
                <w:highlight w:val="none"/>
              </w:rPr>
            </w:pPr>
          </w:p>
        </w:tc>
        <w:tc>
          <w:tcPr>
            <w:tcW w:w="2021" w:type="dxa"/>
            <w:gridSpan w:val="2"/>
            <w:vAlign w:val="top"/>
          </w:tcPr>
          <w:p w14:paraId="5DC4416F">
            <w:pPr>
              <w:pStyle w:val="27"/>
              <w:rPr>
                <w:rFonts w:hint="eastAsia" w:ascii="宋体" w:hAnsi="宋体" w:eastAsia="宋体" w:cs="宋体"/>
                <w:color w:val="auto"/>
                <w:sz w:val="21"/>
                <w:szCs w:val="21"/>
                <w:highlight w:val="none"/>
              </w:rPr>
            </w:pPr>
          </w:p>
        </w:tc>
        <w:tc>
          <w:tcPr>
            <w:tcW w:w="2047" w:type="dxa"/>
            <w:vAlign w:val="top"/>
          </w:tcPr>
          <w:p w14:paraId="2AF0F04E">
            <w:pPr>
              <w:pStyle w:val="27"/>
              <w:rPr>
                <w:rFonts w:hint="eastAsia" w:ascii="宋体" w:hAnsi="宋体" w:eastAsia="宋体" w:cs="宋体"/>
                <w:color w:val="auto"/>
                <w:sz w:val="21"/>
                <w:szCs w:val="21"/>
                <w:highlight w:val="none"/>
              </w:rPr>
            </w:pPr>
          </w:p>
        </w:tc>
        <w:tc>
          <w:tcPr>
            <w:tcW w:w="1783" w:type="dxa"/>
            <w:vAlign w:val="top"/>
          </w:tcPr>
          <w:p w14:paraId="400EE5B7">
            <w:pPr>
              <w:pStyle w:val="27"/>
              <w:rPr>
                <w:rFonts w:hint="eastAsia" w:ascii="宋体" w:hAnsi="宋体" w:eastAsia="宋体" w:cs="宋体"/>
                <w:color w:val="auto"/>
                <w:sz w:val="21"/>
                <w:szCs w:val="21"/>
                <w:highlight w:val="none"/>
              </w:rPr>
            </w:pPr>
          </w:p>
        </w:tc>
        <w:tc>
          <w:tcPr>
            <w:tcW w:w="1386" w:type="dxa"/>
            <w:vAlign w:val="top"/>
          </w:tcPr>
          <w:p w14:paraId="1734BD0B">
            <w:pPr>
              <w:pStyle w:val="27"/>
              <w:rPr>
                <w:rFonts w:hint="eastAsia" w:ascii="宋体" w:hAnsi="宋体" w:eastAsia="宋体" w:cs="宋体"/>
                <w:color w:val="auto"/>
                <w:sz w:val="21"/>
                <w:szCs w:val="21"/>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7"/>
              <w:rPr>
                <w:rFonts w:hint="eastAsia" w:ascii="宋体" w:hAnsi="宋体" w:eastAsia="宋体" w:cs="宋体"/>
                <w:color w:val="auto"/>
                <w:sz w:val="21"/>
                <w:szCs w:val="21"/>
                <w:highlight w:val="none"/>
              </w:rPr>
            </w:pPr>
          </w:p>
        </w:tc>
        <w:tc>
          <w:tcPr>
            <w:tcW w:w="1610" w:type="dxa"/>
            <w:gridSpan w:val="2"/>
            <w:vAlign w:val="top"/>
          </w:tcPr>
          <w:p w14:paraId="698F5787">
            <w:pPr>
              <w:pStyle w:val="27"/>
              <w:rPr>
                <w:rFonts w:hint="eastAsia" w:ascii="宋体" w:hAnsi="宋体" w:eastAsia="宋体" w:cs="宋体"/>
                <w:color w:val="auto"/>
                <w:sz w:val="21"/>
                <w:szCs w:val="21"/>
                <w:highlight w:val="none"/>
              </w:rPr>
            </w:pPr>
          </w:p>
        </w:tc>
        <w:tc>
          <w:tcPr>
            <w:tcW w:w="2021" w:type="dxa"/>
            <w:gridSpan w:val="2"/>
            <w:vAlign w:val="top"/>
          </w:tcPr>
          <w:p w14:paraId="69858A0D">
            <w:pPr>
              <w:pStyle w:val="27"/>
              <w:rPr>
                <w:rFonts w:hint="eastAsia" w:ascii="宋体" w:hAnsi="宋体" w:eastAsia="宋体" w:cs="宋体"/>
                <w:color w:val="auto"/>
                <w:sz w:val="21"/>
                <w:szCs w:val="21"/>
                <w:highlight w:val="none"/>
              </w:rPr>
            </w:pPr>
          </w:p>
        </w:tc>
        <w:tc>
          <w:tcPr>
            <w:tcW w:w="2047" w:type="dxa"/>
            <w:vAlign w:val="top"/>
          </w:tcPr>
          <w:p w14:paraId="2BD7DCDB">
            <w:pPr>
              <w:pStyle w:val="27"/>
              <w:rPr>
                <w:rFonts w:hint="eastAsia" w:ascii="宋体" w:hAnsi="宋体" w:eastAsia="宋体" w:cs="宋体"/>
                <w:color w:val="auto"/>
                <w:sz w:val="21"/>
                <w:szCs w:val="21"/>
                <w:highlight w:val="none"/>
              </w:rPr>
            </w:pPr>
          </w:p>
        </w:tc>
        <w:tc>
          <w:tcPr>
            <w:tcW w:w="1783" w:type="dxa"/>
            <w:vAlign w:val="top"/>
          </w:tcPr>
          <w:p w14:paraId="4D125A3E">
            <w:pPr>
              <w:pStyle w:val="27"/>
              <w:rPr>
                <w:rFonts w:hint="eastAsia" w:ascii="宋体" w:hAnsi="宋体" w:eastAsia="宋体" w:cs="宋体"/>
                <w:color w:val="auto"/>
                <w:sz w:val="21"/>
                <w:szCs w:val="21"/>
                <w:highlight w:val="none"/>
              </w:rPr>
            </w:pPr>
          </w:p>
        </w:tc>
        <w:tc>
          <w:tcPr>
            <w:tcW w:w="1386" w:type="dxa"/>
            <w:vAlign w:val="top"/>
          </w:tcPr>
          <w:p w14:paraId="39C6E406">
            <w:pPr>
              <w:pStyle w:val="27"/>
              <w:rPr>
                <w:rFonts w:hint="eastAsia" w:ascii="宋体" w:hAnsi="宋体" w:eastAsia="宋体" w:cs="宋体"/>
                <w:color w:val="auto"/>
                <w:sz w:val="21"/>
                <w:szCs w:val="21"/>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7"/>
              <w:rPr>
                <w:rFonts w:hint="eastAsia" w:ascii="宋体" w:hAnsi="宋体" w:eastAsia="宋体" w:cs="宋体"/>
                <w:color w:val="auto"/>
                <w:sz w:val="21"/>
                <w:szCs w:val="21"/>
                <w:highlight w:val="none"/>
              </w:rPr>
            </w:pPr>
          </w:p>
        </w:tc>
        <w:tc>
          <w:tcPr>
            <w:tcW w:w="1610" w:type="dxa"/>
            <w:gridSpan w:val="2"/>
            <w:vAlign w:val="top"/>
          </w:tcPr>
          <w:p w14:paraId="51FAB6E2">
            <w:pPr>
              <w:pStyle w:val="27"/>
              <w:rPr>
                <w:rFonts w:hint="eastAsia" w:ascii="宋体" w:hAnsi="宋体" w:eastAsia="宋体" w:cs="宋体"/>
                <w:color w:val="auto"/>
                <w:sz w:val="21"/>
                <w:szCs w:val="21"/>
                <w:highlight w:val="none"/>
              </w:rPr>
            </w:pPr>
          </w:p>
        </w:tc>
        <w:tc>
          <w:tcPr>
            <w:tcW w:w="2021" w:type="dxa"/>
            <w:gridSpan w:val="2"/>
            <w:vAlign w:val="top"/>
          </w:tcPr>
          <w:p w14:paraId="61875FD1">
            <w:pPr>
              <w:pStyle w:val="27"/>
              <w:rPr>
                <w:rFonts w:hint="eastAsia" w:ascii="宋体" w:hAnsi="宋体" w:eastAsia="宋体" w:cs="宋体"/>
                <w:color w:val="auto"/>
                <w:sz w:val="21"/>
                <w:szCs w:val="21"/>
                <w:highlight w:val="none"/>
              </w:rPr>
            </w:pPr>
          </w:p>
        </w:tc>
        <w:tc>
          <w:tcPr>
            <w:tcW w:w="2047" w:type="dxa"/>
            <w:vAlign w:val="top"/>
          </w:tcPr>
          <w:p w14:paraId="404E5FF7">
            <w:pPr>
              <w:pStyle w:val="27"/>
              <w:rPr>
                <w:rFonts w:hint="eastAsia" w:ascii="宋体" w:hAnsi="宋体" w:eastAsia="宋体" w:cs="宋体"/>
                <w:color w:val="auto"/>
                <w:sz w:val="21"/>
                <w:szCs w:val="21"/>
                <w:highlight w:val="none"/>
              </w:rPr>
            </w:pPr>
          </w:p>
        </w:tc>
        <w:tc>
          <w:tcPr>
            <w:tcW w:w="1783" w:type="dxa"/>
            <w:vAlign w:val="top"/>
          </w:tcPr>
          <w:p w14:paraId="6ADD1E7F">
            <w:pPr>
              <w:pStyle w:val="27"/>
              <w:rPr>
                <w:rFonts w:hint="eastAsia" w:ascii="宋体" w:hAnsi="宋体" w:eastAsia="宋体" w:cs="宋体"/>
                <w:color w:val="auto"/>
                <w:sz w:val="21"/>
                <w:szCs w:val="21"/>
                <w:highlight w:val="none"/>
              </w:rPr>
            </w:pPr>
          </w:p>
        </w:tc>
        <w:tc>
          <w:tcPr>
            <w:tcW w:w="1386" w:type="dxa"/>
            <w:vAlign w:val="top"/>
          </w:tcPr>
          <w:p w14:paraId="384217C7">
            <w:pPr>
              <w:pStyle w:val="27"/>
              <w:rPr>
                <w:rFonts w:hint="eastAsia" w:ascii="宋体" w:hAnsi="宋体" w:eastAsia="宋体" w:cs="宋体"/>
                <w:color w:val="auto"/>
                <w:sz w:val="21"/>
                <w:szCs w:val="21"/>
                <w:highlight w:val="none"/>
              </w:rPr>
            </w:pPr>
          </w:p>
        </w:tc>
      </w:tr>
    </w:tbl>
    <w:p w14:paraId="45EB821D">
      <w:pPr>
        <w:pStyle w:val="6"/>
        <w:spacing w:line="314" w:lineRule="auto"/>
        <w:rPr>
          <w:rFonts w:hint="eastAsia" w:ascii="宋体" w:hAnsi="宋体" w:eastAsia="宋体" w:cs="宋体"/>
          <w:color w:val="auto"/>
          <w:sz w:val="24"/>
          <w:szCs w:val="24"/>
          <w:highlight w:val="none"/>
        </w:rPr>
      </w:pPr>
    </w:p>
    <w:p w14:paraId="02839B71">
      <w:pPr>
        <w:pStyle w:val="6"/>
        <w:spacing w:line="315" w:lineRule="auto"/>
        <w:rPr>
          <w:rFonts w:hint="eastAsia" w:ascii="宋体" w:hAnsi="宋体" w:eastAsia="宋体" w:cs="宋体"/>
          <w:color w:val="auto"/>
          <w:sz w:val="24"/>
          <w:szCs w:val="24"/>
          <w:highlight w:val="none"/>
        </w:rPr>
      </w:pPr>
    </w:p>
    <w:p w14:paraId="75FEC917">
      <w:pPr>
        <w:pStyle w:val="6"/>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项目技术负责人</w:t>
      </w:r>
      <w:r>
        <w:rPr>
          <w:rFonts w:hint="eastAsia" w:ascii="宋体" w:hAnsi="宋体" w:eastAsia="宋体" w:cs="宋体"/>
          <w:color w:val="auto"/>
          <w:spacing w:val="-18"/>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2"/>
          <w:sz w:val="21"/>
          <w:szCs w:val="21"/>
          <w:highlight w:val="none"/>
        </w:rPr>
        <w:t>签字）</w:t>
      </w:r>
    </w:p>
    <w:p w14:paraId="06231E95">
      <w:pPr>
        <w:pStyle w:val="6"/>
        <w:spacing w:line="256" w:lineRule="auto"/>
        <w:jc w:val="right"/>
        <w:rPr>
          <w:rFonts w:hint="eastAsia" w:ascii="宋体" w:hAnsi="宋体" w:eastAsia="宋体" w:cs="宋体"/>
          <w:color w:val="auto"/>
          <w:sz w:val="21"/>
          <w:szCs w:val="21"/>
          <w:highlight w:val="none"/>
        </w:rPr>
      </w:pPr>
    </w:p>
    <w:p w14:paraId="48AD0385">
      <w:pPr>
        <w:pStyle w:val="6"/>
        <w:spacing w:line="257" w:lineRule="auto"/>
        <w:jc w:val="right"/>
        <w:rPr>
          <w:rFonts w:hint="eastAsia" w:ascii="宋体" w:hAnsi="宋体" w:eastAsia="宋体" w:cs="宋体"/>
          <w:color w:val="auto"/>
          <w:sz w:val="21"/>
          <w:szCs w:val="21"/>
          <w:highlight w:val="none"/>
        </w:rPr>
      </w:pPr>
    </w:p>
    <w:p w14:paraId="50CB5F37">
      <w:pPr>
        <w:pStyle w:val="6"/>
        <w:spacing w:line="254" w:lineRule="auto"/>
        <w:jc w:val="righ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01408BD7">
      <w:pPr>
        <w:spacing w:before="65" w:line="228" w:lineRule="auto"/>
        <w:ind w:left="47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3"/>
          <w:sz w:val="21"/>
          <w:szCs w:val="21"/>
          <w:highlight w:val="none"/>
        </w:rPr>
        <w:t>．身份证彩色扫描件；</w:t>
      </w:r>
    </w:p>
    <w:p w14:paraId="2AC7099F">
      <w:pPr>
        <w:spacing w:before="151" w:line="228" w:lineRule="auto"/>
        <w:ind w:left="46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5"/>
          <w:sz w:val="21"/>
          <w:szCs w:val="21"/>
          <w:highlight w:val="none"/>
        </w:rPr>
        <w:t>．职称证彩色扫描件；</w:t>
      </w:r>
    </w:p>
    <w:p w14:paraId="531EC1B5">
      <w:pPr>
        <w:spacing w:before="153" w:line="299" w:lineRule="auto"/>
        <w:ind w:left="47" w:right="95" w:firstLine="42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8"/>
          <w:sz w:val="21"/>
          <w:szCs w:val="21"/>
          <w:highlight w:val="none"/>
        </w:rPr>
        <w:t>．在本单位缴纳社保的证明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至少为近3个月内任意1个月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8"/>
          <w:sz w:val="21"/>
          <w:szCs w:val="21"/>
          <w:highlight w:val="none"/>
        </w:rPr>
        <w:t>彩色扫描件</w:t>
      </w:r>
      <w:r>
        <w:rPr>
          <w:rFonts w:hint="eastAsia" w:ascii="宋体" w:hAnsi="宋体" w:eastAsia="宋体" w:cs="宋体"/>
          <w:color w:val="auto"/>
          <w:spacing w:val="8"/>
          <w:sz w:val="21"/>
          <w:szCs w:val="21"/>
          <w:highlight w:val="none"/>
          <w:lang w:val="en-US" w:eastAsia="zh-CN"/>
        </w:rPr>
        <w:t>或打印件</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拟派项目技术负责人为退休返聘人员无法提供社</w:t>
      </w:r>
      <w:r>
        <w:rPr>
          <w:rFonts w:hint="eastAsia" w:ascii="宋体" w:hAnsi="宋体" w:eastAsia="宋体" w:cs="宋体"/>
          <w:color w:val="auto"/>
          <w:spacing w:val="9"/>
          <w:sz w:val="21"/>
          <w:szCs w:val="21"/>
          <w:highlight w:val="none"/>
        </w:rPr>
        <w:t>保证明的，提供退休证和</w:t>
      </w:r>
      <w:r>
        <w:rPr>
          <w:rFonts w:hint="eastAsia" w:ascii="宋体" w:hAnsi="宋体" w:eastAsia="宋体" w:cs="宋体"/>
          <w:color w:val="auto"/>
          <w:spacing w:val="9"/>
          <w:sz w:val="21"/>
          <w:szCs w:val="21"/>
          <w:highlight w:val="none"/>
          <w:lang w:val="en-US" w:eastAsia="zh-CN"/>
        </w:rPr>
        <w:t>返聘协议</w:t>
      </w:r>
      <w:r>
        <w:rPr>
          <w:rFonts w:hint="eastAsia" w:ascii="宋体" w:hAnsi="宋体" w:eastAsia="宋体" w:cs="宋体"/>
          <w:color w:val="auto"/>
          <w:spacing w:val="9"/>
          <w:sz w:val="21"/>
          <w:szCs w:val="21"/>
          <w:highlight w:val="none"/>
        </w:rPr>
        <w:t>彩色扫描件。</w:t>
      </w:r>
    </w:p>
    <w:p w14:paraId="784C2F67">
      <w:pPr>
        <w:spacing w:before="153" w:line="228" w:lineRule="auto"/>
        <w:ind w:left="46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8"/>
          <w:sz w:val="21"/>
          <w:szCs w:val="21"/>
          <w:highlight w:val="none"/>
        </w:rPr>
        <w:t>．“进粤企业和人员诚信信息登记平台</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”个人信息情况截图。（适用于省外建筑企业）</w:t>
      </w:r>
    </w:p>
    <w:p w14:paraId="0CA53D6E">
      <w:pPr>
        <w:spacing w:line="228" w:lineRule="auto"/>
        <w:rPr>
          <w:rFonts w:hint="eastAsia" w:ascii="宋体" w:hAnsi="宋体" w:eastAsia="宋体" w:cs="宋体"/>
          <w:color w:val="auto"/>
          <w:sz w:val="21"/>
          <w:szCs w:val="21"/>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63" w:name="_Toc16314"/>
      <w:r>
        <w:rPr>
          <w:rFonts w:hint="eastAsia" w:ascii="宋体" w:hAnsi="宋体" w:eastAsia="宋体" w:cs="宋体"/>
          <w:b/>
          <w:bCs/>
          <w:color w:val="auto"/>
          <w:spacing w:val="-4"/>
          <w:sz w:val="24"/>
          <w:szCs w:val="24"/>
          <w:highlight w:val="none"/>
        </w:rPr>
        <w:t>格式十一 项目管理机构组成表</w:t>
      </w:r>
      <w:bookmarkEnd w:id="263"/>
    </w:p>
    <w:p w14:paraId="555428D3">
      <w:pPr>
        <w:pStyle w:val="6"/>
        <w:spacing w:line="351" w:lineRule="auto"/>
        <w:rPr>
          <w:rFonts w:hint="eastAsia" w:ascii="宋体" w:hAnsi="宋体" w:eastAsia="宋体" w:cs="宋体"/>
          <w:color w:val="auto"/>
          <w:highlight w:val="none"/>
        </w:rPr>
      </w:pPr>
    </w:p>
    <w:p w14:paraId="162B07EA">
      <w:pPr>
        <w:pStyle w:val="6"/>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64" w:name="bookmark158"/>
      <w:bookmarkEnd w:id="264"/>
      <w:bookmarkStart w:id="265" w:name="_Toc28765"/>
      <w:bookmarkStart w:id="266" w:name="_Toc19973"/>
      <w:r>
        <w:rPr>
          <w:rFonts w:hint="eastAsia" w:ascii="宋体" w:hAnsi="宋体" w:eastAsia="宋体" w:cs="宋体"/>
          <w:b/>
          <w:bCs/>
          <w:color w:val="auto"/>
          <w:spacing w:val="-4"/>
          <w:sz w:val="30"/>
          <w:szCs w:val="30"/>
          <w:highlight w:val="none"/>
        </w:rPr>
        <w:t>项目管理机构组成表</w:t>
      </w:r>
      <w:bookmarkEnd w:id="265"/>
      <w:bookmarkEnd w:id="266"/>
    </w:p>
    <w:p w14:paraId="1EDDD763">
      <w:pPr>
        <w:spacing w:before="7"/>
        <w:rPr>
          <w:rFonts w:hint="eastAsia" w:ascii="宋体" w:hAnsi="宋体" w:eastAsia="宋体" w:cs="宋体"/>
          <w:color w:val="auto"/>
          <w:highlight w:val="none"/>
        </w:rPr>
      </w:pPr>
    </w:p>
    <w:tbl>
      <w:tblPr>
        <w:tblStyle w:val="17"/>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项目经理</w:t>
            </w:r>
          </w:p>
        </w:tc>
        <w:tc>
          <w:tcPr>
            <w:tcW w:w="1567" w:type="dxa"/>
            <w:vAlign w:val="top"/>
          </w:tcPr>
          <w:p w14:paraId="33D1707C">
            <w:pPr>
              <w:pStyle w:val="27"/>
              <w:rPr>
                <w:rFonts w:hint="eastAsia" w:ascii="宋体" w:hAnsi="宋体" w:eastAsia="宋体" w:cs="宋体"/>
                <w:color w:val="auto"/>
                <w:sz w:val="21"/>
                <w:szCs w:val="21"/>
                <w:highlight w:val="none"/>
              </w:rPr>
            </w:pPr>
          </w:p>
        </w:tc>
        <w:tc>
          <w:tcPr>
            <w:tcW w:w="1017" w:type="dxa"/>
            <w:vAlign w:val="top"/>
          </w:tcPr>
          <w:p w14:paraId="4EA01CAF">
            <w:pPr>
              <w:pStyle w:val="27"/>
              <w:rPr>
                <w:rFonts w:hint="eastAsia" w:ascii="宋体" w:hAnsi="宋体" w:eastAsia="宋体" w:cs="宋体"/>
                <w:color w:val="auto"/>
                <w:sz w:val="21"/>
                <w:szCs w:val="21"/>
                <w:highlight w:val="none"/>
              </w:rPr>
            </w:pPr>
          </w:p>
        </w:tc>
        <w:tc>
          <w:tcPr>
            <w:tcW w:w="1002" w:type="dxa"/>
            <w:vAlign w:val="top"/>
          </w:tcPr>
          <w:p w14:paraId="784E4E86">
            <w:pPr>
              <w:pStyle w:val="27"/>
              <w:rPr>
                <w:rFonts w:hint="eastAsia" w:ascii="宋体" w:hAnsi="宋体" w:eastAsia="宋体" w:cs="宋体"/>
                <w:color w:val="auto"/>
                <w:sz w:val="21"/>
                <w:szCs w:val="21"/>
                <w:highlight w:val="none"/>
              </w:rPr>
            </w:pPr>
          </w:p>
        </w:tc>
        <w:tc>
          <w:tcPr>
            <w:tcW w:w="1551" w:type="dxa"/>
            <w:vAlign w:val="top"/>
          </w:tcPr>
          <w:p w14:paraId="5F4F3964">
            <w:pPr>
              <w:pStyle w:val="27"/>
              <w:rPr>
                <w:rFonts w:hint="eastAsia" w:ascii="宋体" w:hAnsi="宋体" w:eastAsia="宋体" w:cs="宋体"/>
                <w:color w:val="auto"/>
                <w:sz w:val="21"/>
                <w:szCs w:val="21"/>
                <w:highlight w:val="none"/>
              </w:rPr>
            </w:pPr>
          </w:p>
        </w:tc>
        <w:tc>
          <w:tcPr>
            <w:tcW w:w="1926" w:type="dxa"/>
            <w:vAlign w:val="top"/>
          </w:tcPr>
          <w:p w14:paraId="7E0A4FFA">
            <w:pPr>
              <w:pStyle w:val="27"/>
              <w:rPr>
                <w:rFonts w:hint="eastAsia" w:ascii="宋体" w:hAnsi="宋体" w:eastAsia="宋体" w:cs="宋体"/>
                <w:color w:val="auto"/>
                <w:sz w:val="21"/>
                <w:szCs w:val="21"/>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634" w:type="dxa"/>
            <w:vAlign w:val="top"/>
          </w:tcPr>
          <w:p w14:paraId="2ACB0DD0">
            <w:pPr>
              <w:spacing w:before="187" w:line="195" w:lineRule="auto"/>
              <w:ind w:left="2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项目技术负责人</w:t>
            </w:r>
          </w:p>
        </w:tc>
        <w:tc>
          <w:tcPr>
            <w:tcW w:w="1567" w:type="dxa"/>
            <w:vAlign w:val="top"/>
          </w:tcPr>
          <w:p w14:paraId="101658E3">
            <w:pPr>
              <w:pStyle w:val="27"/>
              <w:rPr>
                <w:rFonts w:hint="eastAsia" w:ascii="宋体" w:hAnsi="宋体" w:eastAsia="宋体" w:cs="宋体"/>
                <w:color w:val="auto"/>
                <w:sz w:val="21"/>
                <w:szCs w:val="21"/>
                <w:highlight w:val="none"/>
              </w:rPr>
            </w:pPr>
          </w:p>
        </w:tc>
        <w:tc>
          <w:tcPr>
            <w:tcW w:w="1017" w:type="dxa"/>
            <w:vAlign w:val="top"/>
          </w:tcPr>
          <w:p w14:paraId="13CFB6FB">
            <w:pPr>
              <w:pStyle w:val="27"/>
              <w:rPr>
                <w:rFonts w:hint="eastAsia" w:ascii="宋体" w:hAnsi="宋体" w:eastAsia="宋体" w:cs="宋体"/>
                <w:color w:val="auto"/>
                <w:sz w:val="21"/>
                <w:szCs w:val="21"/>
                <w:highlight w:val="none"/>
              </w:rPr>
            </w:pPr>
          </w:p>
        </w:tc>
        <w:tc>
          <w:tcPr>
            <w:tcW w:w="1002" w:type="dxa"/>
            <w:vAlign w:val="top"/>
          </w:tcPr>
          <w:p w14:paraId="01708B9A">
            <w:pPr>
              <w:pStyle w:val="27"/>
              <w:rPr>
                <w:rFonts w:hint="eastAsia" w:ascii="宋体" w:hAnsi="宋体" w:eastAsia="宋体" w:cs="宋体"/>
                <w:color w:val="auto"/>
                <w:sz w:val="21"/>
                <w:szCs w:val="21"/>
                <w:highlight w:val="none"/>
              </w:rPr>
            </w:pPr>
          </w:p>
        </w:tc>
        <w:tc>
          <w:tcPr>
            <w:tcW w:w="1551" w:type="dxa"/>
            <w:vAlign w:val="top"/>
          </w:tcPr>
          <w:p w14:paraId="2DA12024">
            <w:pPr>
              <w:pStyle w:val="27"/>
              <w:rPr>
                <w:rFonts w:hint="eastAsia" w:ascii="宋体" w:hAnsi="宋体" w:eastAsia="宋体" w:cs="宋体"/>
                <w:color w:val="auto"/>
                <w:sz w:val="21"/>
                <w:szCs w:val="21"/>
                <w:highlight w:val="none"/>
              </w:rPr>
            </w:pPr>
          </w:p>
        </w:tc>
        <w:tc>
          <w:tcPr>
            <w:tcW w:w="1926" w:type="dxa"/>
            <w:vAlign w:val="top"/>
          </w:tcPr>
          <w:p w14:paraId="7E36E9CF">
            <w:pPr>
              <w:pStyle w:val="27"/>
              <w:rPr>
                <w:rFonts w:hint="eastAsia" w:ascii="宋体" w:hAnsi="宋体" w:eastAsia="宋体" w:cs="宋体"/>
                <w:color w:val="auto"/>
                <w:sz w:val="21"/>
                <w:szCs w:val="21"/>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专职安全员</w:t>
            </w:r>
          </w:p>
        </w:tc>
        <w:tc>
          <w:tcPr>
            <w:tcW w:w="1567" w:type="dxa"/>
            <w:vAlign w:val="top"/>
          </w:tcPr>
          <w:p w14:paraId="15C126D8">
            <w:pPr>
              <w:pStyle w:val="27"/>
              <w:rPr>
                <w:rFonts w:hint="eastAsia" w:ascii="宋体" w:hAnsi="宋体" w:eastAsia="宋体" w:cs="宋体"/>
                <w:color w:val="auto"/>
                <w:sz w:val="21"/>
                <w:szCs w:val="21"/>
                <w:highlight w:val="none"/>
              </w:rPr>
            </w:pPr>
          </w:p>
        </w:tc>
        <w:tc>
          <w:tcPr>
            <w:tcW w:w="1017" w:type="dxa"/>
            <w:vAlign w:val="top"/>
          </w:tcPr>
          <w:p w14:paraId="7B9FA270">
            <w:pPr>
              <w:pStyle w:val="27"/>
              <w:rPr>
                <w:rFonts w:hint="eastAsia" w:ascii="宋体" w:hAnsi="宋体" w:eastAsia="宋体" w:cs="宋体"/>
                <w:color w:val="auto"/>
                <w:sz w:val="21"/>
                <w:szCs w:val="21"/>
                <w:highlight w:val="none"/>
              </w:rPr>
            </w:pPr>
          </w:p>
        </w:tc>
        <w:tc>
          <w:tcPr>
            <w:tcW w:w="1002" w:type="dxa"/>
            <w:vAlign w:val="top"/>
          </w:tcPr>
          <w:p w14:paraId="1060A9BD">
            <w:pPr>
              <w:pStyle w:val="27"/>
              <w:rPr>
                <w:rFonts w:hint="eastAsia" w:ascii="宋体" w:hAnsi="宋体" w:eastAsia="宋体" w:cs="宋体"/>
                <w:color w:val="auto"/>
                <w:sz w:val="21"/>
                <w:szCs w:val="21"/>
                <w:highlight w:val="none"/>
              </w:rPr>
            </w:pPr>
          </w:p>
        </w:tc>
        <w:tc>
          <w:tcPr>
            <w:tcW w:w="1551" w:type="dxa"/>
            <w:vAlign w:val="top"/>
          </w:tcPr>
          <w:p w14:paraId="5301968F">
            <w:pPr>
              <w:pStyle w:val="27"/>
              <w:rPr>
                <w:rFonts w:hint="eastAsia" w:ascii="宋体" w:hAnsi="宋体" w:eastAsia="宋体" w:cs="宋体"/>
                <w:color w:val="auto"/>
                <w:sz w:val="21"/>
                <w:szCs w:val="21"/>
                <w:highlight w:val="none"/>
              </w:rPr>
            </w:pPr>
          </w:p>
        </w:tc>
        <w:tc>
          <w:tcPr>
            <w:tcW w:w="1926" w:type="dxa"/>
            <w:vAlign w:val="top"/>
          </w:tcPr>
          <w:p w14:paraId="6D41F555">
            <w:pPr>
              <w:pStyle w:val="27"/>
              <w:rPr>
                <w:rFonts w:hint="eastAsia" w:ascii="宋体" w:hAnsi="宋体" w:eastAsia="宋体" w:cs="宋体"/>
                <w:color w:val="auto"/>
                <w:sz w:val="21"/>
                <w:szCs w:val="21"/>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施工员</w:t>
            </w:r>
          </w:p>
        </w:tc>
        <w:tc>
          <w:tcPr>
            <w:tcW w:w="1567" w:type="dxa"/>
            <w:vAlign w:val="top"/>
          </w:tcPr>
          <w:p w14:paraId="18E417E4">
            <w:pPr>
              <w:pStyle w:val="27"/>
              <w:rPr>
                <w:rFonts w:hint="eastAsia" w:ascii="宋体" w:hAnsi="宋体" w:eastAsia="宋体" w:cs="宋体"/>
                <w:color w:val="auto"/>
                <w:sz w:val="21"/>
                <w:szCs w:val="21"/>
                <w:highlight w:val="none"/>
              </w:rPr>
            </w:pPr>
          </w:p>
        </w:tc>
        <w:tc>
          <w:tcPr>
            <w:tcW w:w="1017" w:type="dxa"/>
            <w:vAlign w:val="top"/>
          </w:tcPr>
          <w:p w14:paraId="34BD54A5">
            <w:pPr>
              <w:pStyle w:val="27"/>
              <w:rPr>
                <w:rFonts w:hint="eastAsia" w:ascii="宋体" w:hAnsi="宋体" w:eastAsia="宋体" w:cs="宋体"/>
                <w:color w:val="auto"/>
                <w:sz w:val="21"/>
                <w:szCs w:val="21"/>
                <w:highlight w:val="none"/>
              </w:rPr>
            </w:pPr>
          </w:p>
        </w:tc>
        <w:tc>
          <w:tcPr>
            <w:tcW w:w="1002" w:type="dxa"/>
            <w:vAlign w:val="top"/>
          </w:tcPr>
          <w:p w14:paraId="35F0DD07">
            <w:pPr>
              <w:pStyle w:val="27"/>
              <w:rPr>
                <w:rFonts w:hint="eastAsia" w:ascii="宋体" w:hAnsi="宋体" w:eastAsia="宋体" w:cs="宋体"/>
                <w:color w:val="auto"/>
                <w:sz w:val="21"/>
                <w:szCs w:val="21"/>
                <w:highlight w:val="none"/>
              </w:rPr>
            </w:pPr>
          </w:p>
        </w:tc>
        <w:tc>
          <w:tcPr>
            <w:tcW w:w="1551" w:type="dxa"/>
            <w:vAlign w:val="top"/>
          </w:tcPr>
          <w:p w14:paraId="267F23C7">
            <w:pPr>
              <w:pStyle w:val="27"/>
              <w:rPr>
                <w:rFonts w:hint="eastAsia" w:ascii="宋体" w:hAnsi="宋体" w:eastAsia="宋体" w:cs="宋体"/>
                <w:color w:val="auto"/>
                <w:sz w:val="21"/>
                <w:szCs w:val="21"/>
                <w:highlight w:val="none"/>
              </w:rPr>
            </w:pPr>
          </w:p>
        </w:tc>
        <w:tc>
          <w:tcPr>
            <w:tcW w:w="1926" w:type="dxa"/>
            <w:vAlign w:val="top"/>
          </w:tcPr>
          <w:p w14:paraId="20919564">
            <w:pPr>
              <w:pStyle w:val="27"/>
              <w:rPr>
                <w:rFonts w:hint="eastAsia" w:ascii="宋体" w:hAnsi="宋体" w:eastAsia="宋体" w:cs="宋体"/>
                <w:color w:val="auto"/>
                <w:sz w:val="21"/>
                <w:szCs w:val="21"/>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质量员</w:t>
            </w:r>
          </w:p>
        </w:tc>
        <w:tc>
          <w:tcPr>
            <w:tcW w:w="1567" w:type="dxa"/>
            <w:vAlign w:val="top"/>
          </w:tcPr>
          <w:p w14:paraId="7AF367BA">
            <w:pPr>
              <w:pStyle w:val="27"/>
              <w:rPr>
                <w:rFonts w:hint="eastAsia" w:ascii="宋体" w:hAnsi="宋体" w:eastAsia="宋体" w:cs="宋体"/>
                <w:color w:val="auto"/>
                <w:sz w:val="21"/>
                <w:szCs w:val="21"/>
                <w:highlight w:val="none"/>
              </w:rPr>
            </w:pPr>
          </w:p>
        </w:tc>
        <w:tc>
          <w:tcPr>
            <w:tcW w:w="1017" w:type="dxa"/>
            <w:vAlign w:val="top"/>
          </w:tcPr>
          <w:p w14:paraId="28C0AB4F">
            <w:pPr>
              <w:pStyle w:val="27"/>
              <w:rPr>
                <w:rFonts w:hint="eastAsia" w:ascii="宋体" w:hAnsi="宋体" w:eastAsia="宋体" w:cs="宋体"/>
                <w:color w:val="auto"/>
                <w:sz w:val="21"/>
                <w:szCs w:val="21"/>
                <w:highlight w:val="none"/>
              </w:rPr>
            </w:pPr>
          </w:p>
        </w:tc>
        <w:tc>
          <w:tcPr>
            <w:tcW w:w="1002" w:type="dxa"/>
            <w:vAlign w:val="top"/>
          </w:tcPr>
          <w:p w14:paraId="4F2CE8AB">
            <w:pPr>
              <w:pStyle w:val="27"/>
              <w:rPr>
                <w:rFonts w:hint="eastAsia" w:ascii="宋体" w:hAnsi="宋体" w:eastAsia="宋体" w:cs="宋体"/>
                <w:color w:val="auto"/>
                <w:sz w:val="21"/>
                <w:szCs w:val="21"/>
                <w:highlight w:val="none"/>
              </w:rPr>
            </w:pPr>
          </w:p>
        </w:tc>
        <w:tc>
          <w:tcPr>
            <w:tcW w:w="1551" w:type="dxa"/>
            <w:vAlign w:val="top"/>
          </w:tcPr>
          <w:p w14:paraId="0E48A750">
            <w:pPr>
              <w:pStyle w:val="27"/>
              <w:rPr>
                <w:rFonts w:hint="eastAsia" w:ascii="宋体" w:hAnsi="宋体" w:eastAsia="宋体" w:cs="宋体"/>
                <w:color w:val="auto"/>
                <w:sz w:val="21"/>
                <w:szCs w:val="21"/>
                <w:highlight w:val="none"/>
              </w:rPr>
            </w:pPr>
          </w:p>
        </w:tc>
        <w:tc>
          <w:tcPr>
            <w:tcW w:w="1926" w:type="dxa"/>
            <w:vAlign w:val="top"/>
          </w:tcPr>
          <w:p w14:paraId="23F7D129">
            <w:pPr>
              <w:pStyle w:val="27"/>
              <w:rPr>
                <w:rFonts w:hint="eastAsia" w:ascii="宋体" w:hAnsi="宋体" w:eastAsia="宋体" w:cs="宋体"/>
                <w:color w:val="auto"/>
                <w:sz w:val="21"/>
                <w:szCs w:val="21"/>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材料员</w:t>
            </w:r>
          </w:p>
        </w:tc>
        <w:tc>
          <w:tcPr>
            <w:tcW w:w="1567" w:type="dxa"/>
            <w:vAlign w:val="top"/>
          </w:tcPr>
          <w:p w14:paraId="7CA93473">
            <w:pPr>
              <w:pStyle w:val="27"/>
              <w:rPr>
                <w:rFonts w:hint="eastAsia" w:ascii="宋体" w:hAnsi="宋体" w:eastAsia="宋体" w:cs="宋体"/>
                <w:color w:val="auto"/>
                <w:sz w:val="21"/>
                <w:szCs w:val="21"/>
                <w:highlight w:val="none"/>
              </w:rPr>
            </w:pPr>
          </w:p>
        </w:tc>
        <w:tc>
          <w:tcPr>
            <w:tcW w:w="1017" w:type="dxa"/>
            <w:vAlign w:val="top"/>
          </w:tcPr>
          <w:p w14:paraId="22CBD8CF">
            <w:pPr>
              <w:pStyle w:val="27"/>
              <w:rPr>
                <w:rFonts w:hint="eastAsia" w:ascii="宋体" w:hAnsi="宋体" w:eastAsia="宋体" w:cs="宋体"/>
                <w:color w:val="auto"/>
                <w:sz w:val="21"/>
                <w:szCs w:val="21"/>
                <w:highlight w:val="none"/>
              </w:rPr>
            </w:pPr>
          </w:p>
        </w:tc>
        <w:tc>
          <w:tcPr>
            <w:tcW w:w="1002" w:type="dxa"/>
            <w:vAlign w:val="top"/>
          </w:tcPr>
          <w:p w14:paraId="215EF28A">
            <w:pPr>
              <w:pStyle w:val="27"/>
              <w:rPr>
                <w:rFonts w:hint="eastAsia" w:ascii="宋体" w:hAnsi="宋体" w:eastAsia="宋体" w:cs="宋体"/>
                <w:color w:val="auto"/>
                <w:sz w:val="21"/>
                <w:szCs w:val="21"/>
                <w:highlight w:val="none"/>
              </w:rPr>
            </w:pPr>
          </w:p>
        </w:tc>
        <w:tc>
          <w:tcPr>
            <w:tcW w:w="1551" w:type="dxa"/>
            <w:vAlign w:val="top"/>
          </w:tcPr>
          <w:p w14:paraId="4B59D5A3">
            <w:pPr>
              <w:pStyle w:val="27"/>
              <w:rPr>
                <w:rFonts w:hint="eastAsia" w:ascii="宋体" w:hAnsi="宋体" w:eastAsia="宋体" w:cs="宋体"/>
                <w:color w:val="auto"/>
                <w:sz w:val="21"/>
                <w:szCs w:val="21"/>
                <w:highlight w:val="none"/>
              </w:rPr>
            </w:pPr>
          </w:p>
        </w:tc>
        <w:tc>
          <w:tcPr>
            <w:tcW w:w="1926" w:type="dxa"/>
            <w:vAlign w:val="top"/>
          </w:tcPr>
          <w:p w14:paraId="6D3A902C">
            <w:pPr>
              <w:pStyle w:val="27"/>
              <w:rPr>
                <w:rFonts w:hint="eastAsia" w:ascii="宋体" w:hAnsi="宋体" w:eastAsia="宋体" w:cs="宋体"/>
                <w:color w:val="auto"/>
                <w:sz w:val="21"/>
                <w:szCs w:val="21"/>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资料员</w:t>
            </w:r>
          </w:p>
        </w:tc>
        <w:tc>
          <w:tcPr>
            <w:tcW w:w="1567" w:type="dxa"/>
            <w:vAlign w:val="top"/>
          </w:tcPr>
          <w:p w14:paraId="7F6F6292">
            <w:pPr>
              <w:pStyle w:val="27"/>
              <w:rPr>
                <w:rFonts w:hint="eastAsia" w:ascii="宋体" w:hAnsi="宋体" w:eastAsia="宋体" w:cs="宋体"/>
                <w:color w:val="auto"/>
                <w:sz w:val="21"/>
                <w:szCs w:val="21"/>
                <w:highlight w:val="none"/>
              </w:rPr>
            </w:pPr>
          </w:p>
        </w:tc>
        <w:tc>
          <w:tcPr>
            <w:tcW w:w="1017" w:type="dxa"/>
            <w:vAlign w:val="top"/>
          </w:tcPr>
          <w:p w14:paraId="6F5A3CD1">
            <w:pPr>
              <w:pStyle w:val="27"/>
              <w:rPr>
                <w:rFonts w:hint="eastAsia" w:ascii="宋体" w:hAnsi="宋体" w:eastAsia="宋体" w:cs="宋体"/>
                <w:color w:val="auto"/>
                <w:sz w:val="21"/>
                <w:szCs w:val="21"/>
                <w:highlight w:val="none"/>
              </w:rPr>
            </w:pPr>
          </w:p>
        </w:tc>
        <w:tc>
          <w:tcPr>
            <w:tcW w:w="1002" w:type="dxa"/>
            <w:vAlign w:val="top"/>
          </w:tcPr>
          <w:p w14:paraId="0A3F0696">
            <w:pPr>
              <w:pStyle w:val="27"/>
              <w:rPr>
                <w:rFonts w:hint="eastAsia" w:ascii="宋体" w:hAnsi="宋体" w:eastAsia="宋体" w:cs="宋体"/>
                <w:color w:val="auto"/>
                <w:sz w:val="21"/>
                <w:szCs w:val="21"/>
                <w:highlight w:val="none"/>
              </w:rPr>
            </w:pPr>
          </w:p>
        </w:tc>
        <w:tc>
          <w:tcPr>
            <w:tcW w:w="1551" w:type="dxa"/>
            <w:vAlign w:val="top"/>
          </w:tcPr>
          <w:p w14:paraId="33CF7C3A">
            <w:pPr>
              <w:pStyle w:val="27"/>
              <w:rPr>
                <w:rFonts w:hint="eastAsia" w:ascii="宋体" w:hAnsi="宋体" w:eastAsia="宋体" w:cs="宋体"/>
                <w:color w:val="auto"/>
                <w:sz w:val="21"/>
                <w:szCs w:val="21"/>
                <w:highlight w:val="none"/>
              </w:rPr>
            </w:pPr>
          </w:p>
        </w:tc>
        <w:tc>
          <w:tcPr>
            <w:tcW w:w="1926" w:type="dxa"/>
            <w:vAlign w:val="top"/>
          </w:tcPr>
          <w:p w14:paraId="2FDF9A49">
            <w:pPr>
              <w:pStyle w:val="27"/>
              <w:rPr>
                <w:rFonts w:hint="eastAsia" w:ascii="宋体" w:hAnsi="宋体" w:eastAsia="宋体" w:cs="宋体"/>
                <w:color w:val="auto"/>
                <w:sz w:val="21"/>
                <w:szCs w:val="21"/>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1"/>
                <w:szCs w:val="21"/>
                <w:highlight w:val="none"/>
              </w:rPr>
            </w:pPr>
            <w:r>
              <w:rPr>
                <w:rFonts w:hint="eastAsia" w:ascii="宋体" w:hAnsi="宋体" w:eastAsia="宋体" w:cs="宋体"/>
                <w:color w:val="auto"/>
                <w:spacing w:val="-2"/>
                <w:position w:val="3"/>
                <w:sz w:val="21"/>
                <w:szCs w:val="21"/>
                <w:highlight w:val="none"/>
              </w:rPr>
              <w:t>……</w:t>
            </w:r>
          </w:p>
        </w:tc>
        <w:tc>
          <w:tcPr>
            <w:tcW w:w="1939" w:type="dxa"/>
            <w:vAlign w:val="top"/>
          </w:tcPr>
          <w:p w14:paraId="6C0AA321">
            <w:pPr>
              <w:pStyle w:val="27"/>
              <w:rPr>
                <w:rFonts w:hint="eastAsia" w:ascii="宋体" w:hAnsi="宋体" w:eastAsia="宋体" w:cs="宋体"/>
                <w:color w:val="auto"/>
                <w:sz w:val="21"/>
                <w:szCs w:val="21"/>
                <w:highlight w:val="none"/>
              </w:rPr>
            </w:pPr>
          </w:p>
        </w:tc>
        <w:tc>
          <w:tcPr>
            <w:tcW w:w="1567" w:type="dxa"/>
            <w:vAlign w:val="top"/>
          </w:tcPr>
          <w:p w14:paraId="6B481C93">
            <w:pPr>
              <w:pStyle w:val="27"/>
              <w:rPr>
                <w:rFonts w:hint="eastAsia" w:ascii="宋体" w:hAnsi="宋体" w:eastAsia="宋体" w:cs="宋体"/>
                <w:color w:val="auto"/>
                <w:sz w:val="21"/>
                <w:szCs w:val="21"/>
                <w:highlight w:val="none"/>
              </w:rPr>
            </w:pPr>
          </w:p>
        </w:tc>
        <w:tc>
          <w:tcPr>
            <w:tcW w:w="1017" w:type="dxa"/>
            <w:vAlign w:val="top"/>
          </w:tcPr>
          <w:p w14:paraId="2186C8F6">
            <w:pPr>
              <w:pStyle w:val="27"/>
              <w:rPr>
                <w:rFonts w:hint="eastAsia" w:ascii="宋体" w:hAnsi="宋体" w:eastAsia="宋体" w:cs="宋体"/>
                <w:color w:val="auto"/>
                <w:sz w:val="21"/>
                <w:szCs w:val="21"/>
                <w:highlight w:val="none"/>
              </w:rPr>
            </w:pPr>
          </w:p>
        </w:tc>
        <w:tc>
          <w:tcPr>
            <w:tcW w:w="1002" w:type="dxa"/>
            <w:vAlign w:val="top"/>
          </w:tcPr>
          <w:p w14:paraId="458500AA">
            <w:pPr>
              <w:pStyle w:val="27"/>
              <w:rPr>
                <w:rFonts w:hint="eastAsia" w:ascii="宋体" w:hAnsi="宋体" w:eastAsia="宋体" w:cs="宋体"/>
                <w:color w:val="auto"/>
                <w:sz w:val="21"/>
                <w:szCs w:val="21"/>
                <w:highlight w:val="none"/>
              </w:rPr>
            </w:pPr>
          </w:p>
        </w:tc>
        <w:tc>
          <w:tcPr>
            <w:tcW w:w="1551" w:type="dxa"/>
            <w:vAlign w:val="top"/>
          </w:tcPr>
          <w:p w14:paraId="69CC634F">
            <w:pPr>
              <w:pStyle w:val="27"/>
              <w:rPr>
                <w:rFonts w:hint="eastAsia" w:ascii="宋体" w:hAnsi="宋体" w:eastAsia="宋体" w:cs="宋体"/>
                <w:color w:val="auto"/>
                <w:sz w:val="21"/>
                <w:szCs w:val="21"/>
                <w:highlight w:val="none"/>
              </w:rPr>
            </w:pPr>
          </w:p>
        </w:tc>
        <w:tc>
          <w:tcPr>
            <w:tcW w:w="1926" w:type="dxa"/>
            <w:vAlign w:val="top"/>
          </w:tcPr>
          <w:p w14:paraId="0E3F8717">
            <w:pPr>
              <w:pStyle w:val="27"/>
              <w:rPr>
                <w:rFonts w:hint="eastAsia" w:ascii="宋体" w:hAnsi="宋体" w:eastAsia="宋体" w:cs="宋体"/>
                <w:color w:val="auto"/>
                <w:sz w:val="21"/>
                <w:szCs w:val="21"/>
                <w:highlight w:val="none"/>
              </w:rPr>
            </w:pPr>
          </w:p>
        </w:tc>
      </w:tr>
    </w:tbl>
    <w:p w14:paraId="2C506F4A">
      <w:pPr>
        <w:pStyle w:val="6"/>
        <w:spacing w:line="395" w:lineRule="auto"/>
        <w:rPr>
          <w:rFonts w:hint="eastAsia" w:ascii="宋体" w:hAnsi="宋体" w:eastAsia="宋体" w:cs="宋体"/>
          <w:color w:val="auto"/>
          <w:sz w:val="21"/>
          <w:szCs w:val="21"/>
          <w:highlight w:val="none"/>
        </w:rPr>
      </w:pPr>
    </w:p>
    <w:p w14:paraId="48D3ED77">
      <w:pPr>
        <w:spacing w:before="65" w:line="228" w:lineRule="auto"/>
        <w:ind w:left="43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说明：</w:t>
      </w:r>
    </w:p>
    <w:p w14:paraId="3E8C578A">
      <w:pPr>
        <w:spacing w:before="153" w:line="228" w:lineRule="auto"/>
        <w:ind w:firstLine="436"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4"/>
          <w:sz w:val="21"/>
          <w:szCs w:val="21"/>
          <w:highlight w:val="none"/>
        </w:rPr>
        <w:t>．《项目管理机构组成表》后应附表中拟派人</w:t>
      </w:r>
      <w:r>
        <w:rPr>
          <w:rFonts w:hint="eastAsia" w:ascii="宋体" w:hAnsi="宋体" w:eastAsia="宋体" w:cs="宋体"/>
          <w:color w:val="auto"/>
          <w:spacing w:val="3"/>
          <w:sz w:val="21"/>
          <w:szCs w:val="21"/>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身份证彩色扫描件；</w:t>
      </w:r>
    </w:p>
    <w:p w14:paraId="53B8EA83">
      <w:pPr>
        <w:spacing w:before="152" w:line="228" w:lineRule="auto"/>
        <w:ind w:left="42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lang w:val="en-US" w:eastAsia="zh-CN"/>
        </w:rPr>
        <w:t>2</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9"/>
          <w:sz w:val="21"/>
          <w:szCs w:val="21"/>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在本单位缴纳社保的证明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至少为近3个月内任意1个月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8"/>
          <w:sz w:val="21"/>
          <w:szCs w:val="21"/>
          <w:highlight w:val="none"/>
        </w:rPr>
        <w:t>彩色扫描件</w:t>
      </w:r>
      <w:r>
        <w:rPr>
          <w:rFonts w:hint="eastAsia" w:ascii="宋体" w:hAnsi="宋体" w:eastAsia="宋体" w:cs="宋体"/>
          <w:color w:val="auto"/>
          <w:spacing w:val="8"/>
          <w:sz w:val="21"/>
          <w:szCs w:val="21"/>
          <w:highlight w:val="none"/>
          <w:lang w:val="en-US" w:eastAsia="zh-CN"/>
        </w:rPr>
        <w:t>或打印件</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拟派项目技术负责人为退休返聘人员无法提供社</w:t>
      </w:r>
      <w:r>
        <w:rPr>
          <w:rFonts w:hint="eastAsia" w:ascii="宋体" w:hAnsi="宋体" w:eastAsia="宋体" w:cs="宋体"/>
          <w:color w:val="auto"/>
          <w:spacing w:val="9"/>
          <w:sz w:val="21"/>
          <w:szCs w:val="21"/>
          <w:highlight w:val="none"/>
        </w:rPr>
        <w:t>保证明的，提供退休证和</w:t>
      </w:r>
      <w:r>
        <w:rPr>
          <w:rFonts w:hint="eastAsia" w:ascii="宋体" w:hAnsi="宋体" w:eastAsia="宋体" w:cs="宋体"/>
          <w:color w:val="auto"/>
          <w:spacing w:val="9"/>
          <w:sz w:val="21"/>
          <w:szCs w:val="21"/>
          <w:highlight w:val="none"/>
          <w:lang w:val="en-US" w:eastAsia="zh-CN"/>
        </w:rPr>
        <w:t>返聘协议</w:t>
      </w:r>
      <w:r>
        <w:rPr>
          <w:rFonts w:hint="eastAsia" w:ascii="宋体" w:hAnsi="宋体" w:eastAsia="宋体" w:cs="宋体"/>
          <w:color w:val="auto"/>
          <w:spacing w:val="9"/>
          <w:sz w:val="21"/>
          <w:szCs w:val="21"/>
          <w:highlight w:val="none"/>
        </w:rPr>
        <w:t>彩色扫描件。</w:t>
      </w:r>
    </w:p>
    <w:p w14:paraId="2488CB38">
      <w:pPr>
        <w:spacing w:before="152" w:line="228" w:lineRule="auto"/>
        <w:ind w:left="0" w:leftChars="0" w:firstLine="370" w:firstLineChars="164"/>
        <w:rPr>
          <w:rFonts w:hint="eastAsia" w:ascii="宋体" w:hAnsi="宋体" w:eastAsia="宋体" w:cs="宋体"/>
          <w:color w:val="auto"/>
          <w:spacing w:val="9"/>
          <w:sz w:val="21"/>
          <w:szCs w:val="21"/>
          <w:highlight w:val="none"/>
        </w:rPr>
      </w:pPr>
      <w:r>
        <w:rPr>
          <w:rFonts w:hint="eastAsia" w:ascii="宋体" w:hAnsi="宋体" w:eastAsia="宋体" w:cs="宋体"/>
          <w:color w:val="auto"/>
          <w:spacing w:val="8"/>
          <w:sz w:val="21"/>
          <w:szCs w:val="21"/>
          <w:highlight w:val="none"/>
        </w:rPr>
        <w:t>（4）</w:t>
      </w:r>
      <w:r>
        <w:rPr>
          <w:rFonts w:hint="eastAsia" w:ascii="宋体" w:hAnsi="宋体" w:eastAsia="宋体" w:cs="宋体"/>
          <w:color w:val="auto"/>
          <w:spacing w:val="9"/>
          <w:sz w:val="21"/>
          <w:szCs w:val="21"/>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val="en-US" w:eastAsia="zh-CN"/>
        </w:rPr>
        <w:t>2.</w:t>
      </w:r>
      <w:r>
        <w:rPr>
          <w:rFonts w:hint="eastAsia" w:ascii="宋体" w:hAnsi="宋体" w:eastAsia="宋体" w:cs="宋体"/>
          <w:color w:val="auto"/>
          <w:spacing w:val="8"/>
          <w:sz w:val="21"/>
          <w:szCs w:val="21"/>
          <w:highlight w:val="none"/>
        </w:rPr>
        <w:t>联合体投标的，《项目管理机构组成表》应包括联合体成员单位参与项目管理</w:t>
      </w:r>
      <w:r>
        <w:rPr>
          <w:rFonts w:hint="eastAsia" w:ascii="宋体" w:hAnsi="宋体" w:eastAsia="宋体" w:cs="宋体"/>
          <w:color w:val="auto"/>
          <w:spacing w:val="7"/>
          <w:sz w:val="21"/>
          <w:szCs w:val="21"/>
          <w:highlight w:val="none"/>
        </w:rPr>
        <w:t>机构的人员，并提供以上所需资料。</w:t>
      </w:r>
    </w:p>
    <w:p w14:paraId="270AB728">
      <w:pPr>
        <w:pStyle w:val="6"/>
        <w:spacing w:line="248" w:lineRule="auto"/>
        <w:rPr>
          <w:rFonts w:hint="eastAsia" w:ascii="宋体" w:hAnsi="宋体" w:eastAsia="宋体" w:cs="宋体"/>
          <w:color w:val="auto"/>
          <w:sz w:val="21"/>
          <w:szCs w:val="21"/>
          <w:highlight w:val="none"/>
        </w:rPr>
      </w:pPr>
    </w:p>
    <w:p w14:paraId="67BB345D">
      <w:pPr>
        <w:pStyle w:val="6"/>
        <w:spacing w:line="248" w:lineRule="auto"/>
        <w:rPr>
          <w:rFonts w:hint="eastAsia" w:ascii="宋体" w:hAnsi="宋体" w:eastAsia="宋体" w:cs="宋体"/>
          <w:color w:val="auto"/>
          <w:sz w:val="21"/>
          <w:szCs w:val="21"/>
          <w:highlight w:val="none"/>
        </w:rPr>
      </w:pPr>
    </w:p>
    <w:p w14:paraId="7B06C124">
      <w:pPr>
        <w:pStyle w:val="6"/>
        <w:spacing w:line="248" w:lineRule="auto"/>
        <w:rPr>
          <w:rFonts w:hint="eastAsia" w:ascii="宋体" w:hAnsi="宋体" w:eastAsia="宋体" w:cs="宋体"/>
          <w:color w:val="auto"/>
          <w:highlight w:val="none"/>
        </w:rPr>
      </w:pPr>
    </w:p>
    <w:p w14:paraId="4D41C197">
      <w:pPr>
        <w:pStyle w:val="6"/>
        <w:spacing w:line="248" w:lineRule="auto"/>
        <w:rPr>
          <w:rFonts w:hint="eastAsia" w:ascii="宋体" w:hAnsi="宋体" w:eastAsia="宋体" w:cs="宋体"/>
          <w:color w:val="auto"/>
          <w:highlight w:val="none"/>
        </w:rPr>
      </w:pPr>
    </w:p>
    <w:p w14:paraId="0245D7E5">
      <w:pPr>
        <w:pStyle w:val="6"/>
        <w:spacing w:line="248" w:lineRule="auto"/>
        <w:rPr>
          <w:rFonts w:hint="eastAsia" w:ascii="宋体" w:hAnsi="宋体" w:eastAsia="宋体" w:cs="宋体"/>
          <w:color w:val="auto"/>
          <w:highlight w:val="none"/>
        </w:rPr>
      </w:pPr>
    </w:p>
    <w:p w14:paraId="3D808D06">
      <w:pPr>
        <w:pStyle w:val="6"/>
        <w:spacing w:line="248" w:lineRule="auto"/>
        <w:rPr>
          <w:rFonts w:hint="eastAsia" w:ascii="宋体" w:hAnsi="宋体" w:eastAsia="宋体" w:cs="宋体"/>
          <w:color w:val="auto"/>
          <w:highlight w:val="none"/>
        </w:rPr>
      </w:pPr>
    </w:p>
    <w:p w14:paraId="37F9C6D3">
      <w:pPr>
        <w:pStyle w:val="6"/>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7" w:name="_Toc21330"/>
      <w:r>
        <w:rPr>
          <w:rFonts w:hint="eastAsia" w:ascii="宋体" w:hAnsi="宋体" w:eastAsia="宋体" w:cs="宋体"/>
          <w:b/>
          <w:bCs/>
          <w:color w:val="auto"/>
          <w:spacing w:val="-4"/>
          <w:sz w:val="24"/>
          <w:szCs w:val="24"/>
          <w:highlight w:val="none"/>
        </w:rPr>
        <w:t>格式十二 建造师查询页（有效期+建造师签字）</w:t>
      </w:r>
      <w:bookmarkEnd w:id="267"/>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27"/>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28"/>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8" w:name="_Toc3204"/>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8"/>
    </w:p>
    <w:p w14:paraId="4A8056AD">
      <w:pPr>
        <w:pStyle w:val="6"/>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default" w:ascii="宋体" w:hAnsi="宋体" w:eastAsia="宋体" w:cs="宋体"/>
          <w:color w:val="auto"/>
          <w:sz w:val="31"/>
          <w:szCs w:val="31"/>
          <w:highlight w:val="none"/>
          <w:lang w:val="en-US" w:eastAsia="zh-CN"/>
        </w:rPr>
      </w:pPr>
      <w:bookmarkStart w:id="269" w:name="bookmark160"/>
      <w:bookmarkEnd w:id="269"/>
      <w:bookmarkStart w:id="270"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70"/>
    <w:p w14:paraId="73F326BD">
      <w:pPr>
        <w:spacing w:before="6" w:line="326" w:lineRule="auto"/>
        <w:ind w:left="5" w:firstLine="49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eastAsia="zh-CN"/>
        </w:rPr>
        <w:t>1.</w:t>
      </w:r>
      <w:r>
        <w:rPr>
          <w:rFonts w:hint="eastAsia" w:ascii="宋体" w:hAnsi="宋体" w:eastAsia="宋体" w:cs="宋体"/>
          <w:color w:val="auto"/>
          <w:spacing w:val="-1"/>
          <w:sz w:val="21"/>
          <w:szCs w:val="21"/>
          <w:highlight w:val="none"/>
        </w:rPr>
        <w:t>根据中华人民共和国住房和城乡建设部令第37号《危险性较大的分部分项工程</w:t>
      </w:r>
      <w:r>
        <w:rPr>
          <w:rFonts w:hint="eastAsia" w:ascii="宋体" w:hAnsi="宋体" w:eastAsia="宋体" w:cs="宋体"/>
          <w:color w:val="auto"/>
          <w:spacing w:val="-2"/>
          <w:sz w:val="21"/>
          <w:szCs w:val="21"/>
          <w:highlight w:val="none"/>
        </w:rPr>
        <w:t>安全管理规定》（以下简称“37号文</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投标人在投标时须补充完善危大工程清单并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明确相应的安全管理措施。</w:t>
      </w:r>
    </w:p>
    <w:p w14:paraId="1DC88D33">
      <w:pPr>
        <w:spacing w:before="208" w:line="326" w:lineRule="auto"/>
        <w:ind w:left="1"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eastAsia="zh-CN"/>
        </w:rPr>
        <w:t>2.</w:t>
      </w:r>
      <w:r>
        <w:rPr>
          <w:rFonts w:hint="eastAsia" w:ascii="宋体" w:hAnsi="宋体" w:eastAsia="宋体" w:cs="宋体"/>
          <w:color w:val="auto"/>
          <w:spacing w:val="-2"/>
          <w:sz w:val="21"/>
          <w:szCs w:val="21"/>
          <w:highlight w:val="none"/>
        </w:rPr>
        <w:t>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1"/>
          <w:szCs w:val="21"/>
          <w:highlight w:val="none"/>
        </w:rPr>
        <w:t>险性较大的分部分项工程清单</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”中与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本招标项目相关的清单项，具体详见第5点“打</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”标识。</w:t>
      </w:r>
    </w:p>
    <w:p w14:paraId="360030D3">
      <w:pPr>
        <w:spacing w:before="209" w:line="299" w:lineRule="auto"/>
        <w:ind w:left="3" w:right="72" w:firstLine="48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（1）投标单位同意建设单位在清单中标识的该</w:t>
      </w:r>
      <w:r>
        <w:rPr>
          <w:rFonts w:hint="eastAsia" w:ascii="宋体" w:hAnsi="宋体" w:eastAsia="宋体" w:cs="宋体"/>
          <w:color w:val="auto"/>
          <w:spacing w:val="-4"/>
          <w:sz w:val="21"/>
          <w:szCs w:val="21"/>
          <w:highlight w:val="none"/>
        </w:rPr>
        <w:t>项请在对应项打“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w:t>
      </w:r>
      <w:r>
        <w:rPr>
          <w:rFonts w:hint="eastAsia" w:ascii="宋体" w:hAnsi="宋体" w:eastAsia="宋体" w:cs="宋体"/>
          <w:color w:val="auto"/>
          <w:spacing w:val="-4"/>
          <w:sz w:val="21"/>
          <w:szCs w:val="21"/>
          <w:highlight w:val="none"/>
          <w:lang w:eastAsia="zh-CN"/>
        </w:rPr>
        <w:t>于</w:t>
      </w:r>
      <w:r>
        <w:rPr>
          <w:rFonts w:hint="eastAsia" w:ascii="宋体" w:hAnsi="宋体" w:eastAsia="宋体" w:cs="宋体"/>
          <w:color w:val="auto"/>
          <w:spacing w:val="-1"/>
          <w:sz w:val="21"/>
          <w:szCs w:val="21"/>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（2）投标单位对清单中认为需要补充的该项请</w:t>
      </w:r>
      <w:r>
        <w:rPr>
          <w:rFonts w:hint="eastAsia" w:ascii="宋体" w:hAnsi="宋体" w:eastAsia="宋体" w:cs="宋体"/>
          <w:color w:val="auto"/>
          <w:spacing w:val="-4"/>
          <w:sz w:val="21"/>
          <w:szCs w:val="21"/>
          <w:highlight w:val="none"/>
        </w:rPr>
        <w:t>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w:t>
      </w:r>
      <w:r>
        <w:rPr>
          <w:rFonts w:hint="eastAsia" w:ascii="宋体" w:hAnsi="宋体" w:eastAsia="宋体" w:cs="宋体"/>
          <w:color w:val="auto"/>
          <w:spacing w:val="-4"/>
          <w:sz w:val="21"/>
          <w:szCs w:val="21"/>
          <w:highlight w:val="none"/>
          <w:lang w:eastAsia="zh-CN"/>
        </w:rPr>
        <w:t>于</w:t>
      </w:r>
      <w:r>
        <w:rPr>
          <w:rFonts w:hint="eastAsia" w:ascii="宋体" w:hAnsi="宋体" w:eastAsia="宋体" w:cs="宋体"/>
          <w:color w:val="auto"/>
          <w:spacing w:val="-4"/>
          <w:sz w:val="21"/>
          <w:szCs w:val="21"/>
          <w:highlight w:val="none"/>
        </w:rPr>
        <w:t>投标</w:t>
      </w:r>
      <w:r>
        <w:rPr>
          <w:rFonts w:hint="eastAsia" w:ascii="宋体" w:hAnsi="宋体" w:eastAsia="宋体" w:cs="宋体"/>
          <w:color w:val="auto"/>
          <w:spacing w:val="-1"/>
          <w:sz w:val="21"/>
          <w:szCs w:val="21"/>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（3）投标单位不同意建设单位在清单中标识的该项请在对应项打“</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”标识，并</w:t>
      </w:r>
      <w:r>
        <w:rPr>
          <w:rFonts w:hint="eastAsia" w:ascii="宋体" w:hAnsi="宋体" w:eastAsia="宋体" w:cs="宋体"/>
          <w:color w:val="auto"/>
          <w:spacing w:val="-1"/>
          <w:sz w:val="21"/>
          <w:szCs w:val="21"/>
          <w:highlight w:val="none"/>
        </w:rPr>
        <w:t>在备注栏填上相关说明。</w:t>
      </w:r>
    </w:p>
    <w:p w14:paraId="34A6CA4A">
      <w:pPr>
        <w:spacing w:before="207" w:line="371" w:lineRule="auto"/>
        <w:ind w:firstLine="484"/>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u w:val="single"/>
          <w:lang w:eastAsia="zh-CN"/>
        </w:rPr>
        <w:t>3.</w:t>
      </w:r>
      <w:r>
        <w:rPr>
          <w:rFonts w:hint="eastAsia" w:ascii="宋体" w:hAnsi="宋体" w:eastAsia="宋体" w:cs="宋体"/>
          <w:b/>
          <w:bCs/>
          <w:color w:val="auto"/>
          <w:spacing w:val="-4"/>
          <w:sz w:val="21"/>
          <w:szCs w:val="21"/>
          <w:highlight w:val="none"/>
          <w:u w:val="single"/>
        </w:rPr>
        <w:t>投标单位应当在投标时根据招标人提供的下述第5点清单，</w:t>
      </w:r>
      <w:r>
        <w:rPr>
          <w:rFonts w:hint="eastAsia" w:ascii="宋体" w:hAnsi="宋体" w:eastAsia="宋体" w:cs="宋体"/>
          <w:b/>
          <w:bCs/>
          <w:color w:val="auto"/>
          <w:spacing w:val="-5"/>
          <w:sz w:val="21"/>
          <w:szCs w:val="21"/>
          <w:highlight w:val="none"/>
          <w:u w:val="single"/>
        </w:rPr>
        <w:t>在投标施工组织中回</w:t>
      </w:r>
      <w:r>
        <w:rPr>
          <w:rFonts w:hint="eastAsia" w:ascii="宋体" w:hAnsi="宋体" w:eastAsia="宋体" w:cs="宋体"/>
          <w:b/>
          <w:bCs/>
          <w:color w:val="auto"/>
          <w:spacing w:val="-4"/>
          <w:sz w:val="21"/>
          <w:szCs w:val="21"/>
          <w:highlight w:val="none"/>
          <w:u w:val="single"/>
        </w:rPr>
        <w:t>应建设单位提供的危大工程清单，补充相应的安全管理措施。（为减轻标书编制</w:t>
      </w:r>
      <w:r>
        <w:rPr>
          <w:rFonts w:hint="eastAsia" w:ascii="宋体" w:hAnsi="宋体" w:eastAsia="宋体" w:cs="宋体"/>
          <w:b/>
          <w:bCs/>
          <w:color w:val="auto"/>
          <w:spacing w:val="-5"/>
          <w:sz w:val="21"/>
          <w:szCs w:val="21"/>
          <w:highlight w:val="none"/>
          <w:u w:val="single"/>
        </w:rPr>
        <w:t>的工作</w:t>
      </w:r>
      <w:r>
        <w:rPr>
          <w:rFonts w:hint="eastAsia" w:ascii="宋体" w:hAnsi="宋体" w:eastAsia="宋体" w:cs="宋体"/>
          <w:b/>
          <w:bCs/>
          <w:color w:val="auto"/>
          <w:spacing w:val="-2"/>
          <w:sz w:val="21"/>
          <w:szCs w:val="21"/>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对于超过一定规模的危大工程，中标单位应当组织召开</w:t>
      </w:r>
      <w:r>
        <w:rPr>
          <w:rFonts w:hint="eastAsia" w:ascii="宋体" w:hAnsi="宋体" w:eastAsia="宋体" w:cs="宋体"/>
          <w:color w:val="auto"/>
          <w:spacing w:val="-1"/>
          <w:sz w:val="21"/>
          <w:szCs w:val="21"/>
          <w:highlight w:val="none"/>
        </w:rPr>
        <w:t>专家论证会对专项施工</w:t>
      </w:r>
      <w:r>
        <w:rPr>
          <w:rFonts w:hint="eastAsia" w:ascii="宋体" w:hAnsi="宋体" w:eastAsia="宋体" w:cs="宋体"/>
          <w:color w:val="auto"/>
          <w:spacing w:val="-2"/>
          <w:sz w:val="21"/>
          <w:szCs w:val="21"/>
          <w:highlight w:val="none"/>
        </w:rPr>
        <w:t>方案进行论证。实行施工总承包的，由施工总承包单位组织召开专家论证会。专家论证</w:t>
      </w:r>
      <w:r>
        <w:rPr>
          <w:rFonts w:hint="eastAsia" w:ascii="宋体" w:hAnsi="宋体" w:eastAsia="宋体" w:cs="宋体"/>
          <w:color w:val="auto"/>
          <w:spacing w:val="-1"/>
          <w:sz w:val="21"/>
          <w:szCs w:val="21"/>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eastAsia="zh-CN"/>
        </w:rPr>
        <w:t>5.</w:t>
      </w:r>
      <w:r>
        <w:rPr>
          <w:rFonts w:hint="eastAsia" w:ascii="宋体" w:hAnsi="宋体" w:eastAsia="宋体" w:cs="宋体"/>
          <w:color w:val="auto"/>
          <w:spacing w:val="2"/>
          <w:sz w:val="21"/>
          <w:szCs w:val="21"/>
          <w:highlight w:val="none"/>
        </w:rPr>
        <w:t>危险性较大的分部分项工程清单及超过一</w:t>
      </w:r>
      <w:r>
        <w:rPr>
          <w:rFonts w:hint="eastAsia" w:ascii="宋体" w:hAnsi="宋体" w:eastAsia="宋体" w:cs="宋体"/>
          <w:color w:val="auto"/>
          <w:spacing w:val="1"/>
          <w:sz w:val="21"/>
          <w:szCs w:val="21"/>
          <w:highlight w:val="none"/>
        </w:rPr>
        <w:t>定规模的危险性较大的分部分项工程</w:t>
      </w:r>
      <w:r>
        <w:rPr>
          <w:rFonts w:hint="eastAsia" w:ascii="宋体" w:hAnsi="宋体" w:eastAsia="宋体" w:cs="宋体"/>
          <w:color w:val="auto"/>
          <w:spacing w:val="-4"/>
          <w:sz w:val="21"/>
          <w:szCs w:val="21"/>
          <w:highlight w:val="none"/>
        </w:rPr>
        <w:t>清单</w:t>
      </w:r>
    </w:p>
    <w:p w14:paraId="3E4BB257">
      <w:pPr>
        <w:spacing w:before="40"/>
        <w:rPr>
          <w:rFonts w:hint="eastAsia" w:ascii="宋体" w:hAnsi="宋体" w:eastAsia="宋体" w:cs="宋体"/>
          <w:color w:val="auto"/>
          <w:sz w:val="21"/>
          <w:szCs w:val="21"/>
          <w:highlight w:val="none"/>
        </w:rPr>
      </w:pPr>
    </w:p>
    <w:tbl>
      <w:tblPr>
        <w:tblStyle w:val="17"/>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05" w:firstLineChars="100"/>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3"/>
                <w:sz w:val="21"/>
                <w:szCs w:val="21"/>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4"/>
                <w:sz w:val="21"/>
                <w:szCs w:val="21"/>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1"/>
                <w:szCs w:val="21"/>
                <w:highlight w:val="none"/>
              </w:rPr>
            </w:pPr>
            <w:r>
              <w:rPr>
                <w:rFonts w:hint="eastAsia" w:ascii="宋体" w:hAnsi="宋体" w:eastAsia="宋体" w:cs="宋体"/>
                <w:b/>
                <w:bCs/>
                <w:color w:val="auto"/>
                <w:spacing w:val="-5"/>
                <w:sz w:val="21"/>
                <w:szCs w:val="21"/>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3"/>
                <w:sz w:val="21"/>
                <w:szCs w:val="21"/>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bookmarkStart w:id="271" w:name="OLE_LINK39"/>
            <w:r>
              <w:rPr>
                <w:rFonts w:hint="eastAsia" w:ascii="宋体" w:hAnsi="宋体" w:eastAsia="宋体" w:cs="宋体"/>
                <w:color w:val="auto"/>
                <w:spacing w:val="5"/>
                <w:sz w:val="21"/>
                <w:szCs w:val="21"/>
                <w:highlight w:val="none"/>
              </w:rPr>
              <w:t xml:space="preserve">  </w:t>
            </w:r>
            <w:bookmarkEnd w:id="271"/>
            <w:r>
              <w:rPr>
                <w:rFonts w:hint="eastAsia" w:ascii="宋体" w:hAnsi="宋体" w:eastAsia="宋体" w:cs="宋体"/>
                <w:color w:val="auto"/>
                <w:spacing w:val="-19"/>
                <w:w w:val="94"/>
                <w:sz w:val="21"/>
                <w:szCs w:val="21"/>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67C5177">
            <w:pPr>
              <w:pStyle w:val="27"/>
              <w:rPr>
                <w:rFonts w:hint="eastAsia" w:ascii="宋体" w:hAnsi="宋体" w:eastAsia="宋体" w:cs="宋体"/>
                <w:color w:val="auto"/>
                <w:sz w:val="21"/>
                <w:szCs w:val="21"/>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4"/>
                <w:sz w:val="21"/>
                <w:szCs w:val="21"/>
                <w:highlight w:val="none"/>
              </w:rPr>
              <w:t>（一）开挖深度超过</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4"/>
                <w:sz w:val="21"/>
                <w:szCs w:val="21"/>
                <w:highlight w:val="none"/>
              </w:rPr>
              <w:t>3m（含</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4"/>
                <w:sz w:val="21"/>
                <w:szCs w:val="21"/>
                <w:highlight w:val="none"/>
              </w:rPr>
              <w:t>3m）的基坑（槽）</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的土方开挖、支护、降水工程。</w:t>
            </w:r>
          </w:p>
        </w:tc>
        <w:tc>
          <w:tcPr>
            <w:tcW w:w="1294" w:type="dxa"/>
            <w:vAlign w:val="top"/>
          </w:tcPr>
          <w:p w14:paraId="5EEDD4FC">
            <w:pPr>
              <w:pStyle w:val="27"/>
              <w:spacing w:line="297" w:lineRule="auto"/>
              <w:rPr>
                <w:rFonts w:hint="eastAsia" w:ascii="宋体" w:hAnsi="宋体" w:eastAsia="宋体" w:cs="宋体"/>
                <w:color w:val="auto"/>
                <w:sz w:val="21"/>
                <w:szCs w:val="21"/>
                <w:highlight w:val="none"/>
              </w:rPr>
            </w:pPr>
          </w:p>
          <w:p w14:paraId="0E5A3F62">
            <w:pPr>
              <w:spacing w:before="78" w:line="223" w:lineRule="auto"/>
              <w:ind w:left="396"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73A8ADC1">
            <w:pPr>
              <w:pStyle w:val="27"/>
              <w:spacing w:line="297" w:lineRule="auto"/>
              <w:rPr>
                <w:rFonts w:hint="eastAsia" w:ascii="宋体" w:hAnsi="宋体" w:eastAsia="宋体" w:cs="宋体"/>
                <w:color w:val="auto"/>
                <w:sz w:val="21"/>
                <w:szCs w:val="21"/>
                <w:highlight w:val="none"/>
              </w:rPr>
            </w:pPr>
          </w:p>
          <w:p w14:paraId="3ED7F037">
            <w:pPr>
              <w:spacing w:before="78" w:line="223" w:lineRule="auto"/>
              <w:ind w:left="367"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E844507">
            <w:pPr>
              <w:pStyle w:val="27"/>
              <w:rPr>
                <w:rFonts w:hint="eastAsia" w:ascii="宋体" w:hAnsi="宋体" w:eastAsia="宋体" w:cs="宋体"/>
                <w:color w:val="auto"/>
                <w:sz w:val="21"/>
                <w:szCs w:val="21"/>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1"/>
                <w:szCs w:val="21"/>
                <w:highlight w:val="none"/>
              </w:rPr>
            </w:pPr>
            <w:bookmarkStart w:id="272" w:name="bookmark161"/>
            <w:bookmarkEnd w:id="272"/>
            <w:r>
              <w:rPr>
                <w:rFonts w:hint="eastAsia" w:ascii="宋体" w:hAnsi="宋体" w:eastAsia="宋体" w:cs="宋体"/>
                <w:color w:val="auto"/>
                <w:spacing w:val="-2"/>
                <w:sz w:val="21"/>
                <w:szCs w:val="21"/>
                <w:highlight w:val="none"/>
              </w:rPr>
              <w:t>（二）开挖深度虽未超过</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
                <w:sz w:val="21"/>
                <w:szCs w:val="21"/>
                <w:highlight w:val="none"/>
              </w:rPr>
              <w:t>3m，但地质条件、周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围环境和地下管线复杂，或影响毗邻建、构筑</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
                <w:sz w:val="21"/>
                <w:szCs w:val="21"/>
                <w:highlight w:val="none"/>
              </w:rPr>
              <w:t>物安全的基坑（槽）的土方开挖、支护、降水</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4"/>
                <w:sz w:val="21"/>
                <w:szCs w:val="21"/>
                <w:highlight w:val="none"/>
              </w:rPr>
              <w:t>工程。</w:t>
            </w:r>
          </w:p>
        </w:tc>
        <w:tc>
          <w:tcPr>
            <w:tcW w:w="1294" w:type="dxa"/>
            <w:vAlign w:val="top"/>
          </w:tcPr>
          <w:p w14:paraId="092F9FFB">
            <w:pPr>
              <w:pStyle w:val="27"/>
              <w:spacing w:line="263" w:lineRule="auto"/>
              <w:rPr>
                <w:rFonts w:hint="eastAsia" w:ascii="宋体" w:hAnsi="宋体" w:eastAsia="宋体" w:cs="宋体"/>
                <w:color w:val="auto"/>
                <w:sz w:val="21"/>
                <w:szCs w:val="21"/>
                <w:highlight w:val="none"/>
              </w:rPr>
            </w:pPr>
          </w:p>
          <w:p w14:paraId="1C25F382">
            <w:pPr>
              <w:pStyle w:val="27"/>
              <w:spacing w:line="263" w:lineRule="auto"/>
              <w:rPr>
                <w:rFonts w:hint="eastAsia" w:ascii="宋体" w:hAnsi="宋体" w:eastAsia="宋体" w:cs="宋体"/>
                <w:color w:val="auto"/>
                <w:sz w:val="21"/>
                <w:szCs w:val="21"/>
                <w:highlight w:val="none"/>
              </w:rPr>
            </w:pPr>
          </w:p>
          <w:p w14:paraId="6C433F14">
            <w:pPr>
              <w:pStyle w:val="27"/>
              <w:spacing w:line="264" w:lineRule="auto"/>
              <w:rPr>
                <w:rFonts w:hint="eastAsia" w:ascii="宋体" w:hAnsi="宋体" w:eastAsia="宋体" w:cs="宋体"/>
                <w:color w:val="auto"/>
                <w:sz w:val="21"/>
                <w:szCs w:val="21"/>
                <w:highlight w:val="none"/>
              </w:rPr>
            </w:pPr>
          </w:p>
          <w:p w14:paraId="1703ABF9">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bookmarkStart w:id="273" w:name="OLE_LINK40"/>
            <w:r>
              <w:rPr>
                <w:rFonts w:hint="eastAsia" w:ascii="宋体" w:hAnsi="宋体" w:eastAsia="宋体" w:cs="宋体"/>
                <w:color w:val="auto"/>
                <w:spacing w:val="2"/>
                <w:sz w:val="21"/>
                <w:szCs w:val="21"/>
                <w:highlight w:val="none"/>
              </w:rPr>
              <w:t xml:space="preserve">     </w:t>
            </w:r>
            <w:bookmarkEnd w:id="273"/>
            <w:r>
              <w:rPr>
                <w:rFonts w:hint="eastAsia" w:ascii="宋体" w:hAnsi="宋体" w:eastAsia="宋体" w:cs="宋体"/>
                <w:color w:val="auto"/>
                <w:spacing w:val="-19"/>
                <w:w w:val="94"/>
                <w:sz w:val="21"/>
                <w:szCs w:val="21"/>
                <w:highlight w:val="none"/>
              </w:rPr>
              <w:t>)</w:t>
            </w:r>
          </w:p>
        </w:tc>
        <w:tc>
          <w:tcPr>
            <w:tcW w:w="1294" w:type="dxa"/>
            <w:vAlign w:val="top"/>
          </w:tcPr>
          <w:p w14:paraId="27A5AB03">
            <w:pPr>
              <w:pStyle w:val="27"/>
              <w:spacing w:line="263" w:lineRule="auto"/>
              <w:rPr>
                <w:rFonts w:hint="eastAsia" w:ascii="宋体" w:hAnsi="宋体" w:eastAsia="宋体" w:cs="宋体"/>
                <w:color w:val="auto"/>
                <w:sz w:val="21"/>
                <w:szCs w:val="21"/>
                <w:highlight w:val="none"/>
              </w:rPr>
            </w:pPr>
          </w:p>
          <w:p w14:paraId="2C8EDC97">
            <w:pPr>
              <w:pStyle w:val="27"/>
              <w:spacing w:line="263" w:lineRule="auto"/>
              <w:rPr>
                <w:rFonts w:hint="eastAsia" w:ascii="宋体" w:hAnsi="宋体" w:eastAsia="宋体" w:cs="宋体"/>
                <w:color w:val="auto"/>
                <w:sz w:val="21"/>
                <w:szCs w:val="21"/>
                <w:highlight w:val="none"/>
              </w:rPr>
            </w:pPr>
          </w:p>
          <w:p w14:paraId="1A88AF32">
            <w:pPr>
              <w:pStyle w:val="27"/>
              <w:spacing w:line="264" w:lineRule="auto"/>
              <w:rPr>
                <w:rFonts w:hint="eastAsia" w:ascii="宋体" w:hAnsi="宋体" w:eastAsia="宋体" w:cs="宋体"/>
                <w:color w:val="auto"/>
                <w:sz w:val="21"/>
                <w:szCs w:val="21"/>
                <w:highlight w:val="none"/>
              </w:rPr>
            </w:pPr>
          </w:p>
          <w:p w14:paraId="7BCE6290">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66CE42E4">
            <w:pPr>
              <w:pStyle w:val="27"/>
              <w:rPr>
                <w:rFonts w:hint="eastAsia" w:ascii="宋体" w:hAnsi="宋体" w:eastAsia="宋体" w:cs="宋体"/>
                <w:color w:val="auto"/>
                <w:sz w:val="21"/>
                <w:szCs w:val="21"/>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BFA85A5">
            <w:pPr>
              <w:pStyle w:val="27"/>
              <w:rPr>
                <w:rFonts w:hint="eastAsia" w:ascii="宋体" w:hAnsi="宋体" w:eastAsia="宋体" w:cs="宋体"/>
                <w:color w:val="auto"/>
                <w:sz w:val="21"/>
                <w:szCs w:val="21"/>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（一）各类工具式模板工程：包括滑模、爬模、</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飞模、隧道模等工程。</w:t>
            </w:r>
          </w:p>
        </w:tc>
        <w:tc>
          <w:tcPr>
            <w:tcW w:w="1294" w:type="dxa"/>
            <w:vAlign w:val="top"/>
          </w:tcPr>
          <w:p w14:paraId="31F482D0">
            <w:pPr>
              <w:pStyle w:val="27"/>
              <w:spacing w:line="293" w:lineRule="auto"/>
              <w:rPr>
                <w:rFonts w:hint="eastAsia" w:ascii="宋体" w:hAnsi="宋体" w:eastAsia="宋体" w:cs="宋体"/>
                <w:color w:val="auto"/>
                <w:sz w:val="21"/>
                <w:szCs w:val="21"/>
                <w:highlight w:val="none"/>
              </w:rPr>
            </w:pPr>
          </w:p>
          <w:p w14:paraId="7F64793B">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D856E2E">
            <w:pPr>
              <w:pStyle w:val="27"/>
              <w:spacing w:line="293" w:lineRule="auto"/>
              <w:rPr>
                <w:rFonts w:hint="eastAsia" w:ascii="宋体" w:hAnsi="宋体" w:eastAsia="宋体" w:cs="宋体"/>
                <w:color w:val="auto"/>
                <w:sz w:val="21"/>
                <w:szCs w:val="21"/>
                <w:highlight w:val="none"/>
              </w:rPr>
            </w:pPr>
          </w:p>
          <w:p w14:paraId="1BBC59B1">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12A8AE3">
            <w:pPr>
              <w:pStyle w:val="27"/>
              <w:rPr>
                <w:rFonts w:hint="eastAsia" w:ascii="宋体" w:hAnsi="宋体" w:eastAsia="宋体" w:cs="宋体"/>
                <w:color w:val="auto"/>
                <w:sz w:val="21"/>
                <w:szCs w:val="21"/>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（二）混凝土模板支撑工程：搭设高度</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5m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及以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上，或搭设跨度</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0"/>
                <w:sz w:val="21"/>
                <w:szCs w:val="21"/>
                <w:highlight w:val="none"/>
              </w:rPr>
              <w:t>10m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0"/>
                <w:sz w:val="21"/>
                <w:szCs w:val="21"/>
                <w:highlight w:val="none"/>
              </w:rPr>
              <w:t>及以上，或施工总荷</w:t>
            </w:r>
            <w:r>
              <w:rPr>
                <w:rFonts w:hint="eastAsia" w:ascii="宋体" w:hAnsi="宋体" w:eastAsia="宋体" w:cs="宋体"/>
                <w:color w:val="auto"/>
                <w:spacing w:val="-11"/>
                <w:sz w:val="21"/>
                <w:szCs w:val="21"/>
                <w:highlight w:val="none"/>
              </w:rPr>
              <w:t>载（荷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载效应基本组合的设计值，以下简称设计值）</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14"/>
                <w:sz w:val="21"/>
                <w:szCs w:val="21"/>
                <w:highlight w:val="none"/>
              </w:rPr>
              <w:t>10kN/m2</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4"/>
                <w:sz w:val="21"/>
                <w:szCs w:val="21"/>
                <w:highlight w:val="none"/>
              </w:rPr>
              <w:t>及以上，或集中线荷载（设计值）15kN/m</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及以上，或高度大于支撑水平投影宽度且相对</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独立无联系构件的混凝土模板支撑工程。</w:t>
            </w:r>
          </w:p>
        </w:tc>
        <w:tc>
          <w:tcPr>
            <w:tcW w:w="1294" w:type="dxa"/>
            <w:vAlign w:val="top"/>
          </w:tcPr>
          <w:p w14:paraId="0AC76692">
            <w:pPr>
              <w:pStyle w:val="27"/>
              <w:spacing w:line="255" w:lineRule="auto"/>
              <w:rPr>
                <w:rFonts w:hint="eastAsia" w:ascii="宋体" w:hAnsi="宋体" w:eastAsia="宋体" w:cs="宋体"/>
                <w:color w:val="auto"/>
                <w:sz w:val="21"/>
                <w:szCs w:val="21"/>
                <w:highlight w:val="none"/>
              </w:rPr>
            </w:pPr>
          </w:p>
          <w:p w14:paraId="06A69DBD">
            <w:pPr>
              <w:pStyle w:val="27"/>
              <w:spacing w:line="255" w:lineRule="auto"/>
              <w:rPr>
                <w:rFonts w:hint="eastAsia" w:ascii="宋体" w:hAnsi="宋体" w:eastAsia="宋体" w:cs="宋体"/>
                <w:color w:val="auto"/>
                <w:sz w:val="21"/>
                <w:szCs w:val="21"/>
                <w:highlight w:val="none"/>
              </w:rPr>
            </w:pPr>
          </w:p>
          <w:p w14:paraId="5F44AC94">
            <w:pPr>
              <w:pStyle w:val="27"/>
              <w:spacing w:line="255" w:lineRule="auto"/>
              <w:rPr>
                <w:rFonts w:hint="eastAsia" w:ascii="宋体" w:hAnsi="宋体" w:eastAsia="宋体" w:cs="宋体"/>
                <w:color w:val="auto"/>
                <w:sz w:val="21"/>
                <w:szCs w:val="21"/>
                <w:highlight w:val="none"/>
              </w:rPr>
            </w:pPr>
          </w:p>
          <w:p w14:paraId="117E02D8">
            <w:pPr>
              <w:pStyle w:val="27"/>
              <w:spacing w:line="255" w:lineRule="auto"/>
              <w:rPr>
                <w:rFonts w:hint="eastAsia" w:ascii="宋体" w:hAnsi="宋体" w:eastAsia="宋体" w:cs="宋体"/>
                <w:color w:val="auto"/>
                <w:sz w:val="21"/>
                <w:szCs w:val="21"/>
                <w:highlight w:val="none"/>
              </w:rPr>
            </w:pPr>
          </w:p>
          <w:p w14:paraId="58924DBB">
            <w:pPr>
              <w:pStyle w:val="27"/>
              <w:spacing w:line="256" w:lineRule="auto"/>
              <w:rPr>
                <w:rFonts w:hint="eastAsia" w:ascii="宋体" w:hAnsi="宋体" w:eastAsia="宋体" w:cs="宋体"/>
                <w:color w:val="auto"/>
                <w:sz w:val="21"/>
                <w:szCs w:val="21"/>
                <w:highlight w:val="none"/>
              </w:rPr>
            </w:pPr>
          </w:p>
          <w:p w14:paraId="7CC727ED">
            <w:pPr>
              <w:spacing w:before="7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8C34081">
            <w:pPr>
              <w:pStyle w:val="27"/>
              <w:spacing w:line="255" w:lineRule="auto"/>
              <w:rPr>
                <w:rFonts w:hint="eastAsia" w:ascii="宋体" w:hAnsi="宋体" w:eastAsia="宋体" w:cs="宋体"/>
                <w:color w:val="auto"/>
                <w:sz w:val="21"/>
                <w:szCs w:val="21"/>
                <w:highlight w:val="none"/>
              </w:rPr>
            </w:pPr>
          </w:p>
          <w:p w14:paraId="44D32487">
            <w:pPr>
              <w:pStyle w:val="27"/>
              <w:spacing w:line="255" w:lineRule="auto"/>
              <w:rPr>
                <w:rFonts w:hint="eastAsia" w:ascii="宋体" w:hAnsi="宋体" w:eastAsia="宋体" w:cs="宋体"/>
                <w:color w:val="auto"/>
                <w:sz w:val="21"/>
                <w:szCs w:val="21"/>
                <w:highlight w:val="none"/>
              </w:rPr>
            </w:pPr>
          </w:p>
          <w:p w14:paraId="2FB6EB74">
            <w:pPr>
              <w:pStyle w:val="27"/>
              <w:spacing w:line="255" w:lineRule="auto"/>
              <w:rPr>
                <w:rFonts w:hint="eastAsia" w:ascii="宋体" w:hAnsi="宋体" w:eastAsia="宋体" w:cs="宋体"/>
                <w:color w:val="auto"/>
                <w:sz w:val="21"/>
                <w:szCs w:val="21"/>
                <w:highlight w:val="none"/>
              </w:rPr>
            </w:pPr>
          </w:p>
          <w:p w14:paraId="2532C873">
            <w:pPr>
              <w:pStyle w:val="27"/>
              <w:spacing w:line="255" w:lineRule="auto"/>
              <w:rPr>
                <w:rFonts w:hint="eastAsia" w:ascii="宋体" w:hAnsi="宋体" w:eastAsia="宋体" w:cs="宋体"/>
                <w:color w:val="auto"/>
                <w:sz w:val="21"/>
                <w:szCs w:val="21"/>
                <w:highlight w:val="none"/>
              </w:rPr>
            </w:pPr>
          </w:p>
          <w:p w14:paraId="6EA29091">
            <w:pPr>
              <w:pStyle w:val="27"/>
              <w:spacing w:line="256" w:lineRule="auto"/>
              <w:rPr>
                <w:rFonts w:hint="eastAsia" w:ascii="宋体" w:hAnsi="宋体" w:eastAsia="宋体" w:cs="宋体"/>
                <w:color w:val="auto"/>
                <w:sz w:val="21"/>
                <w:szCs w:val="21"/>
                <w:highlight w:val="none"/>
              </w:rPr>
            </w:pPr>
          </w:p>
          <w:p w14:paraId="4FFEF356">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0A88735">
            <w:pPr>
              <w:pStyle w:val="27"/>
              <w:rPr>
                <w:rFonts w:hint="eastAsia" w:ascii="宋体" w:hAnsi="宋体" w:eastAsia="宋体" w:cs="宋体"/>
                <w:color w:val="auto"/>
                <w:sz w:val="21"/>
                <w:szCs w:val="21"/>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（三）承重支撑体系：用于钢结构安装等满堂</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3"/>
                <w:sz w:val="21"/>
                <w:szCs w:val="21"/>
                <w:highlight w:val="none"/>
              </w:rPr>
              <w:t>支撑体系。</w:t>
            </w:r>
          </w:p>
        </w:tc>
        <w:tc>
          <w:tcPr>
            <w:tcW w:w="1294" w:type="dxa"/>
            <w:vAlign w:val="top"/>
          </w:tcPr>
          <w:p w14:paraId="08B49BEC">
            <w:pPr>
              <w:pStyle w:val="27"/>
              <w:spacing w:line="296" w:lineRule="auto"/>
              <w:rPr>
                <w:rFonts w:hint="eastAsia" w:ascii="宋体" w:hAnsi="宋体" w:eastAsia="宋体" w:cs="宋体"/>
                <w:color w:val="auto"/>
                <w:sz w:val="21"/>
                <w:szCs w:val="21"/>
                <w:highlight w:val="none"/>
              </w:rPr>
            </w:pPr>
          </w:p>
          <w:p w14:paraId="62113AAF">
            <w:pPr>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61AA738">
            <w:pPr>
              <w:pStyle w:val="27"/>
              <w:spacing w:line="296" w:lineRule="auto"/>
              <w:rPr>
                <w:rFonts w:hint="eastAsia" w:ascii="宋体" w:hAnsi="宋体" w:eastAsia="宋体" w:cs="宋体"/>
                <w:color w:val="auto"/>
                <w:sz w:val="21"/>
                <w:szCs w:val="21"/>
                <w:highlight w:val="none"/>
              </w:rPr>
            </w:pPr>
          </w:p>
          <w:p w14:paraId="2247851E">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28C2275">
            <w:pPr>
              <w:pStyle w:val="27"/>
              <w:rPr>
                <w:rFonts w:hint="eastAsia" w:ascii="宋体" w:hAnsi="宋体" w:eastAsia="宋体" w:cs="宋体"/>
                <w:color w:val="auto"/>
                <w:sz w:val="21"/>
                <w:szCs w:val="21"/>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778356F">
            <w:pPr>
              <w:pStyle w:val="27"/>
              <w:rPr>
                <w:rFonts w:hint="eastAsia" w:ascii="宋体" w:hAnsi="宋体" w:eastAsia="宋体" w:cs="宋体"/>
                <w:color w:val="auto"/>
                <w:sz w:val="21"/>
                <w:szCs w:val="21"/>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（一）采用非常规起重设备、方法，且单件起</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4"/>
                <w:sz w:val="21"/>
                <w:szCs w:val="21"/>
                <w:highlight w:val="none"/>
              </w:rPr>
              <w:t>吊重量在</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rPr>
              <w:t>10kN</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4"/>
                <w:sz w:val="21"/>
                <w:szCs w:val="21"/>
                <w:highlight w:val="none"/>
              </w:rPr>
              <w:t>及以上的起重吊装工程。</w:t>
            </w:r>
          </w:p>
        </w:tc>
        <w:tc>
          <w:tcPr>
            <w:tcW w:w="1294" w:type="dxa"/>
            <w:vAlign w:val="top"/>
          </w:tcPr>
          <w:p w14:paraId="42DC5BCC">
            <w:pPr>
              <w:pStyle w:val="27"/>
              <w:spacing w:line="297" w:lineRule="auto"/>
              <w:rPr>
                <w:rFonts w:hint="eastAsia" w:ascii="宋体" w:hAnsi="宋体" w:eastAsia="宋体" w:cs="宋体"/>
                <w:color w:val="auto"/>
                <w:sz w:val="21"/>
                <w:szCs w:val="21"/>
                <w:highlight w:val="none"/>
              </w:rPr>
            </w:pPr>
          </w:p>
          <w:p w14:paraId="25E8B5B3">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7E69931">
            <w:pPr>
              <w:pStyle w:val="27"/>
              <w:spacing w:line="297" w:lineRule="auto"/>
              <w:rPr>
                <w:rFonts w:hint="eastAsia" w:ascii="宋体" w:hAnsi="宋体" w:eastAsia="宋体" w:cs="宋体"/>
                <w:color w:val="auto"/>
                <w:sz w:val="21"/>
                <w:szCs w:val="21"/>
                <w:highlight w:val="none"/>
              </w:rPr>
            </w:pPr>
          </w:p>
          <w:p w14:paraId="0DECF4EA">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F10A58D">
            <w:pPr>
              <w:pStyle w:val="27"/>
              <w:rPr>
                <w:rFonts w:hint="eastAsia" w:ascii="宋体" w:hAnsi="宋体" w:eastAsia="宋体" w:cs="宋体"/>
                <w:color w:val="auto"/>
                <w:sz w:val="21"/>
                <w:szCs w:val="21"/>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FDBB930">
            <w:pPr>
              <w:pStyle w:val="27"/>
              <w:rPr>
                <w:rFonts w:hint="eastAsia" w:ascii="宋体" w:hAnsi="宋体" w:eastAsia="宋体" w:cs="宋体"/>
                <w:color w:val="auto"/>
                <w:sz w:val="21"/>
                <w:szCs w:val="21"/>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17E93BE">
            <w:pPr>
              <w:pStyle w:val="27"/>
              <w:rPr>
                <w:rFonts w:hint="eastAsia" w:ascii="宋体" w:hAnsi="宋体" w:eastAsia="宋体" w:cs="宋体"/>
                <w:color w:val="auto"/>
                <w:sz w:val="21"/>
                <w:szCs w:val="21"/>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0A186D6">
            <w:pPr>
              <w:pStyle w:val="27"/>
              <w:rPr>
                <w:rFonts w:hint="eastAsia" w:ascii="宋体" w:hAnsi="宋体" w:eastAsia="宋体" w:cs="宋体"/>
                <w:color w:val="auto"/>
                <w:sz w:val="21"/>
                <w:szCs w:val="21"/>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（一）搭设高度</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24m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及以上的落地式钢管脚手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架工程（包括采光井、电梯井脚手架）。</w:t>
            </w:r>
          </w:p>
        </w:tc>
        <w:tc>
          <w:tcPr>
            <w:tcW w:w="1294" w:type="dxa"/>
            <w:vAlign w:val="top"/>
          </w:tcPr>
          <w:p w14:paraId="5F252975">
            <w:pPr>
              <w:pStyle w:val="27"/>
              <w:spacing w:line="297" w:lineRule="auto"/>
              <w:rPr>
                <w:rFonts w:hint="eastAsia" w:ascii="宋体" w:hAnsi="宋体" w:eastAsia="宋体" w:cs="宋体"/>
                <w:color w:val="auto"/>
                <w:sz w:val="21"/>
                <w:szCs w:val="21"/>
                <w:highlight w:val="none"/>
              </w:rPr>
            </w:pPr>
          </w:p>
          <w:p w14:paraId="274F49B0">
            <w:pPr>
              <w:spacing w:before="7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EF3E3EC">
            <w:pPr>
              <w:pStyle w:val="27"/>
              <w:spacing w:line="297" w:lineRule="auto"/>
              <w:rPr>
                <w:rFonts w:hint="eastAsia" w:ascii="宋体" w:hAnsi="宋体" w:eastAsia="宋体" w:cs="宋体"/>
                <w:color w:val="auto"/>
                <w:sz w:val="21"/>
                <w:szCs w:val="21"/>
                <w:highlight w:val="none"/>
              </w:rPr>
            </w:pPr>
          </w:p>
          <w:p w14:paraId="382FDB0B">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593D3CB">
            <w:pPr>
              <w:pStyle w:val="27"/>
              <w:rPr>
                <w:rFonts w:hint="eastAsia" w:ascii="宋体" w:hAnsi="宋体" w:eastAsia="宋体" w:cs="宋体"/>
                <w:color w:val="auto"/>
                <w:sz w:val="21"/>
                <w:szCs w:val="21"/>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09FAE20">
            <w:pPr>
              <w:pStyle w:val="27"/>
              <w:rPr>
                <w:rFonts w:hint="eastAsia" w:ascii="宋体" w:hAnsi="宋体" w:eastAsia="宋体" w:cs="宋体"/>
                <w:color w:val="auto"/>
                <w:sz w:val="21"/>
                <w:szCs w:val="21"/>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0A6B0F2">
            <w:pPr>
              <w:pStyle w:val="27"/>
              <w:rPr>
                <w:rFonts w:hint="eastAsia" w:ascii="宋体" w:hAnsi="宋体" w:eastAsia="宋体" w:cs="宋体"/>
                <w:color w:val="auto"/>
                <w:sz w:val="21"/>
                <w:szCs w:val="21"/>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598EC26">
            <w:pPr>
              <w:pStyle w:val="27"/>
              <w:rPr>
                <w:rFonts w:hint="eastAsia" w:ascii="宋体" w:hAnsi="宋体" w:eastAsia="宋体" w:cs="宋体"/>
                <w:color w:val="auto"/>
                <w:sz w:val="21"/>
                <w:szCs w:val="21"/>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1878476">
            <w:pPr>
              <w:pStyle w:val="27"/>
              <w:rPr>
                <w:rFonts w:hint="eastAsia" w:ascii="宋体" w:hAnsi="宋体" w:eastAsia="宋体" w:cs="宋体"/>
                <w:color w:val="auto"/>
                <w:sz w:val="21"/>
                <w:szCs w:val="21"/>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235BD7D">
            <w:pPr>
              <w:pStyle w:val="27"/>
              <w:rPr>
                <w:rFonts w:hint="eastAsia" w:ascii="宋体" w:hAnsi="宋体" w:eastAsia="宋体" w:cs="宋体"/>
                <w:color w:val="auto"/>
                <w:sz w:val="21"/>
                <w:szCs w:val="21"/>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1"/>
                <w:szCs w:val="21"/>
                <w:highlight w:val="none"/>
              </w:rPr>
            </w:pPr>
            <w:bookmarkStart w:id="274" w:name="bookmark162"/>
            <w:bookmarkEnd w:id="274"/>
            <w:r>
              <w:rPr>
                <w:rFonts w:hint="eastAsia" w:ascii="宋体" w:hAnsi="宋体" w:eastAsia="宋体" w:cs="宋体"/>
                <w:color w:val="auto"/>
                <w:spacing w:val="-3"/>
                <w:sz w:val="21"/>
                <w:szCs w:val="21"/>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9A24BEF">
            <w:pPr>
              <w:pStyle w:val="27"/>
              <w:rPr>
                <w:rFonts w:hint="eastAsia" w:ascii="宋体" w:hAnsi="宋体" w:eastAsia="宋体" w:cs="宋体"/>
                <w:color w:val="auto"/>
                <w:sz w:val="21"/>
                <w:szCs w:val="21"/>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可能影响行人、交通、电力设施、通讯设施或</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7"/>
                <w:sz w:val="21"/>
                <w:szCs w:val="21"/>
                <w:highlight w:val="none"/>
                <w:lang w:eastAsia="zh-CN"/>
              </w:rPr>
              <w:t>其他</w:t>
            </w:r>
            <w:r>
              <w:rPr>
                <w:rFonts w:hint="eastAsia" w:ascii="宋体" w:hAnsi="宋体" w:eastAsia="宋体" w:cs="宋体"/>
                <w:color w:val="auto"/>
                <w:spacing w:val="-1"/>
                <w:sz w:val="21"/>
                <w:szCs w:val="21"/>
                <w:highlight w:val="none"/>
              </w:rPr>
              <w:t>建、构筑物安全的拆除工程。</w:t>
            </w:r>
          </w:p>
        </w:tc>
        <w:tc>
          <w:tcPr>
            <w:tcW w:w="1294" w:type="dxa"/>
            <w:vAlign w:val="top"/>
          </w:tcPr>
          <w:p w14:paraId="53C1D06F">
            <w:pPr>
              <w:pStyle w:val="27"/>
              <w:spacing w:line="294" w:lineRule="auto"/>
              <w:rPr>
                <w:rFonts w:hint="eastAsia" w:ascii="宋体" w:hAnsi="宋体" w:eastAsia="宋体" w:cs="宋体"/>
                <w:color w:val="auto"/>
                <w:sz w:val="21"/>
                <w:szCs w:val="21"/>
                <w:highlight w:val="none"/>
              </w:rPr>
            </w:pPr>
          </w:p>
          <w:p w14:paraId="76CB7DF5">
            <w:pPr>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310AE40">
            <w:pPr>
              <w:pStyle w:val="27"/>
              <w:spacing w:line="294" w:lineRule="auto"/>
              <w:rPr>
                <w:rFonts w:hint="eastAsia" w:ascii="宋体" w:hAnsi="宋体" w:eastAsia="宋体" w:cs="宋体"/>
                <w:color w:val="auto"/>
                <w:sz w:val="21"/>
                <w:szCs w:val="21"/>
                <w:highlight w:val="none"/>
              </w:rPr>
            </w:pPr>
          </w:p>
          <w:p w14:paraId="4D2EE233">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4D942FE">
            <w:pPr>
              <w:pStyle w:val="27"/>
              <w:rPr>
                <w:rFonts w:hint="eastAsia" w:ascii="宋体" w:hAnsi="宋体" w:eastAsia="宋体" w:cs="宋体"/>
                <w:color w:val="auto"/>
                <w:sz w:val="21"/>
                <w:szCs w:val="21"/>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D8FEC99">
            <w:pPr>
              <w:pStyle w:val="27"/>
              <w:rPr>
                <w:rFonts w:hint="eastAsia" w:ascii="宋体" w:hAnsi="宋体" w:eastAsia="宋体" w:cs="宋体"/>
                <w:color w:val="auto"/>
                <w:sz w:val="21"/>
                <w:szCs w:val="21"/>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采用矿山法、盾构法、顶管法施工的隧道、洞</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室工程。</w:t>
            </w:r>
          </w:p>
        </w:tc>
        <w:tc>
          <w:tcPr>
            <w:tcW w:w="1294" w:type="dxa"/>
            <w:vAlign w:val="top"/>
          </w:tcPr>
          <w:p w14:paraId="69EA54F0">
            <w:pPr>
              <w:pStyle w:val="27"/>
              <w:spacing w:line="294" w:lineRule="auto"/>
              <w:rPr>
                <w:rFonts w:hint="eastAsia" w:ascii="宋体" w:hAnsi="宋体" w:eastAsia="宋体" w:cs="宋体"/>
                <w:color w:val="auto"/>
                <w:sz w:val="21"/>
                <w:szCs w:val="21"/>
                <w:highlight w:val="none"/>
              </w:rPr>
            </w:pPr>
          </w:p>
          <w:p w14:paraId="25806042">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7831483">
            <w:pPr>
              <w:pStyle w:val="27"/>
              <w:spacing w:line="294" w:lineRule="auto"/>
              <w:rPr>
                <w:rFonts w:hint="eastAsia" w:ascii="宋体" w:hAnsi="宋体" w:eastAsia="宋体" w:cs="宋体"/>
                <w:color w:val="auto"/>
                <w:sz w:val="21"/>
                <w:szCs w:val="21"/>
                <w:highlight w:val="none"/>
              </w:rPr>
            </w:pPr>
          </w:p>
          <w:p w14:paraId="551C407F">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91DD324">
            <w:pPr>
              <w:pStyle w:val="27"/>
              <w:rPr>
                <w:rFonts w:hint="eastAsia" w:ascii="宋体" w:hAnsi="宋体" w:eastAsia="宋体" w:cs="宋体"/>
                <w:color w:val="auto"/>
                <w:sz w:val="21"/>
                <w:szCs w:val="21"/>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w:t>
            </w:r>
            <w:r>
              <w:rPr>
                <w:rFonts w:hint="eastAsia" w:ascii="宋体" w:hAnsi="宋体" w:eastAsia="宋体" w:cs="宋体"/>
                <w:color w:val="auto"/>
                <w:spacing w:val="-3"/>
                <w:sz w:val="21"/>
                <w:szCs w:val="21"/>
                <w:highlight w:val="none"/>
                <w:lang w:eastAsia="zh-CN"/>
              </w:rPr>
              <w:t>其他</w:t>
            </w:r>
          </w:p>
        </w:tc>
        <w:tc>
          <w:tcPr>
            <w:tcW w:w="1294" w:type="dxa"/>
            <w:vAlign w:val="top"/>
          </w:tcPr>
          <w:p w14:paraId="041AFA2A">
            <w:pPr>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8F38261">
            <w:pPr>
              <w:pStyle w:val="27"/>
              <w:rPr>
                <w:rFonts w:hint="eastAsia" w:ascii="宋体" w:hAnsi="宋体" w:eastAsia="宋体" w:cs="宋体"/>
                <w:color w:val="auto"/>
                <w:sz w:val="21"/>
                <w:szCs w:val="21"/>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153FAD5">
            <w:pPr>
              <w:pStyle w:val="27"/>
              <w:rPr>
                <w:rFonts w:hint="eastAsia" w:ascii="宋体" w:hAnsi="宋体" w:eastAsia="宋体" w:cs="宋体"/>
                <w:color w:val="auto"/>
                <w:sz w:val="21"/>
                <w:szCs w:val="21"/>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9C7386C">
            <w:pPr>
              <w:pStyle w:val="27"/>
              <w:rPr>
                <w:rFonts w:hint="eastAsia" w:ascii="宋体" w:hAnsi="宋体" w:eastAsia="宋体" w:cs="宋体"/>
                <w:color w:val="auto"/>
                <w:sz w:val="21"/>
                <w:szCs w:val="21"/>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B54B549">
            <w:pPr>
              <w:pStyle w:val="27"/>
              <w:rPr>
                <w:rFonts w:hint="eastAsia" w:ascii="宋体" w:hAnsi="宋体" w:eastAsia="宋体" w:cs="宋体"/>
                <w:color w:val="auto"/>
                <w:sz w:val="21"/>
                <w:szCs w:val="21"/>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9099C2E">
            <w:pPr>
              <w:pStyle w:val="27"/>
              <w:rPr>
                <w:rFonts w:hint="eastAsia" w:ascii="宋体" w:hAnsi="宋体" w:eastAsia="宋体" w:cs="宋体"/>
                <w:color w:val="auto"/>
                <w:sz w:val="21"/>
                <w:szCs w:val="21"/>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0EEB872">
            <w:pPr>
              <w:pStyle w:val="27"/>
              <w:rPr>
                <w:rFonts w:hint="eastAsia" w:ascii="宋体" w:hAnsi="宋体" w:eastAsia="宋体" w:cs="宋体"/>
                <w:color w:val="auto"/>
                <w:sz w:val="21"/>
                <w:szCs w:val="21"/>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（六）采用新技术、新工艺、新材料、新设备</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可能影响工程施工安全，尚无国家、行业及地</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rPr>
              <w:t>方技术标准的分部分项工程。</w:t>
            </w:r>
          </w:p>
        </w:tc>
        <w:tc>
          <w:tcPr>
            <w:tcW w:w="1294" w:type="dxa"/>
            <w:vAlign w:val="top"/>
          </w:tcPr>
          <w:p w14:paraId="173190AF">
            <w:pPr>
              <w:pStyle w:val="27"/>
              <w:spacing w:line="270" w:lineRule="auto"/>
              <w:rPr>
                <w:rFonts w:hint="eastAsia" w:ascii="宋体" w:hAnsi="宋体" w:eastAsia="宋体" w:cs="宋体"/>
                <w:color w:val="auto"/>
                <w:sz w:val="21"/>
                <w:szCs w:val="21"/>
                <w:highlight w:val="none"/>
              </w:rPr>
            </w:pPr>
          </w:p>
          <w:p w14:paraId="25286718">
            <w:pPr>
              <w:pStyle w:val="27"/>
              <w:spacing w:line="271" w:lineRule="auto"/>
              <w:rPr>
                <w:rFonts w:hint="eastAsia" w:ascii="宋体" w:hAnsi="宋体" w:eastAsia="宋体" w:cs="宋体"/>
                <w:color w:val="auto"/>
                <w:sz w:val="21"/>
                <w:szCs w:val="21"/>
                <w:highlight w:val="none"/>
              </w:rPr>
            </w:pPr>
          </w:p>
          <w:p w14:paraId="43C2B6E5">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98617CC">
            <w:pPr>
              <w:pStyle w:val="27"/>
              <w:spacing w:line="270" w:lineRule="auto"/>
              <w:rPr>
                <w:rFonts w:hint="eastAsia" w:ascii="宋体" w:hAnsi="宋体" w:eastAsia="宋体" w:cs="宋体"/>
                <w:color w:val="auto"/>
                <w:sz w:val="21"/>
                <w:szCs w:val="21"/>
                <w:highlight w:val="none"/>
              </w:rPr>
            </w:pPr>
          </w:p>
          <w:p w14:paraId="178E42BF">
            <w:pPr>
              <w:pStyle w:val="27"/>
              <w:spacing w:line="271" w:lineRule="auto"/>
              <w:rPr>
                <w:rFonts w:hint="eastAsia" w:ascii="宋体" w:hAnsi="宋体" w:eastAsia="宋体" w:cs="宋体"/>
                <w:color w:val="auto"/>
                <w:sz w:val="21"/>
                <w:szCs w:val="21"/>
                <w:highlight w:val="none"/>
              </w:rPr>
            </w:pPr>
          </w:p>
          <w:p w14:paraId="7C375C8E">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66939D6">
            <w:pPr>
              <w:pStyle w:val="27"/>
              <w:rPr>
                <w:rFonts w:hint="eastAsia" w:ascii="宋体" w:hAnsi="宋体" w:eastAsia="宋体" w:cs="宋体"/>
                <w:color w:val="auto"/>
                <w:sz w:val="21"/>
                <w:szCs w:val="21"/>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二、超过一定规模的危险性较大的分部分项工</w:t>
            </w:r>
            <w:r>
              <w:rPr>
                <w:rFonts w:hint="eastAsia" w:ascii="宋体" w:hAnsi="宋体" w:eastAsia="宋体" w:cs="宋体"/>
                <w:b/>
                <w:bCs/>
                <w:color w:val="auto"/>
                <w:spacing w:val="-5"/>
                <w:sz w:val="21"/>
                <w:szCs w:val="21"/>
                <w:highlight w:val="none"/>
              </w:rPr>
              <w:t>程清单</w:t>
            </w:r>
          </w:p>
        </w:tc>
        <w:tc>
          <w:tcPr>
            <w:tcW w:w="1294" w:type="dxa"/>
            <w:vAlign w:val="top"/>
          </w:tcPr>
          <w:p w14:paraId="5A67B5C5">
            <w:pPr>
              <w:pStyle w:val="27"/>
              <w:spacing w:line="295" w:lineRule="auto"/>
              <w:rPr>
                <w:rFonts w:hint="eastAsia" w:ascii="宋体" w:hAnsi="宋体" w:eastAsia="宋体" w:cs="宋体"/>
                <w:color w:val="auto"/>
                <w:sz w:val="21"/>
                <w:szCs w:val="21"/>
                <w:highlight w:val="none"/>
              </w:rPr>
            </w:pPr>
          </w:p>
          <w:p w14:paraId="2D811006">
            <w:pPr>
              <w:spacing w:before="78" w:line="221" w:lineRule="auto"/>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294" w:type="dxa"/>
            <w:vAlign w:val="top"/>
          </w:tcPr>
          <w:p w14:paraId="24A69ECB">
            <w:pPr>
              <w:pStyle w:val="27"/>
              <w:spacing w:line="295" w:lineRule="auto"/>
              <w:rPr>
                <w:rFonts w:hint="eastAsia" w:ascii="宋体" w:hAnsi="宋体" w:eastAsia="宋体" w:cs="宋体"/>
                <w:color w:val="auto"/>
                <w:sz w:val="21"/>
                <w:szCs w:val="21"/>
                <w:highlight w:val="none"/>
              </w:rPr>
            </w:pPr>
          </w:p>
          <w:p w14:paraId="26DB2221">
            <w:pPr>
              <w:spacing w:before="78" w:line="221" w:lineRule="auto"/>
              <w:ind w:left="119"/>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2428" w:type="dxa"/>
            <w:vAlign w:val="top"/>
          </w:tcPr>
          <w:p w14:paraId="7B1AFF26">
            <w:pPr>
              <w:pStyle w:val="27"/>
              <w:spacing w:line="295" w:lineRule="auto"/>
              <w:rPr>
                <w:rFonts w:hint="eastAsia" w:ascii="宋体" w:hAnsi="宋体" w:eastAsia="宋体" w:cs="宋体"/>
                <w:color w:val="auto"/>
                <w:sz w:val="21"/>
                <w:szCs w:val="21"/>
                <w:highlight w:val="none"/>
              </w:rPr>
            </w:pPr>
          </w:p>
          <w:p w14:paraId="3584F90F">
            <w:pPr>
              <w:spacing w:before="78" w:line="222" w:lineRule="auto"/>
              <w:ind w:left="3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A826AFC">
            <w:pPr>
              <w:pStyle w:val="27"/>
              <w:rPr>
                <w:rFonts w:hint="eastAsia" w:ascii="宋体" w:hAnsi="宋体" w:eastAsia="宋体" w:cs="宋体"/>
                <w:color w:val="auto"/>
                <w:sz w:val="21"/>
                <w:szCs w:val="21"/>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开挖深度超过</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5m（含</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5"/>
                <w:sz w:val="21"/>
                <w:szCs w:val="21"/>
                <w:highlight w:val="none"/>
              </w:rPr>
              <w:t>5m）的基坑（槽）的土方</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开挖、支护、降水工程。</w:t>
            </w:r>
          </w:p>
        </w:tc>
        <w:tc>
          <w:tcPr>
            <w:tcW w:w="1294" w:type="dxa"/>
            <w:vAlign w:val="top"/>
          </w:tcPr>
          <w:p w14:paraId="1796810E">
            <w:pPr>
              <w:pStyle w:val="27"/>
              <w:spacing w:line="295" w:lineRule="auto"/>
              <w:rPr>
                <w:rFonts w:hint="eastAsia" w:ascii="宋体" w:hAnsi="宋体" w:eastAsia="宋体" w:cs="宋体"/>
                <w:color w:val="auto"/>
                <w:sz w:val="21"/>
                <w:szCs w:val="21"/>
                <w:highlight w:val="none"/>
              </w:rPr>
            </w:pPr>
          </w:p>
          <w:p w14:paraId="37F2E30C">
            <w:pPr>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B7F49D4">
            <w:pPr>
              <w:pStyle w:val="27"/>
              <w:spacing w:line="295" w:lineRule="auto"/>
              <w:rPr>
                <w:rFonts w:hint="eastAsia" w:ascii="宋体" w:hAnsi="宋体" w:eastAsia="宋体" w:cs="宋体"/>
                <w:color w:val="auto"/>
                <w:sz w:val="21"/>
                <w:szCs w:val="21"/>
                <w:highlight w:val="none"/>
              </w:rPr>
            </w:pPr>
          </w:p>
          <w:p w14:paraId="005B6C9B">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6B784C5">
            <w:pPr>
              <w:pStyle w:val="27"/>
              <w:rPr>
                <w:rFonts w:hint="eastAsia" w:ascii="宋体" w:hAnsi="宋体" w:eastAsia="宋体" w:cs="宋体"/>
                <w:color w:val="auto"/>
                <w:sz w:val="21"/>
                <w:szCs w:val="21"/>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default" w:ascii="宋体" w:hAnsi="宋体" w:eastAsia="宋体" w:cs="宋体"/>
                <w:color w:val="auto"/>
                <w:spacing w:val="2"/>
                <w:sz w:val="21"/>
                <w:szCs w:val="21"/>
                <w:highlight w:val="none"/>
                <w:lang w:val="en-US"/>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9BB9547">
            <w:pPr>
              <w:pStyle w:val="27"/>
              <w:rPr>
                <w:rFonts w:hint="eastAsia" w:ascii="宋体" w:hAnsi="宋体" w:eastAsia="宋体" w:cs="宋体"/>
                <w:color w:val="auto"/>
                <w:sz w:val="21"/>
                <w:szCs w:val="21"/>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（一）各类工具式模板工程：包括滑模、爬模、</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飞模、隧道模等工程。</w:t>
            </w:r>
          </w:p>
        </w:tc>
        <w:tc>
          <w:tcPr>
            <w:tcW w:w="1294" w:type="dxa"/>
            <w:vAlign w:val="top"/>
          </w:tcPr>
          <w:p w14:paraId="333C7548">
            <w:pPr>
              <w:pStyle w:val="27"/>
              <w:spacing w:line="294" w:lineRule="auto"/>
              <w:rPr>
                <w:rFonts w:hint="eastAsia" w:ascii="宋体" w:hAnsi="宋体" w:eastAsia="宋体" w:cs="宋体"/>
                <w:color w:val="auto"/>
                <w:sz w:val="21"/>
                <w:szCs w:val="21"/>
                <w:highlight w:val="none"/>
              </w:rPr>
            </w:pPr>
          </w:p>
          <w:p w14:paraId="40884F4C">
            <w:pPr>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4BE3EB5">
            <w:pPr>
              <w:pStyle w:val="27"/>
              <w:spacing w:line="294" w:lineRule="auto"/>
              <w:rPr>
                <w:rFonts w:hint="eastAsia" w:ascii="宋体" w:hAnsi="宋体" w:eastAsia="宋体" w:cs="宋体"/>
                <w:color w:val="auto"/>
                <w:sz w:val="21"/>
                <w:szCs w:val="21"/>
                <w:highlight w:val="none"/>
              </w:rPr>
            </w:pPr>
          </w:p>
          <w:p w14:paraId="4243723E">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6243DDE8">
            <w:pPr>
              <w:pStyle w:val="27"/>
              <w:rPr>
                <w:rFonts w:hint="eastAsia" w:ascii="宋体" w:hAnsi="宋体" w:eastAsia="宋体" w:cs="宋体"/>
                <w:color w:val="auto"/>
                <w:sz w:val="21"/>
                <w:szCs w:val="21"/>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（二）混凝土模板支撑工程：搭设高度8m</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及以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上，或搭设跨度</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1"/>
                <w:sz w:val="21"/>
                <w:szCs w:val="21"/>
                <w:highlight w:val="none"/>
              </w:rPr>
              <w:t>18m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1"/>
                <w:sz w:val="21"/>
                <w:szCs w:val="21"/>
                <w:highlight w:val="none"/>
              </w:rPr>
              <w:t>及以上，或施工总荷载（设</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计值）15kN/m2</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1"/>
                <w:sz w:val="21"/>
                <w:szCs w:val="21"/>
                <w:highlight w:val="none"/>
              </w:rPr>
              <w:t>及以上，或集中线荷载（设</w:t>
            </w:r>
            <w:r>
              <w:rPr>
                <w:rFonts w:hint="eastAsia" w:ascii="宋体" w:hAnsi="宋体" w:eastAsia="宋体" w:cs="宋体"/>
                <w:color w:val="auto"/>
                <w:spacing w:val="-12"/>
                <w:sz w:val="21"/>
                <w:szCs w:val="21"/>
                <w:highlight w:val="none"/>
              </w:rPr>
              <w:t>计值）</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20kN/m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及以上。</w:t>
            </w:r>
          </w:p>
        </w:tc>
        <w:tc>
          <w:tcPr>
            <w:tcW w:w="1294" w:type="dxa"/>
            <w:vAlign w:val="top"/>
          </w:tcPr>
          <w:p w14:paraId="3A659D94">
            <w:pPr>
              <w:pStyle w:val="27"/>
              <w:spacing w:line="262" w:lineRule="auto"/>
              <w:rPr>
                <w:rFonts w:hint="eastAsia" w:ascii="宋体" w:hAnsi="宋体" w:eastAsia="宋体" w:cs="宋体"/>
                <w:color w:val="auto"/>
                <w:sz w:val="21"/>
                <w:szCs w:val="21"/>
                <w:highlight w:val="none"/>
              </w:rPr>
            </w:pPr>
          </w:p>
          <w:p w14:paraId="36D0E943">
            <w:pPr>
              <w:pStyle w:val="27"/>
              <w:spacing w:line="263" w:lineRule="auto"/>
              <w:rPr>
                <w:rFonts w:hint="eastAsia" w:ascii="宋体" w:hAnsi="宋体" w:eastAsia="宋体" w:cs="宋体"/>
                <w:color w:val="auto"/>
                <w:sz w:val="21"/>
                <w:szCs w:val="21"/>
                <w:highlight w:val="none"/>
              </w:rPr>
            </w:pPr>
          </w:p>
          <w:p w14:paraId="36225E0A">
            <w:pPr>
              <w:pStyle w:val="27"/>
              <w:spacing w:line="263" w:lineRule="auto"/>
              <w:rPr>
                <w:rFonts w:hint="eastAsia" w:ascii="宋体" w:hAnsi="宋体" w:eastAsia="宋体" w:cs="宋体"/>
                <w:color w:val="auto"/>
                <w:sz w:val="21"/>
                <w:szCs w:val="21"/>
                <w:highlight w:val="none"/>
              </w:rPr>
            </w:pPr>
          </w:p>
          <w:p w14:paraId="1B11D092">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6F36B3E">
            <w:pPr>
              <w:pStyle w:val="27"/>
              <w:spacing w:line="262" w:lineRule="auto"/>
              <w:rPr>
                <w:rFonts w:hint="eastAsia" w:ascii="宋体" w:hAnsi="宋体" w:eastAsia="宋体" w:cs="宋体"/>
                <w:color w:val="auto"/>
                <w:sz w:val="21"/>
                <w:szCs w:val="21"/>
                <w:highlight w:val="none"/>
              </w:rPr>
            </w:pPr>
          </w:p>
          <w:p w14:paraId="39B92A8D">
            <w:pPr>
              <w:pStyle w:val="27"/>
              <w:spacing w:line="263" w:lineRule="auto"/>
              <w:rPr>
                <w:rFonts w:hint="eastAsia" w:ascii="宋体" w:hAnsi="宋体" w:eastAsia="宋体" w:cs="宋体"/>
                <w:color w:val="auto"/>
                <w:sz w:val="21"/>
                <w:szCs w:val="21"/>
                <w:highlight w:val="none"/>
              </w:rPr>
            </w:pPr>
          </w:p>
          <w:p w14:paraId="52E91544">
            <w:pPr>
              <w:pStyle w:val="27"/>
              <w:spacing w:line="263" w:lineRule="auto"/>
              <w:rPr>
                <w:rFonts w:hint="eastAsia" w:ascii="宋体" w:hAnsi="宋体" w:eastAsia="宋体" w:cs="宋体"/>
                <w:color w:val="auto"/>
                <w:sz w:val="21"/>
                <w:szCs w:val="21"/>
                <w:highlight w:val="none"/>
              </w:rPr>
            </w:pPr>
          </w:p>
          <w:p w14:paraId="4010B8F8">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6675310">
            <w:pPr>
              <w:pStyle w:val="27"/>
              <w:rPr>
                <w:rFonts w:hint="eastAsia" w:ascii="宋体" w:hAnsi="宋体" w:eastAsia="宋体" w:cs="宋体"/>
                <w:color w:val="auto"/>
                <w:sz w:val="21"/>
                <w:szCs w:val="21"/>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E42B55B">
            <w:pPr>
              <w:pStyle w:val="27"/>
              <w:rPr>
                <w:rFonts w:hint="eastAsia" w:ascii="宋体" w:hAnsi="宋体" w:eastAsia="宋体" w:cs="宋体"/>
                <w:color w:val="auto"/>
                <w:sz w:val="21"/>
                <w:szCs w:val="21"/>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支撑体系，承受单点集中荷载</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
                <w:sz w:val="21"/>
                <w:szCs w:val="21"/>
                <w:highlight w:val="none"/>
              </w:rPr>
              <w:t>7kN</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及以上。</w:t>
            </w:r>
          </w:p>
        </w:tc>
        <w:tc>
          <w:tcPr>
            <w:tcW w:w="1294" w:type="dxa"/>
            <w:vAlign w:val="top"/>
          </w:tcPr>
          <w:p w14:paraId="3D707081">
            <w:pPr>
              <w:pStyle w:val="27"/>
              <w:rPr>
                <w:rFonts w:hint="eastAsia" w:ascii="宋体" w:hAnsi="宋体" w:eastAsia="宋体" w:cs="宋体"/>
                <w:color w:val="auto"/>
                <w:sz w:val="21"/>
                <w:szCs w:val="21"/>
                <w:highlight w:val="none"/>
              </w:rPr>
            </w:pPr>
          </w:p>
        </w:tc>
        <w:tc>
          <w:tcPr>
            <w:tcW w:w="1294" w:type="dxa"/>
            <w:vAlign w:val="top"/>
          </w:tcPr>
          <w:p w14:paraId="53A736AF">
            <w:pPr>
              <w:pStyle w:val="27"/>
              <w:rPr>
                <w:rFonts w:hint="eastAsia" w:ascii="宋体" w:hAnsi="宋体" w:eastAsia="宋体" w:cs="宋体"/>
                <w:color w:val="auto"/>
                <w:sz w:val="21"/>
                <w:szCs w:val="21"/>
                <w:highlight w:val="none"/>
              </w:rPr>
            </w:pPr>
          </w:p>
        </w:tc>
        <w:tc>
          <w:tcPr>
            <w:tcW w:w="2428" w:type="dxa"/>
            <w:vAlign w:val="top"/>
          </w:tcPr>
          <w:p w14:paraId="56059996">
            <w:pPr>
              <w:pStyle w:val="27"/>
              <w:rPr>
                <w:rFonts w:hint="eastAsia" w:ascii="宋体" w:hAnsi="宋体" w:eastAsia="宋体" w:cs="宋体"/>
                <w:color w:val="auto"/>
                <w:sz w:val="21"/>
                <w:szCs w:val="21"/>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8A51EE5">
            <w:pPr>
              <w:pStyle w:val="27"/>
              <w:rPr>
                <w:rFonts w:hint="eastAsia" w:ascii="宋体" w:hAnsi="宋体" w:eastAsia="宋体" w:cs="宋体"/>
                <w:color w:val="auto"/>
                <w:sz w:val="21"/>
                <w:szCs w:val="21"/>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（一）采用非常规起重设备、方法，且单件起</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4"/>
                <w:sz w:val="21"/>
                <w:szCs w:val="21"/>
                <w:highlight w:val="none"/>
              </w:rPr>
              <w:t>吊重量在</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4"/>
                <w:sz w:val="21"/>
                <w:szCs w:val="21"/>
                <w:highlight w:val="none"/>
              </w:rPr>
              <w:t>100kN</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4"/>
                <w:sz w:val="21"/>
                <w:szCs w:val="21"/>
                <w:highlight w:val="none"/>
              </w:rPr>
              <w:t>及以上的起重吊装工程。</w:t>
            </w:r>
          </w:p>
        </w:tc>
        <w:tc>
          <w:tcPr>
            <w:tcW w:w="1294" w:type="dxa"/>
            <w:vAlign w:val="top"/>
          </w:tcPr>
          <w:p w14:paraId="2AF28C1D">
            <w:pPr>
              <w:pStyle w:val="27"/>
              <w:spacing w:line="295" w:lineRule="auto"/>
              <w:rPr>
                <w:rFonts w:hint="eastAsia" w:ascii="宋体" w:hAnsi="宋体" w:eastAsia="宋体" w:cs="宋体"/>
                <w:color w:val="auto"/>
                <w:sz w:val="21"/>
                <w:szCs w:val="21"/>
                <w:highlight w:val="none"/>
              </w:rPr>
            </w:pPr>
          </w:p>
          <w:p w14:paraId="68D38ADD">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DDBCC99">
            <w:pPr>
              <w:pStyle w:val="27"/>
              <w:spacing w:line="295" w:lineRule="auto"/>
              <w:rPr>
                <w:rFonts w:hint="eastAsia" w:ascii="宋体" w:hAnsi="宋体" w:eastAsia="宋体" w:cs="宋体"/>
                <w:color w:val="auto"/>
                <w:sz w:val="21"/>
                <w:szCs w:val="21"/>
                <w:highlight w:val="none"/>
              </w:rPr>
            </w:pPr>
          </w:p>
          <w:p w14:paraId="26478C8F">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DAC0590">
            <w:pPr>
              <w:pStyle w:val="27"/>
              <w:rPr>
                <w:rFonts w:hint="eastAsia" w:ascii="宋体" w:hAnsi="宋体" w:eastAsia="宋体" w:cs="宋体"/>
                <w:color w:val="auto"/>
                <w:sz w:val="21"/>
                <w:szCs w:val="21"/>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（二）起重量</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12"/>
                <w:sz w:val="21"/>
                <w:szCs w:val="21"/>
                <w:highlight w:val="none"/>
              </w:rPr>
              <w:t>300kN</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2"/>
                <w:sz w:val="21"/>
                <w:szCs w:val="21"/>
                <w:highlight w:val="none"/>
              </w:rPr>
              <w:t>及以上，或搭设总高度</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2"/>
                <w:sz w:val="21"/>
                <w:szCs w:val="21"/>
                <w:highlight w:val="none"/>
              </w:rPr>
              <w:t>200m</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及以上，或搭设基础标高在</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4"/>
                <w:sz w:val="21"/>
                <w:szCs w:val="21"/>
                <w:highlight w:val="none"/>
              </w:rPr>
              <w:t>200m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及以上的起重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机械安装和拆卸工程。</w:t>
            </w:r>
          </w:p>
        </w:tc>
        <w:tc>
          <w:tcPr>
            <w:tcW w:w="1294" w:type="dxa"/>
            <w:vAlign w:val="top"/>
          </w:tcPr>
          <w:p w14:paraId="3C812803">
            <w:pPr>
              <w:pStyle w:val="27"/>
              <w:spacing w:line="270" w:lineRule="auto"/>
              <w:rPr>
                <w:rFonts w:hint="eastAsia" w:ascii="宋体" w:hAnsi="宋体" w:eastAsia="宋体" w:cs="宋体"/>
                <w:color w:val="auto"/>
                <w:sz w:val="21"/>
                <w:szCs w:val="21"/>
                <w:highlight w:val="none"/>
              </w:rPr>
            </w:pPr>
          </w:p>
          <w:p w14:paraId="5121DDDA">
            <w:pPr>
              <w:pStyle w:val="27"/>
              <w:spacing w:line="270" w:lineRule="auto"/>
              <w:rPr>
                <w:rFonts w:hint="eastAsia" w:ascii="宋体" w:hAnsi="宋体" w:eastAsia="宋体" w:cs="宋体"/>
                <w:color w:val="auto"/>
                <w:sz w:val="21"/>
                <w:szCs w:val="21"/>
                <w:highlight w:val="none"/>
              </w:rPr>
            </w:pPr>
          </w:p>
          <w:p w14:paraId="560FB691">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2976141">
            <w:pPr>
              <w:pStyle w:val="27"/>
              <w:spacing w:line="270" w:lineRule="auto"/>
              <w:rPr>
                <w:rFonts w:hint="eastAsia" w:ascii="宋体" w:hAnsi="宋体" w:eastAsia="宋体" w:cs="宋体"/>
                <w:color w:val="auto"/>
                <w:sz w:val="21"/>
                <w:szCs w:val="21"/>
                <w:highlight w:val="none"/>
              </w:rPr>
            </w:pPr>
          </w:p>
          <w:p w14:paraId="0F0AF9F1">
            <w:pPr>
              <w:pStyle w:val="27"/>
              <w:spacing w:line="270" w:lineRule="auto"/>
              <w:rPr>
                <w:rFonts w:hint="eastAsia" w:ascii="宋体" w:hAnsi="宋体" w:eastAsia="宋体" w:cs="宋体"/>
                <w:color w:val="auto"/>
                <w:sz w:val="21"/>
                <w:szCs w:val="21"/>
                <w:highlight w:val="none"/>
              </w:rPr>
            </w:pPr>
          </w:p>
          <w:p w14:paraId="69309DD2">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436BC6D">
            <w:pPr>
              <w:pStyle w:val="27"/>
              <w:rPr>
                <w:rFonts w:hint="eastAsia" w:ascii="宋体" w:hAnsi="宋体" w:eastAsia="宋体" w:cs="宋体"/>
                <w:color w:val="auto"/>
                <w:sz w:val="21"/>
                <w:szCs w:val="21"/>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66E3407">
            <w:pPr>
              <w:pStyle w:val="27"/>
              <w:rPr>
                <w:rFonts w:hint="eastAsia" w:ascii="宋体" w:hAnsi="宋体" w:eastAsia="宋体" w:cs="宋体"/>
                <w:color w:val="auto"/>
                <w:sz w:val="21"/>
                <w:szCs w:val="21"/>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（一）搭设高度</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50m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3"/>
                <w:sz w:val="21"/>
                <w:szCs w:val="21"/>
                <w:highlight w:val="none"/>
              </w:rPr>
              <w:t>及以上的落地式钢管脚手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架工程。</w:t>
            </w:r>
          </w:p>
        </w:tc>
        <w:tc>
          <w:tcPr>
            <w:tcW w:w="1294" w:type="dxa"/>
            <w:vAlign w:val="top"/>
          </w:tcPr>
          <w:p w14:paraId="30FE1B6D">
            <w:pPr>
              <w:pStyle w:val="27"/>
              <w:spacing w:line="296" w:lineRule="auto"/>
              <w:rPr>
                <w:rFonts w:hint="eastAsia" w:ascii="宋体" w:hAnsi="宋体" w:eastAsia="宋体" w:cs="宋体"/>
                <w:color w:val="auto"/>
                <w:sz w:val="21"/>
                <w:szCs w:val="21"/>
                <w:highlight w:val="none"/>
              </w:rPr>
            </w:pPr>
          </w:p>
          <w:p w14:paraId="49A947C9">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645D770">
            <w:pPr>
              <w:pStyle w:val="27"/>
              <w:spacing w:line="296" w:lineRule="auto"/>
              <w:rPr>
                <w:rFonts w:hint="eastAsia" w:ascii="宋体" w:hAnsi="宋体" w:eastAsia="宋体" w:cs="宋体"/>
                <w:color w:val="auto"/>
                <w:sz w:val="21"/>
                <w:szCs w:val="21"/>
                <w:highlight w:val="none"/>
              </w:rPr>
            </w:pPr>
          </w:p>
          <w:p w14:paraId="0046F705">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5A45629">
            <w:pPr>
              <w:pStyle w:val="27"/>
              <w:rPr>
                <w:rFonts w:hint="eastAsia" w:ascii="宋体" w:hAnsi="宋体" w:eastAsia="宋体" w:cs="宋体"/>
                <w:color w:val="auto"/>
                <w:sz w:val="21"/>
                <w:szCs w:val="21"/>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（二）提升高度在</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6"/>
                <w:sz w:val="21"/>
                <w:szCs w:val="21"/>
                <w:highlight w:val="none"/>
                <w:lang w:eastAsia="zh-CN"/>
              </w:rPr>
              <w:t>450</w:t>
            </w:r>
            <w:r>
              <w:rPr>
                <w:rFonts w:hint="eastAsia" w:ascii="宋体" w:hAnsi="宋体" w:eastAsia="宋体" w:cs="宋体"/>
                <w:color w:val="auto"/>
                <w:spacing w:val="-6"/>
                <w:sz w:val="21"/>
                <w:szCs w:val="21"/>
                <w:highlight w:val="none"/>
              </w:rPr>
              <w:t>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6"/>
                <w:sz w:val="21"/>
                <w:szCs w:val="21"/>
                <w:highlight w:val="none"/>
              </w:rPr>
              <w:t>及以上的附着式升降脚</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手架工程或附着式升降操作平台工程。</w:t>
            </w:r>
          </w:p>
        </w:tc>
        <w:tc>
          <w:tcPr>
            <w:tcW w:w="1294" w:type="dxa"/>
            <w:vAlign w:val="top"/>
          </w:tcPr>
          <w:p w14:paraId="26E4FDC5">
            <w:pPr>
              <w:pStyle w:val="27"/>
              <w:spacing w:line="296" w:lineRule="auto"/>
              <w:rPr>
                <w:rFonts w:hint="eastAsia" w:ascii="宋体" w:hAnsi="宋体" w:eastAsia="宋体" w:cs="宋体"/>
                <w:color w:val="auto"/>
                <w:sz w:val="21"/>
                <w:szCs w:val="21"/>
                <w:highlight w:val="none"/>
              </w:rPr>
            </w:pPr>
          </w:p>
          <w:p w14:paraId="558431DE">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E227112">
            <w:pPr>
              <w:pStyle w:val="27"/>
              <w:spacing w:line="296" w:lineRule="auto"/>
              <w:rPr>
                <w:rFonts w:hint="eastAsia" w:ascii="宋体" w:hAnsi="宋体" w:eastAsia="宋体" w:cs="宋体"/>
                <w:color w:val="auto"/>
                <w:sz w:val="21"/>
                <w:szCs w:val="21"/>
                <w:highlight w:val="none"/>
              </w:rPr>
            </w:pPr>
          </w:p>
          <w:p w14:paraId="4D51D49D">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D447CAF">
            <w:pPr>
              <w:pStyle w:val="27"/>
              <w:rPr>
                <w:rFonts w:hint="eastAsia" w:ascii="宋体" w:hAnsi="宋体" w:eastAsia="宋体" w:cs="宋体"/>
                <w:color w:val="auto"/>
                <w:sz w:val="21"/>
                <w:szCs w:val="21"/>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（三）分段架体搭设高度</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20m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及以上的悬挑式</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脚手架工程。</w:t>
            </w:r>
          </w:p>
        </w:tc>
        <w:tc>
          <w:tcPr>
            <w:tcW w:w="1294" w:type="dxa"/>
            <w:vAlign w:val="top"/>
          </w:tcPr>
          <w:p w14:paraId="1A4DC673">
            <w:pPr>
              <w:pStyle w:val="27"/>
              <w:spacing w:line="297" w:lineRule="auto"/>
              <w:rPr>
                <w:rFonts w:hint="eastAsia" w:ascii="宋体" w:hAnsi="宋体" w:eastAsia="宋体" w:cs="宋体"/>
                <w:color w:val="auto"/>
                <w:sz w:val="21"/>
                <w:szCs w:val="21"/>
                <w:highlight w:val="none"/>
              </w:rPr>
            </w:pPr>
          </w:p>
          <w:p w14:paraId="13C8F70D">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78C3E33">
            <w:pPr>
              <w:pStyle w:val="27"/>
              <w:spacing w:line="297" w:lineRule="auto"/>
              <w:rPr>
                <w:rFonts w:hint="eastAsia" w:ascii="宋体" w:hAnsi="宋体" w:eastAsia="宋体" w:cs="宋体"/>
                <w:color w:val="auto"/>
                <w:sz w:val="21"/>
                <w:szCs w:val="21"/>
                <w:highlight w:val="none"/>
              </w:rPr>
            </w:pPr>
          </w:p>
          <w:p w14:paraId="69F6EABF">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36FB7CE">
            <w:pPr>
              <w:pStyle w:val="27"/>
              <w:rPr>
                <w:rFonts w:hint="eastAsia" w:ascii="宋体" w:hAnsi="宋体" w:eastAsia="宋体" w:cs="宋体"/>
                <w:color w:val="auto"/>
                <w:sz w:val="21"/>
                <w:szCs w:val="21"/>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B214F7F">
            <w:pPr>
              <w:pStyle w:val="27"/>
              <w:rPr>
                <w:rFonts w:hint="eastAsia" w:ascii="宋体" w:hAnsi="宋体" w:eastAsia="宋体" w:cs="宋体"/>
                <w:color w:val="auto"/>
                <w:sz w:val="21"/>
                <w:szCs w:val="21"/>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（一）码头、桥梁、高架、烟囱、水塔或拆除</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中容易引起有毒有害气（液）体或粉尘扩散、</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易燃易爆事故发生的特殊建、构筑物的拆除工</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5"/>
                <w:sz w:val="21"/>
                <w:szCs w:val="21"/>
                <w:highlight w:val="none"/>
              </w:rPr>
              <w:t>程。</w:t>
            </w:r>
          </w:p>
        </w:tc>
        <w:tc>
          <w:tcPr>
            <w:tcW w:w="1294" w:type="dxa"/>
            <w:vAlign w:val="top"/>
          </w:tcPr>
          <w:p w14:paraId="06E4383E">
            <w:pPr>
              <w:pStyle w:val="27"/>
              <w:spacing w:line="262" w:lineRule="auto"/>
              <w:rPr>
                <w:rFonts w:hint="eastAsia" w:ascii="宋体" w:hAnsi="宋体" w:eastAsia="宋体" w:cs="宋体"/>
                <w:color w:val="auto"/>
                <w:sz w:val="21"/>
                <w:szCs w:val="21"/>
                <w:highlight w:val="none"/>
              </w:rPr>
            </w:pPr>
          </w:p>
          <w:p w14:paraId="7376B21D">
            <w:pPr>
              <w:pStyle w:val="27"/>
              <w:spacing w:line="262" w:lineRule="auto"/>
              <w:rPr>
                <w:rFonts w:hint="eastAsia" w:ascii="宋体" w:hAnsi="宋体" w:eastAsia="宋体" w:cs="宋体"/>
                <w:color w:val="auto"/>
                <w:sz w:val="21"/>
                <w:szCs w:val="21"/>
                <w:highlight w:val="none"/>
              </w:rPr>
            </w:pPr>
          </w:p>
          <w:p w14:paraId="5707BFC6">
            <w:pPr>
              <w:pStyle w:val="27"/>
              <w:spacing w:line="262" w:lineRule="auto"/>
              <w:rPr>
                <w:rFonts w:hint="eastAsia" w:ascii="宋体" w:hAnsi="宋体" w:eastAsia="宋体" w:cs="宋体"/>
                <w:color w:val="auto"/>
                <w:sz w:val="21"/>
                <w:szCs w:val="21"/>
                <w:highlight w:val="none"/>
              </w:rPr>
            </w:pPr>
          </w:p>
          <w:p w14:paraId="07A1B4B9">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AA7B904">
            <w:pPr>
              <w:pStyle w:val="27"/>
              <w:spacing w:line="262" w:lineRule="auto"/>
              <w:rPr>
                <w:rFonts w:hint="eastAsia" w:ascii="宋体" w:hAnsi="宋体" w:eastAsia="宋体" w:cs="宋体"/>
                <w:color w:val="auto"/>
                <w:sz w:val="21"/>
                <w:szCs w:val="21"/>
                <w:highlight w:val="none"/>
              </w:rPr>
            </w:pPr>
          </w:p>
          <w:p w14:paraId="60B86E07">
            <w:pPr>
              <w:pStyle w:val="27"/>
              <w:spacing w:line="262" w:lineRule="auto"/>
              <w:rPr>
                <w:rFonts w:hint="eastAsia" w:ascii="宋体" w:hAnsi="宋体" w:eastAsia="宋体" w:cs="宋体"/>
                <w:color w:val="auto"/>
                <w:sz w:val="21"/>
                <w:szCs w:val="21"/>
                <w:highlight w:val="none"/>
              </w:rPr>
            </w:pPr>
          </w:p>
          <w:p w14:paraId="069EBF28">
            <w:pPr>
              <w:pStyle w:val="27"/>
              <w:spacing w:line="262" w:lineRule="auto"/>
              <w:rPr>
                <w:rFonts w:hint="eastAsia" w:ascii="宋体" w:hAnsi="宋体" w:eastAsia="宋体" w:cs="宋体"/>
                <w:color w:val="auto"/>
                <w:sz w:val="21"/>
                <w:szCs w:val="21"/>
                <w:highlight w:val="none"/>
              </w:rPr>
            </w:pPr>
          </w:p>
          <w:p w14:paraId="6B21D267">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744C282">
            <w:pPr>
              <w:pStyle w:val="27"/>
              <w:rPr>
                <w:rFonts w:hint="eastAsia" w:ascii="宋体" w:hAnsi="宋体" w:eastAsia="宋体" w:cs="宋体"/>
                <w:color w:val="auto"/>
                <w:sz w:val="21"/>
                <w:szCs w:val="21"/>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（二）文物保护建筑、优秀历史建筑或历史文</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化风貌区影响范围内的拆除工程。</w:t>
            </w:r>
          </w:p>
        </w:tc>
        <w:tc>
          <w:tcPr>
            <w:tcW w:w="1294" w:type="dxa"/>
            <w:vAlign w:val="top"/>
          </w:tcPr>
          <w:p w14:paraId="4FDC9077">
            <w:pPr>
              <w:pStyle w:val="27"/>
              <w:spacing w:line="297" w:lineRule="auto"/>
              <w:rPr>
                <w:rFonts w:hint="eastAsia" w:ascii="宋体" w:hAnsi="宋体" w:eastAsia="宋体" w:cs="宋体"/>
                <w:color w:val="auto"/>
                <w:sz w:val="21"/>
                <w:szCs w:val="21"/>
                <w:highlight w:val="none"/>
              </w:rPr>
            </w:pPr>
          </w:p>
          <w:p w14:paraId="557EC15C">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B5B90DE">
            <w:pPr>
              <w:pStyle w:val="27"/>
              <w:spacing w:line="297" w:lineRule="auto"/>
              <w:rPr>
                <w:rFonts w:hint="eastAsia" w:ascii="宋体" w:hAnsi="宋体" w:eastAsia="宋体" w:cs="宋体"/>
                <w:color w:val="auto"/>
                <w:sz w:val="21"/>
                <w:szCs w:val="21"/>
                <w:highlight w:val="none"/>
              </w:rPr>
            </w:pPr>
          </w:p>
          <w:p w14:paraId="4F686E90">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662BBBA6">
            <w:pPr>
              <w:pStyle w:val="27"/>
              <w:rPr>
                <w:rFonts w:hint="eastAsia" w:ascii="宋体" w:hAnsi="宋体" w:eastAsia="宋体" w:cs="宋体"/>
                <w:color w:val="auto"/>
                <w:sz w:val="21"/>
                <w:szCs w:val="21"/>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A7A96A4">
            <w:pPr>
              <w:pStyle w:val="27"/>
              <w:rPr>
                <w:rFonts w:hint="eastAsia" w:ascii="宋体" w:hAnsi="宋体" w:eastAsia="宋体" w:cs="宋体"/>
                <w:color w:val="auto"/>
                <w:sz w:val="21"/>
                <w:szCs w:val="21"/>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采用矿山法、盾构法、顶管法施工的隧道、洞</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室工程。</w:t>
            </w:r>
          </w:p>
        </w:tc>
        <w:tc>
          <w:tcPr>
            <w:tcW w:w="1294" w:type="dxa"/>
            <w:vAlign w:val="top"/>
          </w:tcPr>
          <w:p w14:paraId="0D94965A">
            <w:pPr>
              <w:pStyle w:val="27"/>
              <w:spacing w:line="298" w:lineRule="auto"/>
              <w:rPr>
                <w:rFonts w:hint="eastAsia" w:ascii="宋体" w:hAnsi="宋体" w:eastAsia="宋体" w:cs="宋体"/>
                <w:color w:val="auto"/>
                <w:sz w:val="21"/>
                <w:szCs w:val="21"/>
                <w:highlight w:val="none"/>
              </w:rPr>
            </w:pPr>
          </w:p>
          <w:p w14:paraId="107BA7A6">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9BE5B49">
            <w:pPr>
              <w:pStyle w:val="27"/>
              <w:spacing w:line="298" w:lineRule="auto"/>
              <w:rPr>
                <w:rFonts w:hint="eastAsia" w:ascii="宋体" w:hAnsi="宋体" w:eastAsia="宋体" w:cs="宋体"/>
                <w:color w:val="auto"/>
                <w:sz w:val="21"/>
                <w:szCs w:val="21"/>
                <w:highlight w:val="none"/>
              </w:rPr>
            </w:pPr>
          </w:p>
          <w:p w14:paraId="5C719A3E">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FC8E31C">
            <w:pPr>
              <w:pStyle w:val="27"/>
              <w:rPr>
                <w:rFonts w:hint="eastAsia" w:ascii="宋体" w:hAnsi="宋体" w:eastAsia="宋体" w:cs="宋体"/>
                <w:color w:val="auto"/>
                <w:sz w:val="21"/>
                <w:szCs w:val="21"/>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w:t>
            </w:r>
            <w:r>
              <w:rPr>
                <w:rFonts w:hint="eastAsia" w:ascii="宋体" w:hAnsi="宋体" w:eastAsia="宋体" w:cs="宋体"/>
                <w:color w:val="auto"/>
                <w:spacing w:val="-3"/>
                <w:sz w:val="21"/>
                <w:szCs w:val="21"/>
                <w:highlight w:val="none"/>
                <w:lang w:eastAsia="zh-CN"/>
              </w:rPr>
              <w:t>其他</w:t>
            </w:r>
          </w:p>
        </w:tc>
        <w:tc>
          <w:tcPr>
            <w:tcW w:w="1294" w:type="dxa"/>
            <w:vAlign w:val="top"/>
          </w:tcPr>
          <w:p w14:paraId="0EBCA3B5">
            <w:pPr>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1FFA8E9">
            <w:pPr>
              <w:pStyle w:val="27"/>
              <w:rPr>
                <w:rFonts w:hint="eastAsia" w:ascii="宋体" w:hAnsi="宋体" w:eastAsia="宋体" w:cs="宋体"/>
                <w:color w:val="auto"/>
                <w:sz w:val="21"/>
                <w:szCs w:val="21"/>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（一）施工高度</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50m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3"/>
                <w:sz w:val="21"/>
                <w:szCs w:val="21"/>
                <w:highlight w:val="none"/>
              </w:rPr>
              <w:t>及以上的建筑幕墙安装工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程。</w:t>
            </w:r>
          </w:p>
        </w:tc>
        <w:tc>
          <w:tcPr>
            <w:tcW w:w="1294" w:type="dxa"/>
            <w:vAlign w:val="top"/>
          </w:tcPr>
          <w:p w14:paraId="6875389F">
            <w:pPr>
              <w:pStyle w:val="27"/>
              <w:spacing w:line="297" w:lineRule="auto"/>
              <w:rPr>
                <w:rFonts w:hint="eastAsia" w:ascii="宋体" w:hAnsi="宋体" w:eastAsia="宋体" w:cs="宋体"/>
                <w:color w:val="auto"/>
                <w:sz w:val="21"/>
                <w:szCs w:val="21"/>
                <w:highlight w:val="none"/>
              </w:rPr>
            </w:pPr>
          </w:p>
          <w:p w14:paraId="6D662840">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7AE4538">
            <w:pPr>
              <w:pStyle w:val="27"/>
              <w:spacing w:line="297" w:lineRule="auto"/>
              <w:rPr>
                <w:rFonts w:hint="eastAsia" w:ascii="宋体" w:hAnsi="宋体" w:eastAsia="宋体" w:cs="宋体"/>
                <w:color w:val="auto"/>
                <w:sz w:val="21"/>
                <w:szCs w:val="21"/>
                <w:highlight w:val="none"/>
              </w:rPr>
            </w:pPr>
          </w:p>
          <w:p w14:paraId="42F57BE7">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D9A8755">
            <w:pPr>
              <w:pStyle w:val="27"/>
              <w:rPr>
                <w:rFonts w:hint="eastAsia" w:ascii="宋体" w:hAnsi="宋体" w:eastAsia="宋体" w:cs="宋体"/>
                <w:color w:val="auto"/>
                <w:sz w:val="21"/>
                <w:szCs w:val="21"/>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（二）跨度</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36m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0D5DCE7">
            <w:pPr>
              <w:pStyle w:val="27"/>
              <w:rPr>
                <w:rFonts w:hint="eastAsia" w:ascii="宋体" w:hAnsi="宋体" w:eastAsia="宋体" w:cs="宋体"/>
                <w:color w:val="auto"/>
                <w:sz w:val="21"/>
                <w:szCs w:val="21"/>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跨度</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60m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及以上的网架和索膜结构安装工程。</w:t>
            </w:r>
          </w:p>
        </w:tc>
        <w:tc>
          <w:tcPr>
            <w:tcW w:w="1294" w:type="dxa"/>
            <w:vAlign w:val="top"/>
          </w:tcPr>
          <w:p w14:paraId="605F2EF6">
            <w:pPr>
              <w:pStyle w:val="27"/>
              <w:rPr>
                <w:rFonts w:hint="eastAsia" w:ascii="宋体" w:hAnsi="宋体" w:eastAsia="宋体" w:cs="宋体"/>
                <w:color w:val="auto"/>
                <w:sz w:val="21"/>
                <w:szCs w:val="21"/>
                <w:highlight w:val="none"/>
              </w:rPr>
            </w:pPr>
          </w:p>
        </w:tc>
        <w:tc>
          <w:tcPr>
            <w:tcW w:w="1294" w:type="dxa"/>
            <w:vAlign w:val="top"/>
          </w:tcPr>
          <w:p w14:paraId="5D1675CC">
            <w:pPr>
              <w:pStyle w:val="27"/>
              <w:rPr>
                <w:rFonts w:hint="eastAsia" w:ascii="宋体" w:hAnsi="宋体" w:eastAsia="宋体" w:cs="宋体"/>
                <w:color w:val="auto"/>
                <w:sz w:val="21"/>
                <w:szCs w:val="21"/>
                <w:highlight w:val="none"/>
              </w:rPr>
            </w:pPr>
          </w:p>
        </w:tc>
        <w:tc>
          <w:tcPr>
            <w:tcW w:w="2428" w:type="dxa"/>
            <w:vAlign w:val="top"/>
          </w:tcPr>
          <w:p w14:paraId="0D243CC5">
            <w:pPr>
              <w:pStyle w:val="27"/>
              <w:rPr>
                <w:rFonts w:hint="eastAsia" w:ascii="宋体" w:hAnsi="宋体" w:eastAsia="宋体" w:cs="宋体"/>
                <w:color w:val="auto"/>
                <w:sz w:val="21"/>
                <w:szCs w:val="21"/>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（三）开挖深度</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7"/>
                <w:sz w:val="21"/>
                <w:szCs w:val="21"/>
                <w:highlight w:val="none"/>
              </w:rPr>
              <w:t>16m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7"/>
                <w:sz w:val="21"/>
                <w:szCs w:val="21"/>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8555BA1">
            <w:pPr>
              <w:pStyle w:val="27"/>
              <w:rPr>
                <w:rFonts w:hint="eastAsia" w:ascii="宋体" w:hAnsi="宋体" w:eastAsia="宋体" w:cs="宋体"/>
                <w:color w:val="auto"/>
                <w:sz w:val="21"/>
                <w:szCs w:val="21"/>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25C0773">
            <w:pPr>
              <w:pStyle w:val="27"/>
              <w:rPr>
                <w:rFonts w:hint="eastAsia" w:ascii="宋体" w:hAnsi="宋体" w:eastAsia="宋体" w:cs="宋体"/>
                <w:color w:val="auto"/>
                <w:sz w:val="21"/>
                <w:szCs w:val="21"/>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（五）重量</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8"/>
                <w:sz w:val="21"/>
                <w:szCs w:val="21"/>
                <w:highlight w:val="none"/>
              </w:rPr>
              <w:t>1000kN及以上的大型结构整体顶升、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平移、转体等施工工艺。</w:t>
            </w:r>
          </w:p>
        </w:tc>
        <w:tc>
          <w:tcPr>
            <w:tcW w:w="1294" w:type="dxa"/>
            <w:vAlign w:val="top"/>
          </w:tcPr>
          <w:p w14:paraId="2C9AAB19">
            <w:pPr>
              <w:pStyle w:val="27"/>
              <w:spacing w:line="296" w:lineRule="auto"/>
              <w:rPr>
                <w:rFonts w:hint="eastAsia" w:ascii="宋体" w:hAnsi="宋体" w:eastAsia="宋体" w:cs="宋体"/>
                <w:color w:val="auto"/>
                <w:sz w:val="21"/>
                <w:szCs w:val="21"/>
                <w:highlight w:val="none"/>
              </w:rPr>
            </w:pPr>
          </w:p>
          <w:p w14:paraId="4876A57F">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76200BC">
            <w:pPr>
              <w:pStyle w:val="27"/>
              <w:spacing w:line="296" w:lineRule="auto"/>
              <w:rPr>
                <w:rFonts w:hint="eastAsia" w:ascii="宋体" w:hAnsi="宋体" w:eastAsia="宋体" w:cs="宋体"/>
                <w:color w:val="auto"/>
                <w:sz w:val="21"/>
                <w:szCs w:val="21"/>
                <w:highlight w:val="none"/>
              </w:rPr>
            </w:pPr>
          </w:p>
          <w:p w14:paraId="7AB7C83F">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E4D7469">
            <w:pPr>
              <w:pStyle w:val="27"/>
              <w:rPr>
                <w:rFonts w:hint="eastAsia" w:ascii="宋体" w:hAnsi="宋体" w:eastAsia="宋体" w:cs="宋体"/>
                <w:color w:val="auto"/>
                <w:sz w:val="21"/>
                <w:szCs w:val="21"/>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（六）采用新技术、新工艺、新材料、新设备</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可能影响工程施工安全，尚无国家、行业及地</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rPr>
              <w:t>方技术标准的分部分项工程。</w:t>
            </w:r>
          </w:p>
        </w:tc>
        <w:tc>
          <w:tcPr>
            <w:tcW w:w="1294" w:type="dxa"/>
            <w:vAlign w:val="top"/>
          </w:tcPr>
          <w:p w14:paraId="2B72A05D">
            <w:pPr>
              <w:pStyle w:val="27"/>
              <w:spacing w:line="272" w:lineRule="auto"/>
              <w:rPr>
                <w:rFonts w:hint="eastAsia" w:ascii="宋体" w:hAnsi="宋体" w:eastAsia="宋体" w:cs="宋体"/>
                <w:color w:val="auto"/>
                <w:sz w:val="21"/>
                <w:szCs w:val="21"/>
                <w:highlight w:val="none"/>
              </w:rPr>
            </w:pPr>
          </w:p>
          <w:p w14:paraId="5116E607">
            <w:pPr>
              <w:pStyle w:val="27"/>
              <w:spacing w:line="272" w:lineRule="auto"/>
              <w:rPr>
                <w:rFonts w:hint="eastAsia" w:ascii="宋体" w:hAnsi="宋体" w:eastAsia="宋体" w:cs="宋体"/>
                <w:color w:val="auto"/>
                <w:sz w:val="21"/>
                <w:szCs w:val="21"/>
                <w:highlight w:val="none"/>
              </w:rPr>
            </w:pPr>
          </w:p>
          <w:p w14:paraId="1D92D5C4">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13E1CBC">
            <w:pPr>
              <w:pStyle w:val="27"/>
              <w:spacing w:line="272" w:lineRule="auto"/>
              <w:rPr>
                <w:rFonts w:hint="eastAsia" w:ascii="宋体" w:hAnsi="宋体" w:eastAsia="宋体" w:cs="宋体"/>
                <w:color w:val="auto"/>
                <w:sz w:val="21"/>
                <w:szCs w:val="21"/>
                <w:highlight w:val="none"/>
              </w:rPr>
            </w:pPr>
          </w:p>
          <w:p w14:paraId="6170A90B">
            <w:pPr>
              <w:pStyle w:val="27"/>
              <w:spacing w:line="272" w:lineRule="auto"/>
              <w:rPr>
                <w:rFonts w:hint="eastAsia" w:ascii="宋体" w:hAnsi="宋体" w:eastAsia="宋体" w:cs="宋体"/>
                <w:color w:val="auto"/>
                <w:sz w:val="21"/>
                <w:szCs w:val="21"/>
                <w:highlight w:val="none"/>
              </w:rPr>
            </w:pPr>
          </w:p>
          <w:p w14:paraId="154F4BC5">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DE1D241">
            <w:pPr>
              <w:pStyle w:val="27"/>
              <w:rPr>
                <w:rFonts w:hint="eastAsia" w:ascii="宋体" w:hAnsi="宋体" w:eastAsia="宋体" w:cs="宋体"/>
                <w:color w:val="auto"/>
                <w:sz w:val="21"/>
                <w:szCs w:val="21"/>
                <w:highlight w:val="none"/>
              </w:rPr>
            </w:pPr>
          </w:p>
        </w:tc>
      </w:tr>
    </w:tbl>
    <w:p w14:paraId="6E4A0502">
      <w:pPr>
        <w:pStyle w:val="6"/>
        <w:spacing w:line="288" w:lineRule="auto"/>
        <w:rPr>
          <w:rFonts w:hint="eastAsia" w:ascii="宋体" w:hAnsi="宋体" w:eastAsia="宋体" w:cs="宋体"/>
          <w:color w:val="auto"/>
          <w:sz w:val="21"/>
          <w:szCs w:val="21"/>
          <w:highlight w:val="none"/>
        </w:rPr>
      </w:pPr>
    </w:p>
    <w:p w14:paraId="75FD8B74">
      <w:pPr>
        <w:pStyle w:val="6"/>
        <w:spacing w:line="288" w:lineRule="auto"/>
        <w:rPr>
          <w:rFonts w:hint="eastAsia" w:ascii="宋体" w:hAnsi="宋体" w:eastAsia="宋体" w:cs="宋体"/>
          <w:color w:val="auto"/>
          <w:sz w:val="21"/>
          <w:szCs w:val="21"/>
          <w:highlight w:val="none"/>
        </w:rPr>
      </w:pPr>
    </w:p>
    <w:p w14:paraId="3445358B">
      <w:pPr>
        <w:spacing w:before="21" w:line="376" w:lineRule="exact"/>
        <w:ind w:firstLine="460" w:firstLineChars="200"/>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10"/>
          <w:sz w:val="21"/>
          <w:szCs w:val="21"/>
          <w:highlight w:val="none"/>
        </w:rPr>
        <w:t>备注：1.根据《危险性较大的分部分项工程安全管理</w:t>
      </w:r>
      <w:r>
        <w:rPr>
          <w:rFonts w:hint="eastAsia" w:ascii="宋体" w:hAnsi="宋体" w:eastAsia="宋体" w:cs="宋体"/>
          <w:color w:val="auto"/>
          <w:spacing w:val="9"/>
          <w:sz w:val="21"/>
          <w:szCs w:val="21"/>
          <w:highlight w:val="none"/>
        </w:rPr>
        <w:t>规定》，该《危险性较大的分部分项工程清单及超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9"/>
          <w:sz w:val="21"/>
          <w:szCs w:val="21"/>
          <w:highlight w:val="none"/>
        </w:rPr>
        <w:t>过一定规模的危险性较大的分部分项工程清单》</w:t>
      </w:r>
      <w:r>
        <w:rPr>
          <w:rFonts w:hint="eastAsia" w:ascii="宋体" w:hAnsi="宋体" w:eastAsia="宋体" w:cs="宋体"/>
          <w:color w:val="auto"/>
          <w:spacing w:val="9"/>
          <w:sz w:val="21"/>
          <w:szCs w:val="21"/>
          <w:highlight w:val="none"/>
          <w:lang w:eastAsia="zh-CN"/>
        </w:rPr>
        <w:t>应由建设单位组织勘察、设计等单位在招标文件中“勾选（对应项打‘√’标识”危险性较大的分部分项工程。</w:t>
      </w:r>
    </w:p>
    <w:p w14:paraId="21F57ACA">
      <w:pPr>
        <w:spacing w:before="21" w:line="376" w:lineRule="exact"/>
        <w:ind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2.该《危险性较大的分部分项工程清单及超过一定规模的危险性较</w:t>
      </w:r>
      <w:r>
        <w:rPr>
          <w:rFonts w:hint="eastAsia" w:ascii="宋体" w:hAnsi="宋体" w:eastAsia="宋体" w:cs="宋体"/>
          <w:color w:val="auto"/>
          <w:spacing w:val="7"/>
          <w:sz w:val="21"/>
          <w:szCs w:val="21"/>
          <w:highlight w:val="none"/>
        </w:rPr>
        <w:t>大的分部分项工程清单》在办理</w:t>
      </w:r>
      <w:r>
        <w:rPr>
          <w:rFonts w:hint="eastAsia" w:ascii="宋体" w:hAnsi="宋体" w:eastAsia="宋体" w:cs="宋体"/>
          <w:color w:val="auto"/>
          <w:spacing w:val="10"/>
          <w:sz w:val="21"/>
          <w:szCs w:val="21"/>
          <w:highlight w:val="none"/>
        </w:rPr>
        <w:t>建设项目施工许可时必须提供，且各地建设行政主管部门可按照《广东省建设工</w:t>
      </w:r>
      <w:r>
        <w:rPr>
          <w:rFonts w:hint="eastAsia" w:ascii="宋体" w:hAnsi="宋体" w:eastAsia="宋体" w:cs="宋体"/>
          <w:color w:val="auto"/>
          <w:spacing w:val="9"/>
          <w:sz w:val="21"/>
          <w:szCs w:val="21"/>
          <w:highlight w:val="none"/>
        </w:rPr>
        <w:t>程项目招标中标后监督</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检查办法》相关规定开展检查。</w:t>
      </w:r>
    </w:p>
    <w:p w14:paraId="7A1DC17D">
      <w:pPr>
        <w:spacing w:before="28" w:line="228" w:lineRule="auto"/>
        <w:ind w:left="548" w:leftChars="244" w:hanging="36" w:hangingChars="16"/>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9"/>
          <w:sz w:val="21"/>
          <w:szCs w:val="21"/>
          <w:highlight w:val="none"/>
        </w:rPr>
        <w:t>3.如果需要（如需要通过计算编制专项方案，或者需要专家论证</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9"/>
          <w:sz w:val="21"/>
          <w:szCs w:val="21"/>
          <w:highlight w:val="none"/>
        </w:rPr>
        <w:t>可中</w:t>
      </w:r>
      <w:r>
        <w:rPr>
          <w:rFonts w:hint="eastAsia" w:ascii="宋体" w:hAnsi="宋体" w:eastAsia="宋体" w:cs="宋体"/>
          <w:color w:val="auto"/>
          <w:spacing w:val="8"/>
          <w:sz w:val="21"/>
          <w:szCs w:val="21"/>
          <w:highlight w:val="none"/>
        </w:rPr>
        <w:t>标后提供</w:t>
      </w:r>
      <w:r>
        <w:rPr>
          <w:rFonts w:hint="eastAsia" w:ascii="宋体" w:hAnsi="宋体" w:eastAsia="宋体" w:cs="宋体"/>
          <w:color w:val="auto"/>
          <w:spacing w:val="8"/>
          <w:sz w:val="21"/>
          <w:szCs w:val="21"/>
          <w:highlight w:val="none"/>
          <w:lang w:eastAsia="zh-CN"/>
        </w:rPr>
        <w:t>详细版。</w:t>
      </w:r>
    </w:p>
    <w:p w14:paraId="07D02C66">
      <w:pPr>
        <w:rPr>
          <w:color w:val="auto"/>
          <w:sz w:val="21"/>
          <w:szCs w:val="21"/>
          <w:highlight w:val="none"/>
        </w:rPr>
      </w:pPr>
    </w:p>
    <w:p w14:paraId="086DFF7E">
      <w:pPr>
        <w:pStyle w:val="15"/>
        <w:rPr>
          <w:rFonts w:hint="eastAsia" w:ascii="宋体" w:hAnsi="宋体" w:eastAsia="宋体" w:cs="宋体"/>
          <w:b/>
          <w:bCs/>
          <w:color w:val="auto"/>
          <w:spacing w:val="-4"/>
          <w:sz w:val="21"/>
          <w:szCs w:val="21"/>
          <w:highlight w:val="none"/>
        </w:rPr>
      </w:pPr>
    </w:p>
    <w:p w14:paraId="4D9F0099">
      <w:pPr>
        <w:pStyle w:val="15"/>
        <w:rPr>
          <w:rFonts w:hint="eastAsia" w:ascii="宋体" w:hAnsi="宋体" w:eastAsia="宋体" w:cs="宋体"/>
          <w:b/>
          <w:bCs/>
          <w:color w:val="auto"/>
          <w:spacing w:val="-4"/>
          <w:sz w:val="24"/>
          <w:szCs w:val="24"/>
          <w:highlight w:val="none"/>
        </w:rPr>
      </w:pPr>
    </w:p>
    <w:p w14:paraId="1872DDAC">
      <w:pPr>
        <w:pStyle w:val="15"/>
        <w:rPr>
          <w:rFonts w:hint="eastAsia" w:ascii="宋体" w:hAnsi="宋体" w:eastAsia="宋体" w:cs="宋体"/>
          <w:b/>
          <w:bCs/>
          <w:color w:val="auto"/>
          <w:spacing w:val="-4"/>
          <w:sz w:val="24"/>
          <w:szCs w:val="24"/>
          <w:highlight w:val="none"/>
        </w:rPr>
      </w:pPr>
    </w:p>
    <w:p w14:paraId="102A38AF">
      <w:pPr>
        <w:pStyle w:val="15"/>
        <w:rPr>
          <w:rFonts w:hint="eastAsia" w:ascii="宋体" w:hAnsi="宋体" w:eastAsia="宋体" w:cs="宋体"/>
          <w:b/>
          <w:bCs/>
          <w:color w:val="auto"/>
          <w:spacing w:val="-4"/>
          <w:sz w:val="24"/>
          <w:szCs w:val="24"/>
          <w:highlight w:val="none"/>
        </w:rPr>
      </w:pPr>
    </w:p>
    <w:p w14:paraId="2E1BA95E">
      <w:pPr>
        <w:pStyle w:val="15"/>
        <w:rPr>
          <w:rFonts w:hint="eastAsia" w:ascii="宋体" w:hAnsi="宋体" w:eastAsia="宋体" w:cs="宋体"/>
          <w:b/>
          <w:bCs/>
          <w:color w:val="auto"/>
          <w:spacing w:val="-4"/>
          <w:sz w:val="24"/>
          <w:szCs w:val="24"/>
          <w:highlight w:val="none"/>
        </w:rPr>
      </w:pPr>
    </w:p>
    <w:p w14:paraId="738EC21D">
      <w:pPr>
        <w:pStyle w:val="15"/>
        <w:ind w:left="0" w:leftChars="0" w:firstLine="0" w:firstLineChars="0"/>
        <w:rPr>
          <w:rFonts w:hint="eastAsia" w:ascii="宋体" w:hAnsi="宋体" w:eastAsia="宋体" w:cs="宋体"/>
          <w:b/>
          <w:bCs/>
          <w:color w:val="auto"/>
          <w:spacing w:val="-4"/>
          <w:sz w:val="24"/>
          <w:szCs w:val="24"/>
          <w:highlight w:val="none"/>
        </w:rPr>
      </w:pP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5" w:name="_Toc13171"/>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75"/>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6"/>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一、</w:t>
      </w:r>
      <w:r>
        <w:rPr>
          <w:rFonts w:hint="eastAsia" w:ascii="宋体" w:hAnsi="宋体" w:eastAsia="宋体" w:cs="宋体"/>
          <w:color w:val="auto"/>
          <w:spacing w:val="7"/>
          <w:sz w:val="21"/>
          <w:szCs w:val="21"/>
          <w:highlight w:val="none"/>
        </w:rPr>
        <w:t>我单位参加</w:t>
      </w:r>
      <w:r>
        <w:rPr>
          <w:rFonts w:hint="eastAsia" w:ascii="宋体" w:hAnsi="宋体" w:eastAsia="宋体" w:cs="宋体"/>
          <w:color w:val="auto"/>
          <w:spacing w:val="7"/>
          <w:sz w:val="21"/>
          <w:szCs w:val="21"/>
          <w:highlight w:val="none"/>
          <w:u w:val="single"/>
        </w:rPr>
        <w:t xml:space="preserve">  （工程项目名称）  </w:t>
      </w:r>
      <w:r>
        <w:rPr>
          <w:rFonts w:hint="eastAsia" w:ascii="宋体" w:hAnsi="宋体" w:eastAsia="宋体" w:cs="宋体"/>
          <w:color w:val="auto"/>
          <w:spacing w:val="-116"/>
          <w:sz w:val="21"/>
          <w:szCs w:val="21"/>
          <w:highlight w:val="none"/>
        </w:rPr>
        <w:t xml:space="preserve"> </w:t>
      </w:r>
      <w:r>
        <w:rPr>
          <w:rFonts w:hint="eastAsia" w:ascii="宋体" w:hAnsi="宋体" w:eastAsia="宋体" w:cs="宋体"/>
          <w:color w:val="auto"/>
          <w:spacing w:val="7"/>
          <w:sz w:val="21"/>
          <w:szCs w:val="21"/>
          <w:highlight w:val="none"/>
        </w:rPr>
        <w:t>的投标活动，</w:t>
      </w:r>
      <w:r>
        <w:rPr>
          <w:rFonts w:hint="eastAsia" w:ascii="宋体" w:hAnsi="宋体" w:eastAsia="宋体" w:cs="宋体"/>
          <w:color w:val="auto"/>
          <w:spacing w:val="6"/>
          <w:sz w:val="21"/>
          <w:szCs w:val="21"/>
          <w:highlight w:val="none"/>
        </w:rPr>
        <w:t>现承</w:t>
      </w:r>
      <w:r>
        <w:rPr>
          <w:rFonts w:hint="eastAsia" w:ascii="宋体" w:hAnsi="宋体" w:eastAsia="宋体" w:cs="宋体"/>
          <w:color w:val="auto"/>
          <w:spacing w:val="9"/>
          <w:sz w:val="21"/>
          <w:szCs w:val="21"/>
          <w:highlight w:val="none"/>
        </w:rPr>
        <w:t>诺：将严格按照法律法规规定参与交易活动，按照招标文件要求</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依法履行投标人义务；我方若出现违反《</w:t>
      </w:r>
      <w:r>
        <w:rPr>
          <w:rFonts w:hint="eastAsia" w:ascii="宋体" w:hAnsi="宋体" w:eastAsia="宋体" w:cs="宋体"/>
          <w:color w:val="auto"/>
          <w:spacing w:val="9"/>
          <w:sz w:val="21"/>
          <w:szCs w:val="21"/>
          <w:highlight w:val="none"/>
          <w:lang w:eastAsia="zh-CN"/>
        </w:rPr>
        <w:t>中华人民共和国招标投标法》《</w:t>
      </w:r>
      <w:r>
        <w:rPr>
          <w:rFonts w:hint="eastAsia" w:ascii="宋体" w:hAnsi="宋体" w:eastAsia="宋体" w:cs="宋体"/>
          <w:color w:val="auto"/>
          <w:spacing w:val="9"/>
          <w:sz w:val="21"/>
          <w:szCs w:val="21"/>
          <w:highlight w:val="none"/>
        </w:rPr>
        <w:t>中华人民共和国招标投标法实施条例</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电子招标</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投标办法》等有关法律法规的行为，将于投标有效期内全额付清</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7"/>
          <w:sz w:val="21"/>
          <w:szCs w:val="21"/>
          <w:highlight w:val="none"/>
        </w:rPr>
        <w:t>招标文件规定的投标保证金</w:t>
      </w:r>
      <w:r>
        <w:rPr>
          <w:rFonts w:hint="eastAsia" w:ascii="宋体" w:hAnsi="宋体" w:eastAsia="宋体" w:cs="宋体"/>
          <w:color w:val="auto"/>
          <w:spacing w:val="-153"/>
          <w:sz w:val="21"/>
          <w:szCs w:val="21"/>
          <w:highlight w:val="none"/>
        </w:rPr>
        <w:t xml:space="preserve"> </w:t>
      </w:r>
      <w:r>
        <w:rPr>
          <w:rFonts w:hint="eastAsia" w:ascii="宋体" w:hAnsi="宋体" w:eastAsia="宋体" w:cs="宋体"/>
          <w:color w:val="auto"/>
          <w:spacing w:val="5"/>
          <w:sz w:val="21"/>
          <w:szCs w:val="21"/>
          <w:highlight w:val="none"/>
          <w:u w:val="single"/>
        </w:rPr>
        <w:t xml:space="preserve">     </w:t>
      </w:r>
      <w:r>
        <w:rPr>
          <w:rFonts w:hint="eastAsia" w:ascii="宋体" w:hAnsi="宋体" w:eastAsia="宋体" w:cs="宋体"/>
          <w:color w:val="auto"/>
          <w:spacing w:val="-138"/>
          <w:sz w:val="21"/>
          <w:szCs w:val="21"/>
          <w:highlight w:val="none"/>
        </w:rPr>
        <w:t xml:space="preserve"> </w:t>
      </w:r>
      <w:r>
        <w:rPr>
          <w:rFonts w:hint="eastAsia" w:ascii="宋体" w:hAnsi="宋体" w:eastAsia="宋体" w:cs="宋体"/>
          <w:color w:val="auto"/>
          <w:spacing w:val="7"/>
          <w:sz w:val="21"/>
          <w:szCs w:val="21"/>
          <w:highlight w:val="none"/>
        </w:rPr>
        <w:t>元。</w:t>
      </w:r>
    </w:p>
    <w:p w14:paraId="67174F63">
      <w:pPr>
        <w:spacing w:before="48" w:line="252" w:lineRule="auto"/>
        <w:ind w:left="1" w:firstLine="647"/>
        <w:jc w:val="both"/>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5"/>
          <w:sz w:val="21"/>
          <w:szCs w:val="21"/>
          <w:highlight w:val="none"/>
        </w:rPr>
        <w:t>台公布的信用等级为</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5"/>
          <w:sz w:val="21"/>
          <w:szCs w:val="21"/>
          <w:highlight w:val="none"/>
        </w:rPr>
        <w:t>B</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级、C</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级、D</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级的企业。</w:t>
      </w:r>
    </w:p>
    <w:p w14:paraId="3EE8C656">
      <w:pPr>
        <w:spacing w:before="52" w:line="247" w:lineRule="auto"/>
        <w:ind w:left="6" w:right="2" w:firstLine="63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本企业对以上承诺和声明负责。如有虚假，愿接受行政主管</w:t>
      </w:r>
      <w:r>
        <w:rPr>
          <w:rFonts w:hint="eastAsia" w:ascii="宋体" w:hAnsi="宋体" w:eastAsia="宋体" w:cs="宋体"/>
          <w:color w:val="auto"/>
          <w:spacing w:val="8"/>
          <w:sz w:val="21"/>
          <w:szCs w:val="21"/>
          <w:highlight w:val="none"/>
        </w:rPr>
        <w:t>部门作出的处罚，并承担以下后果：</w:t>
      </w:r>
    </w:p>
    <w:p w14:paraId="3B20EF63">
      <w:pPr>
        <w:spacing w:before="48" w:line="225"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（三）主动在产生不良行为所在的各县（市、区）行</w:t>
      </w:r>
      <w:r>
        <w:rPr>
          <w:rFonts w:hint="eastAsia" w:ascii="宋体" w:hAnsi="宋体" w:eastAsia="宋体" w:cs="宋体"/>
          <w:color w:val="auto"/>
          <w:spacing w:val="8"/>
          <w:sz w:val="21"/>
          <w:szCs w:val="21"/>
          <w:highlight w:val="none"/>
        </w:rPr>
        <w:t>政区域</w:t>
      </w:r>
      <w:r>
        <w:rPr>
          <w:rFonts w:hint="eastAsia" w:ascii="宋体" w:hAnsi="宋体" w:eastAsia="宋体" w:cs="宋体"/>
          <w:color w:val="auto"/>
          <w:spacing w:val="6"/>
          <w:sz w:val="21"/>
          <w:szCs w:val="21"/>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（四）</w:t>
      </w:r>
      <w:r>
        <w:rPr>
          <w:rFonts w:hint="eastAsia" w:ascii="宋体" w:hAnsi="宋体" w:eastAsia="宋体" w:cs="宋体"/>
          <w:color w:val="auto"/>
          <w:spacing w:val="7"/>
          <w:sz w:val="21"/>
          <w:szCs w:val="21"/>
          <w:highlight w:val="none"/>
          <w:lang w:eastAsia="zh-CN"/>
        </w:rPr>
        <w:t>应负</w:t>
      </w:r>
      <w:r>
        <w:rPr>
          <w:rFonts w:hint="eastAsia" w:ascii="宋体" w:hAnsi="宋体" w:eastAsia="宋体" w:cs="宋体"/>
          <w:color w:val="auto"/>
          <w:spacing w:val="7"/>
          <w:sz w:val="21"/>
          <w:szCs w:val="21"/>
          <w:highlight w:val="none"/>
        </w:rPr>
        <w:t>的赔偿责任和相应法律责任。</w:t>
      </w:r>
    </w:p>
    <w:p w14:paraId="324F4DDC">
      <w:pPr>
        <w:pStyle w:val="6"/>
        <w:spacing w:line="329" w:lineRule="auto"/>
        <w:rPr>
          <w:rFonts w:hint="eastAsia" w:ascii="宋体" w:hAnsi="宋体" w:eastAsia="宋体" w:cs="宋体"/>
          <w:color w:val="auto"/>
          <w:sz w:val="21"/>
          <w:szCs w:val="21"/>
          <w:highlight w:val="none"/>
        </w:rPr>
      </w:pPr>
    </w:p>
    <w:p w14:paraId="3A9404A8">
      <w:pPr>
        <w:spacing w:before="102" w:line="225" w:lineRule="auto"/>
        <w:ind w:left="84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单位名称（公章</w:t>
      </w:r>
      <w:r>
        <w:rPr>
          <w:rFonts w:hint="eastAsia" w:ascii="宋体" w:hAnsi="宋体" w:eastAsia="宋体" w:cs="宋体"/>
          <w:color w:val="auto"/>
          <w:spacing w:val="1"/>
          <w:sz w:val="21"/>
          <w:szCs w:val="21"/>
          <w:highlight w:val="none"/>
        </w:rPr>
        <w:t>）：</w:t>
      </w:r>
    </w:p>
    <w:p w14:paraId="68F0A46E">
      <w:pPr>
        <w:pStyle w:val="6"/>
        <w:spacing w:line="457" w:lineRule="auto"/>
        <w:rPr>
          <w:rFonts w:hint="eastAsia" w:ascii="宋体" w:hAnsi="宋体" w:eastAsia="宋体" w:cs="宋体"/>
          <w:color w:val="auto"/>
          <w:sz w:val="21"/>
          <w:szCs w:val="21"/>
          <w:highlight w:val="none"/>
        </w:rPr>
      </w:pPr>
    </w:p>
    <w:p w14:paraId="1043625C">
      <w:pPr>
        <w:spacing w:before="100" w:line="225" w:lineRule="auto"/>
        <w:ind w:left="85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统一社会信用代码：</w:t>
      </w:r>
    </w:p>
    <w:p w14:paraId="2556479A">
      <w:pPr>
        <w:pStyle w:val="6"/>
        <w:spacing w:line="457" w:lineRule="auto"/>
        <w:rPr>
          <w:rFonts w:hint="eastAsia" w:ascii="宋体" w:hAnsi="宋体" w:eastAsia="宋体" w:cs="宋体"/>
          <w:color w:val="auto"/>
          <w:sz w:val="21"/>
          <w:szCs w:val="21"/>
          <w:highlight w:val="none"/>
        </w:rPr>
      </w:pPr>
    </w:p>
    <w:p w14:paraId="28E89218">
      <w:pPr>
        <w:spacing w:before="102" w:line="543" w:lineRule="auto"/>
        <w:ind w:left="844" w:right="5000"/>
        <w:rPr>
          <w:rFonts w:hint="eastAsia" w:ascii="宋体" w:hAnsi="宋体" w:eastAsia="宋体" w:cs="宋体"/>
          <w:color w:val="auto"/>
          <w:spacing w:val="-29"/>
          <w:sz w:val="21"/>
          <w:szCs w:val="21"/>
          <w:highlight w:val="none"/>
        </w:rPr>
      </w:pPr>
      <w:r>
        <w:rPr>
          <w:rFonts w:hint="eastAsia" w:ascii="宋体" w:hAnsi="宋体" w:eastAsia="宋体" w:cs="宋体"/>
          <w:color w:val="auto"/>
          <w:spacing w:val="8"/>
          <w:sz w:val="21"/>
          <w:szCs w:val="21"/>
          <w:highlight w:val="none"/>
        </w:rPr>
        <w:t>法定代表人（签字</w:t>
      </w:r>
      <w:r>
        <w:rPr>
          <w:rFonts w:hint="eastAsia" w:ascii="宋体" w:hAnsi="宋体" w:eastAsia="宋体" w:cs="宋体"/>
          <w:color w:val="auto"/>
          <w:spacing w:val="-29"/>
          <w:sz w:val="21"/>
          <w:szCs w:val="21"/>
          <w:highlight w:val="none"/>
        </w:rPr>
        <w:t>）：</w:t>
      </w:r>
    </w:p>
    <w:p w14:paraId="33A3CBAF">
      <w:pPr>
        <w:spacing w:before="102" w:line="543" w:lineRule="auto"/>
        <w:ind w:left="844" w:right="5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6"/>
          <w:sz w:val="21"/>
          <w:szCs w:val="21"/>
          <w:highlight w:val="none"/>
        </w:rPr>
        <w:t>月</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39"/>
          <w:sz w:val="21"/>
          <w:szCs w:val="21"/>
          <w:highlight w:val="none"/>
          <w:lang w:val="en-US" w:eastAsia="zh-CN"/>
        </w:rPr>
        <w:t xml:space="preserve">  </w:t>
      </w:r>
      <w:r>
        <w:rPr>
          <w:rFonts w:hint="eastAsia" w:ascii="宋体" w:hAnsi="宋体" w:eastAsia="宋体" w:cs="宋体"/>
          <w:color w:val="auto"/>
          <w:spacing w:val="-6"/>
          <w:sz w:val="21"/>
          <w:szCs w:val="21"/>
          <w:highlight w:val="none"/>
        </w:rPr>
        <w:t>日</w:t>
      </w:r>
    </w:p>
    <w:p w14:paraId="2B287F98">
      <w:pPr>
        <w:pStyle w:val="15"/>
        <w:rPr>
          <w:rFonts w:hint="eastAsia" w:ascii="宋体" w:hAnsi="宋体" w:eastAsia="宋体" w:cs="宋体"/>
          <w:color w:val="auto"/>
          <w:sz w:val="21"/>
          <w:szCs w:val="21"/>
          <w:highlight w:val="none"/>
        </w:rPr>
      </w:pPr>
    </w:p>
    <w:p w14:paraId="3CFA9197">
      <w:pPr>
        <w:pStyle w:val="15"/>
        <w:rPr>
          <w:rFonts w:hint="eastAsia" w:ascii="宋体" w:hAnsi="宋体" w:eastAsia="宋体" w:cs="宋体"/>
          <w:color w:val="auto"/>
          <w:spacing w:val="8"/>
          <w:sz w:val="21"/>
          <w:szCs w:val="21"/>
          <w:highlight w:val="none"/>
          <w:lang w:eastAsia="zh-CN"/>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40" w:lineRule="auto"/>
        <w:outlineLvl w:val="2"/>
        <w:rPr>
          <w:rFonts w:hint="default" w:ascii="宋体" w:hAnsi="宋体" w:eastAsia="宋体" w:cs="宋体"/>
          <w:b/>
          <w:bCs/>
          <w:color w:val="auto"/>
          <w:spacing w:val="-4"/>
          <w:sz w:val="24"/>
          <w:szCs w:val="24"/>
          <w:highlight w:val="none"/>
          <w:lang w:val="en-US" w:eastAsia="zh-CN"/>
        </w:rPr>
      </w:pPr>
      <w:bookmarkStart w:id="276" w:name="_Toc31686"/>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6"/>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lang w:val="en-US" w:eastAsia="zh-CN"/>
        </w:rPr>
        <w:t>如没有原件核查要求，则无需填写）</w:t>
      </w:r>
    </w:p>
    <w:tbl>
      <w:tblPr>
        <w:tblStyle w:val="17"/>
        <w:tblW w:w="946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900"/>
        <w:gridCol w:w="1728"/>
        <w:gridCol w:w="966"/>
        <w:gridCol w:w="721"/>
        <w:gridCol w:w="781"/>
        <w:gridCol w:w="993"/>
        <w:gridCol w:w="1642"/>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460" w:type="dxa"/>
            <w:gridSpan w:val="8"/>
            <w:vAlign w:val="top"/>
          </w:tcPr>
          <w:p w14:paraId="24FB1F09">
            <w:pPr>
              <w:spacing w:before="132" w:line="240" w:lineRule="auto"/>
              <w:ind w:left="3965"/>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2629" w:type="dxa"/>
            <w:gridSpan w:val="2"/>
            <w:vAlign w:val="top"/>
          </w:tcPr>
          <w:p w14:paraId="0CEAB9EA">
            <w:pPr>
              <w:spacing w:before="62" w:line="240" w:lineRule="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工程名称</w:t>
            </w:r>
          </w:p>
        </w:tc>
        <w:tc>
          <w:tcPr>
            <w:tcW w:w="6831" w:type="dxa"/>
            <w:gridSpan w:val="6"/>
            <w:vAlign w:val="top"/>
          </w:tcPr>
          <w:p w14:paraId="3FF8FF0B">
            <w:pPr>
              <w:pStyle w:val="27"/>
              <w:rPr>
                <w:rFonts w:hint="eastAsia" w:ascii="宋体" w:hAnsi="宋体" w:eastAsia="宋体" w:cs="宋体"/>
                <w:color w:val="auto"/>
                <w:sz w:val="21"/>
                <w:szCs w:val="21"/>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2629" w:type="dxa"/>
            <w:gridSpan w:val="2"/>
            <w:vAlign w:val="top"/>
          </w:tcPr>
          <w:p w14:paraId="26176662">
            <w:pPr>
              <w:spacing w:before="150" w:line="240" w:lineRule="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投标人名称</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5"/>
                <w:sz w:val="21"/>
                <w:szCs w:val="21"/>
                <w:highlight w:val="none"/>
              </w:rPr>
              <w:t>请务必填写单位全称</w:t>
            </w:r>
            <w:r>
              <w:rPr>
                <w:rFonts w:hint="eastAsia" w:ascii="宋体" w:hAnsi="宋体" w:eastAsia="宋体" w:cs="宋体"/>
                <w:color w:val="auto"/>
                <w:spacing w:val="5"/>
                <w:sz w:val="21"/>
                <w:szCs w:val="21"/>
                <w:highlight w:val="none"/>
                <w:lang w:eastAsia="zh-CN"/>
              </w:rPr>
              <w:t>）</w:t>
            </w:r>
          </w:p>
        </w:tc>
        <w:tc>
          <w:tcPr>
            <w:tcW w:w="6831" w:type="dxa"/>
            <w:gridSpan w:val="6"/>
            <w:vAlign w:val="top"/>
          </w:tcPr>
          <w:p w14:paraId="668497E6">
            <w:pPr>
              <w:pStyle w:val="27"/>
              <w:rPr>
                <w:rFonts w:hint="eastAsia" w:ascii="宋体" w:hAnsi="宋体" w:eastAsia="宋体" w:cs="宋体"/>
                <w:color w:val="auto"/>
                <w:sz w:val="21"/>
                <w:szCs w:val="21"/>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2629" w:type="dxa"/>
            <w:gridSpan w:val="2"/>
            <w:vAlign w:val="top"/>
          </w:tcPr>
          <w:p w14:paraId="6FE90DC5">
            <w:pPr>
              <w:spacing w:before="151"/>
              <w:ind w:right="14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投标人法定代表人或其委托代理人签名</w:t>
            </w:r>
          </w:p>
        </w:tc>
        <w:tc>
          <w:tcPr>
            <w:tcW w:w="2694" w:type="dxa"/>
            <w:gridSpan w:val="2"/>
            <w:vAlign w:val="top"/>
          </w:tcPr>
          <w:p w14:paraId="000B4605">
            <w:pPr>
              <w:pStyle w:val="27"/>
              <w:rPr>
                <w:rFonts w:hint="eastAsia" w:ascii="宋体" w:hAnsi="宋体" w:eastAsia="宋体" w:cs="宋体"/>
                <w:color w:val="auto"/>
                <w:sz w:val="21"/>
                <w:szCs w:val="21"/>
                <w:highlight w:val="none"/>
              </w:rPr>
            </w:pPr>
          </w:p>
        </w:tc>
        <w:tc>
          <w:tcPr>
            <w:tcW w:w="1502" w:type="dxa"/>
            <w:gridSpan w:val="2"/>
            <w:vAlign w:val="top"/>
          </w:tcPr>
          <w:p w14:paraId="3D60D1A8">
            <w:pPr>
              <w:spacing w:before="151" w:line="240" w:lineRule="auto"/>
              <w:ind w:right="17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手机</w:t>
            </w:r>
            <w:r>
              <w:rPr>
                <w:rFonts w:hint="eastAsia" w:ascii="宋体" w:hAnsi="宋体" w:eastAsia="宋体" w:cs="宋体"/>
                <w:color w:val="auto"/>
                <w:spacing w:val="2"/>
                <w:sz w:val="21"/>
                <w:szCs w:val="21"/>
                <w:highlight w:val="none"/>
              </w:rPr>
              <w:t>号码</w:t>
            </w:r>
          </w:p>
        </w:tc>
        <w:tc>
          <w:tcPr>
            <w:tcW w:w="2635" w:type="dxa"/>
            <w:gridSpan w:val="2"/>
            <w:vAlign w:val="top"/>
          </w:tcPr>
          <w:p w14:paraId="7B412076">
            <w:pPr>
              <w:pStyle w:val="27"/>
              <w:rPr>
                <w:rFonts w:hint="eastAsia" w:ascii="宋体" w:hAnsi="宋体" w:eastAsia="宋体" w:cs="宋体"/>
                <w:color w:val="auto"/>
                <w:sz w:val="21"/>
                <w:szCs w:val="21"/>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460" w:type="dxa"/>
            <w:gridSpan w:val="8"/>
            <w:vAlign w:val="top"/>
          </w:tcPr>
          <w:p w14:paraId="567918AA">
            <w:pPr>
              <w:spacing w:before="62" w:line="240" w:lineRule="auto"/>
              <w:ind w:left="336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729" w:type="dxa"/>
            <w:vAlign w:val="top"/>
          </w:tcPr>
          <w:p w14:paraId="21E26167">
            <w:pPr>
              <w:pStyle w:val="27"/>
              <w:spacing w:line="240" w:lineRule="auto"/>
              <w:rPr>
                <w:rFonts w:hint="eastAsia" w:ascii="宋体" w:hAnsi="宋体" w:eastAsia="宋体" w:cs="宋体"/>
                <w:color w:val="auto"/>
                <w:sz w:val="21"/>
                <w:szCs w:val="21"/>
                <w:highlight w:val="none"/>
              </w:rPr>
            </w:pPr>
          </w:p>
          <w:p w14:paraId="0EC21191">
            <w:pPr>
              <w:spacing w:before="62" w:line="240" w:lineRule="auto"/>
              <w:ind w:left="15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5315" w:type="dxa"/>
            <w:gridSpan w:val="4"/>
            <w:vAlign w:val="top"/>
          </w:tcPr>
          <w:p w14:paraId="76A61080">
            <w:pPr>
              <w:pStyle w:val="27"/>
              <w:spacing w:line="240" w:lineRule="auto"/>
              <w:rPr>
                <w:rFonts w:hint="eastAsia" w:ascii="宋体" w:hAnsi="宋体" w:eastAsia="宋体" w:cs="宋体"/>
                <w:color w:val="auto"/>
                <w:sz w:val="21"/>
                <w:szCs w:val="21"/>
                <w:highlight w:val="none"/>
              </w:rPr>
            </w:pPr>
          </w:p>
          <w:p w14:paraId="1A81F5E2">
            <w:pPr>
              <w:spacing w:before="61" w:line="240" w:lineRule="auto"/>
              <w:ind w:left="176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证明材料原件名称</w:t>
            </w:r>
          </w:p>
        </w:tc>
        <w:tc>
          <w:tcPr>
            <w:tcW w:w="1774" w:type="dxa"/>
            <w:gridSpan w:val="2"/>
            <w:vAlign w:val="top"/>
          </w:tcPr>
          <w:p w14:paraId="0177F328">
            <w:pPr>
              <w:pStyle w:val="27"/>
              <w:spacing w:line="240" w:lineRule="auto"/>
              <w:rPr>
                <w:rFonts w:hint="eastAsia" w:ascii="宋体" w:hAnsi="宋体" w:eastAsia="宋体" w:cs="宋体"/>
                <w:color w:val="auto"/>
                <w:sz w:val="21"/>
                <w:szCs w:val="21"/>
                <w:highlight w:val="none"/>
              </w:rPr>
            </w:pPr>
          </w:p>
          <w:p w14:paraId="456665A1">
            <w:pPr>
              <w:spacing w:before="62" w:line="240" w:lineRule="auto"/>
              <w:ind w:left="664"/>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单位</w:t>
            </w:r>
          </w:p>
        </w:tc>
        <w:tc>
          <w:tcPr>
            <w:tcW w:w="1642" w:type="dxa"/>
            <w:vAlign w:val="top"/>
          </w:tcPr>
          <w:p w14:paraId="41F7CEAC">
            <w:pPr>
              <w:pStyle w:val="27"/>
              <w:spacing w:line="240" w:lineRule="auto"/>
              <w:rPr>
                <w:rFonts w:hint="eastAsia" w:ascii="宋体" w:hAnsi="宋体" w:eastAsia="宋体" w:cs="宋体"/>
                <w:color w:val="auto"/>
                <w:sz w:val="21"/>
                <w:szCs w:val="21"/>
                <w:highlight w:val="none"/>
              </w:rPr>
            </w:pPr>
          </w:p>
          <w:p w14:paraId="09C47EB1">
            <w:pPr>
              <w:spacing w:before="62" w:line="240" w:lineRule="auto"/>
              <w:ind w:left="59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29" w:type="dxa"/>
            <w:vAlign w:val="top"/>
          </w:tcPr>
          <w:p w14:paraId="6FF8B91C">
            <w:pPr>
              <w:spacing w:before="287" w:line="240" w:lineRule="auto"/>
              <w:ind w:left="31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315" w:type="dxa"/>
            <w:gridSpan w:val="4"/>
            <w:vAlign w:val="top"/>
          </w:tcPr>
          <w:p w14:paraId="28B25A0D">
            <w:pPr>
              <w:pStyle w:val="27"/>
              <w:rPr>
                <w:rFonts w:hint="eastAsia" w:ascii="宋体" w:hAnsi="宋体" w:eastAsia="宋体" w:cs="宋体"/>
                <w:color w:val="auto"/>
                <w:sz w:val="21"/>
                <w:szCs w:val="21"/>
                <w:highlight w:val="none"/>
              </w:rPr>
            </w:pPr>
          </w:p>
        </w:tc>
        <w:tc>
          <w:tcPr>
            <w:tcW w:w="1774" w:type="dxa"/>
            <w:gridSpan w:val="2"/>
            <w:vAlign w:val="top"/>
          </w:tcPr>
          <w:p w14:paraId="4F42E60F">
            <w:pPr>
              <w:pStyle w:val="27"/>
              <w:rPr>
                <w:rFonts w:hint="eastAsia" w:ascii="宋体" w:hAnsi="宋体" w:eastAsia="宋体" w:cs="宋体"/>
                <w:color w:val="auto"/>
                <w:sz w:val="21"/>
                <w:szCs w:val="21"/>
                <w:highlight w:val="none"/>
              </w:rPr>
            </w:pPr>
          </w:p>
        </w:tc>
        <w:tc>
          <w:tcPr>
            <w:tcW w:w="1642" w:type="dxa"/>
            <w:vAlign w:val="top"/>
          </w:tcPr>
          <w:p w14:paraId="3C09D08F">
            <w:pPr>
              <w:pStyle w:val="27"/>
              <w:rPr>
                <w:rFonts w:hint="eastAsia" w:ascii="宋体" w:hAnsi="宋体" w:eastAsia="宋体" w:cs="宋体"/>
                <w:color w:val="auto"/>
                <w:sz w:val="21"/>
                <w:szCs w:val="21"/>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29" w:type="dxa"/>
            <w:vAlign w:val="top"/>
          </w:tcPr>
          <w:p w14:paraId="5B0FF1CC">
            <w:pPr>
              <w:spacing w:before="288" w:line="240" w:lineRule="auto"/>
              <w:ind w:left="3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315" w:type="dxa"/>
            <w:gridSpan w:val="4"/>
            <w:vAlign w:val="top"/>
          </w:tcPr>
          <w:p w14:paraId="0D3F050A">
            <w:pPr>
              <w:pStyle w:val="27"/>
              <w:rPr>
                <w:rFonts w:hint="eastAsia" w:ascii="宋体" w:hAnsi="宋体" w:eastAsia="宋体" w:cs="宋体"/>
                <w:color w:val="auto"/>
                <w:sz w:val="21"/>
                <w:szCs w:val="21"/>
                <w:highlight w:val="none"/>
              </w:rPr>
            </w:pPr>
          </w:p>
        </w:tc>
        <w:tc>
          <w:tcPr>
            <w:tcW w:w="1774" w:type="dxa"/>
            <w:gridSpan w:val="2"/>
            <w:vAlign w:val="top"/>
          </w:tcPr>
          <w:p w14:paraId="745FD79F">
            <w:pPr>
              <w:pStyle w:val="27"/>
              <w:rPr>
                <w:rFonts w:hint="eastAsia" w:ascii="宋体" w:hAnsi="宋体" w:eastAsia="宋体" w:cs="宋体"/>
                <w:color w:val="auto"/>
                <w:sz w:val="21"/>
                <w:szCs w:val="21"/>
                <w:highlight w:val="none"/>
              </w:rPr>
            </w:pPr>
          </w:p>
        </w:tc>
        <w:tc>
          <w:tcPr>
            <w:tcW w:w="1642" w:type="dxa"/>
            <w:vAlign w:val="top"/>
          </w:tcPr>
          <w:p w14:paraId="2EFE754E">
            <w:pPr>
              <w:pStyle w:val="27"/>
              <w:rPr>
                <w:rFonts w:hint="eastAsia" w:ascii="宋体" w:hAnsi="宋体" w:eastAsia="宋体" w:cs="宋体"/>
                <w:color w:val="auto"/>
                <w:sz w:val="21"/>
                <w:szCs w:val="21"/>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29" w:type="dxa"/>
            <w:vAlign w:val="top"/>
          </w:tcPr>
          <w:p w14:paraId="3DF57AC7">
            <w:pPr>
              <w:spacing w:before="287" w:line="240" w:lineRule="auto"/>
              <w:ind w:left="3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315" w:type="dxa"/>
            <w:gridSpan w:val="4"/>
            <w:vAlign w:val="top"/>
          </w:tcPr>
          <w:p w14:paraId="54C3FBF3">
            <w:pPr>
              <w:pStyle w:val="27"/>
              <w:rPr>
                <w:rFonts w:hint="eastAsia" w:ascii="宋体" w:hAnsi="宋体" w:eastAsia="宋体" w:cs="宋体"/>
                <w:color w:val="auto"/>
                <w:sz w:val="21"/>
                <w:szCs w:val="21"/>
                <w:highlight w:val="none"/>
              </w:rPr>
            </w:pPr>
          </w:p>
        </w:tc>
        <w:tc>
          <w:tcPr>
            <w:tcW w:w="1774" w:type="dxa"/>
            <w:gridSpan w:val="2"/>
            <w:vAlign w:val="top"/>
          </w:tcPr>
          <w:p w14:paraId="40E0E057">
            <w:pPr>
              <w:pStyle w:val="27"/>
              <w:rPr>
                <w:rFonts w:hint="eastAsia" w:ascii="宋体" w:hAnsi="宋体" w:eastAsia="宋体" w:cs="宋体"/>
                <w:color w:val="auto"/>
                <w:sz w:val="21"/>
                <w:szCs w:val="21"/>
                <w:highlight w:val="none"/>
              </w:rPr>
            </w:pPr>
          </w:p>
        </w:tc>
        <w:tc>
          <w:tcPr>
            <w:tcW w:w="1642" w:type="dxa"/>
            <w:vAlign w:val="top"/>
          </w:tcPr>
          <w:p w14:paraId="28B42581">
            <w:pPr>
              <w:pStyle w:val="27"/>
              <w:rPr>
                <w:rFonts w:hint="eastAsia" w:ascii="宋体" w:hAnsi="宋体" w:eastAsia="宋体" w:cs="宋体"/>
                <w:color w:val="auto"/>
                <w:sz w:val="21"/>
                <w:szCs w:val="21"/>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729" w:type="dxa"/>
            <w:vAlign w:val="top"/>
          </w:tcPr>
          <w:p w14:paraId="3C0A2F9F">
            <w:pPr>
              <w:pStyle w:val="27"/>
              <w:spacing w:line="240" w:lineRule="auto"/>
              <w:rPr>
                <w:rFonts w:hint="eastAsia" w:ascii="宋体" w:hAnsi="宋体" w:eastAsia="宋体" w:cs="宋体"/>
                <w:color w:val="auto"/>
                <w:sz w:val="21"/>
                <w:szCs w:val="21"/>
                <w:highlight w:val="none"/>
              </w:rPr>
            </w:pPr>
          </w:p>
          <w:p w14:paraId="4F527954">
            <w:pPr>
              <w:spacing w:before="78" w:line="240" w:lineRule="auto"/>
              <w:ind w:left="186"/>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w:t>
            </w:r>
          </w:p>
        </w:tc>
        <w:tc>
          <w:tcPr>
            <w:tcW w:w="5315" w:type="dxa"/>
            <w:gridSpan w:val="4"/>
            <w:vAlign w:val="top"/>
          </w:tcPr>
          <w:p w14:paraId="47EB6644">
            <w:pPr>
              <w:pStyle w:val="27"/>
              <w:rPr>
                <w:rFonts w:hint="eastAsia" w:ascii="宋体" w:hAnsi="宋体" w:eastAsia="宋体" w:cs="宋体"/>
                <w:color w:val="auto"/>
                <w:sz w:val="21"/>
                <w:szCs w:val="21"/>
                <w:highlight w:val="none"/>
              </w:rPr>
            </w:pPr>
          </w:p>
        </w:tc>
        <w:tc>
          <w:tcPr>
            <w:tcW w:w="1774" w:type="dxa"/>
            <w:gridSpan w:val="2"/>
            <w:vAlign w:val="top"/>
          </w:tcPr>
          <w:p w14:paraId="6D54D719">
            <w:pPr>
              <w:pStyle w:val="27"/>
              <w:rPr>
                <w:rFonts w:hint="eastAsia" w:ascii="宋体" w:hAnsi="宋体" w:eastAsia="宋体" w:cs="宋体"/>
                <w:color w:val="auto"/>
                <w:sz w:val="21"/>
                <w:szCs w:val="21"/>
                <w:highlight w:val="none"/>
              </w:rPr>
            </w:pPr>
          </w:p>
        </w:tc>
        <w:tc>
          <w:tcPr>
            <w:tcW w:w="1642" w:type="dxa"/>
            <w:vAlign w:val="top"/>
          </w:tcPr>
          <w:p w14:paraId="75E6A05C">
            <w:pPr>
              <w:pStyle w:val="27"/>
              <w:rPr>
                <w:rFonts w:hint="eastAsia" w:ascii="宋体" w:hAnsi="宋体" w:eastAsia="宋体" w:cs="宋体"/>
                <w:color w:val="auto"/>
                <w:sz w:val="21"/>
                <w:szCs w:val="21"/>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729" w:type="dxa"/>
            <w:vAlign w:val="top"/>
          </w:tcPr>
          <w:p w14:paraId="6D36533C">
            <w:pPr>
              <w:pStyle w:val="27"/>
              <w:spacing w:line="240" w:lineRule="auto"/>
              <w:rPr>
                <w:rFonts w:hint="eastAsia" w:ascii="宋体" w:hAnsi="宋体" w:eastAsia="宋体" w:cs="宋体"/>
                <w:color w:val="auto"/>
                <w:sz w:val="21"/>
                <w:szCs w:val="21"/>
                <w:highlight w:val="none"/>
              </w:rPr>
            </w:pPr>
          </w:p>
          <w:p w14:paraId="198C1B4E">
            <w:pPr>
              <w:pStyle w:val="27"/>
              <w:spacing w:line="240" w:lineRule="auto"/>
              <w:rPr>
                <w:rFonts w:hint="eastAsia" w:ascii="宋体" w:hAnsi="宋体" w:eastAsia="宋体" w:cs="宋体"/>
                <w:color w:val="auto"/>
                <w:sz w:val="21"/>
                <w:szCs w:val="21"/>
                <w:highlight w:val="none"/>
              </w:rPr>
            </w:pPr>
          </w:p>
          <w:p w14:paraId="161C02DA">
            <w:pPr>
              <w:pStyle w:val="27"/>
              <w:spacing w:line="240" w:lineRule="auto"/>
              <w:rPr>
                <w:rFonts w:hint="eastAsia" w:ascii="宋体" w:hAnsi="宋体" w:eastAsia="宋体" w:cs="宋体"/>
                <w:color w:val="auto"/>
                <w:sz w:val="21"/>
                <w:szCs w:val="21"/>
                <w:highlight w:val="none"/>
              </w:rPr>
            </w:pPr>
          </w:p>
          <w:p w14:paraId="57AB557F">
            <w:pPr>
              <w:spacing w:before="62" w:line="240" w:lineRule="auto"/>
              <w:ind w:left="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注意：</w:t>
            </w:r>
          </w:p>
        </w:tc>
        <w:tc>
          <w:tcPr>
            <w:tcW w:w="8731" w:type="dxa"/>
            <w:gridSpan w:val="7"/>
            <w:vAlign w:val="top"/>
          </w:tcPr>
          <w:p w14:paraId="57B0800F">
            <w:pPr>
              <w:spacing w:before="148"/>
              <w:ind w:left="111" w:right="107" w:firstLine="483"/>
              <w:jc w:val="both"/>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该表一式两份，两份表格投标人均需如实填写各项内容，两份表格的填写内容应一致。一</w:t>
            </w:r>
            <w:r>
              <w:rPr>
                <w:rFonts w:hint="eastAsia" w:ascii="宋体" w:hAnsi="宋体" w:eastAsia="宋体" w:cs="宋体"/>
                <w:color w:val="auto"/>
                <w:spacing w:val="9"/>
                <w:sz w:val="21"/>
                <w:szCs w:val="21"/>
                <w:highlight w:val="none"/>
              </w:rPr>
              <w:t>份贴于装纳原件的文件袋（箱</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9"/>
                <w:sz w:val="21"/>
                <w:szCs w:val="21"/>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9"/>
                <w:sz w:val="21"/>
                <w:szCs w:val="21"/>
                <w:highlight w:val="none"/>
              </w:rPr>
              <w:t>而不对文件袋（箱）中资</w:t>
            </w:r>
            <w:r>
              <w:rPr>
                <w:rFonts w:hint="eastAsia" w:ascii="宋体" w:hAnsi="宋体" w:eastAsia="宋体" w:cs="宋体"/>
                <w:color w:val="auto"/>
                <w:spacing w:val="5"/>
                <w:sz w:val="21"/>
                <w:szCs w:val="21"/>
                <w:highlight w:val="none"/>
              </w:rPr>
              <w:t>料的数量、</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5"/>
                <w:sz w:val="21"/>
                <w:szCs w:val="21"/>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3" w:hRule="atLeast"/>
        </w:trPr>
        <w:tc>
          <w:tcPr>
            <w:tcW w:w="2629" w:type="dxa"/>
            <w:gridSpan w:val="2"/>
            <w:vAlign w:val="top"/>
          </w:tcPr>
          <w:p w14:paraId="0440D7A1">
            <w:pPr>
              <w:pStyle w:val="27"/>
              <w:spacing w:line="240" w:lineRule="auto"/>
              <w:rPr>
                <w:rFonts w:hint="eastAsia" w:ascii="宋体" w:hAnsi="宋体" w:eastAsia="宋体" w:cs="宋体"/>
                <w:color w:val="auto"/>
                <w:sz w:val="21"/>
                <w:szCs w:val="21"/>
                <w:highlight w:val="none"/>
              </w:rPr>
            </w:pPr>
          </w:p>
          <w:p w14:paraId="107CC9BB">
            <w:pPr>
              <w:spacing w:before="61" w:line="240" w:lineRule="auto"/>
              <w:ind w:left="760" w:right="153" w:hanging="600"/>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接收原件经办人</w:t>
            </w:r>
          </w:p>
          <w:p w14:paraId="6D1AB722">
            <w:pPr>
              <w:spacing w:before="61" w:line="240" w:lineRule="auto"/>
              <w:ind w:left="760" w:right="153" w:hanging="6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招标</w:t>
            </w:r>
            <w:r>
              <w:rPr>
                <w:rFonts w:hint="eastAsia" w:ascii="宋体" w:hAnsi="宋体" w:eastAsia="宋体" w:cs="宋体"/>
                <w:color w:val="auto"/>
                <w:spacing w:val="3"/>
                <w:sz w:val="21"/>
                <w:szCs w:val="21"/>
                <w:highlight w:val="none"/>
              </w:rPr>
              <w:t>代理</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w:t>
            </w:r>
          </w:p>
        </w:tc>
        <w:tc>
          <w:tcPr>
            <w:tcW w:w="1728" w:type="dxa"/>
            <w:vAlign w:val="top"/>
          </w:tcPr>
          <w:p w14:paraId="396C35BA">
            <w:pPr>
              <w:pStyle w:val="27"/>
              <w:rPr>
                <w:rFonts w:hint="eastAsia" w:ascii="宋体" w:hAnsi="宋体" w:eastAsia="宋体" w:cs="宋体"/>
                <w:color w:val="auto"/>
                <w:sz w:val="21"/>
                <w:szCs w:val="21"/>
                <w:highlight w:val="none"/>
              </w:rPr>
            </w:pPr>
          </w:p>
        </w:tc>
        <w:tc>
          <w:tcPr>
            <w:tcW w:w="1687" w:type="dxa"/>
            <w:gridSpan w:val="2"/>
            <w:vAlign w:val="top"/>
          </w:tcPr>
          <w:p w14:paraId="5328A3CB">
            <w:pPr>
              <w:pStyle w:val="27"/>
              <w:spacing w:line="240" w:lineRule="auto"/>
              <w:rPr>
                <w:rFonts w:hint="eastAsia" w:ascii="宋体" w:hAnsi="宋体" w:eastAsia="宋体" w:cs="宋体"/>
                <w:color w:val="auto"/>
                <w:sz w:val="21"/>
                <w:szCs w:val="21"/>
                <w:highlight w:val="none"/>
              </w:rPr>
            </w:pPr>
          </w:p>
          <w:p w14:paraId="0C2B5A86">
            <w:pPr>
              <w:pStyle w:val="27"/>
              <w:spacing w:line="240" w:lineRule="auto"/>
              <w:rPr>
                <w:rFonts w:hint="eastAsia" w:ascii="宋体" w:hAnsi="宋体" w:eastAsia="宋体" w:cs="宋体"/>
                <w:color w:val="auto"/>
                <w:sz w:val="21"/>
                <w:szCs w:val="21"/>
                <w:highlight w:val="none"/>
              </w:rPr>
            </w:pPr>
          </w:p>
          <w:p w14:paraId="06A559B5">
            <w:pPr>
              <w:spacing w:before="62" w:line="240" w:lineRule="auto"/>
              <w:ind w:left="31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接收时间：</w:t>
            </w:r>
          </w:p>
        </w:tc>
        <w:tc>
          <w:tcPr>
            <w:tcW w:w="3416" w:type="dxa"/>
            <w:gridSpan w:val="3"/>
            <w:vAlign w:val="top"/>
          </w:tcPr>
          <w:p w14:paraId="655901F3">
            <w:pPr>
              <w:pStyle w:val="27"/>
              <w:spacing w:line="240" w:lineRule="auto"/>
              <w:rPr>
                <w:rFonts w:hint="eastAsia" w:ascii="宋体" w:hAnsi="宋体" w:eastAsia="宋体" w:cs="宋体"/>
                <w:color w:val="auto"/>
                <w:sz w:val="21"/>
                <w:szCs w:val="21"/>
                <w:highlight w:val="none"/>
              </w:rPr>
            </w:pPr>
          </w:p>
          <w:p w14:paraId="0F1E1751">
            <w:pPr>
              <w:pStyle w:val="27"/>
              <w:spacing w:line="240" w:lineRule="auto"/>
              <w:rPr>
                <w:rFonts w:hint="eastAsia" w:ascii="宋体" w:hAnsi="宋体" w:eastAsia="宋体" w:cs="宋体"/>
                <w:color w:val="auto"/>
                <w:sz w:val="21"/>
                <w:szCs w:val="21"/>
                <w:highlight w:val="none"/>
              </w:rPr>
            </w:pPr>
          </w:p>
          <w:p w14:paraId="3ABE9DD0">
            <w:pPr>
              <w:spacing w:before="62" w:line="240" w:lineRule="auto"/>
              <w:ind w:firstLine="38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9"/>
                <w:sz w:val="21"/>
                <w:szCs w:val="21"/>
                <w:highlight w:val="none"/>
              </w:rPr>
              <w:t>日</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9"/>
                <w:sz w:val="21"/>
                <w:szCs w:val="21"/>
                <w:highlight w:val="none"/>
              </w:rPr>
              <w:t>时</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9"/>
                <w:sz w:val="21"/>
                <w:szCs w:val="21"/>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4" w:hRule="atLeast"/>
        </w:trPr>
        <w:tc>
          <w:tcPr>
            <w:tcW w:w="2629" w:type="dxa"/>
            <w:gridSpan w:val="2"/>
            <w:vAlign w:val="top"/>
          </w:tcPr>
          <w:p w14:paraId="453382FD">
            <w:pPr>
              <w:spacing w:before="155" w:line="240" w:lineRule="auto"/>
              <w:ind w:left="861" w:right="153" w:hanging="699"/>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退还原件接收人</w:t>
            </w:r>
          </w:p>
          <w:p w14:paraId="4CBD4052">
            <w:pPr>
              <w:spacing w:before="155" w:line="240" w:lineRule="auto"/>
              <w:ind w:left="861" w:right="153" w:hanging="69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投标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w:t>
            </w:r>
          </w:p>
        </w:tc>
        <w:tc>
          <w:tcPr>
            <w:tcW w:w="1728" w:type="dxa"/>
            <w:vAlign w:val="top"/>
          </w:tcPr>
          <w:p w14:paraId="2C206521">
            <w:pPr>
              <w:pStyle w:val="27"/>
              <w:rPr>
                <w:rFonts w:hint="eastAsia" w:ascii="宋体" w:hAnsi="宋体" w:eastAsia="宋体" w:cs="宋体"/>
                <w:color w:val="auto"/>
                <w:sz w:val="21"/>
                <w:szCs w:val="21"/>
                <w:highlight w:val="none"/>
              </w:rPr>
            </w:pPr>
          </w:p>
        </w:tc>
        <w:tc>
          <w:tcPr>
            <w:tcW w:w="1687" w:type="dxa"/>
            <w:gridSpan w:val="2"/>
            <w:vAlign w:val="top"/>
          </w:tcPr>
          <w:p w14:paraId="7AC1377A">
            <w:pPr>
              <w:pStyle w:val="27"/>
              <w:spacing w:line="240" w:lineRule="auto"/>
              <w:rPr>
                <w:rFonts w:hint="eastAsia" w:ascii="宋体" w:hAnsi="宋体" w:eastAsia="宋体" w:cs="宋体"/>
                <w:color w:val="auto"/>
                <w:sz w:val="21"/>
                <w:szCs w:val="21"/>
                <w:highlight w:val="none"/>
              </w:rPr>
            </w:pPr>
          </w:p>
          <w:p w14:paraId="1E023FA8">
            <w:pPr>
              <w:spacing w:before="61" w:line="240" w:lineRule="auto"/>
              <w:ind w:left="31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退还时间：</w:t>
            </w:r>
          </w:p>
        </w:tc>
        <w:tc>
          <w:tcPr>
            <w:tcW w:w="3416" w:type="dxa"/>
            <w:gridSpan w:val="3"/>
            <w:vAlign w:val="top"/>
          </w:tcPr>
          <w:p w14:paraId="209D4A82">
            <w:pPr>
              <w:pStyle w:val="27"/>
              <w:spacing w:line="240" w:lineRule="auto"/>
              <w:rPr>
                <w:rFonts w:hint="eastAsia" w:ascii="宋体" w:hAnsi="宋体" w:eastAsia="宋体" w:cs="宋体"/>
                <w:color w:val="auto"/>
                <w:sz w:val="21"/>
                <w:szCs w:val="21"/>
                <w:highlight w:val="none"/>
              </w:rPr>
            </w:pPr>
          </w:p>
          <w:p w14:paraId="459BFBAC">
            <w:pPr>
              <w:spacing w:before="62" w:line="240" w:lineRule="auto"/>
              <w:ind w:firstLine="38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9"/>
                <w:sz w:val="21"/>
                <w:szCs w:val="21"/>
                <w:highlight w:val="none"/>
              </w:rPr>
              <w:t>日</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9"/>
                <w:sz w:val="21"/>
                <w:szCs w:val="21"/>
                <w:highlight w:val="none"/>
              </w:rPr>
              <w:t>时</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9"/>
                <w:sz w:val="21"/>
                <w:szCs w:val="21"/>
                <w:highlight w:val="none"/>
              </w:rPr>
              <w:t>分</w:t>
            </w:r>
          </w:p>
        </w:tc>
      </w:tr>
    </w:tbl>
    <w:p w14:paraId="435E560C">
      <w:pPr>
        <w:rPr>
          <w:rFonts w:hint="default" w:ascii="微软雅黑" w:hAnsi="微软雅黑" w:eastAsia="微软雅黑" w:cs="微软雅黑"/>
          <w:i w:val="0"/>
          <w:iCs w:val="0"/>
          <w:caps w:val="0"/>
          <w:color w:val="auto"/>
          <w:spacing w:val="0"/>
          <w:sz w:val="24"/>
          <w:szCs w:val="24"/>
          <w:highlight w:val="none"/>
          <w:shd w:val="clear" w:fill="FFFFFF"/>
          <w:lang w:val="en-US" w:eastAsia="zh-CN"/>
        </w:rPr>
      </w:pPr>
      <w:bookmarkStart w:id="277" w:name="bookmark107"/>
      <w:bookmarkEnd w:id="277"/>
      <w:r>
        <w:rPr>
          <w:rFonts w:hint="eastAsia" w:ascii="宋体" w:hAnsi="宋体" w:eastAsia="宋体" w:cs="宋体"/>
          <w:b/>
          <w:bCs/>
          <w:color w:val="auto"/>
          <w:spacing w:val="-3"/>
          <w:sz w:val="24"/>
          <w:szCs w:val="24"/>
          <w:highlight w:val="none"/>
        </w:rPr>
        <w:br w:type="page"/>
      </w:r>
    </w:p>
    <w:p w14:paraId="09B15C70">
      <w:pPr>
        <w:pStyle w:val="51"/>
        <w:snapToGrid w:val="0"/>
        <w:spacing w:line="440" w:lineRule="exact"/>
        <w:ind w:left="0" w:leftChars="0" w:firstLine="0" w:firstLineChars="0"/>
        <w:outlineLvl w:val="1"/>
        <w:rPr>
          <w:rStyle w:val="26"/>
          <w:rFonts w:hint="eastAsia" w:ascii="Times New Roman" w:hAnsi="宋体" w:eastAsia="宋体" w:cs="Times New Roman"/>
          <w:b/>
          <w:bCs/>
          <w:color w:val="auto"/>
          <w:sz w:val="21"/>
          <w:szCs w:val="21"/>
          <w:highlight w:val="none"/>
          <w:lang w:val="en-US" w:eastAsia="zh-CN"/>
        </w:rPr>
      </w:pPr>
      <w:bookmarkStart w:id="278" w:name="_Toc26911"/>
      <w:bookmarkStart w:id="279" w:name="_Toc29459"/>
      <w:r>
        <w:rPr>
          <w:rStyle w:val="26"/>
          <w:rFonts w:hint="eastAsia" w:ascii="Times New Roman" w:hAnsi="宋体" w:eastAsia="宋体" w:cs="Times New Roman"/>
          <w:b/>
          <w:bCs/>
          <w:color w:val="auto"/>
          <w:sz w:val="21"/>
          <w:szCs w:val="21"/>
          <w:highlight w:val="none"/>
          <w:lang w:eastAsia="zh-CN"/>
        </w:rPr>
        <w:t>格式十</w:t>
      </w:r>
      <w:r>
        <w:rPr>
          <w:rStyle w:val="26"/>
          <w:rFonts w:hint="eastAsia" w:ascii="Times New Roman" w:hAnsi="宋体" w:cs="Times New Roman"/>
          <w:b/>
          <w:bCs/>
          <w:color w:val="auto"/>
          <w:sz w:val="21"/>
          <w:szCs w:val="21"/>
          <w:highlight w:val="none"/>
          <w:lang w:val="en-US" w:eastAsia="zh-CN"/>
        </w:rPr>
        <w:t xml:space="preserve">六  </w:t>
      </w:r>
      <w:r>
        <w:rPr>
          <w:rStyle w:val="26"/>
          <w:rFonts w:hint="eastAsia" w:ascii="Times New Roman" w:hAnsi="宋体" w:eastAsia="宋体" w:cs="Times New Roman"/>
          <w:b/>
          <w:bCs/>
          <w:color w:val="auto"/>
          <w:sz w:val="21"/>
          <w:szCs w:val="21"/>
          <w:highlight w:val="none"/>
          <w:lang w:val="en-US" w:eastAsia="zh-CN"/>
        </w:rPr>
        <w:t>定标因素评审资料</w:t>
      </w:r>
      <w:bookmarkEnd w:id="278"/>
      <w:bookmarkEnd w:id="279"/>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45"/>
        <w:ind w:left="0" w:leftChars="0" w:firstLine="0" w:firstLineChars="0"/>
        <w:rPr>
          <w:rStyle w:val="49"/>
          <w:rFonts w:hint="eastAsia" w:ascii="宋体" w:hAnsi="宋体" w:eastAsia="宋体" w:cs="宋体"/>
          <w:b/>
          <w:bCs/>
          <w:color w:val="auto"/>
          <w:kern w:val="2"/>
          <w:sz w:val="21"/>
          <w:szCs w:val="21"/>
          <w:highlight w:val="none"/>
        </w:rPr>
      </w:pPr>
      <w:r>
        <w:rPr>
          <w:rFonts w:hint="eastAsia" w:ascii="宋体" w:hAnsi="宋体" w:eastAsia="宋体" w:cs="宋体"/>
          <w:b/>
          <w:bCs/>
          <w:color w:val="auto"/>
          <w:sz w:val="21"/>
          <w:szCs w:val="21"/>
          <w:highlight w:val="none"/>
          <w:lang w:val="en-US" w:eastAsia="zh-CN"/>
        </w:rPr>
        <w:t>投标人根据“</w:t>
      </w:r>
      <w:r>
        <w:rPr>
          <w:rFonts w:hint="eastAsia" w:ascii="宋体" w:hAnsi="宋体" w:eastAsia="宋体" w:cs="宋体"/>
          <w:b/>
          <w:bCs/>
          <w:color w:val="auto"/>
          <w:sz w:val="21"/>
          <w:szCs w:val="21"/>
          <w:highlight w:val="none"/>
        </w:rPr>
        <w:t>第</w:t>
      </w: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章 第</w:t>
      </w: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节 定标</w:t>
      </w:r>
      <w:r>
        <w:rPr>
          <w:rFonts w:hint="eastAsia" w:ascii="宋体" w:hAnsi="宋体" w:eastAsia="宋体" w:cs="宋体"/>
          <w:b/>
          <w:bCs/>
          <w:color w:val="auto"/>
          <w:sz w:val="21"/>
          <w:szCs w:val="21"/>
          <w:highlight w:val="none"/>
          <w:lang w:eastAsia="zh-CN"/>
        </w:rPr>
        <w:t>规定</w:t>
      </w:r>
      <w:r>
        <w:rPr>
          <w:rFonts w:hint="eastAsia" w:ascii="宋体" w:hAnsi="宋体" w:eastAsia="宋体" w:cs="宋体"/>
          <w:b/>
          <w:bCs/>
          <w:color w:val="auto"/>
          <w:sz w:val="21"/>
          <w:szCs w:val="21"/>
          <w:highlight w:val="none"/>
          <w:lang w:val="en-US" w:eastAsia="zh-CN"/>
        </w:rPr>
        <w:t>及细则”载明的</w:t>
      </w:r>
      <w:r>
        <w:rPr>
          <w:rFonts w:hint="eastAsia" w:ascii="宋体" w:hAnsi="宋体" w:eastAsia="宋体" w:cs="宋体"/>
          <w:b/>
          <w:bCs/>
          <w:color w:val="auto"/>
          <w:sz w:val="21"/>
          <w:szCs w:val="21"/>
          <w:highlight w:val="none"/>
          <w:lang w:eastAsia="zh-CN"/>
        </w:rPr>
        <w:t>定标因素</w:t>
      </w:r>
      <w:r>
        <w:rPr>
          <w:rFonts w:hint="eastAsia" w:hAnsi="宋体" w:cs="宋体"/>
          <w:b/>
          <w:bCs/>
          <w:color w:val="auto"/>
          <w:sz w:val="21"/>
          <w:szCs w:val="21"/>
          <w:highlight w:val="none"/>
          <w:lang w:val="en-US" w:eastAsia="zh-CN"/>
        </w:rPr>
        <w:t>(评标报告除外）</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提交</w:t>
      </w:r>
      <w:r>
        <w:rPr>
          <w:rFonts w:hint="eastAsia" w:ascii="宋体" w:hAnsi="宋体" w:eastAsia="宋体" w:cs="宋体"/>
          <w:b/>
          <w:bCs/>
          <w:color w:val="auto"/>
          <w:sz w:val="21"/>
          <w:szCs w:val="21"/>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80" w:name="_Toc9193"/>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80"/>
    </w:p>
    <w:p w14:paraId="179363DD">
      <w:pPr>
        <w:pStyle w:val="6"/>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（略</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3"/>
          <w:sz w:val="21"/>
          <w:szCs w:val="21"/>
          <w:highlight w:val="none"/>
        </w:rPr>
        <w:t>按《广东省建设工程标准施工合同》（2009 年版）或《建设工程施工合同</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rPr>
        <w:t>（示范文本）》（GF—2017—0201）执行。</w:t>
      </w:r>
    </w:p>
    <w:p w14:paraId="4BB447BE">
      <w:pPr>
        <w:rPr>
          <w:rFonts w:hint="eastAsia" w:ascii="宋体" w:hAnsi="宋体" w:eastAsia="宋体" w:cs="宋体"/>
          <w:color w:val="auto"/>
          <w:highlight w:val="none"/>
        </w:rPr>
      </w:pPr>
    </w:p>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7F" w:usb3="00000000" w:csb0="203F01FF" w:csb1="D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1" w:fontKey="{ED96AE49-7345-46D5-9025-84B612E2C8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10"/>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10"/>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10"/>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10"/>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10"/>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10"/>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10"/>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10"/>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10"/>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10"/>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10"/>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1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10"/>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10"/>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1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10"/>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10"/>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10"/>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10"/>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10"/>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10"/>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10"/>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10"/>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10"/>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10"/>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10"/>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1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10"/>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10"/>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10"/>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10"/>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10"/>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10"/>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10"/>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10"/>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10"/>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10"/>
                    </w:pPr>
                    <w:r>
                      <w:fldChar w:fldCharType="begin"/>
                    </w:r>
                    <w:r>
                      <w:instrText xml:space="preserve"> PAGE  \* MERGEFORMAT </w:instrText>
                    </w:r>
                    <w:r>
                      <w:fldChar w:fldCharType="separate"/>
                    </w:r>
                    <w:r>
                      <w:t>84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6"/>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suff w:val="nothing"/>
      <w:lvlText w:val="（%1）"/>
      <w:lvlJc w:val="left"/>
    </w:lvl>
  </w:abstractNum>
  <w:abstractNum w:abstractNumId="1">
    <w:nsid w:val="240CEE03"/>
    <w:multiLevelType w:val="singleLevel"/>
    <w:tmpl w:val="240CEE03"/>
    <w:lvl w:ilvl="0" w:tentative="0">
      <w:start w:val="3"/>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1E64B1"/>
    <w:rsid w:val="002B6923"/>
    <w:rsid w:val="00473031"/>
    <w:rsid w:val="00824069"/>
    <w:rsid w:val="00A65FA9"/>
    <w:rsid w:val="00AA0437"/>
    <w:rsid w:val="00D61DC8"/>
    <w:rsid w:val="00EF16FF"/>
    <w:rsid w:val="010B1F32"/>
    <w:rsid w:val="01276505"/>
    <w:rsid w:val="013F232E"/>
    <w:rsid w:val="014C6B51"/>
    <w:rsid w:val="018B7D8A"/>
    <w:rsid w:val="01B6213A"/>
    <w:rsid w:val="01BE1198"/>
    <w:rsid w:val="01E25ABE"/>
    <w:rsid w:val="01EE7C08"/>
    <w:rsid w:val="01FD63CC"/>
    <w:rsid w:val="02337D11"/>
    <w:rsid w:val="023B3D55"/>
    <w:rsid w:val="02421D02"/>
    <w:rsid w:val="024F6BF1"/>
    <w:rsid w:val="02662A7A"/>
    <w:rsid w:val="02832A46"/>
    <w:rsid w:val="028B7528"/>
    <w:rsid w:val="02A76756"/>
    <w:rsid w:val="02B250DA"/>
    <w:rsid w:val="02BF0C55"/>
    <w:rsid w:val="02CD27B8"/>
    <w:rsid w:val="02CD5A55"/>
    <w:rsid w:val="02CF32AF"/>
    <w:rsid w:val="02F13018"/>
    <w:rsid w:val="031418F0"/>
    <w:rsid w:val="0358304C"/>
    <w:rsid w:val="03661A20"/>
    <w:rsid w:val="03906A9D"/>
    <w:rsid w:val="039E06FB"/>
    <w:rsid w:val="03E2554B"/>
    <w:rsid w:val="04021749"/>
    <w:rsid w:val="040D6D19"/>
    <w:rsid w:val="040E27E3"/>
    <w:rsid w:val="04221DEB"/>
    <w:rsid w:val="04522D7C"/>
    <w:rsid w:val="04B67F25"/>
    <w:rsid w:val="04BF763A"/>
    <w:rsid w:val="04E2157A"/>
    <w:rsid w:val="04ED07CA"/>
    <w:rsid w:val="04EF43C3"/>
    <w:rsid w:val="050B1B91"/>
    <w:rsid w:val="050E4E89"/>
    <w:rsid w:val="0526590B"/>
    <w:rsid w:val="05340028"/>
    <w:rsid w:val="055E6E53"/>
    <w:rsid w:val="056C5F91"/>
    <w:rsid w:val="058F34B0"/>
    <w:rsid w:val="05971099"/>
    <w:rsid w:val="05D4768F"/>
    <w:rsid w:val="05DB4947"/>
    <w:rsid w:val="05DF3AB6"/>
    <w:rsid w:val="05E67124"/>
    <w:rsid w:val="05E732EC"/>
    <w:rsid w:val="05EC614B"/>
    <w:rsid w:val="062235DD"/>
    <w:rsid w:val="063C112F"/>
    <w:rsid w:val="06856661"/>
    <w:rsid w:val="068723D9"/>
    <w:rsid w:val="069B537E"/>
    <w:rsid w:val="06A065A2"/>
    <w:rsid w:val="06C70A28"/>
    <w:rsid w:val="06C929F2"/>
    <w:rsid w:val="06CA23DC"/>
    <w:rsid w:val="06D05B2E"/>
    <w:rsid w:val="06DD024B"/>
    <w:rsid w:val="06FD3DDF"/>
    <w:rsid w:val="07001B9F"/>
    <w:rsid w:val="07133987"/>
    <w:rsid w:val="0721282E"/>
    <w:rsid w:val="07520C39"/>
    <w:rsid w:val="07A1396F"/>
    <w:rsid w:val="07A71DAB"/>
    <w:rsid w:val="07B92A66"/>
    <w:rsid w:val="07C5765D"/>
    <w:rsid w:val="07DE24CD"/>
    <w:rsid w:val="0808579C"/>
    <w:rsid w:val="081E6D6D"/>
    <w:rsid w:val="086230FE"/>
    <w:rsid w:val="088C763C"/>
    <w:rsid w:val="08CD7283"/>
    <w:rsid w:val="08E41D65"/>
    <w:rsid w:val="08EB6C4F"/>
    <w:rsid w:val="08ED6E6B"/>
    <w:rsid w:val="092D5890"/>
    <w:rsid w:val="09377CD6"/>
    <w:rsid w:val="0963211F"/>
    <w:rsid w:val="09724BB7"/>
    <w:rsid w:val="09A62A72"/>
    <w:rsid w:val="09C807D3"/>
    <w:rsid w:val="09E65669"/>
    <w:rsid w:val="09F06AB0"/>
    <w:rsid w:val="09F2400E"/>
    <w:rsid w:val="09F66E6E"/>
    <w:rsid w:val="09FA34EB"/>
    <w:rsid w:val="09FF4A68"/>
    <w:rsid w:val="0A62467A"/>
    <w:rsid w:val="0A7D4664"/>
    <w:rsid w:val="0A87732E"/>
    <w:rsid w:val="0ABB4F07"/>
    <w:rsid w:val="0AD33307"/>
    <w:rsid w:val="0AE05E8C"/>
    <w:rsid w:val="0AF3628F"/>
    <w:rsid w:val="0B085CA2"/>
    <w:rsid w:val="0B3866B7"/>
    <w:rsid w:val="0B437949"/>
    <w:rsid w:val="0B666A61"/>
    <w:rsid w:val="0B942B29"/>
    <w:rsid w:val="0B9E41C6"/>
    <w:rsid w:val="0BC6217A"/>
    <w:rsid w:val="0BD240F7"/>
    <w:rsid w:val="0C120997"/>
    <w:rsid w:val="0C177D5B"/>
    <w:rsid w:val="0C2A7A8F"/>
    <w:rsid w:val="0C2B1A59"/>
    <w:rsid w:val="0C4153D2"/>
    <w:rsid w:val="0C423F13"/>
    <w:rsid w:val="0C443DDF"/>
    <w:rsid w:val="0C49746F"/>
    <w:rsid w:val="0C597D15"/>
    <w:rsid w:val="0CA07D76"/>
    <w:rsid w:val="0CA27F6D"/>
    <w:rsid w:val="0CEC208C"/>
    <w:rsid w:val="0CF14A50"/>
    <w:rsid w:val="0D03679A"/>
    <w:rsid w:val="0D3B3F1D"/>
    <w:rsid w:val="0D4F62D4"/>
    <w:rsid w:val="0D6F2B98"/>
    <w:rsid w:val="0D9D010F"/>
    <w:rsid w:val="0DCB0DFD"/>
    <w:rsid w:val="0DCE22AF"/>
    <w:rsid w:val="0DE75219"/>
    <w:rsid w:val="0DEC53E8"/>
    <w:rsid w:val="0DF525DE"/>
    <w:rsid w:val="0DF61CE0"/>
    <w:rsid w:val="0DF86616"/>
    <w:rsid w:val="0DFC7414"/>
    <w:rsid w:val="0E1E1875"/>
    <w:rsid w:val="0E2E1D59"/>
    <w:rsid w:val="0E460DCC"/>
    <w:rsid w:val="0E5E6115"/>
    <w:rsid w:val="0E684952"/>
    <w:rsid w:val="0E86353F"/>
    <w:rsid w:val="0E8E37ED"/>
    <w:rsid w:val="0EAF2E14"/>
    <w:rsid w:val="0EBC4442"/>
    <w:rsid w:val="0EBD2E3C"/>
    <w:rsid w:val="0EDB59B8"/>
    <w:rsid w:val="0F1C2D99"/>
    <w:rsid w:val="0F69076D"/>
    <w:rsid w:val="0F6F04DC"/>
    <w:rsid w:val="0F8B6DD7"/>
    <w:rsid w:val="0FA40799"/>
    <w:rsid w:val="0FC74213"/>
    <w:rsid w:val="105858FC"/>
    <w:rsid w:val="106C3AC2"/>
    <w:rsid w:val="10772B6A"/>
    <w:rsid w:val="108403E2"/>
    <w:rsid w:val="109275A9"/>
    <w:rsid w:val="10C0060A"/>
    <w:rsid w:val="10C15734"/>
    <w:rsid w:val="10C44237"/>
    <w:rsid w:val="10C761F4"/>
    <w:rsid w:val="11124F95"/>
    <w:rsid w:val="11164A85"/>
    <w:rsid w:val="1122342A"/>
    <w:rsid w:val="11533574"/>
    <w:rsid w:val="11785740"/>
    <w:rsid w:val="117A3266"/>
    <w:rsid w:val="11862732"/>
    <w:rsid w:val="118F278E"/>
    <w:rsid w:val="119D4F21"/>
    <w:rsid w:val="11A47985"/>
    <w:rsid w:val="11AC40AD"/>
    <w:rsid w:val="11C67A56"/>
    <w:rsid w:val="11D80D88"/>
    <w:rsid w:val="124573B6"/>
    <w:rsid w:val="12474DCB"/>
    <w:rsid w:val="12527641"/>
    <w:rsid w:val="126805E3"/>
    <w:rsid w:val="12E7492B"/>
    <w:rsid w:val="12E74FC1"/>
    <w:rsid w:val="12F27F6E"/>
    <w:rsid w:val="14141B79"/>
    <w:rsid w:val="144B7C59"/>
    <w:rsid w:val="1457788F"/>
    <w:rsid w:val="14757DAD"/>
    <w:rsid w:val="14760C96"/>
    <w:rsid w:val="14835F2F"/>
    <w:rsid w:val="148443FC"/>
    <w:rsid w:val="14882C02"/>
    <w:rsid w:val="148A2A56"/>
    <w:rsid w:val="14AE3227"/>
    <w:rsid w:val="14D013EF"/>
    <w:rsid w:val="150A2744"/>
    <w:rsid w:val="150D2643"/>
    <w:rsid w:val="15115C90"/>
    <w:rsid w:val="154D2A40"/>
    <w:rsid w:val="154F0566"/>
    <w:rsid w:val="155A4F75"/>
    <w:rsid w:val="15763D45"/>
    <w:rsid w:val="1578138A"/>
    <w:rsid w:val="15853F88"/>
    <w:rsid w:val="15A45AE5"/>
    <w:rsid w:val="15AD48B2"/>
    <w:rsid w:val="15D97B34"/>
    <w:rsid w:val="15DC13FE"/>
    <w:rsid w:val="15E038B4"/>
    <w:rsid w:val="15FA3BA3"/>
    <w:rsid w:val="16005D04"/>
    <w:rsid w:val="160E0085"/>
    <w:rsid w:val="162E6E4D"/>
    <w:rsid w:val="16414353"/>
    <w:rsid w:val="16443E43"/>
    <w:rsid w:val="16737FC1"/>
    <w:rsid w:val="167F0A5E"/>
    <w:rsid w:val="16C17241"/>
    <w:rsid w:val="16CB00C0"/>
    <w:rsid w:val="16CB4A2F"/>
    <w:rsid w:val="1722468F"/>
    <w:rsid w:val="173506A7"/>
    <w:rsid w:val="173C4B1A"/>
    <w:rsid w:val="17440A2C"/>
    <w:rsid w:val="176127D3"/>
    <w:rsid w:val="176306F0"/>
    <w:rsid w:val="17726DD2"/>
    <w:rsid w:val="17C50FB3"/>
    <w:rsid w:val="17DC3F56"/>
    <w:rsid w:val="17F17647"/>
    <w:rsid w:val="18083DFB"/>
    <w:rsid w:val="18226406"/>
    <w:rsid w:val="182A472E"/>
    <w:rsid w:val="18546503"/>
    <w:rsid w:val="18574301"/>
    <w:rsid w:val="18602A8A"/>
    <w:rsid w:val="188260C7"/>
    <w:rsid w:val="190B3062"/>
    <w:rsid w:val="193071FD"/>
    <w:rsid w:val="1963464B"/>
    <w:rsid w:val="1977008B"/>
    <w:rsid w:val="197764F6"/>
    <w:rsid w:val="1981143D"/>
    <w:rsid w:val="19BC1F42"/>
    <w:rsid w:val="19C04827"/>
    <w:rsid w:val="1A073B05"/>
    <w:rsid w:val="1A314705"/>
    <w:rsid w:val="1A3A6836"/>
    <w:rsid w:val="1A584D7E"/>
    <w:rsid w:val="1A5B5BFF"/>
    <w:rsid w:val="1A5D1977"/>
    <w:rsid w:val="1AC50DC4"/>
    <w:rsid w:val="1AE57555"/>
    <w:rsid w:val="1AE87493"/>
    <w:rsid w:val="1B0A266C"/>
    <w:rsid w:val="1B656D35"/>
    <w:rsid w:val="1B6A170F"/>
    <w:rsid w:val="1B745FC1"/>
    <w:rsid w:val="1B79458F"/>
    <w:rsid w:val="1B8D003A"/>
    <w:rsid w:val="1BC752FA"/>
    <w:rsid w:val="1BEC4D61"/>
    <w:rsid w:val="1C22061E"/>
    <w:rsid w:val="1C2A3ADB"/>
    <w:rsid w:val="1C324211"/>
    <w:rsid w:val="1C4A1A87"/>
    <w:rsid w:val="1C512E14"/>
    <w:rsid w:val="1C5632C7"/>
    <w:rsid w:val="1C71563E"/>
    <w:rsid w:val="1C7F3E27"/>
    <w:rsid w:val="1C827473"/>
    <w:rsid w:val="1D880AB9"/>
    <w:rsid w:val="1D8B6732"/>
    <w:rsid w:val="1DA27862"/>
    <w:rsid w:val="1DE11B57"/>
    <w:rsid w:val="1DE15138"/>
    <w:rsid w:val="1DF36491"/>
    <w:rsid w:val="1E11303E"/>
    <w:rsid w:val="1E193E07"/>
    <w:rsid w:val="1E1E31CB"/>
    <w:rsid w:val="1E206F43"/>
    <w:rsid w:val="1E34479D"/>
    <w:rsid w:val="1E3B5B2B"/>
    <w:rsid w:val="1E491296"/>
    <w:rsid w:val="1E4A4E02"/>
    <w:rsid w:val="1E4F7829"/>
    <w:rsid w:val="1E5D49E3"/>
    <w:rsid w:val="1E994221"/>
    <w:rsid w:val="1EA12F40"/>
    <w:rsid w:val="1EDA5344"/>
    <w:rsid w:val="1EE13915"/>
    <w:rsid w:val="1EE461C3"/>
    <w:rsid w:val="1F077682"/>
    <w:rsid w:val="1F152820"/>
    <w:rsid w:val="1F416122"/>
    <w:rsid w:val="1F487665"/>
    <w:rsid w:val="1F683A66"/>
    <w:rsid w:val="1F75092B"/>
    <w:rsid w:val="1F7F5EEC"/>
    <w:rsid w:val="1F813A12"/>
    <w:rsid w:val="1F875754"/>
    <w:rsid w:val="1F994D74"/>
    <w:rsid w:val="1FAA11BB"/>
    <w:rsid w:val="1FBB64FE"/>
    <w:rsid w:val="1FFE32B4"/>
    <w:rsid w:val="2020237A"/>
    <w:rsid w:val="20515ADA"/>
    <w:rsid w:val="20656D9A"/>
    <w:rsid w:val="20745325"/>
    <w:rsid w:val="20801F1B"/>
    <w:rsid w:val="208A0FEC"/>
    <w:rsid w:val="208A4B48"/>
    <w:rsid w:val="209669C5"/>
    <w:rsid w:val="20B16579"/>
    <w:rsid w:val="20C37337"/>
    <w:rsid w:val="20CB1F07"/>
    <w:rsid w:val="20F6072B"/>
    <w:rsid w:val="20F85F56"/>
    <w:rsid w:val="20FE449A"/>
    <w:rsid w:val="21090925"/>
    <w:rsid w:val="21162880"/>
    <w:rsid w:val="211712A5"/>
    <w:rsid w:val="21244F9D"/>
    <w:rsid w:val="213315AC"/>
    <w:rsid w:val="213362C5"/>
    <w:rsid w:val="213D3171"/>
    <w:rsid w:val="21731A80"/>
    <w:rsid w:val="21F44FD4"/>
    <w:rsid w:val="22160D89"/>
    <w:rsid w:val="222B4109"/>
    <w:rsid w:val="222C2B90"/>
    <w:rsid w:val="22457E73"/>
    <w:rsid w:val="22466B3F"/>
    <w:rsid w:val="22511DC1"/>
    <w:rsid w:val="22837AA1"/>
    <w:rsid w:val="22884FD6"/>
    <w:rsid w:val="22F866E1"/>
    <w:rsid w:val="2304572A"/>
    <w:rsid w:val="23213C5D"/>
    <w:rsid w:val="232C2DD6"/>
    <w:rsid w:val="2331574F"/>
    <w:rsid w:val="233953DA"/>
    <w:rsid w:val="233D0598"/>
    <w:rsid w:val="234017CA"/>
    <w:rsid w:val="235B72E4"/>
    <w:rsid w:val="23757D31"/>
    <w:rsid w:val="23931F66"/>
    <w:rsid w:val="23C465C3"/>
    <w:rsid w:val="23D7098D"/>
    <w:rsid w:val="240F5F9F"/>
    <w:rsid w:val="24262DDA"/>
    <w:rsid w:val="2446643F"/>
    <w:rsid w:val="24521E21"/>
    <w:rsid w:val="24594F5D"/>
    <w:rsid w:val="246102B6"/>
    <w:rsid w:val="24782AD4"/>
    <w:rsid w:val="248726E0"/>
    <w:rsid w:val="249C3951"/>
    <w:rsid w:val="24DB3BC4"/>
    <w:rsid w:val="24EF0213"/>
    <w:rsid w:val="24FA6740"/>
    <w:rsid w:val="25004979"/>
    <w:rsid w:val="25243F0A"/>
    <w:rsid w:val="252C36B2"/>
    <w:rsid w:val="2535226A"/>
    <w:rsid w:val="253A7C36"/>
    <w:rsid w:val="254C2D14"/>
    <w:rsid w:val="25695674"/>
    <w:rsid w:val="256D06AE"/>
    <w:rsid w:val="256E2C8A"/>
    <w:rsid w:val="2582242A"/>
    <w:rsid w:val="259D2ECD"/>
    <w:rsid w:val="25A55F80"/>
    <w:rsid w:val="25A62424"/>
    <w:rsid w:val="25B20381"/>
    <w:rsid w:val="25D9153C"/>
    <w:rsid w:val="25E62821"/>
    <w:rsid w:val="25F25669"/>
    <w:rsid w:val="260B04D9"/>
    <w:rsid w:val="264763B7"/>
    <w:rsid w:val="2665408D"/>
    <w:rsid w:val="2672726E"/>
    <w:rsid w:val="26734FA1"/>
    <w:rsid w:val="26881A92"/>
    <w:rsid w:val="268B2A3A"/>
    <w:rsid w:val="268B3DAD"/>
    <w:rsid w:val="26962499"/>
    <w:rsid w:val="26A61FB0"/>
    <w:rsid w:val="26B20955"/>
    <w:rsid w:val="26EE0B24"/>
    <w:rsid w:val="27007E06"/>
    <w:rsid w:val="2703598D"/>
    <w:rsid w:val="27035E88"/>
    <w:rsid w:val="27415C62"/>
    <w:rsid w:val="277A5916"/>
    <w:rsid w:val="27B65EBB"/>
    <w:rsid w:val="27B92C6D"/>
    <w:rsid w:val="27CA47C6"/>
    <w:rsid w:val="27DA273D"/>
    <w:rsid w:val="27DB59FE"/>
    <w:rsid w:val="282B4E63"/>
    <w:rsid w:val="28884FF7"/>
    <w:rsid w:val="289A5B44"/>
    <w:rsid w:val="289F315B"/>
    <w:rsid w:val="28D472A8"/>
    <w:rsid w:val="28F72F97"/>
    <w:rsid w:val="29017971"/>
    <w:rsid w:val="290F389D"/>
    <w:rsid w:val="2921623E"/>
    <w:rsid w:val="2962542C"/>
    <w:rsid w:val="299E36C0"/>
    <w:rsid w:val="29CC6CA4"/>
    <w:rsid w:val="29EE6148"/>
    <w:rsid w:val="29F356C2"/>
    <w:rsid w:val="2A9C3DF6"/>
    <w:rsid w:val="2B0D34BE"/>
    <w:rsid w:val="2B197546"/>
    <w:rsid w:val="2B367172"/>
    <w:rsid w:val="2B5B15BB"/>
    <w:rsid w:val="2B7314CC"/>
    <w:rsid w:val="2B784A6E"/>
    <w:rsid w:val="2B905C30"/>
    <w:rsid w:val="2B9403F7"/>
    <w:rsid w:val="2B9A7B07"/>
    <w:rsid w:val="2BA07916"/>
    <w:rsid w:val="2BAE2033"/>
    <w:rsid w:val="2BB37649"/>
    <w:rsid w:val="2BC9037C"/>
    <w:rsid w:val="2BFB5B18"/>
    <w:rsid w:val="2BFD3113"/>
    <w:rsid w:val="2C0003B4"/>
    <w:rsid w:val="2C1005F7"/>
    <w:rsid w:val="2C15160E"/>
    <w:rsid w:val="2C1A4329"/>
    <w:rsid w:val="2C3355F4"/>
    <w:rsid w:val="2C44430E"/>
    <w:rsid w:val="2C4F172C"/>
    <w:rsid w:val="2C934D84"/>
    <w:rsid w:val="2C9C00DD"/>
    <w:rsid w:val="2C9C1E8B"/>
    <w:rsid w:val="2CA156F3"/>
    <w:rsid w:val="2CC816F1"/>
    <w:rsid w:val="2CD4098C"/>
    <w:rsid w:val="2CDF614E"/>
    <w:rsid w:val="2CF47382"/>
    <w:rsid w:val="2CFF066C"/>
    <w:rsid w:val="2D1F1649"/>
    <w:rsid w:val="2D7F496C"/>
    <w:rsid w:val="2D906B09"/>
    <w:rsid w:val="2D96552C"/>
    <w:rsid w:val="2D9C5EBB"/>
    <w:rsid w:val="2DB9602B"/>
    <w:rsid w:val="2DD973AC"/>
    <w:rsid w:val="2DE03FF9"/>
    <w:rsid w:val="2DFB1659"/>
    <w:rsid w:val="2E0221C2"/>
    <w:rsid w:val="2E0F2B31"/>
    <w:rsid w:val="2E31796B"/>
    <w:rsid w:val="2E3F3AB3"/>
    <w:rsid w:val="2E5302D6"/>
    <w:rsid w:val="2E611B70"/>
    <w:rsid w:val="2E7C7067"/>
    <w:rsid w:val="2E9A689E"/>
    <w:rsid w:val="2EA96AE1"/>
    <w:rsid w:val="2EC851B9"/>
    <w:rsid w:val="2ECB6A58"/>
    <w:rsid w:val="2EDD4BB1"/>
    <w:rsid w:val="2EE93382"/>
    <w:rsid w:val="2EE95130"/>
    <w:rsid w:val="2F01185F"/>
    <w:rsid w:val="2F2729AC"/>
    <w:rsid w:val="2F3C0F4C"/>
    <w:rsid w:val="2F5E78CC"/>
    <w:rsid w:val="2F6824F8"/>
    <w:rsid w:val="2F950E14"/>
    <w:rsid w:val="2FB82F9F"/>
    <w:rsid w:val="2FCB3049"/>
    <w:rsid w:val="2FE418AC"/>
    <w:rsid w:val="2FE5383E"/>
    <w:rsid w:val="2FEA4C7F"/>
    <w:rsid w:val="30330D58"/>
    <w:rsid w:val="3037089D"/>
    <w:rsid w:val="30E07611"/>
    <w:rsid w:val="30EA3353"/>
    <w:rsid w:val="31013C49"/>
    <w:rsid w:val="312319EF"/>
    <w:rsid w:val="313666F5"/>
    <w:rsid w:val="313C778B"/>
    <w:rsid w:val="318D4356"/>
    <w:rsid w:val="318F6462"/>
    <w:rsid w:val="31DD5420"/>
    <w:rsid w:val="31F2254D"/>
    <w:rsid w:val="321A2D0F"/>
    <w:rsid w:val="321D581C"/>
    <w:rsid w:val="32382656"/>
    <w:rsid w:val="323D7C6C"/>
    <w:rsid w:val="324D664C"/>
    <w:rsid w:val="325F4087"/>
    <w:rsid w:val="3267118D"/>
    <w:rsid w:val="32870EE7"/>
    <w:rsid w:val="32980DB8"/>
    <w:rsid w:val="32A55811"/>
    <w:rsid w:val="32BE6EB2"/>
    <w:rsid w:val="32C7154E"/>
    <w:rsid w:val="330A0D74"/>
    <w:rsid w:val="33156D5E"/>
    <w:rsid w:val="3317207A"/>
    <w:rsid w:val="331A6B7B"/>
    <w:rsid w:val="331F2052"/>
    <w:rsid w:val="333554DB"/>
    <w:rsid w:val="33396D39"/>
    <w:rsid w:val="33643EF5"/>
    <w:rsid w:val="337A50AB"/>
    <w:rsid w:val="33D80BF4"/>
    <w:rsid w:val="33D939C5"/>
    <w:rsid w:val="33F77F81"/>
    <w:rsid w:val="34254482"/>
    <w:rsid w:val="343878DE"/>
    <w:rsid w:val="346F257B"/>
    <w:rsid w:val="347B398E"/>
    <w:rsid w:val="348C4EDB"/>
    <w:rsid w:val="348F605A"/>
    <w:rsid w:val="34BE309E"/>
    <w:rsid w:val="34DD4EFA"/>
    <w:rsid w:val="34E716B6"/>
    <w:rsid w:val="35042CC3"/>
    <w:rsid w:val="3505113E"/>
    <w:rsid w:val="350C7DCA"/>
    <w:rsid w:val="35233259"/>
    <w:rsid w:val="35357321"/>
    <w:rsid w:val="355115AF"/>
    <w:rsid w:val="355C6968"/>
    <w:rsid w:val="359C114E"/>
    <w:rsid w:val="359F2BE0"/>
    <w:rsid w:val="35AE6CC5"/>
    <w:rsid w:val="35CB4FA0"/>
    <w:rsid w:val="35FC399A"/>
    <w:rsid w:val="36257395"/>
    <w:rsid w:val="362A675A"/>
    <w:rsid w:val="368340BC"/>
    <w:rsid w:val="36B60605"/>
    <w:rsid w:val="36DB3EF8"/>
    <w:rsid w:val="36DB7A54"/>
    <w:rsid w:val="36EC39E0"/>
    <w:rsid w:val="37190EF9"/>
    <w:rsid w:val="372C3702"/>
    <w:rsid w:val="37484E0B"/>
    <w:rsid w:val="37647A49"/>
    <w:rsid w:val="37704640"/>
    <w:rsid w:val="37704A11"/>
    <w:rsid w:val="3776777C"/>
    <w:rsid w:val="37C45ACE"/>
    <w:rsid w:val="37D3697D"/>
    <w:rsid w:val="37DF2D89"/>
    <w:rsid w:val="37E335F2"/>
    <w:rsid w:val="37FE7E9E"/>
    <w:rsid w:val="3835053A"/>
    <w:rsid w:val="385702D0"/>
    <w:rsid w:val="386B727B"/>
    <w:rsid w:val="386D45F2"/>
    <w:rsid w:val="3872790A"/>
    <w:rsid w:val="38BE1535"/>
    <w:rsid w:val="38F848ED"/>
    <w:rsid w:val="39194863"/>
    <w:rsid w:val="391D7376"/>
    <w:rsid w:val="39313826"/>
    <w:rsid w:val="39403E21"/>
    <w:rsid w:val="397A7B42"/>
    <w:rsid w:val="399A1E48"/>
    <w:rsid w:val="39B4157B"/>
    <w:rsid w:val="39D55A01"/>
    <w:rsid w:val="39DA2245"/>
    <w:rsid w:val="3A0014F8"/>
    <w:rsid w:val="3A104D75"/>
    <w:rsid w:val="3A344D97"/>
    <w:rsid w:val="3A3F1636"/>
    <w:rsid w:val="3A4C2C68"/>
    <w:rsid w:val="3A4D1A2B"/>
    <w:rsid w:val="3A5244D1"/>
    <w:rsid w:val="3A5E69D2"/>
    <w:rsid w:val="3A780A05"/>
    <w:rsid w:val="3B2C2F74"/>
    <w:rsid w:val="3B3415C4"/>
    <w:rsid w:val="3B345984"/>
    <w:rsid w:val="3B351E28"/>
    <w:rsid w:val="3B4F53C1"/>
    <w:rsid w:val="3B626996"/>
    <w:rsid w:val="3B6C6BA3"/>
    <w:rsid w:val="3B78218B"/>
    <w:rsid w:val="3BAE3989"/>
    <w:rsid w:val="3BB15227"/>
    <w:rsid w:val="3BC75EF4"/>
    <w:rsid w:val="3BD04957"/>
    <w:rsid w:val="3BF02721"/>
    <w:rsid w:val="3BFA0A8A"/>
    <w:rsid w:val="3C177D40"/>
    <w:rsid w:val="3C242530"/>
    <w:rsid w:val="3C2B0D1E"/>
    <w:rsid w:val="3C4165AB"/>
    <w:rsid w:val="3C5376EB"/>
    <w:rsid w:val="3CCA02B2"/>
    <w:rsid w:val="3CD613E9"/>
    <w:rsid w:val="3CE62383"/>
    <w:rsid w:val="3CEC7A2A"/>
    <w:rsid w:val="3D0433A8"/>
    <w:rsid w:val="3D0F69B6"/>
    <w:rsid w:val="3D206ECB"/>
    <w:rsid w:val="3D2959BD"/>
    <w:rsid w:val="3D3219D3"/>
    <w:rsid w:val="3D3474F8"/>
    <w:rsid w:val="3D3B2D86"/>
    <w:rsid w:val="3D766F81"/>
    <w:rsid w:val="3DAE7C70"/>
    <w:rsid w:val="3DB50FFF"/>
    <w:rsid w:val="3DC76F84"/>
    <w:rsid w:val="3DCE35B6"/>
    <w:rsid w:val="3DD136B5"/>
    <w:rsid w:val="3DD5344F"/>
    <w:rsid w:val="3E01533D"/>
    <w:rsid w:val="3E0F3EB7"/>
    <w:rsid w:val="3E2609B2"/>
    <w:rsid w:val="3E6D7B2B"/>
    <w:rsid w:val="3E76426F"/>
    <w:rsid w:val="3E7F6463"/>
    <w:rsid w:val="3E962D65"/>
    <w:rsid w:val="3E9C707D"/>
    <w:rsid w:val="3E9E1A93"/>
    <w:rsid w:val="3EA51073"/>
    <w:rsid w:val="3ECB4852"/>
    <w:rsid w:val="3ED07432"/>
    <w:rsid w:val="3ED731F7"/>
    <w:rsid w:val="3EE85404"/>
    <w:rsid w:val="3EEB0292"/>
    <w:rsid w:val="3F235AF6"/>
    <w:rsid w:val="3F281B00"/>
    <w:rsid w:val="3F6A7BC7"/>
    <w:rsid w:val="3F930BE9"/>
    <w:rsid w:val="3F952DC8"/>
    <w:rsid w:val="3FBD54D9"/>
    <w:rsid w:val="3FE15005"/>
    <w:rsid w:val="3FE77469"/>
    <w:rsid w:val="400E2C48"/>
    <w:rsid w:val="40664D7E"/>
    <w:rsid w:val="407623F3"/>
    <w:rsid w:val="407E19EB"/>
    <w:rsid w:val="40ED6D01"/>
    <w:rsid w:val="41140732"/>
    <w:rsid w:val="411B561D"/>
    <w:rsid w:val="41216845"/>
    <w:rsid w:val="413A36FE"/>
    <w:rsid w:val="4176014F"/>
    <w:rsid w:val="41943BAD"/>
    <w:rsid w:val="42092656"/>
    <w:rsid w:val="4213220D"/>
    <w:rsid w:val="4235270E"/>
    <w:rsid w:val="423F17DF"/>
    <w:rsid w:val="42461BF0"/>
    <w:rsid w:val="424C7A58"/>
    <w:rsid w:val="426B4382"/>
    <w:rsid w:val="427179B7"/>
    <w:rsid w:val="428D039F"/>
    <w:rsid w:val="429E2362"/>
    <w:rsid w:val="42D261AF"/>
    <w:rsid w:val="42FC0E58"/>
    <w:rsid w:val="43077F25"/>
    <w:rsid w:val="4310792B"/>
    <w:rsid w:val="43621354"/>
    <w:rsid w:val="436D5ED7"/>
    <w:rsid w:val="437454B8"/>
    <w:rsid w:val="437702E4"/>
    <w:rsid w:val="43947908"/>
    <w:rsid w:val="43AA0EDA"/>
    <w:rsid w:val="43CC52F4"/>
    <w:rsid w:val="43D25E53"/>
    <w:rsid w:val="43D344DB"/>
    <w:rsid w:val="43E25FC1"/>
    <w:rsid w:val="440138A0"/>
    <w:rsid w:val="44246EDE"/>
    <w:rsid w:val="44692B43"/>
    <w:rsid w:val="447C65C0"/>
    <w:rsid w:val="448742A8"/>
    <w:rsid w:val="44875C56"/>
    <w:rsid w:val="44983428"/>
    <w:rsid w:val="44C47D79"/>
    <w:rsid w:val="451A208F"/>
    <w:rsid w:val="45433394"/>
    <w:rsid w:val="45513D03"/>
    <w:rsid w:val="45877724"/>
    <w:rsid w:val="458A0FC3"/>
    <w:rsid w:val="458D2861"/>
    <w:rsid w:val="458F3B36"/>
    <w:rsid w:val="45A71B75"/>
    <w:rsid w:val="45B46040"/>
    <w:rsid w:val="45BB3260"/>
    <w:rsid w:val="46092999"/>
    <w:rsid w:val="4612476D"/>
    <w:rsid w:val="462A00B0"/>
    <w:rsid w:val="46694586"/>
    <w:rsid w:val="466F147B"/>
    <w:rsid w:val="467C4DAF"/>
    <w:rsid w:val="468F5CB4"/>
    <w:rsid w:val="46957C1F"/>
    <w:rsid w:val="46963997"/>
    <w:rsid w:val="46C027C2"/>
    <w:rsid w:val="46D802E3"/>
    <w:rsid w:val="46DD15C6"/>
    <w:rsid w:val="46DE7803"/>
    <w:rsid w:val="47174AD8"/>
    <w:rsid w:val="4743767B"/>
    <w:rsid w:val="474820C5"/>
    <w:rsid w:val="474855C4"/>
    <w:rsid w:val="475B13E7"/>
    <w:rsid w:val="47777325"/>
    <w:rsid w:val="47B6609F"/>
    <w:rsid w:val="47DD7AD0"/>
    <w:rsid w:val="47E70FBB"/>
    <w:rsid w:val="47F02414"/>
    <w:rsid w:val="48021647"/>
    <w:rsid w:val="481D611E"/>
    <w:rsid w:val="48221986"/>
    <w:rsid w:val="483D554C"/>
    <w:rsid w:val="486929ED"/>
    <w:rsid w:val="487815A6"/>
    <w:rsid w:val="48965ED0"/>
    <w:rsid w:val="489B03C3"/>
    <w:rsid w:val="48B545A9"/>
    <w:rsid w:val="48D34790"/>
    <w:rsid w:val="48ED18F0"/>
    <w:rsid w:val="48F826E7"/>
    <w:rsid w:val="4929464F"/>
    <w:rsid w:val="493B7D23"/>
    <w:rsid w:val="494C6C0E"/>
    <w:rsid w:val="4955379A"/>
    <w:rsid w:val="498C348F"/>
    <w:rsid w:val="498F5898"/>
    <w:rsid w:val="49971F00"/>
    <w:rsid w:val="49C34AA3"/>
    <w:rsid w:val="49D22F38"/>
    <w:rsid w:val="49DA3B9B"/>
    <w:rsid w:val="49DA528B"/>
    <w:rsid w:val="49FA4012"/>
    <w:rsid w:val="49FA5FEB"/>
    <w:rsid w:val="4A02381D"/>
    <w:rsid w:val="4A4F4589"/>
    <w:rsid w:val="4A5573E4"/>
    <w:rsid w:val="4A62606A"/>
    <w:rsid w:val="4A712751"/>
    <w:rsid w:val="4AAA61C6"/>
    <w:rsid w:val="4AF87271"/>
    <w:rsid w:val="4B036BFD"/>
    <w:rsid w:val="4B2D29F5"/>
    <w:rsid w:val="4B380D6F"/>
    <w:rsid w:val="4B3A1029"/>
    <w:rsid w:val="4B4D6D1A"/>
    <w:rsid w:val="4B4F0732"/>
    <w:rsid w:val="4B555BCF"/>
    <w:rsid w:val="4B5A3EB8"/>
    <w:rsid w:val="4B6E0A3F"/>
    <w:rsid w:val="4B720D9C"/>
    <w:rsid w:val="4B771FE9"/>
    <w:rsid w:val="4BBC29D4"/>
    <w:rsid w:val="4BCA3CFF"/>
    <w:rsid w:val="4BFA1C05"/>
    <w:rsid w:val="4C395D75"/>
    <w:rsid w:val="4C3C0B3D"/>
    <w:rsid w:val="4C443C2D"/>
    <w:rsid w:val="4C560DCF"/>
    <w:rsid w:val="4C723258"/>
    <w:rsid w:val="4C7878FA"/>
    <w:rsid w:val="4C9014E4"/>
    <w:rsid w:val="4CAA19C2"/>
    <w:rsid w:val="4CB608EF"/>
    <w:rsid w:val="4CC51444"/>
    <w:rsid w:val="4D0E072B"/>
    <w:rsid w:val="4D0F1621"/>
    <w:rsid w:val="4D1D0EC2"/>
    <w:rsid w:val="4D24354A"/>
    <w:rsid w:val="4D4E6D7A"/>
    <w:rsid w:val="4D7A36CB"/>
    <w:rsid w:val="4D9A1FBF"/>
    <w:rsid w:val="4D9D560B"/>
    <w:rsid w:val="4DA77533"/>
    <w:rsid w:val="4DAB4BAF"/>
    <w:rsid w:val="4DCE1EB5"/>
    <w:rsid w:val="4DCE1F8B"/>
    <w:rsid w:val="4DF94F37"/>
    <w:rsid w:val="4DFD4457"/>
    <w:rsid w:val="4E0D2791"/>
    <w:rsid w:val="4E2A6045"/>
    <w:rsid w:val="4E437F61"/>
    <w:rsid w:val="4E4E19C6"/>
    <w:rsid w:val="4EA12ED9"/>
    <w:rsid w:val="4EB40E5E"/>
    <w:rsid w:val="4EC217CD"/>
    <w:rsid w:val="4EFA36F6"/>
    <w:rsid w:val="4F1A33B7"/>
    <w:rsid w:val="4F411EB6"/>
    <w:rsid w:val="4F582EF7"/>
    <w:rsid w:val="4F6E47EC"/>
    <w:rsid w:val="4FBA24A4"/>
    <w:rsid w:val="4FBB7FCB"/>
    <w:rsid w:val="4FDA2B47"/>
    <w:rsid w:val="50100316"/>
    <w:rsid w:val="501B0676"/>
    <w:rsid w:val="50280768"/>
    <w:rsid w:val="502A41CA"/>
    <w:rsid w:val="50377300"/>
    <w:rsid w:val="503979C4"/>
    <w:rsid w:val="50626FD0"/>
    <w:rsid w:val="50983373"/>
    <w:rsid w:val="509B0528"/>
    <w:rsid w:val="50AB5953"/>
    <w:rsid w:val="50B36F7D"/>
    <w:rsid w:val="50D60C20"/>
    <w:rsid w:val="50D9042C"/>
    <w:rsid w:val="50FC089B"/>
    <w:rsid w:val="51183927"/>
    <w:rsid w:val="5135755A"/>
    <w:rsid w:val="51574F11"/>
    <w:rsid w:val="517B73AD"/>
    <w:rsid w:val="518A5306"/>
    <w:rsid w:val="51983548"/>
    <w:rsid w:val="51AB3D3B"/>
    <w:rsid w:val="51BD3D23"/>
    <w:rsid w:val="51D04201"/>
    <w:rsid w:val="51DA0BDC"/>
    <w:rsid w:val="51DC4954"/>
    <w:rsid w:val="521A27DD"/>
    <w:rsid w:val="52534816"/>
    <w:rsid w:val="52634928"/>
    <w:rsid w:val="52A0414F"/>
    <w:rsid w:val="5302488E"/>
    <w:rsid w:val="53277999"/>
    <w:rsid w:val="53332C9A"/>
    <w:rsid w:val="535E2456"/>
    <w:rsid w:val="53897FB5"/>
    <w:rsid w:val="53987EBC"/>
    <w:rsid w:val="53A06203"/>
    <w:rsid w:val="53A35FB7"/>
    <w:rsid w:val="53A95638"/>
    <w:rsid w:val="53D37FD9"/>
    <w:rsid w:val="53E24E44"/>
    <w:rsid w:val="53F94527"/>
    <w:rsid w:val="54014B46"/>
    <w:rsid w:val="54297BF9"/>
    <w:rsid w:val="5472334E"/>
    <w:rsid w:val="548D462B"/>
    <w:rsid w:val="54DB5397"/>
    <w:rsid w:val="550348EE"/>
    <w:rsid w:val="553C395C"/>
    <w:rsid w:val="555C2C26"/>
    <w:rsid w:val="555D5DAC"/>
    <w:rsid w:val="5563097D"/>
    <w:rsid w:val="556F4EE2"/>
    <w:rsid w:val="5594216F"/>
    <w:rsid w:val="55D21BD3"/>
    <w:rsid w:val="560501F2"/>
    <w:rsid w:val="56262642"/>
    <w:rsid w:val="56312D95"/>
    <w:rsid w:val="564725B8"/>
    <w:rsid w:val="56652099"/>
    <w:rsid w:val="56680EAC"/>
    <w:rsid w:val="56843C9F"/>
    <w:rsid w:val="569B3338"/>
    <w:rsid w:val="56A40209"/>
    <w:rsid w:val="56AF6ADB"/>
    <w:rsid w:val="56F114E3"/>
    <w:rsid w:val="56F5281F"/>
    <w:rsid w:val="573E766F"/>
    <w:rsid w:val="5765355C"/>
    <w:rsid w:val="57690BD0"/>
    <w:rsid w:val="576F0018"/>
    <w:rsid w:val="57C15E41"/>
    <w:rsid w:val="57CA1153"/>
    <w:rsid w:val="57E46E53"/>
    <w:rsid w:val="580118E9"/>
    <w:rsid w:val="580E253F"/>
    <w:rsid w:val="580F7106"/>
    <w:rsid w:val="58254B7B"/>
    <w:rsid w:val="584A495B"/>
    <w:rsid w:val="584B22BE"/>
    <w:rsid w:val="5892758E"/>
    <w:rsid w:val="58947716"/>
    <w:rsid w:val="58A65CBC"/>
    <w:rsid w:val="58B502E7"/>
    <w:rsid w:val="58B66C06"/>
    <w:rsid w:val="58C779E0"/>
    <w:rsid w:val="5909228A"/>
    <w:rsid w:val="59154BEF"/>
    <w:rsid w:val="592851C9"/>
    <w:rsid w:val="592B7F6F"/>
    <w:rsid w:val="593A16EF"/>
    <w:rsid w:val="599B3347"/>
    <w:rsid w:val="599E4BE5"/>
    <w:rsid w:val="59CA7788"/>
    <w:rsid w:val="5A1947B6"/>
    <w:rsid w:val="5A1B6236"/>
    <w:rsid w:val="5A2E712E"/>
    <w:rsid w:val="5A2F2D66"/>
    <w:rsid w:val="5A48555B"/>
    <w:rsid w:val="5A49507E"/>
    <w:rsid w:val="5A6D6164"/>
    <w:rsid w:val="5A86004F"/>
    <w:rsid w:val="5A8938AD"/>
    <w:rsid w:val="5AAE69DB"/>
    <w:rsid w:val="5ABC17C7"/>
    <w:rsid w:val="5AF0582F"/>
    <w:rsid w:val="5AF947C9"/>
    <w:rsid w:val="5B1B6AA6"/>
    <w:rsid w:val="5B224E28"/>
    <w:rsid w:val="5B3752F1"/>
    <w:rsid w:val="5B7D7A78"/>
    <w:rsid w:val="5B9E0ECC"/>
    <w:rsid w:val="5BA65FD3"/>
    <w:rsid w:val="5BAF7B56"/>
    <w:rsid w:val="5BD91F04"/>
    <w:rsid w:val="5BDB5C7C"/>
    <w:rsid w:val="5BF611E3"/>
    <w:rsid w:val="5C025303"/>
    <w:rsid w:val="5C0E6052"/>
    <w:rsid w:val="5C2F4713"/>
    <w:rsid w:val="5C313AEE"/>
    <w:rsid w:val="5C485634"/>
    <w:rsid w:val="5C7D02EE"/>
    <w:rsid w:val="5C86208C"/>
    <w:rsid w:val="5C8A3266"/>
    <w:rsid w:val="5CAC7619"/>
    <w:rsid w:val="5CE648D9"/>
    <w:rsid w:val="5D077809"/>
    <w:rsid w:val="5D131446"/>
    <w:rsid w:val="5D311666"/>
    <w:rsid w:val="5D6323CD"/>
    <w:rsid w:val="5D656145"/>
    <w:rsid w:val="5D7C18C6"/>
    <w:rsid w:val="5DA14CA4"/>
    <w:rsid w:val="5DA779D9"/>
    <w:rsid w:val="5DC84953"/>
    <w:rsid w:val="5DDC3F2E"/>
    <w:rsid w:val="5E516FD8"/>
    <w:rsid w:val="5E970DB8"/>
    <w:rsid w:val="5E9E23A9"/>
    <w:rsid w:val="5EAC56AE"/>
    <w:rsid w:val="5ED34E14"/>
    <w:rsid w:val="5EDA0A8B"/>
    <w:rsid w:val="5F0537AA"/>
    <w:rsid w:val="5F0C53C6"/>
    <w:rsid w:val="5F1252E0"/>
    <w:rsid w:val="5F162912"/>
    <w:rsid w:val="5F20072A"/>
    <w:rsid w:val="5F2117F1"/>
    <w:rsid w:val="5F27754A"/>
    <w:rsid w:val="5F2B3E04"/>
    <w:rsid w:val="5F760F40"/>
    <w:rsid w:val="5F916BA7"/>
    <w:rsid w:val="5F9F0F87"/>
    <w:rsid w:val="5FDB713D"/>
    <w:rsid w:val="5FE21584"/>
    <w:rsid w:val="5FE82E26"/>
    <w:rsid w:val="5FF3691B"/>
    <w:rsid w:val="5FFF5CB2"/>
    <w:rsid w:val="60161979"/>
    <w:rsid w:val="60634D98"/>
    <w:rsid w:val="60673F83"/>
    <w:rsid w:val="606E1F64"/>
    <w:rsid w:val="609E5FA7"/>
    <w:rsid w:val="60C253E7"/>
    <w:rsid w:val="60CE0912"/>
    <w:rsid w:val="60CE0B25"/>
    <w:rsid w:val="60E05AE3"/>
    <w:rsid w:val="60E7004C"/>
    <w:rsid w:val="60F12BA5"/>
    <w:rsid w:val="60FD48E7"/>
    <w:rsid w:val="611759A9"/>
    <w:rsid w:val="61555832"/>
    <w:rsid w:val="615D7D45"/>
    <w:rsid w:val="618F343D"/>
    <w:rsid w:val="61A30FEA"/>
    <w:rsid w:val="61A962B9"/>
    <w:rsid w:val="61AB1547"/>
    <w:rsid w:val="61CC4DD7"/>
    <w:rsid w:val="61D5316E"/>
    <w:rsid w:val="61D67CE4"/>
    <w:rsid w:val="61DB6D9C"/>
    <w:rsid w:val="61EB5A13"/>
    <w:rsid w:val="61EF4230"/>
    <w:rsid w:val="6200643D"/>
    <w:rsid w:val="62171D6B"/>
    <w:rsid w:val="621F7DB7"/>
    <w:rsid w:val="623C3CCB"/>
    <w:rsid w:val="6277131B"/>
    <w:rsid w:val="62894736"/>
    <w:rsid w:val="62913539"/>
    <w:rsid w:val="62E6159D"/>
    <w:rsid w:val="62EC69C1"/>
    <w:rsid w:val="63520F1A"/>
    <w:rsid w:val="635E38F3"/>
    <w:rsid w:val="636E0BBA"/>
    <w:rsid w:val="6384309D"/>
    <w:rsid w:val="638A70CF"/>
    <w:rsid w:val="63964B41"/>
    <w:rsid w:val="63994A58"/>
    <w:rsid w:val="63DC4AC1"/>
    <w:rsid w:val="642E6274"/>
    <w:rsid w:val="646C600B"/>
    <w:rsid w:val="647C3D75"/>
    <w:rsid w:val="64B27796"/>
    <w:rsid w:val="64C23E7D"/>
    <w:rsid w:val="64CC5E52"/>
    <w:rsid w:val="64CF659A"/>
    <w:rsid w:val="64DA0DFC"/>
    <w:rsid w:val="64FD5E87"/>
    <w:rsid w:val="650049A6"/>
    <w:rsid w:val="6524556B"/>
    <w:rsid w:val="65785BCE"/>
    <w:rsid w:val="65815AE7"/>
    <w:rsid w:val="658C3A08"/>
    <w:rsid w:val="658D4138"/>
    <w:rsid w:val="65A319AD"/>
    <w:rsid w:val="65B768E4"/>
    <w:rsid w:val="65EB7404"/>
    <w:rsid w:val="65F17A91"/>
    <w:rsid w:val="66043DF1"/>
    <w:rsid w:val="660B7840"/>
    <w:rsid w:val="661D46CA"/>
    <w:rsid w:val="66887A48"/>
    <w:rsid w:val="66AB78A5"/>
    <w:rsid w:val="66B94E0C"/>
    <w:rsid w:val="66BB1AFB"/>
    <w:rsid w:val="66CD4291"/>
    <w:rsid w:val="66CF7EED"/>
    <w:rsid w:val="66E83943"/>
    <w:rsid w:val="670F317A"/>
    <w:rsid w:val="673D6A15"/>
    <w:rsid w:val="676559C4"/>
    <w:rsid w:val="67960780"/>
    <w:rsid w:val="67BF03A9"/>
    <w:rsid w:val="682E5386"/>
    <w:rsid w:val="683726A5"/>
    <w:rsid w:val="684B23DC"/>
    <w:rsid w:val="68576EF7"/>
    <w:rsid w:val="6874548F"/>
    <w:rsid w:val="68817FE2"/>
    <w:rsid w:val="688D47A2"/>
    <w:rsid w:val="689043A1"/>
    <w:rsid w:val="68CD623B"/>
    <w:rsid w:val="68DB72BC"/>
    <w:rsid w:val="68FD36D6"/>
    <w:rsid w:val="69562DE6"/>
    <w:rsid w:val="695E105C"/>
    <w:rsid w:val="696012B6"/>
    <w:rsid w:val="69642093"/>
    <w:rsid w:val="69793390"/>
    <w:rsid w:val="698A3F44"/>
    <w:rsid w:val="69C02956"/>
    <w:rsid w:val="69CA6B08"/>
    <w:rsid w:val="69F97B76"/>
    <w:rsid w:val="6A042666"/>
    <w:rsid w:val="6A152CA1"/>
    <w:rsid w:val="6A4E7A41"/>
    <w:rsid w:val="6A535578"/>
    <w:rsid w:val="6A8676FB"/>
    <w:rsid w:val="6A9736F0"/>
    <w:rsid w:val="6AE672A8"/>
    <w:rsid w:val="6AF830B1"/>
    <w:rsid w:val="6B1715B7"/>
    <w:rsid w:val="6B2C2051"/>
    <w:rsid w:val="6B3233DF"/>
    <w:rsid w:val="6B601CFA"/>
    <w:rsid w:val="6B680BAF"/>
    <w:rsid w:val="6B6C68F1"/>
    <w:rsid w:val="6B9E46D0"/>
    <w:rsid w:val="6BA17D14"/>
    <w:rsid w:val="6BA81981"/>
    <w:rsid w:val="6BBB33D4"/>
    <w:rsid w:val="6BBE4C73"/>
    <w:rsid w:val="6BCC55E2"/>
    <w:rsid w:val="6BD44D33"/>
    <w:rsid w:val="6BEA8026"/>
    <w:rsid w:val="6C0C5BDB"/>
    <w:rsid w:val="6C3D08A3"/>
    <w:rsid w:val="6C6770B8"/>
    <w:rsid w:val="6C845EBC"/>
    <w:rsid w:val="6CA41CC8"/>
    <w:rsid w:val="6CC20E82"/>
    <w:rsid w:val="6CD26C28"/>
    <w:rsid w:val="6CED7921"/>
    <w:rsid w:val="6CF3436B"/>
    <w:rsid w:val="6CF7293C"/>
    <w:rsid w:val="6D056FFD"/>
    <w:rsid w:val="6D443964"/>
    <w:rsid w:val="6D5B6316"/>
    <w:rsid w:val="6D9143ED"/>
    <w:rsid w:val="6DC15011"/>
    <w:rsid w:val="6DC74A88"/>
    <w:rsid w:val="6DD724DA"/>
    <w:rsid w:val="6DDC0B81"/>
    <w:rsid w:val="6DEA2117"/>
    <w:rsid w:val="6DFF5CD6"/>
    <w:rsid w:val="6E041063"/>
    <w:rsid w:val="6E0C6BA8"/>
    <w:rsid w:val="6E380D0C"/>
    <w:rsid w:val="6E4C538F"/>
    <w:rsid w:val="6E7837FF"/>
    <w:rsid w:val="6E8C1058"/>
    <w:rsid w:val="6EA14B04"/>
    <w:rsid w:val="6EAE6293"/>
    <w:rsid w:val="6EBF142E"/>
    <w:rsid w:val="6ED722D3"/>
    <w:rsid w:val="6EE175F6"/>
    <w:rsid w:val="6F1E1004"/>
    <w:rsid w:val="6F24190C"/>
    <w:rsid w:val="6F4436E1"/>
    <w:rsid w:val="6F7C2E7B"/>
    <w:rsid w:val="6FC36D9E"/>
    <w:rsid w:val="6FD42B8C"/>
    <w:rsid w:val="6FE70C3C"/>
    <w:rsid w:val="6FF84BF7"/>
    <w:rsid w:val="70076BE8"/>
    <w:rsid w:val="70666005"/>
    <w:rsid w:val="707A0DD5"/>
    <w:rsid w:val="70852D97"/>
    <w:rsid w:val="70A47AAD"/>
    <w:rsid w:val="70AE40C7"/>
    <w:rsid w:val="70C25205"/>
    <w:rsid w:val="70DA254F"/>
    <w:rsid w:val="70E51DA8"/>
    <w:rsid w:val="70F20FE3"/>
    <w:rsid w:val="71174B27"/>
    <w:rsid w:val="71946BA2"/>
    <w:rsid w:val="71A843FB"/>
    <w:rsid w:val="71B24116"/>
    <w:rsid w:val="71C97895"/>
    <w:rsid w:val="71ED62B2"/>
    <w:rsid w:val="721B697B"/>
    <w:rsid w:val="721E450C"/>
    <w:rsid w:val="7256750B"/>
    <w:rsid w:val="7262278F"/>
    <w:rsid w:val="72D73D3D"/>
    <w:rsid w:val="72DD793F"/>
    <w:rsid w:val="72EC6569"/>
    <w:rsid w:val="72EE408F"/>
    <w:rsid w:val="72F21DD2"/>
    <w:rsid w:val="73012015"/>
    <w:rsid w:val="731B2B50"/>
    <w:rsid w:val="73394BB6"/>
    <w:rsid w:val="73397A01"/>
    <w:rsid w:val="736A253A"/>
    <w:rsid w:val="73770529"/>
    <w:rsid w:val="73A429A0"/>
    <w:rsid w:val="73AC2D59"/>
    <w:rsid w:val="73BE1CB4"/>
    <w:rsid w:val="73C51294"/>
    <w:rsid w:val="73EC5B91"/>
    <w:rsid w:val="73FC458A"/>
    <w:rsid w:val="74197614"/>
    <w:rsid w:val="742E7E7F"/>
    <w:rsid w:val="74577806"/>
    <w:rsid w:val="74622041"/>
    <w:rsid w:val="74654825"/>
    <w:rsid w:val="747B5DF7"/>
    <w:rsid w:val="74C002E8"/>
    <w:rsid w:val="74C57072"/>
    <w:rsid w:val="74CF1255"/>
    <w:rsid w:val="74E7523A"/>
    <w:rsid w:val="74F02341"/>
    <w:rsid w:val="74F64620"/>
    <w:rsid w:val="74F76776"/>
    <w:rsid w:val="74FB54A4"/>
    <w:rsid w:val="751A7B05"/>
    <w:rsid w:val="75220020"/>
    <w:rsid w:val="753C5586"/>
    <w:rsid w:val="755522F8"/>
    <w:rsid w:val="755E2DEF"/>
    <w:rsid w:val="75611CC1"/>
    <w:rsid w:val="75A03D67"/>
    <w:rsid w:val="75C72835"/>
    <w:rsid w:val="75CB05D8"/>
    <w:rsid w:val="75DD731F"/>
    <w:rsid w:val="75FB2773"/>
    <w:rsid w:val="7621652A"/>
    <w:rsid w:val="76265AC6"/>
    <w:rsid w:val="763A2EF5"/>
    <w:rsid w:val="76634D94"/>
    <w:rsid w:val="76642085"/>
    <w:rsid w:val="766D79C1"/>
    <w:rsid w:val="768014A2"/>
    <w:rsid w:val="7682438C"/>
    <w:rsid w:val="768857E3"/>
    <w:rsid w:val="768D4B1F"/>
    <w:rsid w:val="769D2054"/>
    <w:rsid w:val="76B36B19"/>
    <w:rsid w:val="76C31EDD"/>
    <w:rsid w:val="76E56E2D"/>
    <w:rsid w:val="76EA5EA7"/>
    <w:rsid w:val="76EC2FDC"/>
    <w:rsid w:val="77060EB2"/>
    <w:rsid w:val="770943E5"/>
    <w:rsid w:val="77120FDD"/>
    <w:rsid w:val="771739AE"/>
    <w:rsid w:val="772067E2"/>
    <w:rsid w:val="77475BC1"/>
    <w:rsid w:val="775C2950"/>
    <w:rsid w:val="77610F13"/>
    <w:rsid w:val="778C37F8"/>
    <w:rsid w:val="779C230C"/>
    <w:rsid w:val="779D7E32"/>
    <w:rsid w:val="77A92C7B"/>
    <w:rsid w:val="77B12E34"/>
    <w:rsid w:val="77B5517C"/>
    <w:rsid w:val="77D46CD2"/>
    <w:rsid w:val="77D83D50"/>
    <w:rsid w:val="77E67A2B"/>
    <w:rsid w:val="7800211C"/>
    <w:rsid w:val="780C664E"/>
    <w:rsid w:val="78112CFA"/>
    <w:rsid w:val="781D0CC1"/>
    <w:rsid w:val="7823193A"/>
    <w:rsid w:val="782E61C7"/>
    <w:rsid w:val="783B33E4"/>
    <w:rsid w:val="7844130F"/>
    <w:rsid w:val="78534B66"/>
    <w:rsid w:val="785B3F75"/>
    <w:rsid w:val="787B0197"/>
    <w:rsid w:val="787E1A12"/>
    <w:rsid w:val="78BE10F6"/>
    <w:rsid w:val="78CA4C57"/>
    <w:rsid w:val="78CF6711"/>
    <w:rsid w:val="78D43D28"/>
    <w:rsid w:val="78DD2BDC"/>
    <w:rsid w:val="792E5466"/>
    <w:rsid w:val="79424773"/>
    <w:rsid w:val="79435553"/>
    <w:rsid w:val="794672BF"/>
    <w:rsid w:val="796C21B2"/>
    <w:rsid w:val="79BE0C60"/>
    <w:rsid w:val="79E263BE"/>
    <w:rsid w:val="7A064282"/>
    <w:rsid w:val="7A1B7E60"/>
    <w:rsid w:val="7A2A00A3"/>
    <w:rsid w:val="7A326F58"/>
    <w:rsid w:val="7A380852"/>
    <w:rsid w:val="7A3C1B84"/>
    <w:rsid w:val="7A3C1D44"/>
    <w:rsid w:val="7A727D7D"/>
    <w:rsid w:val="7A9E283F"/>
    <w:rsid w:val="7AC77F2D"/>
    <w:rsid w:val="7ACB4CB6"/>
    <w:rsid w:val="7ADD5362"/>
    <w:rsid w:val="7AE57E78"/>
    <w:rsid w:val="7B036E36"/>
    <w:rsid w:val="7B0E3521"/>
    <w:rsid w:val="7B1A0118"/>
    <w:rsid w:val="7B31160A"/>
    <w:rsid w:val="7B4C6C5F"/>
    <w:rsid w:val="7B62386D"/>
    <w:rsid w:val="7B6E2211"/>
    <w:rsid w:val="7B8F3645"/>
    <w:rsid w:val="7BAD0A4E"/>
    <w:rsid w:val="7BB00E61"/>
    <w:rsid w:val="7BD227A0"/>
    <w:rsid w:val="7BD83466"/>
    <w:rsid w:val="7BE86C44"/>
    <w:rsid w:val="7BF12E1F"/>
    <w:rsid w:val="7C1822AA"/>
    <w:rsid w:val="7C2F299F"/>
    <w:rsid w:val="7C7C731A"/>
    <w:rsid w:val="7C85264B"/>
    <w:rsid w:val="7C90705C"/>
    <w:rsid w:val="7CA06753"/>
    <w:rsid w:val="7CB43242"/>
    <w:rsid w:val="7CB61824"/>
    <w:rsid w:val="7CBD69D7"/>
    <w:rsid w:val="7CC06A9D"/>
    <w:rsid w:val="7CC76395"/>
    <w:rsid w:val="7CDB38D7"/>
    <w:rsid w:val="7CEF2EDE"/>
    <w:rsid w:val="7D1961AD"/>
    <w:rsid w:val="7D455CFB"/>
    <w:rsid w:val="7D4F7E21"/>
    <w:rsid w:val="7D7A30EF"/>
    <w:rsid w:val="7D9D293A"/>
    <w:rsid w:val="7DA51A4B"/>
    <w:rsid w:val="7DAC5273"/>
    <w:rsid w:val="7DCE6F97"/>
    <w:rsid w:val="7E0B01EB"/>
    <w:rsid w:val="7E1E7F1F"/>
    <w:rsid w:val="7E2A2C6A"/>
    <w:rsid w:val="7E321E60"/>
    <w:rsid w:val="7E390B0F"/>
    <w:rsid w:val="7E493D4F"/>
    <w:rsid w:val="7E5356EF"/>
    <w:rsid w:val="7E5D11FF"/>
    <w:rsid w:val="7E881DA7"/>
    <w:rsid w:val="7E894498"/>
    <w:rsid w:val="7E9B65C0"/>
    <w:rsid w:val="7E9F0934"/>
    <w:rsid w:val="7EDF6295"/>
    <w:rsid w:val="7EF667A6"/>
    <w:rsid w:val="7F060C17"/>
    <w:rsid w:val="7F0C421B"/>
    <w:rsid w:val="7F2F766E"/>
    <w:rsid w:val="7F3D58B7"/>
    <w:rsid w:val="7F614F34"/>
    <w:rsid w:val="7F6B3277"/>
    <w:rsid w:val="7F7C3A97"/>
    <w:rsid w:val="7F9051D5"/>
    <w:rsid w:val="7F9C372F"/>
    <w:rsid w:val="7FB23E78"/>
    <w:rsid w:val="7FB9715A"/>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link w:val="49"/>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annotation text"/>
    <w:basedOn w:val="1"/>
    <w:next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Body Text Indent"/>
    <w:basedOn w:val="1"/>
    <w:qFormat/>
    <w:uiPriority w:val="0"/>
    <w:pPr>
      <w:ind w:firstLine="560" w:firstLineChars="200"/>
    </w:pPr>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Body Text 2"/>
    <w:basedOn w:val="1"/>
    <w:next w:val="6"/>
    <w:qFormat/>
    <w:uiPriority w:val="0"/>
    <w:pPr>
      <w:spacing w:line="500" w:lineRule="exact"/>
    </w:pPr>
    <w:rPr>
      <w:rFonts w:ascii="宋体" w:hAnsi="Times New Roman" w:eastAsia="宋体" w:cs="Times New Roman"/>
      <w:sz w:val="24"/>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w:basedOn w:val="6"/>
    <w:qFormat/>
    <w:uiPriority w:val="99"/>
    <w:pPr>
      <w:spacing w:line="240" w:lineRule="auto"/>
      <w:ind w:firstLine="420" w:firstLineChars="100"/>
    </w:pPr>
    <w:rPr>
      <w:rFonts w:ascii="Times New Roman" w:cs="Times New Roman"/>
      <w:sz w:val="20"/>
      <w:szCs w:val="20"/>
    </w:rPr>
  </w:style>
  <w:style w:type="paragraph" w:styleId="16">
    <w:name w:val="Body Text First Indent 2"/>
    <w:basedOn w:val="7"/>
    <w:unhideWhenUsed/>
    <w:qFormat/>
    <w:uiPriority w:val="99"/>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Emphasis"/>
    <w:basedOn w:val="19"/>
    <w:qFormat/>
    <w:uiPriority w:val="0"/>
    <w:rPr>
      <w:i/>
    </w:rPr>
  </w:style>
  <w:style w:type="paragraph" w:customStyle="1" w:styleId="22">
    <w:name w:val="样式 宋体 行距: 1.5 倍行距"/>
    <w:basedOn w:val="23"/>
    <w:next w:val="1"/>
    <w:qFormat/>
    <w:uiPriority w:val="0"/>
    <w:pPr>
      <w:jc w:val="center"/>
    </w:pPr>
    <w:rPr>
      <w:rFonts w:ascii="Times New Roman" w:hAnsi="Times New Roman" w:cs="Times New Roman"/>
      <w:b/>
    </w:rPr>
  </w:style>
  <w:style w:type="paragraph" w:customStyle="1" w:styleId="2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2"/>
    <w:qFormat/>
    <w:uiPriority w:val="0"/>
    <w:pPr>
      <w:widowControl w:val="0"/>
      <w:jc w:val="both"/>
    </w:pPr>
    <w:rPr>
      <w:rFonts w:ascii="Calibri" w:hAnsi="Calibri" w:eastAsia="宋体" w:cs="黑体"/>
      <w:kern w:val="2"/>
      <w:sz w:val="21"/>
      <w:szCs w:val="24"/>
      <w:lang w:val="en-US" w:eastAsia="zh-CN" w:bidi="ar-SA"/>
    </w:rPr>
  </w:style>
  <w:style w:type="paragraph" w:customStyle="1" w:styleId="24">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5">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6">
    <w:name w:val="NormalCharacter"/>
    <w:qFormat/>
    <w:uiPriority w:val="99"/>
  </w:style>
  <w:style w:type="paragraph" w:customStyle="1" w:styleId="27">
    <w:name w:val="Table Text"/>
    <w:basedOn w:val="1"/>
    <w:semiHidden/>
    <w:qFormat/>
    <w:uiPriority w:val="0"/>
    <w:rPr>
      <w:rFonts w:ascii="Arial" w:hAnsi="Arial" w:eastAsia="Arial" w:cs="Arial"/>
      <w:sz w:val="21"/>
      <w:szCs w:val="21"/>
      <w:lang w:val="en-US" w:eastAsia="en-US" w:bidi="ar-SA"/>
    </w:rPr>
  </w:style>
  <w:style w:type="paragraph" w:customStyle="1" w:styleId="2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正文缩进1"/>
    <w:basedOn w:val="1"/>
    <w:qFormat/>
    <w:uiPriority w:val="0"/>
    <w:pPr>
      <w:widowControl/>
      <w:ind w:firstLine="420"/>
      <w:jc w:val="left"/>
    </w:pPr>
    <w:rPr>
      <w:kern w:val="0"/>
    </w:rPr>
  </w:style>
  <w:style w:type="paragraph" w:customStyle="1" w:styleId="30">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1">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Heading2"/>
    <w:basedOn w:val="1"/>
    <w:next w:val="1"/>
    <w:qFormat/>
    <w:uiPriority w:val="99"/>
    <w:pPr>
      <w:jc w:val="left"/>
    </w:pPr>
    <w:rPr>
      <w:kern w:val="0"/>
    </w:rPr>
  </w:style>
  <w:style w:type="paragraph" w:customStyle="1" w:styleId="36">
    <w:name w:val="AnnotationText"/>
    <w:basedOn w:val="1"/>
    <w:qFormat/>
    <w:uiPriority w:val="99"/>
    <w:pPr>
      <w:spacing w:line="360" w:lineRule="atLeast"/>
      <w:jc w:val="left"/>
    </w:pPr>
    <w:rPr>
      <w:kern w:val="0"/>
    </w:rPr>
  </w:style>
  <w:style w:type="paragraph" w:customStyle="1" w:styleId="37">
    <w:name w:val="UserStyle_44"/>
    <w:basedOn w:val="38"/>
    <w:qFormat/>
    <w:uiPriority w:val="99"/>
    <w:rPr>
      <w:sz w:val="24"/>
      <w:szCs w:val="24"/>
    </w:rPr>
  </w:style>
  <w:style w:type="paragraph" w:customStyle="1" w:styleId="38">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9">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0">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1">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2">
    <w:name w:val="BodyText"/>
    <w:basedOn w:val="1"/>
    <w:next w:val="43"/>
    <w:qFormat/>
    <w:uiPriority w:val="99"/>
    <w:pPr>
      <w:spacing w:after="120"/>
    </w:pPr>
  </w:style>
  <w:style w:type="paragraph" w:customStyle="1" w:styleId="43">
    <w:name w:val="BodyText2"/>
    <w:basedOn w:val="1"/>
    <w:qFormat/>
    <w:uiPriority w:val="99"/>
    <w:pPr>
      <w:spacing w:line="500" w:lineRule="exact"/>
    </w:pPr>
  </w:style>
  <w:style w:type="paragraph" w:customStyle="1" w:styleId="44">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5">
    <w:name w:val="正文缩进 New"/>
    <w:basedOn w:val="46"/>
    <w:qFormat/>
    <w:uiPriority w:val="0"/>
    <w:pPr>
      <w:widowControl/>
      <w:ind w:firstLine="420"/>
      <w:jc w:val="left"/>
    </w:pPr>
    <w:rPr>
      <w:kern w:val="0"/>
      <w:sz w:val="20"/>
    </w:rPr>
  </w:style>
  <w:style w:type="paragraph" w:customStyle="1" w:styleId="46">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7">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8">
    <w:name w:val="正文文本 (2) + 间距 0 pt3"/>
    <w:basedOn w:val="19"/>
    <w:qFormat/>
    <w:uiPriority w:val="0"/>
    <w:rPr>
      <w:rFonts w:ascii="MingLiU" w:hAnsi="Times New Roman" w:eastAsia="MingLiU" w:cs="MingLiU"/>
      <w:spacing w:val="0"/>
      <w:sz w:val="22"/>
      <w:szCs w:val="22"/>
      <w:u w:val="none"/>
    </w:rPr>
  </w:style>
  <w:style w:type="character" w:customStyle="1" w:styleId="49">
    <w:name w:val="标题 2 字符"/>
    <w:link w:val="4"/>
    <w:qFormat/>
    <w:uiPriority w:val="0"/>
    <w:rPr>
      <w:rFonts w:hint="eastAsia" w:ascii="宋体" w:hAnsi="宋体" w:eastAsia="宋体" w:cs="宋体"/>
      <w:b/>
      <w:bCs/>
      <w:kern w:val="0"/>
      <w:sz w:val="36"/>
      <w:szCs w:val="36"/>
      <w:lang w:val="en-US" w:eastAsia="zh-CN" w:bidi="ar"/>
    </w:rPr>
  </w:style>
  <w:style w:type="paragraph" w:customStyle="1" w:styleId="50">
    <w:name w:val="标题 3 New New"/>
    <w:basedOn w:val="45"/>
    <w:next w:val="45"/>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51">
    <w:name w:val="UserStyle_76"/>
    <w:basedOn w:val="52"/>
    <w:qFormat/>
    <w:uiPriority w:val="99"/>
    <w:pPr>
      <w:ind w:firstLine="420"/>
      <w:jc w:val="left"/>
    </w:pPr>
    <w:rPr>
      <w:kern w:val="0"/>
      <w:sz w:val="20"/>
      <w:szCs w:val="20"/>
    </w:rPr>
  </w:style>
  <w:style w:type="paragraph" w:customStyle="1" w:styleId="52">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3">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4">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5">
    <w:name w:val="普通(网站) New"/>
    <w:basedOn w:val="56"/>
    <w:qFormat/>
    <w:uiPriority w:val="0"/>
    <w:rPr>
      <w:sz w:val="24"/>
    </w:rPr>
  </w:style>
  <w:style w:type="paragraph" w:customStyle="1" w:styleId="56">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table" w:customStyle="1" w:styleId="57">
    <w:name w:val="Table Normal"/>
    <w:semiHidden/>
    <w:unhideWhenUsed/>
    <w:qFormat/>
    <w:uiPriority w:val="0"/>
    <w:tblPr>
      <w:tblCellMar>
        <w:top w:w="0" w:type="dxa"/>
        <w:left w:w="0" w:type="dxa"/>
        <w:bottom w:w="0" w:type="dxa"/>
        <w:right w:w="0" w:type="dxa"/>
      </w:tblCellMar>
    </w:tblPr>
  </w:style>
  <w:style w:type="paragraph" w:customStyle="1" w:styleId="5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Table Paragraph"/>
    <w:basedOn w:val="1"/>
    <w:qFormat/>
    <w:uiPriority w:val="1"/>
    <w:rPr>
      <w:rFonts w:ascii="宋体" w:hAnsi="宋体" w:eastAsia="宋体" w:cs="宋体"/>
    </w:rPr>
  </w:style>
  <w:style w:type="paragraph" w:customStyle="1" w:styleId="60">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5.png"/><Relationship Id="rId27" Type="http://schemas.openxmlformats.org/officeDocument/2006/relationships/image" Target="media/image4.jpe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cbeb4241-366e-4d7a-a2b5-10472e76db02</errorID>
      <errorWord>填写</errorWord>
      <group>L1_Word</group>
      <groupName>字词问题</groupName>
      <ability>L2_Typo</ability>
      <abilityName>字词错误</abilityName>
      <candidateList>
        <item>时填写</item>
      </candidateList>
      <explain/>
      <paraID>38534563</paraID>
      <start>44</start>
      <end>46</end>
      <status>ignored</status>
      <modifiedWord/>
      <trackRevisions>false</trackRevisions>
    </reviewItem>
    <reviewItem>
      <errorID>5f5fcee9-36ed-4ab9-8a1b-8eb44395a3ce</errorID>
      <errorWord>（</errorWord>
      <group>L1_Punc</group>
      <groupName>标点问题</groupName>
      <ability>L2_Punc_CN</ability>
      <abilityName>标点符号问题</abilityName>
      <candidateList/>
      <explain>同一形式括号套用。</explain>
      <paraID>4A2C9212</paraID>
      <start>69</start>
      <end>70</end>
      <status>ignored</status>
      <modifiedWord/>
      <trackRevisions>false</trackRevisions>
    </reviewItem>
    <reviewItem>
      <errorID>3724234a-6886-4cbc-b43d-d78b8d239a43</errorID>
      <errorWord>）</errorWord>
      <group>L1_Punc</group>
      <groupName>标点问题</groupName>
      <ability>L2_Punc_CN</ability>
      <abilityName>标点符号问题</abilityName>
      <candidateList/>
      <explain>同一形式括号套用。</explain>
      <paraID>4A2C9212</paraID>
      <start>73</start>
      <end>74</end>
      <status>ignored</status>
      <modifiedWord/>
      <trackRevisions>false</trackRevisions>
    </reviewItem>
    <reviewItem>
      <errorID>7e462185-5c54-4014-922f-4c36426809af</errorID>
      <errorWord>（</errorWord>
      <group>L1_Punc</group>
      <groupName>标点问题</groupName>
      <ability>L2_Punc_CN</ability>
      <abilityName>标点符号问题</abilityName>
      <candidateList/>
      <explain>同一形式括号套用。</explain>
      <paraID>5641EEF8</paraID>
      <start>28</start>
      <end>29</end>
      <status>ignored</status>
      <modifiedWord/>
      <trackRevisions>false</trackRevisions>
    </reviewItem>
    <reviewItem>
      <errorID>f8b5c93d-14a4-4aba-866f-7a0a306efbb7</errorID>
      <errorWord>）</errorWord>
      <group>L1_Punc</group>
      <groupName>标点问题</groupName>
      <ability>L2_Punc_CN</ability>
      <abilityName>标点符号问题</abilityName>
      <candidateList/>
      <explain>同一形式括号套用。</explain>
      <paraID>5641EEF8</paraID>
      <start>32</start>
      <end>33</end>
      <status>ignored</status>
      <modifiedWord/>
      <trackRevisions>false</trackRevisions>
    </reviewItem>
    <reviewItem>
      <errorID>3c092837-cfc0-4c0b-a119-b9f2197b40e0</errorID>
      <errorWord>（</errorWord>
      <group>L1_Punc</group>
      <groupName>标点问题</groupName>
      <ability>L2_Punc_CN</ability>
      <abilityName>标点符号问题</abilityName>
      <candidateList/>
      <explain>同一形式括号套用。</explain>
      <paraID>7AF2FA9E</paraID>
      <start>134</start>
      <end>135</end>
      <status>ignored</status>
      <modifiedWord/>
      <trackRevisions>false</trackRevisions>
    </reviewItem>
    <reviewItem>
      <errorID>3ca90aae-1935-4b78-a1df-97f8169b00eb</errorID>
      <errorWord>）</errorWord>
      <group>L1_Punc</group>
      <groupName>标点问题</groupName>
      <ability>L2_Punc_CN</ability>
      <abilityName>标点符号问题</abilityName>
      <candidateList/>
      <explain>同一形式括号套用。</explain>
      <paraID>7AF2FA9E</paraID>
      <start>150</start>
      <end>151</end>
      <status>ignored</status>
      <modifiedWord/>
      <trackRevisions>false</trackRevisions>
    </reviewItem>
    <reviewItem>
      <errorID>024d7de9-9f8e-4da7-9aff-61f5d3b5c10a</errorID>
      <errorWord>（</errorWord>
      <group>L1_Punc</group>
      <groupName>标点问题</groupName>
      <ability>L2_Punc_CN</ability>
      <abilityName>标点符号问题</abilityName>
      <candidateList/>
      <explain>同一形式括号套用。</explain>
      <paraID>6CD5160B</paraID>
      <start>71</start>
      <end>72</end>
      <status>ignored</status>
      <modifiedWord/>
      <trackRevisions>false</trackRevisions>
    </reviewItem>
    <reviewItem>
      <errorID>953ef12f-8d0b-43e3-88f7-39b883d3c836</errorID>
      <errorWord>）</errorWord>
      <group>L1_Punc</group>
      <groupName>标点问题</groupName>
      <ability>L2_Punc_CN</ability>
      <abilityName>标点符号问题</abilityName>
      <candidateList/>
      <explain>同一形式括号套用。</explain>
      <paraID>6CD5160B</paraID>
      <start>75</start>
      <end>76</end>
      <status>ignored</status>
      <modifiedWord/>
      <trackRevisions>false</trackRevisions>
    </reviewItem>
    <reviewItem>
      <errorID>628d9df6-79f4-44fc-b45b-e2343821ae15</errorID>
      <errorWord>（</errorWord>
      <group>L1_Punc</group>
      <groupName>标点问题</groupName>
      <ability>L2_Punc_CN</ability>
      <abilityName>标点符号问题</abilityName>
      <candidateList/>
      <explain>同一形式括号套用。</explain>
      <paraID>636DEBE8</paraID>
      <start>28</start>
      <end>29</end>
      <status>ignored</status>
      <modifiedWord/>
      <trackRevisions>false</trackRevisions>
    </reviewItem>
    <reviewItem>
      <errorID>a6654df9-efd1-4cb4-bcd8-ca3b5d2ae516</errorID>
      <errorWord>）</errorWord>
      <group>L1_Punc</group>
      <groupName>标点问题</groupName>
      <ability>L2_Punc_CN</ability>
      <abilityName>标点符号问题</abilityName>
      <candidateList/>
      <explain>同一形式括号套用。</explain>
      <paraID>636DEBE8</paraID>
      <start>32</start>
      <end>33</end>
      <status>ignored</status>
      <modifiedWord/>
      <trackRevisions>false</trackRevisions>
    </reviewItem>
    <reviewItem>
      <errorID>841b9739-20d0-49a4-8f83-fdedab80294e</errorID>
      <errorWord>（</errorWord>
      <group>L1_Punc</group>
      <groupName>标点问题</groupName>
      <ability>L2_Punc_CN</ability>
      <abilityName>标点符号问题</abilityName>
      <candidateList/>
      <explain>同一形式括号套用。</explain>
      <paraID>6C531DE2</paraID>
      <start>136</start>
      <end>137</end>
      <status>ignored</status>
      <modifiedWord/>
      <trackRevisions>false</trackRevisions>
    </reviewItem>
    <reviewItem>
      <errorID>dbcb5f30-99c1-481b-99b1-ad6642826db5</errorID>
      <errorWord>）</errorWord>
      <group>L1_Punc</group>
      <groupName>标点问题</groupName>
      <ability>L2_Punc_CN</ability>
      <abilityName>标点符号问题</abilityName>
      <candidateList/>
      <explain>同一形式括号套用。</explain>
      <paraID>6C531DE2</paraID>
      <start>152</start>
      <end>153</end>
      <status>ignored</status>
      <modifiedWord/>
      <trackRevisions>false</trackRevisions>
    </reviewItem>
    <reviewItem>
      <errorID>3f1ddeaf-511b-4efe-a9d6-8c3c163c4d45</errorID>
      <errorWord>）</errorWord>
      <group>L1_Punc</group>
      <groupName>标点问题</groupName>
      <ability>L2_Punc_CN</ability>
      <abilityName>标点符号问题</abilityName>
      <candidateList>
        <item>，</item>
      </candidateList>
      <explain/>
      <paraID>6EFCD790</paraID>
      <start>205</start>
      <end>206</end>
      <status>ignored</status>
      <modifiedWord/>
      <trackRevisions>false</trackRevisions>
    </reviewItem>
    <reviewItem>
      <errorID>d52cf473-d6eb-4f24-8486-7d8d92ab8613</errorID>
      <errorWord>一致</errorWord>
      <group>L1_Punc</group>
      <groupName>标点问题</groupName>
      <ability>L2_Punc_CN</ability>
      <abilityName>标点符号问题</abilityName>
      <candidateList>
        <item>一致）</item>
      </candidateList>
      <explain/>
      <paraID>6EFCD790</paraID>
      <start>223</start>
      <end>225</end>
      <status>ignored</status>
      <modifiedWord/>
      <trackRevisions>false</trackRevisions>
    </reviewItem>
    <reviewItem>
      <errorID>984b2f7d-68aa-4e66-9433-1d193947209a</errorID>
      <errorWord>保证</errorWord>
      <group>L1_Word</group>
      <groupName>字词问题</groupName>
      <ability>L2_Typo</ability>
      <abilityName>字词错误</abilityName>
      <candidateList>
        <item>保证金</item>
      </candidateList>
      <explain/>
      <paraID> 50F418D</paraID>
      <start>39</start>
      <end>41</end>
      <status>ignored</status>
      <modifiedWord/>
      <trackRevisions>false</trackRevisions>
    </reviewItem>
    <reviewItem>
      <errorID>7dc018ab-e153-459d-94c8-dcb9d70dda53</errorID>
      <errorWord>证</errorWord>
      <group>L1_Word</group>
      <groupName>字词问题</groupName>
      <ability>L2_Typo</ability>
      <abilityName>字词错误</abilityName>
      <candidateList>
        <item>证金</item>
      </candidateList>
      <explain/>
      <paraID> 6BEDC68</paraID>
      <start>37</start>
      <end>38</end>
      <status>ignored</status>
      <modifiedWord/>
      <trackRevisions>false</trackRevisions>
    </reviewItem>
    <reviewItem>
      <errorID>12e275d1-36ed-4925-8f09-73459bef7896</errorID>
      <errorWord>《</errorWord>
      <group>L1_Punc</group>
      <groupName>标点问题</groupName>
      <ability>L2_Punc_CN</ability>
      <abilityName>标点符号问题</abilityName>
      <candidateList>
        <item>、《</item>
      </candidateList>
      <explain/>
      <paraID>55BAFE0B</paraID>
      <start>106</start>
      <end>107</end>
      <status>ignored</status>
      <modifiedWord/>
      <trackRevisions>false</trackRevisions>
    </reviewItem>
    <reviewItem>
      <errorID>d8615abb-8f13-4eb0-af4e-509776a149b7</errorID>
      <errorWord>《</errorWord>
      <group>L1_Punc</group>
      <groupName>标点问题</groupName>
      <ability>L2_Punc_CN</ability>
      <abilityName>标点符号问题</abilityName>
      <candidateList>
        <item>、《</item>
      </candidateList>
      <explain/>
      <paraID>55BAFE0B</paraID>
      <start>133</start>
      <end>134</end>
      <status>ignored</status>
      <modifiedWord/>
      <trackRevisions>false</trackRevisions>
    </reviewItem>
    <reviewItem>
      <errorID>eecdf887-7690-46fb-8630-c6121d2eb822</errorID>
      <errorWord>《</errorWord>
      <group>L1_Punc</group>
      <groupName>标点问题</groupName>
      <ability>L2_Punc_CN</ability>
      <abilityName>标点符号问题</abilityName>
      <candidateList>
        <item>、《</item>
      </candidateList>
      <explain/>
      <paraID>1F123386</paraID>
      <start>107</start>
      <end>108</end>
      <status>ignored</status>
      <modifiedWord/>
      <trackRevisions>false</trackRevisions>
    </reviewItem>
    <reviewItem>
      <errorID>63049079-e401-4736-babb-6c520bf102d9</errorID>
      <errorWord>《</errorWord>
      <group>L1_Punc</group>
      <groupName>标点问题</groupName>
      <ability>L2_Punc_CN</ability>
      <abilityName>标点符号问题</abilityName>
      <candidateList>
        <item>、《</item>
      </candidateList>
      <explain/>
      <paraID>1F123386</paraID>
      <start>134</start>
      <end>135</end>
      <status>ignored</status>
      <modifiedWord/>
      <trackRevisions>false</trackRevisions>
    </reviewItem>
    <reviewItem>
      <errorID>a0cfa355-e30a-4ed2-9e8f-2d64738e8117</errorID>
      <errorWord>证</errorWord>
      <group>L1_Word</group>
      <groupName>字词问题</groupName>
      <ability>L2_Typo</ability>
      <abilityName>字词错误</abilityName>
      <candidateList>
        <item>证金</item>
      </candidateList>
      <explain/>
      <paraID>7065F65E</paraID>
      <start>6</start>
      <end>7</end>
      <status>ignored</status>
      <modifiedWord/>
      <trackRevisions>false</trackRevisions>
    </reviewItem>
    <reviewItem>
      <errorID>259143b4-9e3f-4a7e-845f-2286c200d592</errorID>
      <errorWord>）</errorWord>
      <group>L1_Punc</group>
      <groupName>标点问题</groupName>
      <ability>L2_Punc_CN</ability>
      <abilityName>标点符号问题</abilityName>
      <candidateList>
        <item>）；</item>
      </candidateList>
      <explain/>
      <paraID>4448288D</paraID>
      <start>9</start>
      <end>10</end>
      <status>ignored</status>
      <modifiedWord/>
      <trackRevisions>false</trackRevisions>
    </reviewItem>
    <reviewItem>
      <errorID>ba27ce01-0924-4938-96b9-0243aae1f415</errorID>
      <errorWord>（</errorWord>
      <group>L1_Punc</group>
      <groupName>标点问题</groupName>
      <ability>L2_Punc_CN</ability>
      <abilityName>标点符号问题</abilityName>
      <candidateList/>
      <explain>同一形式括号套用。</explain>
      <paraID>7BB5E824</paraID>
      <start>55</start>
      <end>56</end>
      <status>ignored</status>
      <modifiedWord/>
      <trackRevisions>false</trackRevisions>
    </reviewItem>
    <reviewItem>
      <errorID>bd1f3a0a-b294-4e71-b28e-afe51041a12b</errorID>
      <errorWord>）</errorWord>
      <group>L1_Punc</group>
      <groupName>标点问题</groupName>
      <ability>L2_Punc_CN</ability>
      <abilityName>标点符号问题</abilityName>
      <candidateList/>
      <explain>同一形式括号套用。</explain>
      <paraID>7BB5E824</paraID>
      <start>62</start>
      <end>63</end>
      <status>ignored</status>
      <modifiedWord/>
      <trackRevisions>false</trackRevisions>
    </reviewItem>
    <reviewItem>
      <errorID>f31df1d2-225c-44a3-9309-f948db0421b8</errorID>
      <errorWord>）</errorWord>
      <group>L1_Punc</group>
      <groupName>标点问题</groupName>
      <ability>L2_Punc_CN</ability>
      <abilityName>标点符号问题</abilityName>
      <candidateList>
        <item>）；</item>
      </candidateList>
      <explain/>
      <paraID>2A004467</paraID>
      <start>9</start>
      <end>10</end>
      <status>ignored</status>
      <modifiedWord/>
      <trackRevisions>false</trackRevisions>
    </reviewItem>
    <reviewItem>
      <errorID>e8cce9bf-0595-4916-a93c-aba99a99f470</errorID>
      <errorWord>证</errorWord>
      <group>L1_Word</group>
      <groupName>字词问题</groupName>
      <ability>L2_Typo</ability>
      <abilityName>字词错误</abilityName>
      <candidateList>
        <item>证金</item>
      </candidateList>
      <explain/>
      <paraID>792BE085</paraID>
      <start>32</start>
      <end>33</end>
      <status>ignored</status>
      <modifiedWord/>
      <trackRevisions>false</trackRevisions>
    </reviewItem>
    <reviewItem>
      <errorID>469f2d08-28f6-49db-9147-9487286104fb</errorID>
      <errorWord>证</errorWord>
      <group>L1_Word</group>
      <groupName>字词问题</groupName>
      <ability>L2_Typo</ability>
      <abilityName>字词错误</abilityName>
      <candidateList>
        <item>证金</item>
      </candidateList>
      <explain/>
      <paraID>652A2E38</paraID>
      <start>32</start>
      <end>33</end>
      <status>ignored</status>
      <modifiedWord/>
      <trackRevisions>false</trackRevisions>
    </reviewItem>
    <reviewItem>
      <errorID>6a4e73de-fc2a-4f22-9c1c-7f160c72593d</errorID>
      <errorWord>证</errorWord>
      <group>L1_Word</group>
      <groupName>字词问题</groupName>
      <ability>L2_Typo</ability>
      <abilityName>字词错误</abilityName>
      <candidateList>
        <item>证金</item>
      </candidateList>
      <explain/>
      <paraID>652A2E38</paraID>
      <start>96</start>
      <end>97</end>
      <status>ignored</status>
      <modifiedWord/>
      <trackRevisions>false</trackRevisions>
    </reviewItem>
    <reviewItem>
      <errorID>b1b34a51-948b-4e98-924d-c8b278e0aa0d</errorID>
      <errorWord>中标</errorWord>
      <group>L1_Word</group>
      <groupName>字词问题</groupName>
      <ability>L2_Typo</ability>
      <abilityName>字词错误</abilityName>
      <candidateList>
        <item>定标</item>
      </candidateList>
      <explain/>
      <paraID>70C32CE3</paraID>
      <start>30</start>
      <end>32</end>
      <status>ignored</status>
      <modifiedWord/>
      <trackRevisions>false</trackRevisions>
    </reviewItem>
    <reviewItem>
      <errorID>d79ef616-4533-44f9-a813-0f55923396dd</errorID>
      <errorWord>2026年1月1日</errorWord>
      <group>L1_Word</group>
      <groupName>字词问题</groupName>
      <ability>L2_Typo</ability>
      <abilityName>字词错误</abilityName>
      <candidateList>
        <item>2026年1月1日起</item>
      </candidateList>
      <explain/>
      <paraID>67D85537</paraID>
      <start>22</start>
      <end>31</end>
      <status>ignored</status>
      <modifiedWord/>
      <trackRevisions>false</trackRevisions>
    </reviewItem>
    <reviewItem>
      <errorID>ba791a94-f8dd-48cb-97e5-007302ba2d09</errorID>
      <errorWord>2026年1月1日</errorWord>
      <group>L1_Word</group>
      <groupName>字词问题</groupName>
      <ability>L2_Typo</ability>
      <abilityName>字词错误</abilityName>
      <candidateList>
        <item>2026年1月1日起</item>
      </candidateList>
      <explain/>
      <paraID>2B57F3E1</paraID>
      <start>32</start>
      <end>41</end>
      <status>ignored</status>
      <modifiedWord/>
      <trackRevisions>false</trackRevisions>
    </reviewItem>
    <reviewItem>
      <errorID>a34ae632-b3bf-4f09-9e4d-f8d96dd15929</errorID>
      <errorWord>2026年1月1日</errorWord>
      <group>L1_Word</group>
      <groupName>字词问题</groupName>
      <ability>L2_Typo</ability>
      <abilityName>字词错误</abilityName>
      <candidateList>
        <item>2026年1月1日起</item>
      </candidateList>
      <explain/>
      <paraID>32236993</paraID>
      <start>22</start>
      <end>31</end>
      <status>ignored</status>
      <modifiedWord/>
      <trackRevisions>false</trackRevisions>
    </reviewItem>
    <reviewItem>
      <errorID>0bf1a7c5-1ec2-4d8f-b7e8-403739e2fe39</errorID>
      <errorWord>2026年1月1日</errorWord>
      <group>L1_Word</group>
      <groupName>字词问题</groupName>
      <ability>L2_Typo</ability>
      <abilityName>字词错误</abilityName>
      <candidateList>
        <item>2026年1月1日起</item>
      </candidateList>
      <explain/>
      <paraID> F888744</paraID>
      <start>19</start>
      <end>28</end>
      <status>ignored</status>
      <modifiedWord/>
      <trackRevisions>false</trackRevisions>
    </reviewItem>
    <reviewItem>
      <errorID>5b430c44-84a2-4f05-b435-c11efb3c5827</errorID>
      <errorWord> </errorWord>
      <group>L1_Punc</group>
      <groupName>标点问题</groupName>
      <ability>L2_Punc_CN</ability>
      <abilityName>标点符号问题</abilityName>
      <candidateList>
        <item/>
      </candidateList>
      <explain>此处空格冗余，建议删除。</explain>
      <paraID> F888744</paraID>
      <start>76</start>
      <end>77</end>
      <status>ignored</status>
      <modifiedWord/>
      <trackRevisions>false</trackRevisions>
    </reviewItem>
    <reviewItem>
      <errorID>66f8236a-cdb0-41ae-af16-4a22a61225d8</errorID>
      <errorWord>年度</errorWord>
      <group>L1_Word</group>
      <groupName>字词问题</groupName>
      <ability>L2_Typo</ability>
      <abilityName>字词错误</abilityName>
      <candidateList>
        <item>年</item>
      </candidateList>
      <explain/>
      <paraID>6DAF1AE3</paraID>
      <start>6</start>
      <end>8</end>
      <status>ignored</status>
      <modifiedWord/>
      <trackRevisions>false</trackRevisions>
    </reviewItem>
    <reviewItem>
      <errorID>c196d23d-7f4b-4d75-9018-3856c489561c</errorID>
      <errorWord>2026年1月1日</errorWord>
      <group>L1_Word</group>
      <groupName>字词问题</groupName>
      <ability>L2_Typo</ability>
      <abilityName>字词错误</abilityName>
      <candidateList>
        <item>2026年1月1日起</item>
      </candidateList>
      <explain/>
      <paraID>6DAF1AE3</paraID>
      <start>19</start>
      <end>28</end>
      <status>ignored</status>
      <modifiedWord/>
      <trackRevisions>false</trackRevisions>
    </reviewItem>
    <reviewItem>
      <errorID>793ac750-2e95-41f7-82c3-148fd02e9b42</errorID>
      <errorWord>（</errorWord>
      <group>L1_Punc</group>
      <groupName>标点问题</groupName>
      <ability>L2_Punc_CN</ability>
      <abilityName>标点符号问题</abilityName>
      <candidateList/>
      <explain>同一形式括号套用。</explain>
      <paraID>33B4389D</paraID>
      <start>42</start>
      <end>43</end>
      <status>ignored</status>
      <modifiedWord/>
      <trackRevisions>false</trackRevisions>
    </reviewItem>
    <reviewItem>
      <errorID>63bf05a8-e777-46d8-a53e-ba8a4539b2b1</errorID>
      <errorWord>）</errorWord>
      <group>L1_Punc</group>
      <groupName>标点问题</groupName>
      <ability>L2_Punc_CN</ability>
      <abilityName>标点符号问题</abilityName>
      <candidateList/>
      <explain>同一形式括号套用。</explain>
      <paraID>33B4389D</paraID>
      <start>54</start>
      <end>55</end>
      <status>ignored</status>
      <modifiedWord/>
      <trackRevisions>false</trackRevisions>
    </reviewItem>
    <reviewItem>
      <errorID>1c65231b-80f5-440f-927e-8ca07555b96c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396D5353</paraID>
      <start>103</start>
      <end>104</end>
      <status>ignored</status>
      <modifiedWord/>
      <trackRevisions>false</trackRevisions>
    </reviewItem>
    <reviewItem>
      <errorID>2d4582dc-2ed3-4136-8ade-bc19cb0d6290</errorID>
      <errorWord>（</errorWord>
      <group>L1_Punc</group>
      <groupName>标点问题</groupName>
      <ability>L2_Punc_CN</ability>
      <abilityName>标点符号问题</abilityName>
      <candidateList/>
      <explain>同一形式括号套用。</explain>
      <paraID> EDC6E94</paraID>
      <start>66</start>
      <end>67</end>
      <status>ignored</status>
      <modifiedWord/>
      <trackRevisions>false</trackRevisions>
    </reviewItem>
    <reviewItem>
      <errorID>ef412958-3fea-4a13-9750-c57f8fe5598b</errorID>
      <errorWord>）</errorWord>
      <group>L1_Punc</group>
      <groupName>标点问题</groupName>
      <ability>L2_Punc_CN</ability>
      <abilityName>标点符号问题</abilityName>
      <candidateList/>
      <explain>同一形式括号套用。</explain>
      <paraID> EDC6E94</paraID>
      <start>78</start>
      <end>79</end>
      <status>ignored</status>
      <modifiedWord/>
      <trackRevisions>false</trackRevisions>
    </reviewItem>
    <reviewItem>
      <errorID>d0d1fe0f-a584-4259-ad73-200d75937ecd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1904FDEC</paraID>
      <start>193</start>
      <end>194</end>
      <status>ignored</status>
      <modifiedWord/>
      <trackRevisions>false</trackRevisions>
    </reviewItem>
    <reviewItem>
      <errorID>1c66e01e-8fcb-4cf9-8a54-630a191bb584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1ADE4925</paraID>
      <start>258</start>
      <end>259</end>
      <status>ignored</status>
      <modifiedWord/>
      <trackRevisions>false</trackRevisions>
    </reviewItem>
    <reviewItem>
      <errorID>502f23c1-3bc8-4d0d-ab99-dc93505d6210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14B894AA</paraID>
      <start>4</start>
      <end>5</end>
      <status>ignored</status>
      <modifiedWord/>
      <trackRevisions>false</trackRevisions>
    </reviewItem>
    <reviewItem>
      <errorID>89a55791-6920-495e-a9d1-2123dc96b80a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3445358B</paraID>
      <start>93</start>
      <end>94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02998e-a3e5-43ce-919d-d6cdecf4f003}">
  <ds:schemaRefs/>
</ds:datastoreItem>
</file>

<file path=docProps/app.xml><?xml version="1.0" encoding="utf-8"?>
<Properties xmlns="http://schemas.openxmlformats.org/officeDocument/2006/extended-properties" xmlns:vt="http://schemas.openxmlformats.org/officeDocument/2006/docPropsVTypes">
  <Template>Normal.dotm</Template>
  <Pages>84</Pages>
  <Words>1938</Words>
  <Characters>2071</Characters>
  <Lines>0</Lines>
  <Paragraphs>0</Paragraphs>
  <TotalTime>3</TotalTime>
  <ScaleCrop>false</ScaleCrop>
  <LinksUpToDate>false</LinksUpToDate>
  <CharactersWithSpaces>2371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锦鲤</cp:lastModifiedBy>
  <cp:lastPrinted>2026-05-07T07:51:00Z</cp:lastPrinted>
  <dcterms:modified xsi:type="dcterms:W3CDTF">2026-09-09T07:32:51Z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A6BB31B19D744663A2E27C01A0932E1B_13</vt:lpwstr>
  </property>
  <property fmtid="{D5CDD505-2E9C-101B-9397-08002B2CF9AE}" pid="4" name="KSOTemplateDocerSaveRecord">
    <vt:lpwstr>eyJoZGlkIjoiODJlNDExOTQ4NjAxODI2MGZjMjUwYTkzNDQ4ZDdhOWEiLCJ1c2VySWQiOiIyODUzMDI3MjcifQ==</vt:lpwstr>
  </property>
</Properties>
</file>