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snapToGrid w:val="0"/>
        <w:spacing w:before="120" w:beforeLines="50" w:line="360" w:lineRule="auto"/>
        <w:ind w:left="-480" w:leftChars="-200" w:right="204" w:rightChars="85" w:firstLine="481" w:firstLineChars="109"/>
        <w:jc w:val="center"/>
        <w:rPr>
          <w:rStyle w:val="20"/>
          <w:rFonts w:hint="eastAsia" w:ascii="宋体" w:hAnsi="宋体" w:eastAsia="宋体" w:cs="宋体"/>
          <w:b/>
          <w:bCs/>
          <w:color w:val="auto"/>
          <w:kern w:val="0"/>
          <w:sz w:val="44"/>
          <w:szCs w:val="44"/>
          <w:highlight w:val="none"/>
          <w:lang w:eastAsia="zh-CN"/>
        </w:rPr>
      </w:pPr>
      <w:r>
        <w:rPr>
          <w:rStyle w:val="20"/>
          <w:rFonts w:hint="eastAsia" w:ascii="宋体" w:hAnsi="宋体" w:eastAsia="宋体" w:cs="宋体"/>
          <w:b/>
          <w:bCs/>
          <w:color w:val="auto"/>
          <w:kern w:val="0"/>
          <w:sz w:val="44"/>
          <w:szCs w:val="44"/>
          <w:highlight w:val="none"/>
          <w:lang w:eastAsia="zh-CN"/>
        </w:rPr>
        <w:t>南雄市乡村振兴和人居环境整治建设项目-南雄市乡村振兴特色产业基础设施建设项目（四期）土建工程施工</w:t>
      </w: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jc w:val="center"/>
        <w:rPr>
          <w:rStyle w:val="20"/>
          <w:rFonts w:hint="eastAsia" w:ascii="宋体" w:hAnsi="宋体" w:eastAsia="宋体" w:cs="宋体"/>
          <w:b/>
          <w:bCs/>
          <w:color w:val="auto"/>
          <w:kern w:val="0"/>
          <w:sz w:val="84"/>
          <w:szCs w:val="84"/>
          <w:highlight w:val="none"/>
        </w:rPr>
      </w:pPr>
      <w:r>
        <w:rPr>
          <w:rStyle w:val="20"/>
          <w:rFonts w:hint="eastAsia" w:ascii="宋体" w:hAnsi="宋体" w:eastAsia="宋体" w:cs="宋体"/>
          <w:b/>
          <w:bCs/>
          <w:color w:val="auto"/>
          <w:kern w:val="0"/>
          <w:sz w:val="72"/>
          <w:szCs w:val="72"/>
          <w:highlight w:val="none"/>
        </w:rPr>
        <w:t>招标文件</w:t>
      </w: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p>
      <w:pPr>
        <w:pStyle w:val="19"/>
        <w:snapToGrid w:val="0"/>
        <w:spacing w:line="360" w:lineRule="auto"/>
        <w:jc w:val="center"/>
        <w:rPr>
          <w:rStyle w:val="20"/>
          <w:rFonts w:hint="eastAsia" w:ascii="宋体" w:hAnsi="宋体" w:eastAsia="宋体" w:cs="宋体"/>
          <w:b/>
          <w:bCs/>
          <w:color w:val="auto"/>
          <w:kern w:val="0"/>
          <w:sz w:val="48"/>
          <w:szCs w:val="48"/>
          <w:highlight w:val="none"/>
        </w:rPr>
      </w:pPr>
    </w:p>
    <w:tbl>
      <w:tblPr>
        <w:tblStyle w:val="16"/>
        <w:tblW w:w="10213" w:type="dxa"/>
        <w:jc w:val="center"/>
        <w:tblLayout w:type="fixed"/>
        <w:tblCellMar>
          <w:top w:w="0" w:type="dxa"/>
          <w:left w:w="0" w:type="dxa"/>
          <w:bottom w:w="0" w:type="dxa"/>
          <w:right w:w="0" w:type="dxa"/>
        </w:tblCellMar>
      </w:tblPr>
      <w:tblGrid>
        <w:gridCol w:w="5364"/>
        <w:gridCol w:w="4849"/>
      </w:tblGrid>
      <w:tr>
        <w:tblPrEx>
          <w:tblCellMar>
            <w:top w:w="0" w:type="dxa"/>
            <w:left w:w="0" w:type="dxa"/>
            <w:bottom w:w="0" w:type="dxa"/>
            <w:right w:w="0" w:type="dxa"/>
          </w:tblCellMar>
        </w:tblPrEx>
        <w:trPr>
          <w:trHeight w:val="990"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  标  人（盖单位章）：</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lang w:eastAsia="zh-CN"/>
              </w:rPr>
            </w:pPr>
            <w:r>
              <w:rPr>
                <w:rStyle w:val="20"/>
                <w:rFonts w:hint="eastAsia" w:hAnsi="宋体" w:cs="宋体"/>
                <w:color w:val="auto"/>
                <w:kern w:val="0"/>
                <w:sz w:val="28"/>
                <w:szCs w:val="28"/>
                <w:highlight w:val="none"/>
                <w:lang w:eastAsia="zh-CN"/>
              </w:rPr>
              <w:t>南雄市国有资产投资有限责任公司</w:t>
            </w:r>
          </w:p>
        </w:tc>
      </w:tr>
      <w:tr>
        <w:tblPrEx>
          <w:tblCellMar>
            <w:top w:w="0" w:type="dxa"/>
            <w:left w:w="0" w:type="dxa"/>
            <w:bottom w:w="0" w:type="dxa"/>
            <w:right w:w="0" w:type="dxa"/>
          </w:tblCellMar>
        </w:tblPrEx>
        <w:trPr>
          <w:trHeight w:val="812"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招标人工作领导小组负责人（签字）：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807"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 标 代 理 机 构 （盖单位章）：</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lang w:eastAsia="zh-CN"/>
              </w:rPr>
            </w:pPr>
            <w:r>
              <w:rPr>
                <w:rStyle w:val="20"/>
                <w:rFonts w:hint="eastAsia" w:hAnsi="宋体"/>
                <w:color w:val="auto"/>
                <w:kern w:val="0"/>
                <w:sz w:val="28"/>
                <w:szCs w:val="28"/>
                <w:highlight w:val="none"/>
                <w:lang w:eastAsia="zh-CN"/>
              </w:rPr>
              <w:t>广东君霖项目管理有限公司</w:t>
            </w:r>
          </w:p>
        </w:tc>
      </w:tr>
      <w:tr>
        <w:tblPrEx>
          <w:tblCellMar>
            <w:top w:w="0" w:type="dxa"/>
            <w:left w:w="0" w:type="dxa"/>
            <w:bottom w:w="0" w:type="dxa"/>
            <w:right w:w="0" w:type="dxa"/>
          </w:tblCellMar>
        </w:tblPrEx>
        <w:trPr>
          <w:trHeight w:val="931"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招标文件编制人（签字）：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901"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招标代理机构项目负责人（签字）：</w:t>
            </w:r>
          </w:p>
        </w:tc>
        <w:tc>
          <w:tcPr>
            <w:tcW w:w="4849" w:type="dxa"/>
            <w:noWrap w:val="0"/>
            <w:vAlign w:val="center"/>
          </w:tcPr>
          <w:p>
            <w:pPr>
              <w:pStyle w:val="21"/>
              <w:snapToGrid w:val="0"/>
              <w:spacing w:line="240" w:lineRule="auto"/>
              <w:rPr>
                <w:rStyle w:val="20"/>
                <w:rFonts w:hint="eastAsia" w:ascii="宋体" w:hAnsi="宋体" w:eastAsia="宋体" w:cs="宋体"/>
                <w:color w:val="auto"/>
                <w:kern w:val="0"/>
                <w:sz w:val="28"/>
                <w:szCs w:val="28"/>
                <w:highlight w:val="none"/>
              </w:rPr>
            </w:pPr>
          </w:p>
        </w:tc>
      </w:tr>
      <w:tr>
        <w:tblPrEx>
          <w:tblCellMar>
            <w:top w:w="0" w:type="dxa"/>
            <w:left w:w="0" w:type="dxa"/>
            <w:bottom w:w="0" w:type="dxa"/>
            <w:right w:w="0" w:type="dxa"/>
          </w:tblCellMar>
        </w:tblPrEx>
        <w:trPr>
          <w:trHeight w:val="800" w:hRule="atLeast"/>
          <w:jc w:val="center"/>
        </w:trPr>
        <w:tc>
          <w:tcPr>
            <w:tcW w:w="5364" w:type="dxa"/>
            <w:noWrap w:val="0"/>
            <w:vAlign w:val="center"/>
          </w:tcPr>
          <w:p>
            <w:pPr>
              <w:pStyle w:val="21"/>
              <w:snapToGrid w:val="0"/>
              <w:spacing w:line="240" w:lineRule="auto"/>
              <w:jc w:val="distribute"/>
              <w:rPr>
                <w:rStyle w:val="20"/>
                <w:rFonts w:hint="eastAsia" w:ascii="宋体" w:hAnsi="宋体" w:eastAsia="宋体" w:cs="宋体"/>
                <w:color w:val="auto"/>
                <w:kern w:val="0"/>
                <w:sz w:val="28"/>
                <w:szCs w:val="28"/>
                <w:highlight w:val="none"/>
              </w:rPr>
            </w:pPr>
            <w:r>
              <w:rPr>
                <w:rStyle w:val="20"/>
                <w:rFonts w:hint="eastAsia" w:ascii="宋体" w:hAnsi="宋体" w:eastAsia="宋体" w:cs="宋体"/>
                <w:color w:val="auto"/>
                <w:kern w:val="0"/>
                <w:sz w:val="28"/>
                <w:szCs w:val="28"/>
                <w:highlight w:val="none"/>
              </w:rPr>
              <w:t xml:space="preserve"> 招标文件编制日期：</w:t>
            </w:r>
          </w:p>
        </w:tc>
        <w:tc>
          <w:tcPr>
            <w:tcW w:w="4849" w:type="dxa"/>
            <w:noWrap w:val="0"/>
            <w:vAlign w:val="center"/>
          </w:tcPr>
          <w:p>
            <w:pPr>
              <w:pStyle w:val="21"/>
              <w:snapToGrid w:val="0"/>
              <w:spacing w:line="240" w:lineRule="auto"/>
              <w:rPr>
                <w:rStyle w:val="20"/>
                <w:rFonts w:hint="default" w:ascii="宋体" w:hAnsi="宋体" w:eastAsia="宋体" w:cs="宋体"/>
                <w:color w:val="auto"/>
                <w:kern w:val="0"/>
                <w:sz w:val="28"/>
                <w:szCs w:val="28"/>
                <w:highlight w:val="none"/>
                <w:lang w:val="en-US" w:eastAsia="zh-CN"/>
              </w:rPr>
            </w:pPr>
            <w:r>
              <w:rPr>
                <w:rStyle w:val="20"/>
                <w:rFonts w:hint="eastAsia" w:hAnsi="宋体" w:cs="宋体"/>
                <w:color w:val="auto"/>
                <w:kern w:val="0"/>
                <w:sz w:val="28"/>
                <w:szCs w:val="28"/>
                <w:highlight w:val="none"/>
                <w:lang w:val="en-US" w:eastAsia="zh-CN"/>
              </w:rPr>
              <w:t>2026年6月</w:t>
            </w:r>
          </w:p>
        </w:tc>
      </w:tr>
    </w:tbl>
    <w:p>
      <w:pPr>
        <w:tabs>
          <w:tab w:val="left" w:pos="4935"/>
        </w:tabs>
        <w:snapToGrid w:val="0"/>
        <w:spacing w:line="440" w:lineRule="exact"/>
        <w:rPr>
          <w:rStyle w:val="20"/>
          <w:rFonts w:hint="eastAsia" w:ascii="宋体" w:hAnsi="宋体" w:eastAsia="宋体" w:cs="宋体"/>
          <w:b/>
          <w:bCs/>
          <w:color w:val="auto"/>
          <w:kern w:val="0"/>
          <w:sz w:val="28"/>
          <w:szCs w:val="28"/>
          <w:highlight w:val="none"/>
        </w:rPr>
        <w:sectPr>
          <w:footerReference r:id="rId5" w:type="default"/>
          <w:endnotePr>
            <w:numFmt w:val="decimal"/>
          </w:endnotePr>
          <w:pgSz w:w="11906" w:h="16838"/>
          <w:pgMar w:top="1701" w:right="1015" w:bottom="1417" w:left="1531" w:header="850" w:footer="992" w:gutter="0"/>
          <w:pgNumType w:start="1"/>
          <w:cols w:space="720" w:num="1"/>
          <w:docGrid w:linePitch="327" w:charSpace="0"/>
        </w:sectPr>
      </w:pPr>
    </w:p>
    <w:p>
      <w:pPr>
        <w:tabs>
          <w:tab w:val="left" w:pos="4935"/>
        </w:tabs>
        <w:snapToGrid w:val="0"/>
        <w:spacing w:line="440" w:lineRule="exact"/>
        <w:jc w:val="center"/>
        <w:rPr>
          <w:rStyle w:val="20"/>
          <w:rFonts w:hint="eastAsia" w:ascii="宋体" w:hAnsi="宋体" w:eastAsia="宋体" w:cs="宋体"/>
          <w:b/>
          <w:bCs/>
          <w:color w:val="auto"/>
          <w:kern w:val="0"/>
          <w:sz w:val="36"/>
          <w:szCs w:val="36"/>
          <w:highlight w:val="none"/>
        </w:rPr>
      </w:pPr>
      <w:r>
        <w:rPr>
          <w:rStyle w:val="20"/>
          <w:rFonts w:hint="eastAsia" w:ascii="宋体" w:hAnsi="宋体" w:eastAsia="宋体" w:cs="宋体"/>
          <w:b/>
          <w:bCs/>
          <w:color w:val="auto"/>
          <w:kern w:val="0"/>
          <w:sz w:val="36"/>
          <w:szCs w:val="36"/>
          <w:highlight w:val="none"/>
        </w:rPr>
        <w:br w:type="page"/>
      </w:r>
      <w:r>
        <w:rPr>
          <w:rStyle w:val="20"/>
          <w:rFonts w:hint="eastAsia" w:ascii="宋体" w:hAnsi="宋体" w:eastAsia="宋体" w:cs="宋体"/>
          <w:b/>
          <w:bCs/>
          <w:color w:val="auto"/>
          <w:kern w:val="0"/>
          <w:sz w:val="36"/>
          <w:szCs w:val="36"/>
          <w:highlight w:val="none"/>
        </w:rPr>
        <w:t>目   录</w:t>
      </w:r>
    </w:p>
    <w:p>
      <w:pPr>
        <w:spacing w:line="240" w:lineRule="auto"/>
        <w:jc w:val="center"/>
        <w:rPr>
          <w:rFonts w:hint="eastAsia" w:ascii="宋体" w:hAnsi="宋体" w:eastAsia="宋体" w:cs="宋体"/>
          <w:color w:val="auto"/>
          <w:highlight w:val="none"/>
        </w:rPr>
      </w:pPr>
    </w:p>
    <w:p>
      <w:pPr>
        <w:pStyle w:val="13"/>
        <w:tabs>
          <w:tab w:val="right" w:leader="dot" w:pos="8844"/>
        </w:tabs>
        <w:rPr>
          <w:color w:val="auto"/>
          <w:highlight w:val="none"/>
        </w:rPr>
      </w:pPr>
      <w:r>
        <w:rPr>
          <w:rStyle w:val="20"/>
          <w:rFonts w:hint="eastAsia" w:ascii="宋体" w:hAnsi="宋体" w:eastAsia="宋体" w:cs="宋体"/>
          <w:color w:val="auto"/>
          <w:highlight w:val="none"/>
        </w:rPr>
        <w:fldChar w:fldCharType="begin"/>
      </w:r>
      <w:r>
        <w:rPr>
          <w:rStyle w:val="20"/>
          <w:rFonts w:hint="eastAsia" w:ascii="宋体" w:hAnsi="宋体" w:eastAsia="宋体" w:cs="宋体"/>
          <w:color w:val="auto"/>
          <w:highlight w:val="none"/>
        </w:rPr>
        <w:instrText xml:space="preserve">TOC \o "1-2" \h \u </w:instrText>
      </w:r>
      <w:r>
        <w:rPr>
          <w:rStyle w:val="20"/>
          <w:rFonts w:hint="eastAsia" w:ascii="宋体" w:hAnsi="宋体" w:eastAsia="宋体" w:cs="宋体"/>
          <w:color w:val="auto"/>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_Toc6102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_Toc6102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_Toc23819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_Toc23819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_Toc4906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_Toc4906 \h </w:instrText>
      </w:r>
      <w:r>
        <w:rPr>
          <w:color w:val="auto"/>
          <w:highlight w:val="none"/>
        </w:rPr>
        <w:fldChar w:fldCharType="separate"/>
      </w:r>
      <w:r>
        <w:rPr>
          <w:color w:val="auto"/>
          <w:highlight w:val="none"/>
        </w:rPr>
        <w:t>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_Toc9729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_Toc9729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_Toc14995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_Toc14995 \h </w:instrText>
      </w:r>
      <w:r>
        <w:rPr>
          <w:color w:val="auto"/>
          <w:highlight w:val="none"/>
        </w:rPr>
        <w:fldChar w:fldCharType="separate"/>
      </w:r>
      <w:r>
        <w:rPr>
          <w:color w:val="auto"/>
          <w:highlight w:val="none"/>
        </w:rPr>
        <w:t>35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_Toc3979 </w:instrText>
      </w:r>
      <w:r>
        <w:rPr>
          <w:rFonts w:hint="eastAsia" w:ascii="宋体" w:hAnsi="宋体" w:eastAsia="宋体" w:cs="宋体"/>
          <w:color w:val="auto"/>
          <w:highlight w:val="none"/>
        </w:rPr>
        <w:fldChar w:fldCharType="separate"/>
      </w:r>
      <w:r>
        <w:rPr>
          <w:rFonts w:hint="eastAsia" w:ascii="Times New Roman" w:hAnsi="宋体" w:eastAsia="宋体" w:cs="Times New Roman"/>
          <w:bCs/>
          <w:color w:val="auto"/>
          <w:highlight w:val="none"/>
        </w:rPr>
        <w:t>第</w:t>
      </w:r>
      <w:r>
        <w:rPr>
          <w:rFonts w:hint="eastAsia" w:ascii="Times New Roman" w:hAnsi="宋体" w:eastAsia="宋体" w:cs="Times New Roman"/>
          <w:bCs/>
          <w:color w:val="auto"/>
          <w:highlight w:val="none"/>
          <w:lang w:val="en-US" w:eastAsia="zh-CN"/>
        </w:rPr>
        <w:t>五</w:t>
      </w:r>
      <w:r>
        <w:rPr>
          <w:rFonts w:hint="eastAsia" w:ascii="Times New Roman" w:hAnsi="宋体" w:eastAsia="宋体" w:cs="Times New Roman"/>
          <w:bCs/>
          <w:color w:val="auto"/>
          <w:highlight w:val="none"/>
        </w:rPr>
        <w:t>节 定标</w:t>
      </w:r>
      <w:r>
        <w:rPr>
          <w:rFonts w:hint="eastAsia" w:ascii="Times New Roman" w:hAnsi="宋体" w:eastAsia="宋体" w:cs="Times New Roman"/>
          <w:bCs/>
          <w:color w:val="auto"/>
          <w:highlight w:val="none"/>
          <w:lang w:eastAsia="zh-CN"/>
        </w:rPr>
        <w:t>规定</w:t>
      </w:r>
      <w:r>
        <w:rPr>
          <w:rFonts w:hint="eastAsia" w:ascii="Times New Roman" w:hAnsi="宋体" w:eastAsia="宋体" w:cs="Times New Roman"/>
          <w:bCs/>
          <w:color w:val="auto"/>
          <w:highlight w:val="none"/>
          <w:lang w:val="en-US" w:eastAsia="zh-CN"/>
        </w:rPr>
        <w:t>及细则</w:t>
      </w:r>
      <w:r>
        <w:rPr>
          <w:color w:val="auto"/>
          <w:highlight w:val="none"/>
        </w:rPr>
        <w:tab/>
      </w:r>
      <w:r>
        <w:rPr>
          <w:color w:val="auto"/>
          <w:highlight w:val="none"/>
        </w:rPr>
        <w:fldChar w:fldCharType="begin"/>
      </w:r>
      <w:r>
        <w:rPr>
          <w:color w:val="auto"/>
          <w:highlight w:val="none"/>
        </w:rPr>
        <w:instrText xml:space="preserve"> PAGEREF _Toc3979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_Toc10952 </w:instrText>
      </w:r>
      <w:r>
        <w:rPr>
          <w:rFonts w:hint="eastAsia" w:ascii="宋体" w:hAnsi="宋体" w:eastAsia="宋体" w:cs="宋体"/>
          <w:color w:val="auto"/>
          <w:highlight w:val="none"/>
        </w:rPr>
        <w:fldChar w:fldCharType="separate"/>
      </w:r>
      <w:r>
        <w:rPr>
          <w:rFonts w:hint="eastAsia" w:ascii="Times New Roman" w:hAnsi="宋体" w:eastAsia="宋体" w:cs="Times New Roman"/>
          <w:bCs/>
          <w:color w:val="auto"/>
          <w:szCs w:val="24"/>
          <w:highlight w:val="none"/>
        </w:rPr>
        <w:t>第</w:t>
      </w:r>
      <w:r>
        <w:rPr>
          <w:rFonts w:hint="eastAsia" w:ascii="Times New Roman" w:hAnsi="宋体" w:eastAsia="宋体" w:cs="Times New Roman"/>
          <w:bCs/>
          <w:color w:val="auto"/>
          <w:szCs w:val="24"/>
          <w:highlight w:val="none"/>
          <w:lang w:val="en-US" w:eastAsia="zh-CN"/>
        </w:rPr>
        <w:t>六</w:t>
      </w:r>
      <w:r>
        <w:rPr>
          <w:rFonts w:hint="eastAsia" w:ascii="Times New Roman" w:hAnsi="宋体" w:eastAsia="宋体" w:cs="Times New Roman"/>
          <w:bCs/>
          <w:color w:val="auto"/>
          <w:szCs w:val="24"/>
          <w:highlight w:val="none"/>
        </w:rPr>
        <w:t>节 中标人确认</w:t>
      </w:r>
      <w:r>
        <w:rPr>
          <w:color w:val="auto"/>
          <w:highlight w:val="none"/>
        </w:rPr>
        <w:tab/>
      </w:r>
      <w:r>
        <w:rPr>
          <w:color w:val="auto"/>
          <w:highlight w:val="none"/>
        </w:rPr>
        <w:fldChar w:fldCharType="begin"/>
      </w:r>
      <w:r>
        <w:rPr>
          <w:color w:val="auto"/>
          <w:highlight w:val="none"/>
        </w:rPr>
        <w:instrText xml:space="preserve"> PAGEREF _Toc10952 \h </w:instrText>
      </w:r>
      <w:r>
        <w:rPr>
          <w:color w:val="auto"/>
          <w:highlight w:val="none"/>
        </w:rPr>
        <w:fldChar w:fldCharType="separate"/>
      </w:r>
      <w:r>
        <w:rPr>
          <w:color w:val="auto"/>
          <w:highlight w:val="none"/>
        </w:rPr>
        <w:t>41</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_Toc21527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_Toc21527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_Toc19147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1．中标通知书</w:t>
      </w:r>
      <w:r>
        <w:rPr>
          <w:color w:val="auto"/>
          <w:highlight w:val="none"/>
        </w:rPr>
        <w:tab/>
      </w:r>
      <w:r>
        <w:rPr>
          <w:color w:val="auto"/>
          <w:highlight w:val="none"/>
        </w:rPr>
        <w:fldChar w:fldCharType="begin"/>
      </w:r>
      <w:r>
        <w:rPr>
          <w:color w:val="auto"/>
          <w:highlight w:val="none"/>
        </w:rPr>
        <w:instrText xml:space="preserve"> PAGEREF _Toc19147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_Toc9149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2．中标结果公示</w:t>
      </w:r>
      <w:r>
        <w:rPr>
          <w:color w:val="auto"/>
          <w:highlight w:val="none"/>
        </w:rPr>
        <w:tab/>
      </w:r>
      <w:r>
        <w:rPr>
          <w:color w:val="auto"/>
          <w:highlight w:val="none"/>
        </w:rPr>
        <w:fldChar w:fldCharType="begin"/>
      </w:r>
      <w:r>
        <w:rPr>
          <w:color w:val="auto"/>
          <w:highlight w:val="none"/>
        </w:rPr>
        <w:instrText xml:space="preserve"> PAGEREF _Toc9149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_Toc25322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3．履约保证</w:t>
      </w:r>
      <w:r>
        <w:rPr>
          <w:color w:val="auto"/>
          <w:highlight w:val="none"/>
        </w:rPr>
        <w:tab/>
      </w:r>
      <w:r>
        <w:rPr>
          <w:color w:val="auto"/>
          <w:highlight w:val="none"/>
        </w:rPr>
        <w:fldChar w:fldCharType="begin"/>
      </w:r>
      <w:r>
        <w:rPr>
          <w:color w:val="auto"/>
          <w:highlight w:val="none"/>
        </w:rPr>
        <w:instrText xml:space="preserve"> PAGEREF _Toc25322 \h </w:instrText>
      </w:r>
      <w:r>
        <w:rPr>
          <w:color w:val="auto"/>
          <w:highlight w:val="none"/>
        </w:rPr>
        <w:fldChar w:fldCharType="separate"/>
      </w:r>
      <w:r>
        <w:rPr>
          <w:color w:val="auto"/>
          <w:highlight w:val="none"/>
        </w:rPr>
        <w:t>43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_Toc967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4．合同订立</w:t>
      </w:r>
      <w:r>
        <w:rPr>
          <w:color w:val="auto"/>
          <w:highlight w:val="none"/>
        </w:rPr>
        <w:tab/>
      </w:r>
      <w:r>
        <w:rPr>
          <w:color w:val="auto"/>
          <w:highlight w:val="none"/>
        </w:rPr>
        <w:fldChar w:fldCharType="begin"/>
      </w:r>
      <w:r>
        <w:rPr>
          <w:color w:val="auto"/>
          <w:highlight w:val="none"/>
        </w:rPr>
        <w:instrText xml:space="preserve"> PAGEREF _Toc967 \h </w:instrText>
      </w:r>
      <w:r>
        <w:rPr>
          <w:color w:val="auto"/>
          <w:highlight w:val="none"/>
        </w:rPr>
        <w:fldChar w:fldCharType="separate"/>
      </w:r>
      <w:r>
        <w:rPr>
          <w:color w:val="auto"/>
          <w:highlight w:val="none"/>
        </w:rPr>
        <w:t>44</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_Toc4278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5．放弃中标的处理</w:t>
      </w:r>
      <w:r>
        <w:rPr>
          <w:color w:val="auto"/>
          <w:highlight w:val="none"/>
        </w:rPr>
        <w:tab/>
      </w:r>
      <w:r>
        <w:rPr>
          <w:color w:val="auto"/>
          <w:highlight w:val="none"/>
        </w:rPr>
        <w:fldChar w:fldCharType="begin"/>
      </w:r>
      <w:r>
        <w:rPr>
          <w:color w:val="auto"/>
          <w:highlight w:val="none"/>
        </w:rPr>
        <w:instrText xml:space="preserve"> PAGEREF _Toc4278 \h </w:instrText>
      </w:r>
      <w:r>
        <w:rPr>
          <w:color w:val="auto"/>
          <w:highlight w:val="none"/>
        </w:rPr>
        <w:fldChar w:fldCharType="separate"/>
      </w:r>
      <w:r>
        <w:rPr>
          <w:color w:val="auto"/>
          <w:highlight w:val="none"/>
        </w:rPr>
        <w:t>45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_Toc15171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6．专业工程分包</w:t>
      </w:r>
      <w:r>
        <w:rPr>
          <w:color w:val="auto"/>
          <w:highlight w:val="none"/>
        </w:rPr>
        <w:tab/>
      </w:r>
      <w:r>
        <w:rPr>
          <w:color w:val="auto"/>
          <w:highlight w:val="none"/>
        </w:rPr>
        <w:fldChar w:fldCharType="begin"/>
      </w:r>
      <w:r>
        <w:rPr>
          <w:color w:val="auto"/>
          <w:highlight w:val="none"/>
        </w:rPr>
        <w:instrText xml:space="preserve"> PAGEREF _Toc15171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_Toc10173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7．工人工资支付专用账户</w:t>
      </w:r>
      <w:r>
        <w:rPr>
          <w:color w:val="auto"/>
          <w:highlight w:val="none"/>
        </w:rPr>
        <w:tab/>
      </w:r>
      <w:r>
        <w:rPr>
          <w:color w:val="auto"/>
          <w:highlight w:val="none"/>
        </w:rPr>
        <w:fldChar w:fldCharType="begin"/>
      </w:r>
      <w:r>
        <w:rPr>
          <w:color w:val="auto"/>
          <w:highlight w:val="none"/>
        </w:rPr>
        <w:instrText xml:space="preserve"> PAGEREF _Toc10173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_Toc15708 </w:instrText>
      </w:r>
      <w:r>
        <w:rPr>
          <w:rFonts w:hint="eastAsia" w:ascii="宋体" w:hAnsi="宋体" w:eastAsia="宋体" w:cs="宋体"/>
          <w:color w:val="auto"/>
          <w:highlight w:val="none"/>
        </w:rPr>
        <w:fldChar w:fldCharType="separate"/>
      </w:r>
      <w:r>
        <w:rPr>
          <w:rFonts w:hint="eastAsia" w:hAnsi="宋体" w:cs="宋体"/>
          <w:bCs/>
          <w:color w:val="auto"/>
          <w:kern w:val="0"/>
          <w:highlight w:val="none"/>
          <w:lang w:val="en-US" w:eastAsia="zh-CN"/>
        </w:rPr>
        <w:t>8</w:t>
      </w:r>
      <w:r>
        <w:rPr>
          <w:rFonts w:hint="eastAsia" w:ascii="宋体" w:hAnsi="宋体" w:eastAsia="宋体" w:cs="宋体"/>
          <w:bCs/>
          <w:color w:val="auto"/>
          <w:kern w:val="0"/>
          <w:highlight w:val="none"/>
        </w:rPr>
        <w:t>．工期进度</w:t>
      </w:r>
      <w:r>
        <w:rPr>
          <w:color w:val="auto"/>
          <w:highlight w:val="none"/>
        </w:rPr>
        <w:tab/>
      </w:r>
      <w:r>
        <w:rPr>
          <w:color w:val="auto"/>
          <w:highlight w:val="none"/>
        </w:rPr>
        <w:fldChar w:fldCharType="begin"/>
      </w:r>
      <w:r>
        <w:rPr>
          <w:color w:val="auto"/>
          <w:highlight w:val="none"/>
        </w:rPr>
        <w:instrText xml:space="preserve"> PAGEREF _Toc15708 \h </w:instrText>
      </w:r>
      <w:r>
        <w:rPr>
          <w:color w:val="auto"/>
          <w:highlight w:val="none"/>
        </w:rPr>
        <w:fldChar w:fldCharType="separate"/>
      </w:r>
      <w:r>
        <w:rPr>
          <w:color w:val="auto"/>
          <w:highlight w:val="none"/>
        </w:rPr>
        <w:t>46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_Toc19723 </w:instrText>
      </w:r>
      <w:r>
        <w:rPr>
          <w:rFonts w:hint="eastAsia" w:ascii="宋体" w:hAnsi="宋体" w:eastAsia="宋体" w:cs="宋体"/>
          <w:color w:val="auto"/>
          <w:highlight w:val="none"/>
        </w:rPr>
        <w:fldChar w:fldCharType="separate"/>
      </w:r>
      <w:r>
        <w:rPr>
          <w:rFonts w:hint="eastAsia" w:hAnsi="宋体" w:cs="宋体"/>
          <w:bCs/>
          <w:color w:val="auto"/>
          <w:kern w:val="0"/>
          <w:highlight w:val="none"/>
          <w:lang w:val="en-US" w:eastAsia="zh-CN"/>
        </w:rPr>
        <w:t>9</w:t>
      </w:r>
      <w:r>
        <w:rPr>
          <w:rFonts w:hint="eastAsia" w:ascii="宋体" w:hAnsi="宋体" w:eastAsia="宋体" w:cs="宋体"/>
          <w:bCs/>
          <w:color w:val="auto"/>
          <w:kern w:val="0"/>
          <w:highlight w:val="none"/>
        </w:rPr>
        <w:t>．项目管理机构</w:t>
      </w:r>
      <w:r>
        <w:rPr>
          <w:color w:val="auto"/>
          <w:highlight w:val="none"/>
        </w:rPr>
        <w:tab/>
      </w:r>
      <w:r>
        <w:rPr>
          <w:color w:val="auto"/>
          <w:highlight w:val="none"/>
        </w:rPr>
        <w:fldChar w:fldCharType="begin"/>
      </w:r>
      <w:r>
        <w:rPr>
          <w:color w:val="auto"/>
          <w:highlight w:val="none"/>
        </w:rPr>
        <w:instrText xml:space="preserve"> PAGEREF _Toc19723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_Toc18255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0</w:t>
      </w:r>
      <w:r>
        <w:rPr>
          <w:rFonts w:hint="eastAsia" w:ascii="宋体" w:hAnsi="宋体" w:eastAsia="宋体" w:cs="宋体"/>
          <w:bCs/>
          <w:color w:val="auto"/>
          <w:kern w:val="0"/>
          <w:highlight w:val="none"/>
        </w:rPr>
        <w:t>．现场管理</w:t>
      </w:r>
      <w:r>
        <w:rPr>
          <w:color w:val="auto"/>
          <w:highlight w:val="none"/>
        </w:rPr>
        <w:tab/>
      </w:r>
      <w:r>
        <w:rPr>
          <w:color w:val="auto"/>
          <w:highlight w:val="none"/>
        </w:rPr>
        <w:fldChar w:fldCharType="begin"/>
      </w:r>
      <w:r>
        <w:rPr>
          <w:color w:val="auto"/>
          <w:highlight w:val="none"/>
        </w:rPr>
        <w:instrText xml:space="preserve"> PAGEREF _Toc18255 \h </w:instrText>
      </w:r>
      <w:r>
        <w:rPr>
          <w:color w:val="auto"/>
          <w:highlight w:val="none"/>
        </w:rPr>
        <w:fldChar w:fldCharType="separate"/>
      </w:r>
      <w:r>
        <w:rPr>
          <w:color w:val="auto"/>
          <w:highlight w:val="none"/>
        </w:rPr>
        <w:t>47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_Toc19388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1</w:t>
      </w:r>
      <w:r>
        <w:rPr>
          <w:rFonts w:hint="eastAsia" w:ascii="宋体" w:hAnsi="宋体" w:eastAsia="宋体" w:cs="宋体"/>
          <w:bCs/>
          <w:color w:val="auto"/>
          <w:kern w:val="0"/>
          <w:highlight w:val="none"/>
        </w:rPr>
        <w:t>．监督实施</w:t>
      </w:r>
      <w:r>
        <w:rPr>
          <w:color w:val="auto"/>
          <w:highlight w:val="none"/>
        </w:rPr>
        <w:tab/>
      </w:r>
      <w:r>
        <w:rPr>
          <w:color w:val="auto"/>
          <w:highlight w:val="none"/>
        </w:rPr>
        <w:fldChar w:fldCharType="begin"/>
      </w:r>
      <w:r>
        <w:rPr>
          <w:color w:val="auto"/>
          <w:highlight w:val="none"/>
        </w:rPr>
        <w:instrText xml:space="preserve"> PAGEREF _Toc19388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_Toc22328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2</w:t>
      </w:r>
      <w:r>
        <w:rPr>
          <w:rFonts w:hint="eastAsia" w:ascii="宋体" w:hAnsi="宋体" w:eastAsia="宋体" w:cs="宋体"/>
          <w:bCs/>
          <w:color w:val="auto"/>
          <w:kern w:val="0"/>
          <w:highlight w:val="none"/>
        </w:rPr>
        <w:t>．主材的采购和使用</w:t>
      </w:r>
      <w:r>
        <w:rPr>
          <w:color w:val="auto"/>
          <w:highlight w:val="none"/>
        </w:rPr>
        <w:tab/>
      </w:r>
      <w:r>
        <w:rPr>
          <w:color w:val="auto"/>
          <w:highlight w:val="none"/>
        </w:rPr>
        <w:fldChar w:fldCharType="begin"/>
      </w:r>
      <w:r>
        <w:rPr>
          <w:color w:val="auto"/>
          <w:highlight w:val="none"/>
        </w:rPr>
        <w:instrText xml:space="preserve"> PAGEREF _Toc22328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_Toc21291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3</w:t>
      </w:r>
      <w:r>
        <w:rPr>
          <w:rFonts w:hint="eastAsia" w:ascii="宋体" w:hAnsi="宋体" w:eastAsia="宋体" w:cs="宋体"/>
          <w:bCs/>
          <w:color w:val="auto"/>
          <w:kern w:val="0"/>
          <w:highlight w:val="none"/>
        </w:rPr>
        <w:t>．竣工资料移交</w:t>
      </w:r>
      <w:r>
        <w:rPr>
          <w:color w:val="auto"/>
          <w:highlight w:val="none"/>
        </w:rPr>
        <w:tab/>
      </w:r>
      <w:r>
        <w:rPr>
          <w:color w:val="auto"/>
          <w:highlight w:val="none"/>
        </w:rPr>
        <w:fldChar w:fldCharType="begin"/>
      </w:r>
      <w:r>
        <w:rPr>
          <w:color w:val="auto"/>
          <w:highlight w:val="none"/>
        </w:rPr>
        <w:instrText xml:space="preserve"> PAGEREF _Toc21291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_Toc2569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4</w:t>
      </w:r>
      <w:r>
        <w:rPr>
          <w:rFonts w:hint="eastAsia" w:ascii="宋体" w:hAnsi="宋体" w:eastAsia="宋体" w:cs="宋体"/>
          <w:bCs/>
          <w:color w:val="auto"/>
          <w:kern w:val="0"/>
          <w:highlight w:val="none"/>
        </w:rPr>
        <w:t>．质量保证</w:t>
      </w:r>
      <w:r>
        <w:rPr>
          <w:color w:val="auto"/>
          <w:highlight w:val="none"/>
        </w:rPr>
        <w:tab/>
      </w:r>
      <w:r>
        <w:rPr>
          <w:color w:val="auto"/>
          <w:highlight w:val="none"/>
        </w:rPr>
        <w:fldChar w:fldCharType="begin"/>
      </w:r>
      <w:r>
        <w:rPr>
          <w:color w:val="auto"/>
          <w:highlight w:val="none"/>
        </w:rPr>
        <w:instrText xml:space="preserve"> PAGEREF _Toc2569 \h </w:instrText>
      </w:r>
      <w:r>
        <w:rPr>
          <w:color w:val="auto"/>
          <w:highlight w:val="none"/>
        </w:rPr>
        <w:fldChar w:fldCharType="separate"/>
      </w:r>
      <w:r>
        <w:rPr>
          <w:color w:val="auto"/>
          <w:highlight w:val="none"/>
        </w:rPr>
        <w:t>48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_Toc4991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hAnsi="宋体" w:cs="宋体"/>
          <w:bCs/>
          <w:color w:val="auto"/>
          <w:kern w:val="0"/>
          <w:highlight w:val="none"/>
          <w:lang w:val="en-US" w:eastAsia="zh-CN"/>
        </w:rPr>
        <w:t>5</w:t>
      </w:r>
      <w:r>
        <w:rPr>
          <w:rFonts w:hint="eastAsia" w:ascii="宋体" w:hAnsi="宋体" w:eastAsia="宋体" w:cs="宋体"/>
          <w:bCs/>
          <w:color w:val="auto"/>
          <w:kern w:val="0"/>
          <w:highlight w:val="none"/>
        </w:rPr>
        <w:t>．不良行为处理</w:t>
      </w:r>
      <w:r>
        <w:rPr>
          <w:color w:val="auto"/>
          <w:highlight w:val="none"/>
        </w:rPr>
        <w:tab/>
      </w:r>
      <w:r>
        <w:rPr>
          <w:color w:val="auto"/>
          <w:highlight w:val="none"/>
        </w:rPr>
        <w:fldChar w:fldCharType="begin"/>
      </w:r>
      <w:r>
        <w:rPr>
          <w:color w:val="auto"/>
          <w:highlight w:val="none"/>
        </w:rPr>
        <w:instrText xml:space="preserve"> PAGEREF _Toc4991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_Toc8801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w:t>
      </w:r>
      <w:r>
        <w:rPr>
          <w:rFonts w:hint="eastAsia" w:ascii="宋体" w:hAnsi="宋体" w:cs="宋体"/>
          <w:bCs/>
          <w:color w:val="auto"/>
          <w:kern w:val="0"/>
          <w:highlight w:val="none"/>
          <w:lang w:val="en-US" w:eastAsia="zh-CN"/>
        </w:rPr>
        <w:t>6</w:t>
      </w:r>
      <w:r>
        <w:rPr>
          <w:rFonts w:hint="eastAsia" w:ascii="宋体" w:hAnsi="宋体" w:eastAsia="宋体" w:cs="宋体"/>
          <w:bCs/>
          <w:color w:val="auto"/>
          <w:kern w:val="0"/>
          <w:highlight w:val="none"/>
        </w:rPr>
        <w:t>．信用评价条款内容</w:t>
      </w:r>
      <w:r>
        <w:rPr>
          <w:color w:val="auto"/>
          <w:highlight w:val="none"/>
        </w:rPr>
        <w:tab/>
      </w:r>
      <w:r>
        <w:rPr>
          <w:color w:val="auto"/>
          <w:highlight w:val="none"/>
        </w:rPr>
        <w:fldChar w:fldCharType="begin"/>
      </w:r>
      <w:r>
        <w:rPr>
          <w:color w:val="auto"/>
          <w:highlight w:val="none"/>
        </w:rPr>
        <w:instrText xml:space="preserve"> PAGEREF _Toc8801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_Toc5020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1</w:t>
      </w:r>
      <w:r>
        <w:rPr>
          <w:rFonts w:hint="eastAsia" w:hAnsi="宋体" w:cs="宋体"/>
          <w:bCs/>
          <w:color w:val="auto"/>
          <w:highlight w:val="none"/>
          <w:lang w:val="en-US" w:eastAsia="zh-CN"/>
        </w:rPr>
        <w:t>7</w:t>
      </w:r>
      <w:r>
        <w:rPr>
          <w:rFonts w:hint="eastAsia" w:ascii="宋体" w:hAnsi="宋体" w:eastAsia="宋体" w:cs="宋体"/>
          <w:bCs/>
          <w:color w:val="auto"/>
          <w:highlight w:val="none"/>
        </w:rPr>
        <w:t>．其他事项</w:t>
      </w:r>
      <w:r>
        <w:rPr>
          <w:color w:val="auto"/>
          <w:highlight w:val="none"/>
        </w:rPr>
        <w:tab/>
      </w:r>
      <w:r>
        <w:rPr>
          <w:color w:val="auto"/>
          <w:highlight w:val="none"/>
        </w:rPr>
        <w:fldChar w:fldCharType="begin"/>
      </w:r>
      <w:r>
        <w:rPr>
          <w:color w:val="auto"/>
          <w:highlight w:val="none"/>
        </w:rPr>
        <w:instrText xml:space="preserve"> PAGEREF _Toc5020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_Toc18225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_Toc18225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_Toc13267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1．工程承包方式</w:t>
      </w:r>
      <w:r>
        <w:rPr>
          <w:color w:val="auto"/>
          <w:highlight w:val="none"/>
        </w:rPr>
        <w:tab/>
      </w:r>
      <w:r>
        <w:rPr>
          <w:color w:val="auto"/>
          <w:highlight w:val="none"/>
        </w:rPr>
        <w:fldChar w:fldCharType="begin"/>
      </w:r>
      <w:r>
        <w:rPr>
          <w:color w:val="auto"/>
          <w:highlight w:val="none"/>
        </w:rPr>
        <w:instrText xml:space="preserve"> PAGEREF _Toc13267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_Toc16445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2．工程结算原则</w:t>
      </w:r>
      <w:r>
        <w:rPr>
          <w:color w:val="auto"/>
          <w:highlight w:val="none"/>
        </w:rPr>
        <w:tab/>
      </w:r>
      <w:r>
        <w:rPr>
          <w:color w:val="auto"/>
          <w:highlight w:val="none"/>
        </w:rPr>
        <w:fldChar w:fldCharType="begin"/>
      </w:r>
      <w:r>
        <w:rPr>
          <w:color w:val="auto"/>
          <w:highlight w:val="none"/>
        </w:rPr>
        <w:instrText xml:space="preserve"> PAGEREF _Toc16445 \h </w:instrText>
      </w:r>
      <w:r>
        <w:rPr>
          <w:color w:val="auto"/>
          <w:highlight w:val="none"/>
        </w:rPr>
        <w:fldChar w:fldCharType="separate"/>
      </w:r>
      <w:r>
        <w:rPr>
          <w:color w:val="auto"/>
          <w:highlight w:val="none"/>
        </w:rPr>
        <w:t>55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_Toc10938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3. 工程付款办法</w:t>
      </w:r>
      <w:r>
        <w:rPr>
          <w:color w:val="auto"/>
          <w:highlight w:val="none"/>
        </w:rPr>
        <w:tab/>
      </w:r>
      <w:r>
        <w:rPr>
          <w:color w:val="auto"/>
          <w:highlight w:val="none"/>
        </w:rPr>
        <w:fldChar w:fldCharType="begin"/>
      </w:r>
      <w:r>
        <w:rPr>
          <w:color w:val="auto"/>
          <w:highlight w:val="none"/>
        </w:rPr>
        <w:instrText xml:space="preserve"> PAGEREF _Toc10938 \h </w:instrText>
      </w:r>
      <w:r>
        <w:rPr>
          <w:color w:val="auto"/>
          <w:highlight w:val="none"/>
        </w:rPr>
        <w:fldChar w:fldCharType="separate"/>
      </w:r>
      <w:r>
        <w:rPr>
          <w:color w:val="auto"/>
          <w:highlight w:val="none"/>
        </w:rPr>
        <w:t>62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_Toc26629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4．专用合同条款</w:t>
      </w:r>
      <w:r>
        <w:rPr>
          <w:color w:val="auto"/>
          <w:highlight w:val="none"/>
        </w:rPr>
        <w:tab/>
      </w:r>
      <w:r>
        <w:rPr>
          <w:color w:val="auto"/>
          <w:highlight w:val="none"/>
        </w:rPr>
        <w:fldChar w:fldCharType="begin"/>
      </w:r>
      <w:r>
        <w:rPr>
          <w:color w:val="auto"/>
          <w:highlight w:val="none"/>
        </w:rPr>
        <w:instrText xml:space="preserve"> PAGEREF _Toc26629 \h </w:instrText>
      </w:r>
      <w:r>
        <w:rPr>
          <w:color w:val="auto"/>
          <w:highlight w:val="none"/>
        </w:rPr>
        <w:fldChar w:fldCharType="separate"/>
      </w:r>
      <w:r>
        <w:rPr>
          <w:color w:val="auto"/>
          <w:highlight w:val="none"/>
        </w:rPr>
        <w:t>64</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_Toc30224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_Toc30224 \h </w:instrText>
      </w:r>
      <w:r>
        <w:rPr>
          <w:color w:val="auto"/>
          <w:highlight w:val="none"/>
        </w:rPr>
        <w:fldChar w:fldCharType="separate"/>
      </w:r>
      <w:r>
        <w:rPr>
          <w:color w:val="auto"/>
          <w:highlight w:val="none"/>
        </w:rPr>
        <w:t>88</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_Toc1434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第五章 图纸和招标工程量清单</w:t>
      </w:r>
      <w:r>
        <w:rPr>
          <w:color w:val="auto"/>
          <w:highlight w:val="none"/>
        </w:rPr>
        <w:tab/>
      </w:r>
      <w:r>
        <w:rPr>
          <w:color w:val="auto"/>
          <w:highlight w:val="none"/>
        </w:rPr>
        <w:fldChar w:fldCharType="begin"/>
      </w:r>
      <w:r>
        <w:rPr>
          <w:color w:val="auto"/>
          <w:highlight w:val="none"/>
        </w:rPr>
        <w:instrText xml:space="preserve"> PAGEREF _Toc1434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_Toc18345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1．图纸</w:t>
      </w:r>
      <w:r>
        <w:rPr>
          <w:color w:val="auto"/>
          <w:highlight w:val="none"/>
        </w:rPr>
        <w:tab/>
      </w:r>
      <w:r>
        <w:rPr>
          <w:color w:val="auto"/>
          <w:highlight w:val="none"/>
        </w:rPr>
        <w:fldChar w:fldCharType="begin"/>
      </w:r>
      <w:r>
        <w:rPr>
          <w:color w:val="auto"/>
          <w:highlight w:val="none"/>
        </w:rPr>
        <w:instrText xml:space="preserve"> PAGEREF _Toc18345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_Toc5733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highlight w:val="none"/>
        </w:rPr>
        <w:t>2．招标工程量清单</w:t>
      </w:r>
      <w:r>
        <w:rPr>
          <w:color w:val="auto"/>
          <w:highlight w:val="none"/>
        </w:rPr>
        <w:tab/>
      </w:r>
      <w:r>
        <w:rPr>
          <w:color w:val="auto"/>
          <w:highlight w:val="none"/>
        </w:rPr>
        <w:fldChar w:fldCharType="begin"/>
      </w:r>
      <w:r>
        <w:rPr>
          <w:color w:val="auto"/>
          <w:highlight w:val="none"/>
        </w:rPr>
        <w:instrText xml:space="preserve"> PAGEREF _Toc5733 \h </w:instrText>
      </w:r>
      <w:r>
        <w:rPr>
          <w:color w:val="auto"/>
          <w:highlight w:val="none"/>
        </w:rPr>
        <w:fldChar w:fldCharType="separate"/>
      </w:r>
      <w:r>
        <w:rPr>
          <w:color w:val="auto"/>
          <w:highlight w:val="none"/>
        </w:rPr>
        <w:t>90</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_Toc30375 </w:instrText>
      </w:r>
      <w:r>
        <w:rPr>
          <w:rFonts w:hint="eastAsia" w:ascii="宋体" w:hAnsi="宋体" w:eastAsia="宋体" w:cs="宋体"/>
          <w:color w:val="auto"/>
          <w:highlight w:val="none"/>
        </w:rPr>
        <w:fldChar w:fldCharType="separate"/>
      </w:r>
      <w:r>
        <w:rPr>
          <w:rFonts w:hint="eastAsia" w:ascii="宋体" w:hAnsi="宋体" w:eastAsia="宋体" w:cs="宋体"/>
          <w:bCs/>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_Toc30375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_Toc3825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格式一 封面</w:t>
      </w:r>
      <w:r>
        <w:rPr>
          <w:color w:val="auto"/>
          <w:highlight w:val="none"/>
        </w:rPr>
        <w:tab/>
      </w:r>
      <w:r>
        <w:rPr>
          <w:color w:val="auto"/>
          <w:highlight w:val="none"/>
        </w:rPr>
        <w:fldChar w:fldCharType="begin"/>
      </w:r>
      <w:r>
        <w:rPr>
          <w:color w:val="auto"/>
          <w:highlight w:val="none"/>
        </w:rPr>
        <w:instrText xml:space="preserve"> PAGEREF _Toc3825 \h </w:instrText>
      </w:r>
      <w:r>
        <w:rPr>
          <w:color w:val="auto"/>
          <w:highlight w:val="none"/>
        </w:rPr>
        <w:fldChar w:fldCharType="separate"/>
      </w:r>
      <w:r>
        <w:rPr>
          <w:color w:val="auto"/>
          <w:highlight w:val="none"/>
        </w:rPr>
        <w:t>91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_Toc32654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格式二 投标函</w:t>
      </w:r>
      <w:r>
        <w:rPr>
          <w:color w:val="auto"/>
          <w:highlight w:val="none"/>
        </w:rPr>
        <w:tab/>
      </w:r>
      <w:r>
        <w:rPr>
          <w:color w:val="auto"/>
          <w:highlight w:val="none"/>
        </w:rPr>
        <w:fldChar w:fldCharType="begin"/>
      </w:r>
      <w:r>
        <w:rPr>
          <w:color w:val="auto"/>
          <w:highlight w:val="none"/>
        </w:rPr>
        <w:instrText xml:space="preserve"> PAGEREF _Toc32654 \h </w:instrText>
      </w:r>
      <w:r>
        <w:rPr>
          <w:color w:val="auto"/>
          <w:highlight w:val="none"/>
        </w:rPr>
        <w:fldChar w:fldCharType="separate"/>
      </w:r>
      <w:r>
        <w:rPr>
          <w:color w:val="auto"/>
          <w:highlight w:val="none"/>
        </w:rPr>
        <w:t>92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_Toc4917 </w:instrText>
      </w:r>
      <w:r>
        <w:rPr>
          <w:rFonts w:hint="eastAsia" w:ascii="宋体" w:hAnsi="宋体" w:eastAsia="宋体" w:cs="宋体"/>
          <w:color w:val="auto"/>
          <w:highlight w:val="none"/>
        </w:rPr>
        <w:fldChar w:fldCharType="separate"/>
      </w:r>
      <w:r>
        <w:rPr>
          <w:rFonts w:hint="eastAsia" w:ascii="宋体" w:hAnsi="宋体" w:eastAsia="宋体" w:cs="宋体"/>
          <w:color w:val="auto"/>
          <w:szCs w:val="21"/>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_Toc4917 \h </w:instrText>
      </w:r>
      <w:r>
        <w:rPr>
          <w:color w:val="auto"/>
          <w:highlight w:val="none"/>
        </w:rPr>
        <w:fldChar w:fldCharType="separate"/>
      </w:r>
      <w:r>
        <w:rPr>
          <w:color w:val="auto"/>
          <w:highlight w:val="none"/>
        </w:rPr>
        <w:t>93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_Toc12795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格式四 授权委托书</w:t>
      </w:r>
      <w:r>
        <w:rPr>
          <w:color w:val="auto"/>
          <w:highlight w:val="none"/>
        </w:rPr>
        <w:tab/>
      </w:r>
      <w:r>
        <w:rPr>
          <w:color w:val="auto"/>
          <w:highlight w:val="none"/>
        </w:rPr>
        <w:fldChar w:fldCharType="begin"/>
      </w:r>
      <w:r>
        <w:rPr>
          <w:color w:val="auto"/>
          <w:highlight w:val="none"/>
        </w:rPr>
        <w:instrText xml:space="preserve"> PAGEREF _Toc12795 \h </w:instrText>
      </w:r>
      <w:r>
        <w:rPr>
          <w:color w:val="auto"/>
          <w:highlight w:val="none"/>
        </w:rPr>
        <w:fldChar w:fldCharType="separate"/>
      </w:r>
      <w:r>
        <w:rPr>
          <w:color w:val="auto"/>
          <w:highlight w:val="none"/>
        </w:rPr>
        <w:t>97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_Toc27116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_Toc27116 \h </w:instrText>
      </w:r>
      <w:r>
        <w:rPr>
          <w:color w:val="auto"/>
          <w:highlight w:val="none"/>
        </w:rPr>
        <w:fldChar w:fldCharType="separate"/>
      </w:r>
      <w:r>
        <w:rPr>
          <w:color w:val="auto"/>
          <w:highlight w:val="none"/>
        </w:rPr>
        <w:t>98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_Toc24831 </w:instrText>
      </w:r>
      <w:r>
        <w:rPr>
          <w:rFonts w:hint="eastAsia" w:ascii="宋体" w:hAnsi="宋体" w:eastAsia="宋体" w:cs="宋体"/>
          <w:color w:val="auto"/>
          <w:highlight w:val="none"/>
        </w:rPr>
        <w:fldChar w:fldCharType="separate"/>
      </w:r>
      <w:r>
        <w:rPr>
          <w:rFonts w:ascii="Times New Roman" w:hAnsi="宋体" w:eastAsia="宋体" w:cs="Times New Roman"/>
          <w:bCs/>
          <w:color w:val="auto"/>
          <w:szCs w:val="21"/>
          <w:highlight w:val="none"/>
        </w:rPr>
        <w:t>格式</w:t>
      </w:r>
      <w:r>
        <w:rPr>
          <w:rFonts w:hint="eastAsia" w:ascii="Times New Roman" w:hAnsi="宋体" w:eastAsia="宋体" w:cs="Times New Roman"/>
          <w:bCs/>
          <w:color w:val="auto"/>
          <w:szCs w:val="21"/>
          <w:highlight w:val="none"/>
          <w:lang w:eastAsia="zh-CN"/>
        </w:rPr>
        <w:t>六</w:t>
      </w:r>
      <w:r>
        <w:rPr>
          <w:rFonts w:ascii="Times New Roman" w:hAnsi="宋体" w:eastAsia="宋体" w:cs="Times New Roman"/>
          <w:bCs/>
          <w:color w:val="auto"/>
          <w:szCs w:val="21"/>
          <w:highlight w:val="none"/>
        </w:rPr>
        <w:t xml:space="preserve"> </w:t>
      </w:r>
      <w:r>
        <w:rPr>
          <w:rFonts w:hint="eastAsia" w:ascii="Times New Roman" w:hAnsi="宋体" w:eastAsia="宋体" w:cs="Times New Roman"/>
          <w:bCs/>
          <w:color w:val="auto"/>
          <w:szCs w:val="21"/>
          <w:highlight w:val="none"/>
        </w:rPr>
        <w:t>联合体协议书</w:t>
      </w:r>
      <w:r>
        <w:rPr>
          <w:color w:val="auto"/>
          <w:highlight w:val="none"/>
        </w:rPr>
        <w:tab/>
      </w:r>
      <w:r>
        <w:rPr>
          <w:color w:val="auto"/>
          <w:highlight w:val="none"/>
        </w:rPr>
        <w:fldChar w:fldCharType="begin"/>
      </w:r>
      <w:r>
        <w:rPr>
          <w:color w:val="auto"/>
          <w:highlight w:val="none"/>
        </w:rPr>
        <w:instrText xml:space="preserve"> PAGEREF _Toc24831 \h </w:instrText>
      </w:r>
      <w:r>
        <w:rPr>
          <w:color w:val="auto"/>
          <w:highlight w:val="none"/>
        </w:rPr>
        <w:fldChar w:fldCharType="separate"/>
      </w:r>
      <w:r>
        <w:rPr>
          <w:color w:val="auto"/>
          <w:highlight w:val="none"/>
        </w:rPr>
        <w:t>99</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_Toc19459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七</w:t>
      </w:r>
      <w:r>
        <w:rPr>
          <w:rFonts w:hint="eastAsia" w:ascii="宋体" w:hAnsi="宋体" w:eastAsia="宋体" w:cs="宋体"/>
          <w:bCs/>
          <w:color w:val="auto"/>
          <w:szCs w:val="21"/>
          <w:highlight w:val="none"/>
        </w:rPr>
        <w:t xml:space="preserve"> 投标人基本情况表</w:t>
      </w:r>
      <w:r>
        <w:rPr>
          <w:color w:val="auto"/>
          <w:highlight w:val="none"/>
        </w:rPr>
        <w:tab/>
      </w:r>
      <w:r>
        <w:rPr>
          <w:color w:val="auto"/>
          <w:highlight w:val="none"/>
        </w:rPr>
        <w:fldChar w:fldCharType="begin"/>
      </w:r>
      <w:r>
        <w:rPr>
          <w:color w:val="auto"/>
          <w:highlight w:val="none"/>
        </w:rPr>
        <w:instrText xml:space="preserve"> PAGEREF _Toc19459 \h </w:instrText>
      </w:r>
      <w:r>
        <w:rPr>
          <w:color w:val="auto"/>
          <w:highlight w:val="none"/>
        </w:rPr>
        <w:fldChar w:fldCharType="separate"/>
      </w:r>
      <w:r>
        <w:rPr>
          <w:color w:val="auto"/>
          <w:highlight w:val="none"/>
        </w:rPr>
        <w:t>101</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_Toc21362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八</w:t>
      </w:r>
      <w:r>
        <w:rPr>
          <w:rFonts w:hint="eastAsia" w:ascii="宋体" w:hAnsi="宋体" w:eastAsia="宋体" w:cs="宋体"/>
          <w:bCs/>
          <w:color w:val="auto"/>
          <w:szCs w:val="21"/>
          <w:highlight w:val="none"/>
        </w:rPr>
        <w:t xml:space="preserve"> 项目经理简历表</w:t>
      </w:r>
      <w:r>
        <w:rPr>
          <w:color w:val="auto"/>
          <w:highlight w:val="none"/>
        </w:rPr>
        <w:tab/>
      </w:r>
      <w:r>
        <w:rPr>
          <w:color w:val="auto"/>
          <w:highlight w:val="none"/>
        </w:rPr>
        <w:fldChar w:fldCharType="begin"/>
      </w:r>
      <w:r>
        <w:rPr>
          <w:color w:val="auto"/>
          <w:highlight w:val="none"/>
        </w:rPr>
        <w:instrText xml:space="preserve"> PAGEREF _Toc21362 \h </w:instrText>
      </w:r>
      <w:r>
        <w:rPr>
          <w:color w:val="auto"/>
          <w:highlight w:val="none"/>
        </w:rPr>
        <w:fldChar w:fldCharType="separate"/>
      </w:r>
      <w:r>
        <w:rPr>
          <w:color w:val="auto"/>
          <w:highlight w:val="none"/>
        </w:rPr>
        <w:t>102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_Toc30757 </w:instrText>
      </w:r>
      <w:r>
        <w:rPr>
          <w:rFonts w:hint="eastAsia" w:ascii="宋体" w:hAnsi="宋体" w:eastAsia="宋体" w:cs="宋体"/>
          <w:color w:val="auto"/>
          <w:highlight w:val="none"/>
        </w:rPr>
        <w:fldChar w:fldCharType="separate"/>
      </w:r>
      <w:r>
        <w:rPr>
          <w:rFonts w:hint="eastAsia" w:ascii="宋体" w:hAnsi="宋体" w:eastAsia="宋体" w:cs="宋体"/>
          <w:bCs/>
          <w:color w:val="auto"/>
          <w:kern w:val="0"/>
          <w:szCs w:val="21"/>
          <w:highlight w:val="none"/>
        </w:rPr>
        <w:t>格式</w:t>
      </w:r>
      <w:r>
        <w:rPr>
          <w:rFonts w:hint="eastAsia" w:hAnsi="宋体" w:cs="宋体"/>
          <w:bCs/>
          <w:color w:val="auto"/>
          <w:kern w:val="0"/>
          <w:szCs w:val="21"/>
          <w:highlight w:val="none"/>
          <w:lang w:val="en-US" w:eastAsia="zh-CN"/>
        </w:rPr>
        <w:t>九</w:t>
      </w:r>
      <w:r>
        <w:rPr>
          <w:rFonts w:hint="eastAsia" w:ascii="宋体" w:hAnsi="宋体" w:eastAsia="宋体" w:cs="宋体"/>
          <w:bCs/>
          <w:color w:val="auto"/>
          <w:kern w:val="0"/>
          <w:szCs w:val="21"/>
          <w:highlight w:val="none"/>
        </w:rPr>
        <w:t xml:space="preserve"> 项目经理任职声明</w:t>
      </w:r>
      <w:r>
        <w:rPr>
          <w:color w:val="auto"/>
          <w:highlight w:val="none"/>
        </w:rPr>
        <w:tab/>
      </w:r>
      <w:r>
        <w:rPr>
          <w:color w:val="auto"/>
          <w:highlight w:val="none"/>
        </w:rPr>
        <w:fldChar w:fldCharType="begin"/>
      </w:r>
      <w:r>
        <w:rPr>
          <w:color w:val="auto"/>
          <w:highlight w:val="none"/>
        </w:rPr>
        <w:instrText xml:space="preserve"> PAGEREF _Toc30757 \h </w:instrText>
      </w:r>
      <w:r>
        <w:rPr>
          <w:color w:val="auto"/>
          <w:highlight w:val="none"/>
        </w:rPr>
        <w:fldChar w:fldCharType="separate"/>
      </w:r>
      <w:r>
        <w:rPr>
          <w:color w:val="auto"/>
          <w:highlight w:val="none"/>
        </w:rPr>
        <w:t>103</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_Toc23480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w:t>
      </w:r>
      <w:r>
        <w:rPr>
          <w:rFonts w:hint="eastAsia" w:hAnsi="宋体" w:cs="宋体"/>
          <w:bCs/>
          <w:color w:val="auto"/>
          <w:szCs w:val="21"/>
          <w:highlight w:val="none"/>
          <w:lang w:val="en-US" w:eastAsia="zh-CN"/>
        </w:rPr>
        <w:t>十</w:t>
      </w:r>
      <w:r>
        <w:rPr>
          <w:rFonts w:hint="eastAsia" w:ascii="宋体" w:hAnsi="宋体" w:eastAsia="宋体" w:cs="宋体"/>
          <w:bCs/>
          <w:color w:val="auto"/>
          <w:szCs w:val="21"/>
          <w:highlight w:val="none"/>
        </w:rPr>
        <w:t xml:space="preserve"> 项目技术负责人简历表</w:t>
      </w:r>
      <w:r>
        <w:rPr>
          <w:color w:val="auto"/>
          <w:highlight w:val="none"/>
        </w:rPr>
        <w:tab/>
      </w:r>
      <w:r>
        <w:rPr>
          <w:color w:val="auto"/>
          <w:highlight w:val="none"/>
        </w:rPr>
        <w:fldChar w:fldCharType="begin"/>
      </w:r>
      <w:r>
        <w:rPr>
          <w:color w:val="auto"/>
          <w:highlight w:val="none"/>
        </w:rPr>
        <w:instrText xml:space="preserve"> PAGEREF _Toc23480 \h </w:instrText>
      </w:r>
      <w:r>
        <w:rPr>
          <w:color w:val="auto"/>
          <w:highlight w:val="none"/>
        </w:rPr>
        <w:fldChar w:fldCharType="separate"/>
      </w:r>
      <w:r>
        <w:rPr>
          <w:color w:val="auto"/>
          <w:highlight w:val="none"/>
        </w:rPr>
        <w:t>104</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_Toc29673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格式十</w:t>
      </w:r>
      <w:r>
        <w:rPr>
          <w:rFonts w:hint="eastAsia" w:hAnsi="宋体" w:cs="宋体"/>
          <w:bCs/>
          <w:color w:val="auto"/>
          <w:szCs w:val="21"/>
          <w:highlight w:val="none"/>
          <w:lang w:val="en-US" w:eastAsia="zh-CN"/>
        </w:rPr>
        <w:t>一</w:t>
      </w:r>
      <w:r>
        <w:rPr>
          <w:rFonts w:hint="eastAsia" w:ascii="宋体" w:hAnsi="宋体" w:eastAsia="宋体" w:cs="宋体"/>
          <w:bCs/>
          <w:color w:val="auto"/>
          <w:szCs w:val="21"/>
          <w:highlight w:val="none"/>
        </w:rPr>
        <w:t xml:space="preserve"> 专职安全员简历表</w:t>
      </w:r>
      <w:r>
        <w:rPr>
          <w:color w:val="auto"/>
          <w:highlight w:val="none"/>
        </w:rPr>
        <w:tab/>
      </w:r>
      <w:r>
        <w:rPr>
          <w:color w:val="auto"/>
          <w:highlight w:val="none"/>
        </w:rPr>
        <w:fldChar w:fldCharType="begin"/>
      </w:r>
      <w:r>
        <w:rPr>
          <w:color w:val="auto"/>
          <w:highlight w:val="none"/>
        </w:rPr>
        <w:instrText xml:space="preserve"> PAGEREF _Toc29673 \h </w:instrText>
      </w:r>
      <w:r>
        <w:rPr>
          <w:color w:val="auto"/>
          <w:highlight w:val="none"/>
        </w:rPr>
        <w:fldChar w:fldCharType="separate"/>
      </w:r>
      <w:r>
        <w:rPr>
          <w:color w:val="auto"/>
          <w:highlight w:val="none"/>
        </w:rPr>
        <w:t>105</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_Toc31435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rPr>
        <w:t>格式十</w:t>
      </w:r>
      <w:r>
        <w:rPr>
          <w:rFonts w:hint="eastAsia" w:hAnsi="宋体" w:cs="宋体"/>
          <w:bCs/>
          <w:color w:val="auto"/>
          <w:szCs w:val="21"/>
          <w:highlight w:val="none"/>
          <w:lang w:val="en-US" w:eastAsia="zh-CN"/>
        </w:rPr>
        <w:t>二</w:t>
      </w:r>
      <w:r>
        <w:rPr>
          <w:rFonts w:hint="eastAsia" w:ascii="宋体" w:hAnsi="宋体" w:eastAsia="宋体" w:cs="宋体"/>
          <w:bCs/>
          <w:color w:val="auto"/>
          <w:szCs w:val="21"/>
          <w:highlight w:val="none"/>
        </w:rPr>
        <w:t xml:space="preserve"> 项目管理机构组成表</w:t>
      </w:r>
      <w:r>
        <w:rPr>
          <w:color w:val="auto"/>
          <w:highlight w:val="none"/>
        </w:rPr>
        <w:tab/>
      </w:r>
      <w:r>
        <w:rPr>
          <w:color w:val="auto"/>
          <w:highlight w:val="none"/>
        </w:rPr>
        <w:fldChar w:fldCharType="begin"/>
      </w:r>
      <w:r>
        <w:rPr>
          <w:color w:val="auto"/>
          <w:highlight w:val="none"/>
        </w:rPr>
        <w:instrText xml:space="preserve"> PAGEREF _Toc31435 \h </w:instrText>
      </w:r>
      <w:r>
        <w:rPr>
          <w:color w:val="auto"/>
          <w:highlight w:val="none"/>
        </w:rPr>
        <w:fldChar w:fldCharType="separate"/>
      </w:r>
      <w:r>
        <w:rPr>
          <w:color w:val="auto"/>
          <w:highlight w:val="none"/>
        </w:rPr>
        <w:t>106</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_Toc28465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w:t>
      </w:r>
      <w:r>
        <w:rPr>
          <w:rFonts w:hint="eastAsia" w:ascii="宋体" w:hAnsi="宋体" w:cs="宋体"/>
          <w:bCs/>
          <w:color w:val="auto"/>
          <w:szCs w:val="21"/>
          <w:highlight w:val="none"/>
          <w:lang w:val="en-US" w:eastAsia="zh-CN"/>
        </w:rPr>
        <w:t>三</w:t>
      </w:r>
      <w:r>
        <w:rPr>
          <w:rFonts w:hint="eastAsia" w:ascii="宋体" w:hAnsi="宋体" w:eastAsia="宋体" w:cs="宋体"/>
          <w:bCs/>
          <w:color w:val="auto"/>
          <w:szCs w:val="21"/>
          <w:highlight w:val="none"/>
          <w:lang w:val="en-US" w:eastAsia="zh-CN"/>
        </w:rPr>
        <w:t xml:space="preserve"> 建造师查询页（有效期+建造师签字）</w:t>
      </w:r>
      <w:r>
        <w:rPr>
          <w:color w:val="auto"/>
          <w:highlight w:val="none"/>
        </w:rPr>
        <w:tab/>
      </w:r>
      <w:r>
        <w:rPr>
          <w:color w:val="auto"/>
          <w:highlight w:val="none"/>
        </w:rPr>
        <w:fldChar w:fldCharType="begin"/>
      </w:r>
      <w:r>
        <w:rPr>
          <w:color w:val="auto"/>
          <w:highlight w:val="none"/>
        </w:rPr>
        <w:instrText xml:space="preserve"> PAGEREF _Toc28465 \h </w:instrText>
      </w:r>
      <w:r>
        <w:rPr>
          <w:color w:val="auto"/>
          <w:highlight w:val="none"/>
        </w:rPr>
        <w:fldChar w:fldCharType="separate"/>
      </w:r>
      <w:r>
        <w:rPr>
          <w:color w:val="auto"/>
          <w:highlight w:val="none"/>
        </w:rPr>
        <w:t>107</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_Toc20623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格式十四 危险性较大的分部分项工程清单及超过一定规模的危险性较大的分部分项工程清单</w:t>
      </w:r>
      <w:r>
        <w:rPr>
          <w:color w:val="auto"/>
          <w:highlight w:val="none"/>
        </w:rPr>
        <w:tab/>
      </w:r>
      <w:r>
        <w:rPr>
          <w:color w:val="auto"/>
          <w:highlight w:val="none"/>
        </w:rPr>
        <w:fldChar w:fldCharType="begin"/>
      </w:r>
      <w:r>
        <w:rPr>
          <w:color w:val="auto"/>
          <w:highlight w:val="none"/>
        </w:rPr>
        <w:instrText xml:space="preserve"> PAGEREF _Toc20623 \h </w:instrText>
      </w:r>
      <w:r>
        <w:rPr>
          <w:color w:val="auto"/>
          <w:highlight w:val="none"/>
        </w:rPr>
        <w:fldChar w:fldCharType="separate"/>
      </w:r>
      <w:r>
        <w:rPr>
          <w:color w:val="auto"/>
          <w:highlight w:val="none"/>
        </w:rPr>
        <w:t>108</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_Toc9141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格式十五 定标文件封面</w:t>
      </w:r>
      <w:r>
        <w:rPr>
          <w:color w:val="auto"/>
          <w:highlight w:val="none"/>
        </w:rPr>
        <w:tab/>
      </w:r>
      <w:r>
        <w:rPr>
          <w:color w:val="auto"/>
          <w:highlight w:val="none"/>
        </w:rPr>
        <w:fldChar w:fldCharType="begin"/>
      </w:r>
      <w:r>
        <w:rPr>
          <w:color w:val="auto"/>
          <w:highlight w:val="none"/>
        </w:rPr>
        <w:instrText xml:space="preserve"> PAGEREF _Toc9141 \h </w:instrText>
      </w:r>
      <w:r>
        <w:rPr>
          <w:color w:val="auto"/>
          <w:highlight w:val="none"/>
        </w:rPr>
        <w:fldChar w:fldCharType="separate"/>
      </w:r>
      <w:r>
        <w:rPr>
          <w:color w:val="auto"/>
          <w:highlight w:val="none"/>
        </w:rPr>
        <w:t>112</w:t>
      </w:r>
      <w:r>
        <w:rPr>
          <w:color w:val="auto"/>
          <w:highlight w:val="none"/>
        </w:rPr>
        <w:fldChar w:fldCharType="end"/>
      </w:r>
      <w:r>
        <w:rPr>
          <w:rFonts w:hint="eastAsia" w:ascii="宋体" w:hAnsi="宋体" w:eastAsia="宋体" w:cs="宋体"/>
          <w:color w:val="auto"/>
          <w:highlight w:val="none"/>
        </w:rPr>
        <w:fldChar w:fldCharType="end"/>
      </w:r>
    </w:p>
    <w:p>
      <w:pPr>
        <w:pStyle w:val="14"/>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_Toc6621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1"/>
          <w:highlight w:val="none"/>
          <w:lang w:val="en-US" w:eastAsia="zh-CN"/>
        </w:rPr>
        <w:t>格式十</w:t>
      </w:r>
      <w:r>
        <w:rPr>
          <w:rFonts w:hint="eastAsia" w:hAnsi="宋体" w:cs="宋体"/>
          <w:bCs/>
          <w:color w:val="auto"/>
          <w:szCs w:val="21"/>
          <w:highlight w:val="none"/>
          <w:lang w:val="en-US" w:eastAsia="zh-CN"/>
        </w:rPr>
        <w:t>六</w:t>
      </w:r>
      <w:r>
        <w:rPr>
          <w:rFonts w:hint="eastAsia" w:ascii="宋体" w:hAnsi="宋体" w:eastAsia="宋体" w:cs="宋体"/>
          <w:bCs/>
          <w:color w:val="auto"/>
          <w:szCs w:val="21"/>
          <w:highlight w:val="none"/>
          <w:lang w:val="en-US" w:eastAsia="zh-CN"/>
        </w:rPr>
        <w:t xml:space="preserve"> 定标因素评审资料</w:t>
      </w:r>
      <w:r>
        <w:rPr>
          <w:color w:val="auto"/>
          <w:highlight w:val="none"/>
        </w:rPr>
        <w:tab/>
      </w:r>
      <w:r>
        <w:rPr>
          <w:color w:val="auto"/>
          <w:highlight w:val="none"/>
        </w:rPr>
        <w:fldChar w:fldCharType="begin"/>
      </w:r>
      <w:r>
        <w:rPr>
          <w:color w:val="auto"/>
          <w:highlight w:val="none"/>
        </w:rPr>
        <w:instrText xml:space="preserve"> PAGEREF _Toc6621 \h </w:instrText>
      </w:r>
      <w:r>
        <w:rPr>
          <w:color w:val="auto"/>
          <w:highlight w:val="none"/>
        </w:rPr>
        <w:fldChar w:fldCharType="separate"/>
      </w:r>
      <w:r>
        <w:rPr>
          <w:color w:val="auto"/>
          <w:highlight w:val="none"/>
        </w:rPr>
        <w:t>113</w:t>
      </w:r>
      <w:r>
        <w:rPr>
          <w:color w:val="auto"/>
          <w:highlight w:val="none"/>
        </w:rPr>
        <w:fldChar w:fldCharType="end"/>
      </w:r>
      <w:r>
        <w:rPr>
          <w:rFonts w:hint="eastAsia" w:ascii="宋体" w:hAnsi="宋体" w:eastAsia="宋体" w:cs="宋体"/>
          <w:color w:val="auto"/>
          <w:highlight w:val="none"/>
        </w:rPr>
        <w:fldChar w:fldCharType="end"/>
      </w:r>
    </w:p>
    <w:p>
      <w:pPr>
        <w:pStyle w:val="13"/>
        <w:tabs>
          <w:tab w:val="right" w:leader="dot" w:pos="8844"/>
        </w:tabs>
        <w:rPr>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_Toc23978 </w:instrText>
      </w:r>
      <w:r>
        <w:rPr>
          <w:rFonts w:hint="eastAsia" w:ascii="宋体" w:hAnsi="宋体" w:eastAsia="宋体" w:cs="宋体"/>
          <w:color w:val="auto"/>
          <w:highlight w:val="none"/>
        </w:rPr>
        <w:fldChar w:fldCharType="separate"/>
      </w:r>
      <w:r>
        <w:rPr>
          <w:rFonts w:hint="eastAsia" w:ascii="宋体" w:hAnsi="宋体" w:eastAsia="宋体" w:cs="宋体"/>
          <w:bCs/>
          <w:color w:val="auto"/>
          <w:szCs w:val="24"/>
          <w:highlight w:val="none"/>
        </w:rPr>
        <w:t>第七章 建设工程施工合同</w:t>
      </w:r>
      <w:r>
        <w:rPr>
          <w:color w:val="auto"/>
          <w:highlight w:val="none"/>
        </w:rPr>
        <w:tab/>
      </w:r>
      <w:r>
        <w:rPr>
          <w:color w:val="auto"/>
          <w:highlight w:val="none"/>
        </w:rPr>
        <w:fldChar w:fldCharType="begin"/>
      </w:r>
      <w:r>
        <w:rPr>
          <w:color w:val="auto"/>
          <w:highlight w:val="none"/>
        </w:rPr>
        <w:instrText xml:space="preserve"> PAGEREF _Toc23978 \h </w:instrText>
      </w:r>
      <w:r>
        <w:rPr>
          <w:color w:val="auto"/>
          <w:highlight w:val="none"/>
        </w:rPr>
        <w:fldChar w:fldCharType="separate"/>
      </w:r>
      <w:r>
        <w:rPr>
          <w:color w:val="auto"/>
          <w:highlight w:val="none"/>
        </w:rPr>
        <w:t>114</w:t>
      </w:r>
      <w:r>
        <w:rPr>
          <w:color w:val="auto"/>
          <w:highlight w:val="none"/>
        </w:rPr>
        <w:fldChar w:fldCharType="end"/>
      </w:r>
      <w:r>
        <w:rPr>
          <w:rFonts w:hint="eastAsia" w:ascii="宋体" w:hAnsi="宋体" w:eastAsia="宋体" w:cs="宋体"/>
          <w:color w:val="auto"/>
          <w:highlight w:val="none"/>
        </w:rPr>
        <w:fldChar w:fldCharType="end"/>
      </w:r>
    </w:p>
    <w:p>
      <w:pPr>
        <w:spacing w:line="360" w:lineRule="exact"/>
        <w:rPr>
          <w:rStyle w:val="20"/>
          <w:rFonts w:hint="eastAsia" w:ascii="宋体" w:hAnsi="宋体" w:eastAsia="宋体" w:cs="宋体"/>
          <w:color w:val="auto"/>
          <w:highlight w:val="none"/>
        </w:rPr>
      </w:pPr>
      <w:r>
        <w:rPr>
          <w:rFonts w:hint="eastAsia" w:ascii="宋体" w:hAnsi="宋体" w:eastAsia="宋体" w:cs="宋体"/>
          <w:color w:val="auto"/>
          <w:highlight w:val="none"/>
        </w:rPr>
        <w:fldChar w:fldCharType="end"/>
      </w:r>
    </w:p>
    <w:p>
      <w:pPr>
        <w:pStyle w:val="22"/>
        <w:rPr>
          <w:rStyle w:val="20"/>
          <w:rFonts w:hint="eastAsia" w:ascii="宋体" w:hAnsi="宋体" w:eastAsia="宋体" w:cs="宋体"/>
          <w:color w:val="auto"/>
          <w:highlight w:val="none"/>
        </w:rPr>
        <w:sectPr>
          <w:footerReference r:id="rId6" w:type="default"/>
          <w:endnotePr>
            <w:numFmt w:val="decimal"/>
          </w:endnotePr>
          <w:pgSz w:w="11906" w:h="16838"/>
          <w:pgMar w:top="1247" w:right="1531" w:bottom="1276" w:left="1531" w:header="850" w:footer="547" w:gutter="0"/>
          <w:pgNumType w:start="1"/>
          <w:cols w:space="720" w:num="1"/>
          <w:docGrid w:linePitch="327" w:charSpace="0"/>
        </w:sectPr>
      </w:pPr>
    </w:p>
    <w:p>
      <w:pPr>
        <w:pStyle w:val="22"/>
        <w:rPr>
          <w:rStyle w:val="20"/>
          <w:rFonts w:hint="eastAsia" w:ascii="宋体" w:hAnsi="宋体" w:eastAsia="宋体" w:cs="宋体"/>
          <w:color w:val="auto"/>
          <w:highlight w:val="none"/>
        </w:rPr>
      </w:pPr>
    </w:p>
    <w:p>
      <w:pPr>
        <w:pStyle w:val="23"/>
        <w:snapToGrid w:val="0"/>
        <w:spacing w:line="440" w:lineRule="exact"/>
        <w:jc w:val="center"/>
        <w:outlineLvl w:val="0"/>
        <w:rPr>
          <w:rStyle w:val="20"/>
          <w:rFonts w:hint="eastAsia" w:ascii="宋体" w:hAnsi="宋体" w:eastAsia="宋体" w:cs="宋体"/>
          <w:b/>
          <w:bCs/>
          <w:color w:val="auto"/>
          <w:sz w:val="24"/>
          <w:szCs w:val="24"/>
          <w:highlight w:val="none"/>
        </w:rPr>
      </w:pPr>
      <w:bookmarkStart w:id="0" w:name="_Toc16198"/>
      <w:bookmarkStart w:id="1" w:name="_Toc6102"/>
      <w:bookmarkStart w:id="2" w:name="_Toc10328"/>
      <w:bookmarkStart w:id="3" w:name="_Toc7086"/>
      <w:bookmarkStart w:id="4" w:name="_Toc53"/>
      <w:bookmarkStart w:id="5" w:name="_Toc4493"/>
      <w:bookmarkStart w:id="6" w:name="_Toc4903"/>
      <w:bookmarkStart w:id="7" w:name="_Toc23635"/>
      <w:bookmarkStart w:id="8" w:name="_Toc25664"/>
      <w:bookmarkStart w:id="9" w:name="_Toc30953"/>
      <w:r>
        <w:rPr>
          <w:rStyle w:val="20"/>
          <w:rFonts w:hint="eastAsia" w:ascii="宋体" w:hAnsi="宋体" w:eastAsia="宋体" w:cs="宋体"/>
          <w:b/>
          <w:bCs/>
          <w:color w:val="auto"/>
          <w:sz w:val="24"/>
          <w:szCs w:val="24"/>
          <w:highlight w:val="none"/>
        </w:rPr>
        <w:t>第一章 投标人须知</w:t>
      </w:r>
      <w:bookmarkEnd w:id="0"/>
      <w:bookmarkEnd w:id="1"/>
      <w:bookmarkEnd w:id="2"/>
      <w:bookmarkEnd w:id="3"/>
      <w:bookmarkEnd w:id="4"/>
      <w:bookmarkEnd w:id="5"/>
      <w:bookmarkEnd w:id="6"/>
      <w:bookmarkEnd w:id="7"/>
      <w:bookmarkEnd w:id="8"/>
      <w:bookmarkEnd w:id="9"/>
    </w:p>
    <w:p>
      <w:pPr>
        <w:pStyle w:val="24"/>
        <w:snapToGrid w:val="0"/>
        <w:spacing w:line="440" w:lineRule="exact"/>
        <w:jc w:val="center"/>
        <w:outlineLvl w:val="1"/>
        <w:rPr>
          <w:rStyle w:val="20"/>
          <w:rFonts w:hint="eastAsia" w:ascii="宋体" w:hAnsi="宋体" w:eastAsia="宋体" w:cs="宋体"/>
          <w:b/>
          <w:bCs/>
          <w:color w:val="auto"/>
          <w:highlight w:val="none"/>
        </w:rPr>
      </w:pPr>
      <w:bookmarkStart w:id="10" w:name="_Toc21473"/>
      <w:bookmarkStart w:id="11" w:name="_Toc29223"/>
      <w:bookmarkStart w:id="12" w:name="_Toc11684"/>
      <w:bookmarkStart w:id="13" w:name="_Toc23819"/>
      <w:bookmarkStart w:id="14" w:name="_Toc27751"/>
      <w:bookmarkStart w:id="15" w:name="_Toc29644"/>
      <w:bookmarkStart w:id="16" w:name="_Toc25211"/>
      <w:bookmarkStart w:id="17" w:name="_Toc12302"/>
      <w:bookmarkStart w:id="18" w:name="_Toc17236"/>
      <w:bookmarkStart w:id="19" w:name="_Toc21683"/>
      <w:r>
        <w:rPr>
          <w:rStyle w:val="20"/>
          <w:rFonts w:hint="eastAsia" w:ascii="宋体" w:hAnsi="宋体" w:eastAsia="宋体" w:cs="宋体"/>
          <w:b/>
          <w:bCs/>
          <w:color w:val="auto"/>
          <w:highlight w:val="none"/>
        </w:rPr>
        <w:t>第一节 投标人须知前附表</w:t>
      </w:r>
      <w:bookmarkEnd w:id="10"/>
      <w:bookmarkEnd w:id="11"/>
      <w:bookmarkEnd w:id="12"/>
      <w:bookmarkEnd w:id="13"/>
      <w:bookmarkEnd w:id="14"/>
      <w:bookmarkEnd w:id="15"/>
      <w:bookmarkEnd w:id="16"/>
      <w:bookmarkEnd w:id="17"/>
      <w:bookmarkEnd w:id="18"/>
      <w:bookmarkEnd w:id="19"/>
    </w:p>
    <w:tbl>
      <w:tblPr>
        <w:tblStyle w:val="16"/>
        <w:tblW w:w="9593"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646"/>
        <w:gridCol w:w="1577"/>
        <w:gridCol w:w="7370"/>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序</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号</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内容</w:t>
            </w:r>
          </w:p>
        </w:tc>
        <w:tc>
          <w:tcPr>
            <w:tcW w:w="7370" w:type="dxa"/>
            <w:tcBorders>
              <w:top w:val="single" w:color="000000" w:sz="4" w:space="0"/>
              <w:left w:val="single" w:color="000000" w:sz="4" w:space="0"/>
              <w:bottom w:val="single" w:color="000000" w:sz="4" w:space="0"/>
            </w:tcBorders>
            <w:noWrap w:val="0"/>
            <w:vAlign w:val="center"/>
          </w:tcPr>
          <w:p>
            <w:pPr>
              <w:tabs>
                <w:tab w:val="left" w:pos="1180"/>
              </w:tabs>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说明与要求</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5"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工程名称</w:t>
            </w:r>
          </w:p>
        </w:tc>
        <w:tc>
          <w:tcPr>
            <w:tcW w:w="7370" w:type="dxa"/>
            <w:tcBorders>
              <w:top w:val="single" w:color="000000" w:sz="4" w:space="0"/>
              <w:left w:val="single" w:color="000000" w:sz="4" w:space="0"/>
              <w:bottom w:val="single" w:color="000000" w:sz="4" w:space="0"/>
            </w:tcBorders>
            <w:noWrap w:val="0"/>
            <w:vAlign w:val="center"/>
          </w:tcPr>
          <w:p>
            <w:pPr>
              <w:wordWrap w:val="0"/>
              <w:adjustRightInd w:val="0"/>
              <w:snapToGrid w:val="0"/>
              <w:spacing w:line="240" w:lineRule="auto"/>
              <w:rPr>
                <w:rStyle w:val="20"/>
                <w:rFonts w:hint="eastAsia" w:ascii="宋体" w:hAnsi="宋体" w:eastAsia="宋体" w:cs="宋体"/>
                <w:color w:val="auto"/>
                <w:kern w:val="0"/>
                <w:sz w:val="24"/>
                <w:szCs w:val="24"/>
                <w:highlight w:val="none"/>
                <w:lang w:eastAsia="zh-CN"/>
              </w:rPr>
            </w:pPr>
            <w:r>
              <w:rPr>
                <w:rFonts w:hint="eastAsia" w:hAnsi="宋体" w:cs="宋体"/>
                <w:snapToGrid w:val="0"/>
                <w:color w:val="auto"/>
                <w:kern w:val="0"/>
                <w:sz w:val="24"/>
                <w:szCs w:val="24"/>
                <w:highlight w:val="none"/>
                <w:lang w:eastAsia="zh-CN"/>
              </w:rPr>
              <w:t>南雄市乡村振兴和人居环境整治建设项目-南雄市乡村振兴特色产业基础设施建设项目（四期）土建工程施工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78"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项目业主</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default" w:ascii="宋体" w:hAnsi="宋体" w:eastAsia="宋体" w:cs="宋体"/>
                <w:color w:val="auto"/>
                <w:kern w:val="0"/>
                <w:sz w:val="24"/>
                <w:szCs w:val="24"/>
                <w:highlight w:val="none"/>
                <w:lang w:val="en-US" w:eastAsia="zh-CN"/>
              </w:rPr>
            </w:pPr>
            <w:r>
              <w:rPr>
                <w:rFonts w:hint="eastAsia" w:hAnsi="宋体" w:cs="宋体"/>
                <w:color w:val="auto"/>
                <w:sz w:val="24"/>
                <w:szCs w:val="24"/>
                <w:highlight w:val="none"/>
                <w:lang w:eastAsia="zh-CN"/>
              </w:rPr>
              <w:t>南雄市政府投资建设项目代建管理中心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92"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项目批准部门</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南雄市发展和改革局</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项目批准文号</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default" w:ascii="宋体" w:hAnsi="宋体" w:eastAsia="宋体" w:cs="宋体"/>
                <w:color w:val="auto"/>
                <w:kern w:val="0"/>
                <w:sz w:val="24"/>
                <w:szCs w:val="24"/>
                <w:highlight w:val="none"/>
                <w:lang w:val="en-US" w:eastAsia="zh-CN"/>
              </w:rPr>
            </w:pPr>
            <w:r>
              <w:rPr>
                <w:rFonts w:hint="eastAsia" w:hAnsi="宋体" w:cs="宋体"/>
                <w:color w:val="auto"/>
                <w:sz w:val="24"/>
                <w:szCs w:val="24"/>
                <w:highlight w:val="none"/>
                <w:lang w:eastAsia="zh-CN"/>
              </w:rPr>
              <w:t>雄发改投审〔2022〕20号、雄发改投审〔2025〕85号</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项目代码</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lang w:eastAsia="zh-CN"/>
              </w:rPr>
            </w:pPr>
            <w:r>
              <w:rPr>
                <w:rFonts w:hint="eastAsia" w:hAnsi="宋体" w:cs="宋体"/>
                <w:color w:val="auto"/>
                <w:sz w:val="24"/>
                <w:szCs w:val="24"/>
                <w:highlight w:val="none"/>
                <w:lang w:eastAsia="zh-CN"/>
              </w:rPr>
              <w:t>2202-440282-04-01-669002</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7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资金来源</w:t>
            </w:r>
          </w:p>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及出资比例</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rPr>
            </w:pPr>
            <w:r>
              <w:rPr>
                <w:rFonts w:hint="eastAsia" w:hAnsi="宋体" w:cs="宋体"/>
                <w:color w:val="auto"/>
                <w:sz w:val="24"/>
                <w:szCs w:val="24"/>
                <w:highlight w:val="none"/>
                <w:lang w:eastAsia="zh-CN"/>
              </w:rPr>
              <w:t>市财政资金，100%</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7"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lang w:eastAsia="zh-CN"/>
              </w:rPr>
            </w:pPr>
            <w:r>
              <w:rPr>
                <w:rFonts w:hint="eastAsia" w:hAnsi="宋体" w:cs="宋体"/>
                <w:color w:val="auto"/>
                <w:sz w:val="24"/>
                <w:szCs w:val="24"/>
                <w:highlight w:val="none"/>
                <w:lang w:eastAsia="zh-CN"/>
              </w:rPr>
              <w:t>南雄市国有资产投资有限责任公司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7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8</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招标代理机构</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Style w:val="20"/>
                <w:rFonts w:hint="eastAsia" w:ascii="宋体" w:hAnsi="宋体" w:eastAsia="宋体" w:cs="宋体"/>
                <w:color w:val="auto"/>
                <w:kern w:val="0"/>
                <w:sz w:val="24"/>
                <w:szCs w:val="24"/>
                <w:highlight w:val="none"/>
                <w:lang w:eastAsia="zh-CN"/>
              </w:rPr>
            </w:pPr>
            <w:r>
              <w:rPr>
                <w:rFonts w:hint="eastAsia" w:hAnsi="宋体" w:cs="宋体"/>
                <w:bCs/>
                <w:snapToGrid w:val="0"/>
                <w:color w:val="auto"/>
                <w:kern w:val="0"/>
                <w:sz w:val="24"/>
                <w:szCs w:val="24"/>
                <w:highlight w:val="none"/>
                <w:lang w:eastAsia="zh-CN"/>
              </w:rPr>
              <w:t>广东君霖项目管理有限公司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74"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9</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设计单位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lang w:eastAsia="zh-CN"/>
              </w:rPr>
            </w:pPr>
            <w:r>
              <w:rPr>
                <w:rFonts w:hint="eastAsia" w:hAnsi="宋体" w:cs="宋体"/>
                <w:color w:val="auto"/>
                <w:sz w:val="24"/>
                <w:szCs w:val="24"/>
                <w:highlight w:val="none"/>
                <w:lang w:eastAsia="zh-CN"/>
              </w:rPr>
              <w:t>广州建筑产业开发有限公司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1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造价咨询单位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sz w:val="24"/>
                <w:szCs w:val="24"/>
                <w:highlight w:val="none"/>
              </w:rPr>
            </w:pPr>
            <w:r>
              <w:rPr>
                <w:rFonts w:hint="eastAsia" w:hAnsi="宋体" w:cs="宋体"/>
                <w:bCs/>
                <w:snapToGrid w:val="0"/>
                <w:color w:val="auto"/>
                <w:kern w:val="0"/>
                <w:sz w:val="24"/>
                <w:szCs w:val="24"/>
                <w:highlight w:val="none"/>
                <w:lang w:val="en-US" w:eastAsia="zh-CN"/>
              </w:rPr>
              <w:t>广东宝骏工程咨询有限公司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8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监理单位</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Fonts w:hint="eastAsia" w:ascii="宋体" w:hAnsi="宋体" w:eastAsia="宋体" w:cs="宋体"/>
                <w:bCs/>
                <w:snapToGrid w:val="0"/>
                <w:color w:val="auto"/>
                <w:kern w:val="0"/>
                <w:sz w:val="24"/>
                <w:szCs w:val="24"/>
                <w:highlight w:val="none"/>
                <w:lang w:val="en-US" w:eastAsia="zh-CN"/>
              </w:rPr>
              <w:t>广东志达建设监理有限公司</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4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建设地点</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Style w:val="20"/>
                <w:rFonts w:hint="eastAsia" w:hAnsi="宋体" w:cs="宋体"/>
                <w:color w:val="auto"/>
                <w:kern w:val="0"/>
                <w:sz w:val="24"/>
                <w:szCs w:val="24"/>
                <w:highlight w:val="none"/>
                <w:lang w:eastAsia="zh-CN"/>
              </w:rPr>
              <w:t>南雄市油山镇孔村、黄坑镇小陂村、黄坑镇塘源村</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07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建设内容和规模</w:t>
            </w:r>
          </w:p>
        </w:tc>
        <w:tc>
          <w:tcPr>
            <w:tcW w:w="7370" w:type="dxa"/>
            <w:tcBorders>
              <w:top w:val="single" w:color="000000" w:sz="4" w:space="0"/>
              <w:left w:val="single" w:color="000000" w:sz="4" w:space="0"/>
              <w:bottom w:val="single" w:color="000000" w:sz="4" w:space="0"/>
            </w:tcBorders>
            <w:noWrap w:val="0"/>
            <w:vAlign w:val="center"/>
          </w:tcPr>
          <w:p>
            <w:pPr>
              <w:keepNext w:val="0"/>
              <w:keepLines w:val="0"/>
              <w:widowControl/>
              <w:suppressLineNumbers w:val="0"/>
              <w:jc w:val="left"/>
              <w:textAlignment w:val="center"/>
              <w:rPr>
                <w:rFonts w:hint="eastAsia" w:ascii="宋体" w:hAnsi="Times New Roman" w:eastAsia="宋体" w:cs="宋体"/>
                <w:color w:val="auto"/>
                <w:kern w:val="2"/>
                <w:sz w:val="24"/>
                <w:szCs w:val="24"/>
                <w:highlight w:val="none"/>
                <w:lang w:val="en-US" w:eastAsia="zh-CN" w:bidi="ar-SA"/>
              </w:rPr>
            </w:pPr>
            <w:r>
              <w:rPr>
                <w:rFonts w:hint="eastAsia" w:hAnsi="宋体" w:cs="宋体"/>
                <w:color w:val="auto"/>
                <w:sz w:val="24"/>
                <w:szCs w:val="24"/>
                <w:highlight w:val="none"/>
                <w:lang w:val="en-US" w:eastAsia="zh-CN"/>
              </w:rPr>
              <w:t>在油山镇孔村、黄坑镇小陂村、黄坑镇塘源村拟新建3个烤房群共计90座烤房(其中油山镇孔村30座、黄坑镇小陂村40座、黄坑镇塘源村20座)，建设内容包含三通一平、场地硬化、编烟工作棚、围墙大门、电气、排水及其他附属配套设施等。</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08"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项目总投资</w:t>
            </w:r>
          </w:p>
        </w:tc>
        <w:tc>
          <w:tcPr>
            <w:tcW w:w="7370" w:type="dxa"/>
            <w:tcBorders>
              <w:top w:val="single" w:color="000000" w:sz="4" w:space="0"/>
              <w:left w:val="single" w:color="000000" w:sz="4" w:space="0"/>
              <w:bottom w:val="single" w:color="000000" w:sz="4" w:space="0"/>
            </w:tcBorders>
            <w:noWrap w:val="0"/>
            <w:vAlign w:val="center"/>
          </w:tcPr>
          <w:p>
            <w:pPr>
              <w:pStyle w:val="25"/>
              <w:spacing w:line="360" w:lineRule="auto"/>
              <w:rPr>
                <w:rFonts w:hint="eastAsia" w:ascii="宋体" w:hAnsi="宋体" w:eastAsia="宋体" w:cs="宋体"/>
                <w:color w:val="auto"/>
                <w:kern w:val="0"/>
                <w:sz w:val="24"/>
                <w:szCs w:val="24"/>
                <w:highlight w:val="none"/>
                <w:lang w:eastAsia="zh-CN"/>
              </w:rPr>
            </w:pPr>
            <w:r>
              <w:rPr>
                <w:rFonts w:hint="eastAsia" w:hAnsi="宋体" w:cs="宋体"/>
                <w:color w:val="auto"/>
                <w:kern w:val="0"/>
                <w:sz w:val="24"/>
                <w:szCs w:val="24"/>
                <w:highlight w:val="none"/>
                <w:lang w:eastAsia="zh-CN"/>
              </w:rPr>
              <w:t>项目投资概算为670.86万元，其中建安费用576.13万元，工程建设其他费用62.78万元，预备费31.95万元。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4"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招标范围</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工程量清单及施工图纸范围内的所有工程及配套附属工程等施工。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36"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标段划分</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jc w:val="left"/>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本项目不划分标段。</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29"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工期</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Style w:val="20"/>
                <w:rFonts w:hint="eastAsia" w:hAnsi="宋体"/>
                <w:color w:val="auto"/>
                <w:kern w:val="0"/>
                <w:sz w:val="24"/>
                <w:szCs w:val="24"/>
                <w:highlight w:val="none"/>
                <w:lang w:eastAsia="zh-CN"/>
              </w:rPr>
              <w:t>本招标项目施工招标工期为90个日历天</w:t>
            </w:r>
            <w:r>
              <w:rPr>
                <w:rStyle w:val="20"/>
                <w:rFonts w:hint="eastAsia" w:hAnsi="宋体"/>
                <w:color w:val="auto"/>
                <w:kern w:val="0"/>
                <w:sz w:val="24"/>
                <w:szCs w:val="24"/>
                <w:highlight w:val="none"/>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5"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18</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质量标准</w:t>
            </w:r>
          </w:p>
        </w:tc>
        <w:tc>
          <w:tcPr>
            <w:tcW w:w="7370" w:type="dxa"/>
            <w:tcBorders>
              <w:top w:val="single" w:color="000000" w:sz="4" w:space="0"/>
              <w:left w:val="single" w:color="000000" w:sz="4" w:space="0"/>
              <w:bottom w:val="single" w:color="000000" w:sz="4" w:space="0"/>
            </w:tcBorders>
            <w:noWrap w:val="0"/>
            <w:vAlign w:val="center"/>
          </w:tcPr>
          <w:p>
            <w:pPr>
              <w:snapToGrid w:val="0"/>
              <w:spacing w:line="240" w:lineRule="auto"/>
              <w:ind w:firstLine="0" w:firstLineChars="0"/>
              <w:jc w:val="left"/>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达到《建筑工程施工质量验收统一标准》(GB50300-2013)合格。</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19</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auto"/>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房屋建筑工程</w:t>
            </w:r>
          </w:p>
          <w:p>
            <w:pPr>
              <w:snapToGrid w:val="0"/>
              <w:spacing w:line="360" w:lineRule="auto"/>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绿色建筑标准</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auto"/>
              <w:jc w:val="left"/>
              <w:rPr>
                <w:rFonts w:hint="eastAsia" w:ascii="宋体" w:hAnsi="宋体" w:eastAsia="宋体" w:cs="宋体"/>
                <w:color w:val="auto"/>
                <w:kern w:val="0"/>
                <w:sz w:val="24"/>
                <w:szCs w:val="24"/>
                <w:highlight w:val="none"/>
                <w:lang w:eastAsia="zh-CN"/>
              </w:rPr>
            </w:pPr>
            <w:r>
              <w:rPr>
                <w:rStyle w:val="20"/>
                <w:rFonts w:hint="eastAsia" w:hAnsi="宋体" w:cs="宋体"/>
                <w:color w:val="auto"/>
                <w:kern w:val="0"/>
                <w:sz w:val="24"/>
                <w:szCs w:val="24"/>
                <w:highlight w:val="none"/>
                <w:lang w:eastAsia="zh-CN"/>
              </w:rPr>
              <w:t>本招标项目不纳入绿色建筑实施范围。</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95" w:hRule="atLeast"/>
          <w:jc w:val="center"/>
        </w:trPr>
        <w:tc>
          <w:tcPr>
            <w:tcW w:w="646" w:type="dxa"/>
            <w:tcBorders>
              <w:top w:val="single" w:color="000000" w:sz="4" w:space="0"/>
              <w:bottom w:val="single" w:color="000000" w:sz="4" w:space="0"/>
              <w:right w:val="single" w:color="000000" w:sz="4" w:space="0"/>
            </w:tcBorders>
            <w:noWrap w:val="0"/>
            <w:vAlign w:val="center"/>
          </w:tcPr>
          <w:p>
            <w:pPr>
              <w:widowControl w:val="0"/>
              <w:wordWrap w:val="0"/>
              <w:adjustRightInd w:val="0"/>
              <w:snapToGrid w:val="0"/>
              <w:spacing w:line="240" w:lineRule="auto"/>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19.1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widowControl w:val="0"/>
              <w:wordWrap w:val="0"/>
              <w:adjustRightInd w:val="0"/>
              <w:snapToGrid w:val="0"/>
              <w:spacing w:line="240" w:lineRule="auto"/>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装配式建筑标准</w:t>
            </w:r>
          </w:p>
        </w:tc>
        <w:tc>
          <w:tcPr>
            <w:tcW w:w="7370" w:type="dxa"/>
            <w:tcBorders>
              <w:top w:val="single" w:color="000000" w:sz="4" w:space="0"/>
              <w:left w:val="single" w:color="000000" w:sz="4" w:space="0"/>
              <w:bottom w:val="single" w:color="000000" w:sz="4" w:space="0"/>
            </w:tcBorders>
            <w:noWrap w:val="0"/>
            <w:vAlign w:val="center"/>
          </w:tcPr>
          <w:p>
            <w:pPr>
              <w:widowControl w:val="0"/>
              <w:wordWrap w:val="0"/>
              <w:adjustRightInd w:val="0"/>
              <w:snapToGrid w:val="0"/>
              <w:spacing w:line="240" w:lineRule="auto"/>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本招标项目不纳入装配式建造建设实施范围。</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42"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240" w:lineRule="auto"/>
              <w:ind w:firstLine="0" w:firstLineChars="0"/>
              <w:jc w:val="center"/>
              <w:rPr>
                <w:rFonts w:hint="eastAsia" w:ascii="宋体" w:hAnsi="宋体" w:eastAsia="宋体" w:cs="宋体"/>
                <w:strike/>
                <w:color w:val="auto"/>
                <w:kern w:val="0"/>
                <w:sz w:val="24"/>
                <w:szCs w:val="24"/>
                <w:highlight w:val="none"/>
                <w:lang w:eastAsia="zh-CN"/>
              </w:rPr>
            </w:pPr>
            <w:r>
              <w:rPr>
                <w:rStyle w:val="20"/>
                <w:rFonts w:hint="eastAsia" w:hAnsi="宋体" w:cs="宋体"/>
                <w:color w:val="auto"/>
                <w:kern w:val="0"/>
                <w:sz w:val="24"/>
                <w:szCs w:val="24"/>
                <w:highlight w:val="none"/>
                <w:lang w:eastAsia="zh-CN"/>
              </w:rPr>
              <w:t>最高投标限价</w:t>
            </w:r>
          </w:p>
        </w:tc>
        <w:tc>
          <w:tcPr>
            <w:tcW w:w="7370" w:type="dxa"/>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eastAsia="宋体"/>
                <w:color w:val="auto"/>
                <w:sz w:val="24"/>
                <w:szCs w:val="24"/>
                <w:highlight w:val="none"/>
                <w:lang w:eastAsia="zh-CN"/>
              </w:rPr>
            </w:pPr>
            <w:r>
              <w:rPr>
                <w:rFonts w:hint="eastAsia"/>
                <w:color w:val="auto"/>
                <w:sz w:val="24"/>
                <w:szCs w:val="24"/>
                <w:highlight w:val="none"/>
                <w:lang w:eastAsia="zh-CN"/>
              </w:rPr>
              <w:t>本项目最高投标限价、施工图纸、招标工程量清单在投标截止时间15天前以补充公告的形式在广东省招标投标监管网和全国公共资源交易平台（广东省·韶关市）发布。</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21</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投标人资格要求</w:t>
            </w:r>
          </w:p>
        </w:tc>
        <w:tc>
          <w:tcPr>
            <w:tcW w:w="7370" w:type="dxa"/>
            <w:tcBorders>
              <w:top w:val="single" w:color="000000" w:sz="4" w:space="0"/>
              <w:left w:val="single" w:color="000000" w:sz="4" w:space="0"/>
              <w:bottom w:val="single" w:color="000000" w:sz="4" w:space="0"/>
            </w:tcBorders>
            <w:noWrap w:val="0"/>
            <w:vAlign w:val="center"/>
          </w:tcPr>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1．本工程不接受联合体投标。</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2．资质要求</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投标人须具备独立法人资格，按国家法律经营。</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投标人须持有建设行政主管部门颁发的企业资质证书及安全生产许可证。</w:t>
            </w:r>
          </w:p>
          <w:p>
            <w:pPr>
              <w:snapToGrid w:val="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2.3 投标人须具备以下资质：</w:t>
            </w:r>
            <w:r>
              <w:rPr>
                <w:rFonts w:hint="eastAsia" w:hAnsi="宋体" w:eastAsia="宋体" w:cs="宋体"/>
                <w:color w:val="auto"/>
                <w:sz w:val="24"/>
                <w:szCs w:val="24"/>
                <w:highlight w:val="none"/>
                <w:lang w:eastAsia="zh-CN"/>
              </w:rPr>
              <w:t>建筑工程施工总承包</w:t>
            </w:r>
            <w:r>
              <w:rPr>
                <w:rFonts w:hint="eastAsia" w:hAnsi="宋体" w:eastAsia="宋体" w:cs="宋体"/>
                <w:color w:val="auto"/>
                <w:sz w:val="24"/>
                <w:szCs w:val="24"/>
                <w:highlight w:val="none"/>
                <w:lang w:val="en-US" w:eastAsia="zh-CN"/>
              </w:rPr>
              <w:t>三</w:t>
            </w:r>
            <w:r>
              <w:rPr>
                <w:rFonts w:hint="eastAsia" w:hAnsi="宋体" w:eastAsia="宋体" w:cs="宋体"/>
                <w:color w:val="auto"/>
                <w:sz w:val="24"/>
                <w:szCs w:val="24"/>
                <w:highlight w:val="none"/>
                <w:lang w:eastAsia="zh-CN"/>
              </w:rPr>
              <w:t>级以上（含三级）资质。</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根据有关文件精神，投标人的相关证书到期的，均按该证书的发证机构相关行业主管部门最新文件执行（如自动顺延或推迟办理延期业务的通知），投标人必须将相关文件附在该证书后面，证明在开标日继续有效。</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3．相关人员要求</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3.1 </w:t>
            </w:r>
            <w:r>
              <w:rPr>
                <w:rFonts w:hint="eastAsia" w:hAnsi="宋体"/>
                <w:color w:val="auto"/>
                <w:sz w:val="24"/>
                <w:szCs w:val="24"/>
                <w:highlight w:val="none"/>
              </w:rPr>
              <w:t>拟派项目经理为建筑工程专业一级或二级注册建造师，持有住建部门核准的在使用有效期内的有效电子注册证书（二级注册建造师跨地区执业必须满足广东省住建部门有关规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pPr>
              <w:snapToGrid w:val="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3.2拟派项目技术负责人须具备</w:t>
            </w:r>
            <w:r>
              <w:rPr>
                <w:rFonts w:hint="eastAsia" w:hAnsi="宋体" w:eastAsia="宋体" w:cs="宋体"/>
                <w:color w:val="auto"/>
                <w:sz w:val="24"/>
                <w:szCs w:val="24"/>
                <w:highlight w:val="none"/>
                <w:lang w:eastAsia="zh-CN"/>
              </w:rPr>
              <w:t>建筑工程专业类中级以上（含中级）技术职称。</w:t>
            </w:r>
          </w:p>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 拟派专职安全生产管理人员须具备有效安全生产考核合格证明（C证，安全生产考核合格证书或“广东省建筑施工企业管理人员安全生产考核系统”考核合格信息打印页），且不少于1人。</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 投标人与其拟派往本项目管理机构的所有人员之间必须具备合法、唯一的劳动聘用关系。拟派人员中具备注册执业资格的，其注册单位须与投标人保持一致。</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4．禁止投标条款：</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4.1投标人不得存在下列情形之一：    </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（1）为招标人不具有独立法人资格的附属机构（单位）；</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（2）为本招标项目前期准备提供设计或咨询服务的；</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（3）与本招标项目的其他投标人为同一个单位负责人；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（4）与本招标项目的其他投标人存在控股、管理关系；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（5）为本招标项目的监理人；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（6）为本招标项目的代建人；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（7）为本招标项目的招标代理机构；</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（8）与本招标项目的监理人或代建人或招标代理机构同为一个法定代表人；</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（9）与本招标项目的监理人或代建人或招标代理机构存在控股或参股关系；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（10）与本招标项目的监理人或代建人或招标代理机构存在相互任职或工作关系；</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（11）被依法暂停或者取消投标资格；</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（12）被责令停产停业、暂扣或者吊销许可证、暂扣或者吊销执照；</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（13）进入清算程序，或被宣告破产，或其他丧失履约能力的情形；</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（14）在最近三年内发生重大工程质量或安全问题（以相关行业主管部门的行政处罚决定或司法机关出具的有关法律文书为准）；</w:t>
            </w:r>
          </w:p>
          <w:p>
            <w:pPr>
              <w:wordWrap w:val="0"/>
              <w:adjustRightInd w:val="0"/>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（15）被“信用中国”网站（https://www.creditchina.gov.cn）发布的《法人和非法人组织公共信用信息报告》列为严重失信主体名单的。</w:t>
            </w:r>
          </w:p>
          <w:p>
            <w:pPr>
              <w:snapToGrid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招标人拒绝以下名单中的单位参加本次投标：</w:t>
            </w:r>
          </w:p>
          <w:tbl>
            <w:tblPr>
              <w:tblStyle w:val="16"/>
              <w:tblW w:w="70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792"/>
              <w:gridCol w:w="3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641" w:type="dxa"/>
                  <w:noWrap w:val="0"/>
                  <w:vAlign w:val="center"/>
                </w:tcPr>
                <w:p>
                  <w:pPr>
                    <w:wordWrap w:val="0"/>
                    <w:adjustRightInd w:val="0"/>
                    <w:snapToGrid w:val="0"/>
                    <w:ind w:right="-218" w:rightChars="-9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792" w:type="dxa"/>
                  <w:noWrap w:val="0"/>
                  <w:vAlign w:val="center"/>
                </w:tcPr>
                <w:p>
                  <w:pPr>
                    <w:wordWrap w:val="0"/>
                    <w:adjustRightInd w:val="0"/>
                    <w:snapToGrid w:val="0"/>
                    <w:ind w:right="-206" w:rightChars="-8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3606" w:type="dxa"/>
                  <w:noWrap w:val="0"/>
                  <w:vAlign w:val="center"/>
                </w:tcPr>
                <w:p>
                  <w:pPr>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792"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南雄市政府投资建设项目代建管理中心</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2792" w:type="dxa"/>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南雄市国有资产投资有限责任公司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2792" w:type="dxa"/>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广东省建筑设计研究院集团股份有限公司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p>
              </w:tc>
              <w:tc>
                <w:tcPr>
                  <w:tcW w:w="2792" w:type="dxa"/>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lang w:eastAsia="zh-CN"/>
                    </w:rPr>
                    <w:t>湖南中核岩土工程有限责任公司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勘察单位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641" w:type="dxa"/>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p>
              </w:tc>
              <w:tc>
                <w:tcPr>
                  <w:tcW w:w="2792" w:type="dxa"/>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4"/>
                      <w:highlight w:val="none"/>
                      <w:lang w:eastAsia="zh-CN"/>
                    </w:rPr>
                    <w:t>广州建筑产业开发有限公司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6</w:t>
                  </w:r>
                </w:p>
              </w:tc>
              <w:tc>
                <w:tcPr>
                  <w:tcW w:w="2792" w:type="dxa"/>
                  <w:noWrap w:val="0"/>
                  <w:vAlign w:val="center"/>
                </w:tcPr>
                <w:p>
                  <w:pPr>
                    <w:keepNext w:val="0"/>
                    <w:keepLines w:val="0"/>
                    <w:pageBreakBefore w:val="0"/>
                    <w:kinsoku/>
                    <w:overflowPunct/>
                    <w:topLinePunct w:val="0"/>
                    <w:autoSpaceDE/>
                    <w:autoSpaceDN/>
                    <w:bidi w:val="0"/>
                    <w:snapToGrid w:val="0"/>
                    <w:spacing w:line="400" w:lineRule="exact"/>
                    <w:ind w:right="0" w:rightChars="0"/>
                    <w:jc w:val="center"/>
                    <w:rPr>
                      <w:rFonts w:hint="eastAsia" w:ascii="宋体" w:hAnsi="宋体" w:eastAsia="宋体" w:cs="宋体"/>
                      <w:color w:val="auto"/>
                      <w:sz w:val="24"/>
                      <w:szCs w:val="24"/>
                      <w:highlight w:val="none"/>
                      <w:lang w:eastAsia="zh-CN"/>
                    </w:rPr>
                  </w:pPr>
                  <w:r>
                    <w:rPr>
                      <w:rFonts w:hint="eastAsia" w:hAnsi="宋体" w:eastAsia="宋体"/>
                      <w:snapToGrid w:val="0"/>
                      <w:color w:val="auto"/>
                      <w:kern w:val="0"/>
                      <w:highlight w:val="none"/>
                      <w:lang w:eastAsia="zh-CN"/>
                    </w:rPr>
                    <w:t>广东宝骏工程咨询有限公司</w:t>
                  </w:r>
                </w:p>
              </w:tc>
              <w:tc>
                <w:tcPr>
                  <w:tcW w:w="3606" w:type="dxa"/>
                  <w:noWrap w:val="0"/>
                  <w:vAlign w:val="center"/>
                </w:tcPr>
                <w:p>
                  <w:pPr>
                    <w:keepNext w:val="0"/>
                    <w:keepLines w:val="0"/>
                    <w:pageBreakBefore w:val="0"/>
                    <w:kinsoku/>
                    <w:overflowPunct/>
                    <w:topLinePunct w:val="0"/>
                    <w:autoSpaceDE/>
                    <w:autoSpaceDN/>
                    <w:bidi w:val="0"/>
                    <w:snapToGrid w:val="0"/>
                    <w:spacing w:line="400" w:lineRule="exact"/>
                    <w:ind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Style w:val="20"/>
                      <w:rFonts w:hint="eastAsia" w:hAnsi="宋体"/>
                      <w:color w:val="auto"/>
                      <w:kern w:val="0"/>
                      <w:highlight w:val="none"/>
                    </w:rPr>
                    <w:t>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7</w:t>
                  </w:r>
                </w:p>
              </w:tc>
              <w:tc>
                <w:tcPr>
                  <w:tcW w:w="2792" w:type="dxa"/>
                  <w:shd w:val="clear" w:color="auto" w:fill="auto"/>
                  <w:noWrap w:val="0"/>
                  <w:vAlign w:val="center"/>
                </w:tcPr>
                <w:p>
                  <w:pPr>
                    <w:snapToGrid w:val="0"/>
                    <w:spacing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广东志达建设监理有限公司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2792" w:type="dxa"/>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广东君霖项目管理有限公司</w:t>
                  </w:r>
                </w:p>
              </w:tc>
              <w:tc>
                <w:tcPr>
                  <w:tcW w:w="3606" w:type="dxa"/>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41" w:type="dxa"/>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2792" w:type="dxa"/>
                  <w:noWrap w:val="0"/>
                  <w:vAlign w:val="center"/>
                </w:tcPr>
                <w:p>
                  <w:pPr>
                    <w:wordWrap w:val="0"/>
                    <w:adjustRightInd w:val="0"/>
                    <w:snapToGrid w:val="0"/>
                    <w:spacing w:line="400" w:lineRule="exact"/>
                    <w:jc w:val="center"/>
                    <w:rPr>
                      <w:rFonts w:hint="eastAsia" w:ascii="宋体" w:hAnsi="宋体" w:eastAsia="宋体" w:cs="宋体"/>
                      <w:color w:val="auto"/>
                      <w:sz w:val="24"/>
                      <w:szCs w:val="24"/>
                      <w:highlight w:val="none"/>
                      <w:lang w:eastAsia="zh-CN"/>
                    </w:rPr>
                  </w:pPr>
                  <w:r>
                    <w:rPr>
                      <w:rFonts w:hint="eastAsia" w:hAnsi="宋体" w:cs="宋体"/>
                      <w:snapToGrid w:val="0"/>
                      <w:color w:val="auto"/>
                      <w:kern w:val="0"/>
                      <w:szCs w:val="24"/>
                      <w:highlight w:val="none"/>
                    </w:rPr>
                    <w:t>无</w:t>
                  </w:r>
                </w:p>
              </w:tc>
              <w:tc>
                <w:tcPr>
                  <w:tcW w:w="3606" w:type="dxa"/>
                  <w:noWrap w:val="0"/>
                  <w:vAlign w:val="center"/>
                </w:tcPr>
                <w:p>
                  <w:pPr>
                    <w:wordWrap w:val="0"/>
                    <w:adjustRightInd w:val="0"/>
                    <w:snapToGrid w:val="0"/>
                    <w:spacing w:line="400" w:lineRule="exact"/>
                    <w:jc w:val="center"/>
                    <w:rPr>
                      <w:rFonts w:hint="eastAsia" w:ascii="宋体" w:hAnsi="宋体" w:eastAsia="宋体" w:cs="宋体"/>
                      <w:color w:val="auto"/>
                      <w:sz w:val="24"/>
                      <w:szCs w:val="24"/>
                      <w:highlight w:val="none"/>
                    </w:rPr>
                  </w:pPr>
                  <w:r>
                    <w:rPr>
                      <w:rFonts w:hint="eastAsia" w:hAnsi="宋体" w:cs="宋体"/>
                      <w:snapToGrid w:val="0"/>
                      <w:color w:val="auto"/>
                      <w:kern w:val="0"/>
                      <w:szCs w:val="24"/>
                      <w:highlight w:val="none"/>
                    </w:rPr>
                    <w:t>为本招标项目上一次招标的中标人，但无正当理由不签订合同，被招标人书面拒绝再次投标。</w:t>
                  </w:r>
                </w:p>
              </w:tc>
            </w:tr>
          </w:tbl>
          <w:p>
            <w:pPr>
              <w:snapToGrid w:val="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5．其他要求</w:t>
            </w:r>
          </w:p>
          <w:p>
            <w:pPr>
              <w:pStyle w:val="27"/>
              <w:snapToGrid w:val="0"/>
              <w:spacing w:line="360" w:lineRule="auto"/>
              <w:jc w:val="left"/>
              <w:rPr>
                <w:rFonts w:hint="eastAsia" w:ascii="宋体" w:hAnsi="宋体" w:eastAsia="宋体" w:cs="宋体"/>
                <w:color w:val="auto"/>
                <w:sz w:val="24"/>
                <w:szCs w:val="24"/>
                <w:highlight w:val="none"/>
              </w:rPr>
            </w:pPr>
            <w:r>
              <w:rPr>
                <w:rStyle w:val="20"/>
                <w:rFonts w:hint="eastAsia" w:ascii="宋体" w:hAnsi="宋体" w:eastAsia="宋体" w:cs="宋体"/>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22</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投标保证</w:t>
            </w:r>
          </w:p>
        </w:tc>
        <w:tc>
          <w:tcPr>
            <w:tcW w:w="7370" w:type="dxa"/>
            <w:tcBorders>
              <w:top w:val="single" w:color="000000" w:sz="4" w:space="0"/>
              <w:left w:val="single" w:color="000000" w:sz="4" w:space="0"/>
              <w:bottom w:val="single" w:color="000000" w:sz="4" w:space="0"/>
            </w:tcBorders>
            <w:noWrap w:val="0"/>
            <w:vAlign w:val="center"/>
          </w:tcPr>
          <w:p>
            <w:pPr>
              <w:snapToGrid w:val="0"/>
              <w:jc w:val="left"/>
              <w:rPr>
                <w:rStyle w:val="20"/>
                <w:rFonts w:hint="eastAsia" w:ascii="宋体" w:hAnsi="宋体" w:eastAsia="宋体" w:cs="宋体"/>
                <w:strike/>
                <w:color w:val="auto"/>
                <w:kern w:val="0"/>
                <w:sz w:val="24"/>
                <w:szCs w:val="24"/>
                <w:highlight w:val="none"/>
              </w:rPr>
            </w:pPr>
            <w:r>
              <w:rPr>
                <w:rStyle w:val="20"/>
                <w:rFonts w:hint="eastAsia" w:ascii="宋体" w:hAnsi="宋体" w:eastAsia="宋体" w:cs="宋体"/>
                <w:color w:val="auto"/>
                <w:kern w:val="0"/>
                <w:sz w:val="24"/>
                <w:szCs w:val="24"/>
                <w:highlight w:val="none"/>
              </w:rPr>
              <w:t>1．投标人须缴纳金额为人民币</w:t>
            </w:r>
            <w:r>
              <w:rPr>
                <w:rFonts w:hint="eastAsia" w:hAnsi="宋体" w:cs="宋体"/>
                <w:snapToGrid w:val="0"/>
                <w:color w:val="auto"/>
                <w:kern w:val="0"/>
                <w:sz w:val="24"/>
                <w:szCs w:val="24"/>
                <w:highlight w:val="none"/>
                <w:u w:val="single"/>
                <w:lang w:val="en-US" w:eastAsia="zh-CN"/>
              </w:rPr>
              <w:t>伍</w:t>
            </w:r>
            <w:r>
              <w:rPr>
                <w:rFonts w:hint="eastAsia" w:ascii="宋体" w:hAnsi="宋体" w:eastAsia="宋体" w:cs="宋体"/>
                <w:snapToGrid w:val="0"/>
                <w:color w:val="auto"/>
                <w:kern w:val="0"/>
                <w:sz w:val="24"/>
                <w:szCs w:val="24"/>
                <w:highlight w:val="none"/>
                <w:u w:val="single"/>
                <w:lang w:val="en-US" w:eastAsia="zh-CN"/>
              </w:rPr>
              <w:t>万元整</w:t>
            </w:r>
            <w:r>
              <w:rPr>
                <w:rStyle w:val="20"/>
                <w:rFonts w:hint="eastAsia" w:ascii="宋体" w:hAnsi="宋体" w:eastAsia="宋体" w:cs="宋体"/>
                <w:color w:val="auto"/>
                <w:kern w:val="0"/>
                <w:sz w:val="24"/>
                <w:szCs w:val="24"/>
                <w:highlight w:val="none"/>
              </w:rPr>
              <w:t>的投标保证。</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2．投标保证的形式包括投标保证金、投标保证担保、投标保证保险三种，由投标人自主选择。</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（1）采用投标保证金的，投标人在交易平台</w:t>
            </w:r>
            <w:r>
              <w:rPr>
                <w:rFonts w:hint="eastAsia" w:ascii="宋体" w:hAnsi="宋体" w:eastAsia="宋体" w:cs="宋体"/>
                <w:snapToGrid w:val="0"/>
                <w:color w:val="auto"/>
                <w:kern w:val="0"/>
                <w:sz w:val="24"/>
                <w:szCs w:val="24"/>
                <w:highlight w:val="none"/>
              </w:rPr>
              <w:t>获取招标文件</w:t>
            </w:r>
            <w:r>
              <w:rPr>
                <w:rStyle w:val="20"/>
                <w:rFonts w:hint="eastAsia" w:ascii="宋体" w:hAnsi="宋体" w:eastAsia="宋体" w:cs="宋体"/>
                <w:color w:val="auto"/>
                <w:kern w:val="0"/>
                <w:sz w:val="24"/>
                <w:szCs w:val="24"/>
                <w:highlight w:val="none"/>
              </w:rPr>
              <w:t xml:space="preserve">完毕后，即可在系统申请缴纳投标保证金，获取本次招标投标保证金缴纳账号。投标人须于投标保证金到账截止时间（见本章第二节“重要事项时间地点一览表”）前，从其基本账户将投标保证金转账到指定的缴纳账号。逾期到账的、从非投标人基本账户转出的，其投标无效。 </w:t>
            </w:r>
          </w:p>
          <w:p>
            <w:pPr>
              <w:widowControl w:val="0"/>
              <w:wordWrap w:val="0"/>
              <w:adjustRightInd w:val="0"/>
              <w:snapToGrid w:val="0"/>
              <w:textAlignment w:val="auto"/>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w:t>
            </w:r>
            <w:r>
              <w:rPr>
                <w:rStyle w:val="20"/>
                <w:rFonts w:hint="eastAsia" w:hAnsi="宋体"/>
                <w:color w:val="auto"/>
                <w:kern w:val="0"/>
                <w:sz w:val="24"/>
                <w:szCs w:val="24"/>
                <w:highlight w:val="none"/>
              </w:rPr>
              <w:t>采用投标保证担保的，投标人应提交有效的电子保函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的有效期不得短于投标有效期。投标人必须在投标保证担保截止时间（见本章第二节“重要事项时间地点一览表”）前，使用工程建设交易系统完成网上办理电子保函</w:t>
            </w:r>
            <w:r>
              <w:rPr>
                <w:rStyle w:val="20"/>
                <w:rFonts w:hint="eastAsia" w:ascii="Times New Roman" w:hAnsi="宋体" w:cs="Times New Roman"/>
                <w:color w:val="auto"/>
                <w:kern w:val="0"/>
                <w:sz w:val="24"/>
                <w:szCs w:val="24"/>
                <w:highlight w:val="none"/>
              </w:rPr>
              <w:t>或保证保险</w:t>
            </w:r>
            <w:r>
              <w:rPr>
                <w:rStyle w:val="20"/>
                <w:rFonts w:hint="eastAsia" w:hAnsi="宋体"/>
                <w:color w:val="auto"/>
                <w:kern w:val="0"/>
                <w:sz w:val="24"/>
                <w:szCs w:val="24"/>
                <w:highlight w:val="none"/>
              </w:rPr>
              <w:t>。</w:t>
            </w:r>
          </w:p>
          <w:p>
            <w:pPr>
              <w:snapToGrid w:val="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3）采用投标保证保险的，投标人须在投标保证保险投保截止时间（见本章第二节“重要事项时间地点一览表”）前，使用交易平台完成网上投保。投标人可在系统选择保险机构、录入投保信息、支付保费、打印电子保单，电子保单的有效期不得短于投标有效期。</w:t>
            </w:r>
            <w:r>
              <w:rPr>
                <w:rStyle w:val="20"/>
                <w:rFonts w:hint="eastAsia" w:ascii="宋体" w:hAnsi="宋体" w:eastAsia="宋体" w:cs="宋体"/>
                <w:color w:val="auto"/>
                <w:sz w:val="24"/>
                <w:szCs w:val="24"/>
                <w:highlight w:val="none"/>
              </w:rPr>
              <w:t>投标人可登录</w:t>
            </w:r>
            <w:r>
              <w:rPr>
                <w:rStyle w:val="20"/>
                <w:rFonts w:hint="eastAsia" w:ascii="宋体" w:hAnsi="宋体" w:eastAsia="宋体" w:cs="宋体"/>
                <w:color w:val="auto"/>
                <w:kern w:val="0"/>
                <w:sz w:val="24"/>
                <w:szCs w:val="24"/>
                <w:highlight w:val="none"/>
              </w:rPr>
              <w:t>全国公共资源交易平台（广东省·韶关市）（https://ygp.gdzwfw.gov.cn/ggzy-portal/#/440200/index），在【</w:t>
            </w:r>
            <w:r>
              <w:rPr>
                <w:rStyle w:val="20"/>
                <w:rFonts w:hint="eastAsia" w:hAnsi="宋体" w:eastAsia="宋体" w:cs="宋体"/>
                <w:color w:val="auto"/>
                <w:kern w:val="0"/>
                <w:sz w:val="24"/>
                <w:szCs w:val="24"/>
                <w:highlight w:val="none"/>
                <w:lang w:eastAsia="zh-CN"/>
              </w:rPr>
              <w:t>服务指南</w:t>
            </w:r>
            <w:r>
              <w:rPr>
                <w:rStyle w:val="20"/>
                <w:rFonts w:hint="eastAsia" w:ascii="宋体" w:hAnsi="宋体" w:eastAsia="宋体" w:cs="宋体"/>
                <w:color w:val="auto"/>
                <w:kern w:val="0"/>
                <w:sz w:val="24"/>
                <w:szCs w:val="24"/>
                <w:highlight w:val="none"/>
              </w:rPr>
              <w:t>】栏目中下载《建设工程网上交易系统保险保证金缴纳操作指南》，了解网上投保具体操作流程。逾期投保的，其投标无效。</w:t>
            </w:r>
          </w:p>
          <w:p>
            <w:pPr>
              <w:snapToGrid w:val="0"/>
              <w:ind w:firstLine="240" w:firstLineChars="1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温馨提醒：投标人采用投标保证担保或投标保证保险的，为避免在评标过程中因有效期发生争议，建议投标人将银行保函</w:t>
            </w:r>
            <w:r>
              <w:rPr>
                <w:rFonts w:hint="eastAsia" w:ascii="宋体" w:hAnsi="宋体" w:eastAsia="宋体" w:cs="宋体"/>
                <w:color w:val="auto"/>
                <w:sz w:val="24"/>
                <w:szCs w:val="24"/>
                <w:highlight w:val="none"/>
              </w:rPr>
              <w:t>电子保函</w:t>
            </w:r>
            <w:r>
              <w:rPr>
                <w:rStyle w:val="20"/>
                <w:rFonts w:hint="eastAsia" w:ascii="宋体" w:hAnsi="宋体" w:eastAsia="宋体" w:cs="宋体"/>
                <w:color w:val="auto"/>
                <w:kern w:val="0"/>
                <w:sz w:val="24"/>
                <w:szCs w:val="24"/>
                <w:highlight w:val="none"/>
              </w:rPr>
              <w:t>或电子保单有效期设置为较招标文件规定的投标有效期延长不少于20个日历天。</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23</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投标有效期</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本次招标的投标有效期为</w:t>
            </w:r>
            <w:r>
              <w:rPr>
                <w:rStyle w:val="20"/>
                <w:rFonts w:hint="eastAsia" w:ascii="宋体" w:hAnsi="宋体" w:eastAsia="宋体" w:cs="宋体"/>
                <w:color w:val="auto"/>
                <w:kern w:val="0"/>
                <w:sz w:val="24"/>
                <w:szCs w:val="24"/>
                <w:highlight w:val="none"/>
                <w:u w:val="single"/>
              </w:rPr>
              <w:t>90</w:t>
            </w:r>
            <w:r>
              <w:rPr>
                <w:rStyle w:val="20"/>
                <w:rFonts w:hint="eastAsia" w:ascii="宋体" w:hAnsi="宋体" w:eastAsia="宋体" w:cs="宋体"/>
                <w:color w:val="auto"/>
                <w:kern w:val="0"/>
                <w:sz w:val="24"/>
                <w:szCs w:val="24"/>
                <w:highlight w:val="none"/>
              </w:rPr>
              <w:t>个日历天。</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24</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widowControl w:val="0"/>
              <w:wordWrap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投标文件</w:t>
            </w:r>
          </w:p>
          <w:p>
            <w:pPr>
              <w:widowControl w:val="0"/>
              <w:wordWrap w:val="0"/>
              <w:adjustRightInd w:val="0"/>
              <w:snapToGrid w:val="0"/>
              <w:spacing w:line="360" w:lineRule="exact"/>
              <w:jc w:val="center"/>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组成及份数</w:t>
            </w:r>
          </w:p>
        </w:tc>
        <w:tc>
          <w:tcPr>
            <w:tcW w:w="7370" w:type="dxa"/>
            <w:tcBorders>
              <w:top w:val="single" w:color="000000" w:sz="4" w:space="0"/>
              <w:left w:val="single" w:color="000000" w:sz="4" w:space="0"/>
              <w:bottom w:val="single" w:color="000000" w:sz="4" w:space="0"/>
            </w:tcBorders>
            <w:noWrap w:val="0"/>
            <w:vAlign w:val="center"/>
          </w:tcPr>
          <w:p>
            <w:pPr>
              <w:widowControl w:val="0"/>
              <w:wordWrap w:val="0"/>
              <w:adjustRightInd w:val="0"/>
              <w:snapToGrid w:val="0"/>
              <w:spacing w:line="400" w:lineRule="exact"/>
              <w:textAlignment w:val="auto"/>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投标文件包括商务标书、经济标书、施工组织设计三个分册。</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25</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施工组织设计</w:t>
            </w:r>
          </w:p>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评审方式</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本次招标施工组织设计</w:t>
            </w:r>
            <w:r>
              <w:rPr>
                <w:rStyle w:val="20"/>
                <w:rFonts w:hint="eastAsia" w:ascii="宋体" w:hAnsi="宋体" w:eastAsia="宋体" w:cs="宋体"/>
                <w:color w:val="auto"/>
                <w:kern w:val="0"/>
                <w:sz w:val="24"/>
                <w:szCs w:val="24"/>
                <w:highlight w:val="none"/>
                <w:u w:val="single"/>
              </w:rPr>
              <w:t xml:space="preserve"> 不采用 </w:t>
            </w:r>
            <w:r>
              <w:rPr>
                <w:rStyle w:val="20"/>
                <w:rFonts w:hint="eastAsia" w:ascii="宋体" w:hAnsi="宋体" w:eastAsia="宋体" w:cs="宋体"/>
                <w:color w:val="auto"/>
                <w:kern w:val="0"/>
                <w:sz w:val="24"/>
                <w:szCs w:val="24"/>
                <w:highlight w:val="none"/>
              </w:rPr>
              <w:t>“暗标”方式进行评审。</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26</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评标委员会</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评标委员会由</w:t>
            </w:r>
            <w:r>
              <w:rPr>
                <w:rStyle w:val="20"/>
                <w:rFonts w:hint="eastAsia" w:ascii="宋体" w:hAnsi="宋体" w:eastAsia="宋体" w:cs="宋体"/>
                <w:color w:val="auto"/>
                <w:kern w:val="0"/>
                <w:sz w:val="24"/>
                <w:szCs w:val="24"/>
                <w:highlight w:val="none"/>
                <w:u w:val="single"/>
              </w:rPr>
              <w:t>5</w:t>
            </w:r>
            <w:r>
              <w:rPr>
                <w:rStyle w:val="20"/>
                <w:rFonts w:hint="eastAsia" w:ascii="宋体" w:hAnsi="宋体" w:eastAsia="宋体" w:cs="宋体"/>
                <w:color w:val="auto"/>
                <w:kern w:val="0"/>
                <w:sz w:val="24"/>
                <w:szCs w:val="24"/>
                <w:highlight w:val="none"/>
              </w:rPr>
              <w:t>人组成，其中招标人代表</w:t>
            </w:r>
            <w:r>
              <w:rPr>
                <w:rStyle w:val="20"/>
                <w:rFonts w:hint="eastAsia" w:ascii="宋体" w:hAnsi="宋体" w:eastAsia="宋体" w:cs="宋体"/>
                <w:color w:val="auto"/>
                <w:kern w:val="0"/>
                <w:sz w:val="24"/>
                <w:szCs w:val="24"/>
                <w:highlight w:val="none"/>
                <w:u w:val="single"/>
              </w:rPr>
              <w:t>0</w:t>
            </w:r>
            <w:r>
              <w:rPr>
                <w:rStyle w:val="20"/>
                <w:rFonts w:hint="eastAsia" w:ascii="宋体" w:hAnsi="宋体" w:eastAsia="宋体" w:cs="宋体"/>
                <w:color w:val="auto"/>
                <w:kern w:val="0"/>
                <w:sz w:val="24"/>
                <w:szCs w:val="24"/>
                <w:highlight w:val="none"/>
              </w:rPr>
              <w:t>人，专家</w:t>
            </w:r>
            <w:r>
              <w:rPr>
                <w:rStyle w:val="20"/>
                <w:rFonts w:hint="eastAsia" w:ascii="宋体" w:hAnsi="宋体" w:eastAsia="宋体" w:cs="宋体"/>
                <w:color w:val="auto"/>
                <w:kern w:val="0"/>
                <w:sz w:val="24"/>
                <w:szCs w:val="24"/>
                <w:highlight w:val="none"/>
                <w:u w:val="single"/>
              </w:rPr>
              <w:t>5</w:t>
            </w:r>
            <w:r>
              <w:rPr>
                <w:rStyle w:val="20"/>
                <w:rFonts w:hint="eastAsia" w:ascii="宋体" w:hAnsi="宋体" w:eastAsia="宋体" w:cs="宋体"/>
                <w:color w:val="auto"/>
                <w:kern w:val="0"/>
                <w:sz w:val="24"/>
                <w:szCs w:val="24"/>
                <w:highlight w:val="none"/>
              </w:rPr>
              <w:t xml:space="preserve">人。专家从广东省综合评标评审专家库中随机抽取，其中技术类专家 </w:t>
            </w:r>
            <w:r>
              <w:rPr>
                <w:rStyle w:val="20"/>
                <w:rFonts w:hint="eastAsia" w:ascii="宋体" w:hAnsi="宋体" w:eastAsia="宋体" w:cs="宋体"/>
                <w:color w:val="auto"/>
                <w:kern w:val="0"/>
                <w:sz w:val="24"/>
                <w:szCs w:val="24"/>
                <w:highlight w:val="none"/>
                <w:u w:val="single"/>
              </w:rPr>
              <w:t>3</w:t>
            </w:r>
            <w:r>
              <w:rPr>
                <w:rStyle w:val="20"/>
                <w:rFonts w:hint="eastAsia" w:ascii="宋体" w:hAnsi="宋体" w:eastAsia="宋体" w:cs="宋体"/>
                <w:color w:val="auto"/>
                <w:kern w:val="0"/>
                <w:sz w:val="24"/>
                <w:szCs w:val="24"/>
                <w:highlight w:val="none"/>
              </w:rPr>
              <w:t>人，经济类专家</w:t>
            </w:r>
            <w:r>
              <w:rPr>
                <w:rStyle w:val="20"/>
                <w:rFonts w:hint="eastAsia" w:ascii="宋体" w:hAnsi="宋体" w:eastAsia="宋体" w:cs="宋体"/>
                <w:color w:val="auto"/>
                <w:kern w:val="0"/>
                <w:sz w:val="24"/>
                <w:szCs w:val="24"/>
                <w:highlight w:val="none"/>
                <w:u w:val="single"/>
              </w:rPr>
              <w:t xml:space="preserve"> 2</w:t>
            </w:r>
            <w:r>
              <w:rPr>
                <w:rStyle w:val="20"/>
                <w:rFonts w:hint="eastAsia" w:ascii="宋体" w:hAnsi="宋体" w:eastAsia="宋体" w:cs="宋体"/>
                <w:color w:val="auto"/>
                <w:kern w:val="0"/>
                <w:sz w:val="24"/>
                <w:szCs w:val="24"/>
                <w:highlight w:val="none"/>
              </w:rPr>
              <w:t>人。</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360" w:lineRule="exact"/>
              <w:jc w:val="center"/>
              <w:rPr>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27</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评标方法</w:t>
            </w:r>
          </w:p>
        </w:tc>
        <w:tc>
          <w:tcPr>
            <w:tcW w:w="7370" w:type="dxa"/>
            <w:tcBorders>
              <w:top w:val="single" w:color="000000" w:sz="4" w:space="0"/>
              <w:left w:val="single" w:color="000000" w:sz="4" w:space="0"/>
              <w:bottom w:val="single" w:color="000000" w:sz="4" w:space="0"/>
            </w:tcBorders>
            <w:noWrap w:val="0"/>
            <w:vAlign w:val="center"/>
          </w:tcPr>
          <w:p>
            <w:pPr>
              <w:snapToGrid w:val="0"/>
              <w:spacing w:line="360" w:lineRule="exact"/>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综合评估法</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noWrap w:val="0"/>
            <w:vAlign w:val="center"/>
          </w:tcPr>
          <w:p>
            <w:pPr>
              <w:snapToGrid w:val="0"/>
              <w:spacing w:line="240" w:lineRule="auto"/>
              <w:ind w:firstLine="240" w:firstLineChars="100"/>
              <w:jc w:val="left"/>
              <w:rPr>
                <w:rStyle w:val="20"/>
                <w:rFonts w:hint="eastAsia" w:ascii="宋体" w:hAnsi="宋体" w:eastAsia="宋体" w:cs="宋体"/>
                <w:strike/>
                <w:dstrike w:val="0"/>
                <w:color w:val="auto"/>
                <w:kern w:val="0"/>
                <w:sz w:val="24"/>
                <w:szCs w:val="24"/>
                <w:highlight w:val="none"/>
              </w:rPr>
            </w:pPr>
            <w:r>
              <w:rPr>
                <w:rFonts w:hint="eastAsia" w:ascii="宋体" w:hAnsi="宋体" w:eastAsia="宋体" w:cs="宋体"/>
                <w:color w:val="auto"/>
                <w:kern w:val="0"/>
                <w:sz w:val="24"/>
                <w:szCs w:val="24"/>
                <w:highlight w:val="none"/>
              </w:rPr>
              <w:t>28</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sz w:val="24"/>
                <w:szCs w:val="24"/>
                <w:highlight w:val="none"/>
                <w:lang w:eastAsia="zh-CN"/>
              </w:rPr>
              <w:t>定</w:t>
            </w:r>
            <w:r>
              <w:rPr>
                <w:rFonts w:hint="eastAsia" w:ascii="宋体" w:hAnsi="宋体" w:eastAsia="宋体" w:cs="宋体"/>
                <w:color w:val="auto"/>
                <w:sz w:val="24"/>
                <w:szCs w:val="24"/>
                <w:highlight w:val="none"/>
              </w:rPr>
              <w:t>标委员会</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adjustRightInd w:val="0"/>
              <w:snapToGrid w:val="0"/>
              <w:jc w:val="left"/>
              <w:rPr>
                <w:rFonts w:hint="eastAsia" w:ascii="宋体" w:hAnsi="宋体" w:eastAsia="宋体" w:cs="宋体"/>
                <w:color w:val="auto"/>
                <w:kern w:val="0"/>
                <w:sz w:val="24"/>
                <w:szCs w:val="24"/>
                <w:highlight w:val="none"/>
                <w:lang w:val="en-US" w:eastAsia="zh-CN" w:bidi="ar"/>
              </w:rPr>
            </w:pPr>
            <w:r>
              <w:rPr>
                <w:rFonts w:hint="eastAsia" w:ascii="宋体" w:hAnsi="宋体" w:eastAsia="宋体" w:cs="宋体"/>
                <w:color w:val="auto"/>
                <w:sz w:val="24"/>
                <w:szCs w:val="24"/>
                <w:highlight w:val="none"/>
                <w:u w:val="none"/>
                <w:lang w:val="en-US" w:eastAsia="zh-CN"/>
              </w:rPr>
              <w:t>本</w:t>
            </w:r>
            <w:r>
              <w:rPr>
                <w:rFonts w:hint="eastAsia" w:ascii="宋体" w:hAnsi="宋体" w:eastAsia="宋体" w:cs="宋体"/>
                <w:color w:val="auto"/>
                <w:sz w:val="24"/>
                <w:szCs w:val="24"/>
                <w:highlight w:val="none"/>
                <w:u w:val="none"/>
                <w:lang w:eastAsia="zh-CN"/>
              </w:rPr>
              <w:t>项目</w:t>
            </w:r>
            <w:r>
              <w:rPr>
                <w:rStyle w:val="20"/>
                <w:rFonts w:hint="eastAsia" w:ascii="宋体" w:hAnsi="宋体" w:eastAsia="宋体" w:cs="宋体"/>
                <w:color w:val="auto"/>
                <w:kern w:val="0"/>
                <w:sz w:val="24"/>
                <w:szCs w:val="24"/>
                <w:highlight w:val="none"/>
              </w:rPr>
              <w:t>定标</w:t>
            </w:r>
            <w:r>
              <w:rPr>
                <w:rFonts w:hint="eastAsia" w:ascii="宋体" w:hAnsi="宋体" w:eastAsia="宋体" w:cs="宋体"/>
                <w:color w:val="auto"/>
                <w:sz w:val="24"/>
                <w:szCs w:val="24"/>
                <w:highlight w:val="none"/>
                <w:u w:val="none"/>
              </w:rPr>
              <w:t>委员会</w:t>
            </w:r>
            <w:r>
              <w:rPr>
                <w:rFonts w:hint="eastAsia" w:ascii="宋体" w:hAnsi="宋体" w:eastAsia="宋体" w:cs="宋体"/>
                <w:color w:val="auto"/>
                <w:sz w:val="24"/>
                <w:szCs w:val="24"/>
                <w:highlight w:val="none"/>
                <w:u w:val="none"/>
                <w:lang w:eastAsia="zh-CN"/>
              </w:rPr>
              <w:t>组成人</w:t>
            </w:r>
            <w:r>
              <w:rPr>
                <w:rFonts w:hint="eastAsia" w:ascii="宋体" w:hAnsi="宋体" w:eastAsia="宋体" w:cs="宋体"/>
                <w:color w:val="auto"/>
                <w:sz w:val="24"/>
                <w:szCs w:val="24"/>
                <w:highlight w:val="none"/>
                <w:u w:val="none"/>
              </w:rPr>
              <w:t>员为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7 </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u w:val="none"/>
                <w:lang w:eastAsia="zh-CN"/>
              </w:rPr>
              <w:t>。</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97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hAnsi="宋体" w:cs="宋体"/>
                <w:color w:val="auto"/>
                <w:kern w:val="0"/>
                <w:sz w:val="24"/>
                <w:szCs w:val="24"/>
                <w:highlight w:val="none"/>
                <w:lang w:val="en-US" w:eastAsia="zh-CN"/>
              </w:rPr>
              <w:t>29</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pageBreakBefore w:val="0"/>
              <w:widowControl w:val="0"/>
              <w:kinsoku/>
              <w:wordWrap w:val="0"/>
              <w:overflowPunct/>
              <w:topLinePunct w:val="0"/>
              <w:autoSpaceDE/>
              <w:autoSpaceDN/>
              <w:bidi w:val="0"/>
              <w:adjustRightInd/>
              <w:snapToGrid/>
              <w:spacing w:line="40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定标办法</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采用</w:t>
            </w:r>
            <w:r>
              <w:rPr>
                <w:rFonts w:hint="eastAsia" w:ascii="宋体" w:hAnsi="宋体" w:eastAsia="宋体" w:cs="宋体"/>
                <w:b/>
                <w:bCs w:val="0"/>
                <w:snapToGrid w:val="0"/>
                <w:color w:val="auto"/>
                <w:kern w:val="0"/>
                <w:sz w:val="24"/>
                <w:szCs w:val="24"/>
                <w:highlight w:val="none"/>
                <w:lang w:val="en-US" w:eastAsia="zh-CN"/>
              </w:rPr>
              <w:t>评定分离</w:t>
            </w:r>
            <w:r>
              <w:rPr>
                <w:rFonts w:hint="eastAsia" w:ascii="宋体" w:hAnsi="宋体" w:eastAsia="宋体" w:cs="宋体"/>
                <w:bCs/>
                <w:snapToGrid w:val="0"/>
                <w:color w:val="auto"/>
                <w:kern w:val="0"/>
                <w:sz w:val="24"/>
                <w:szCs w:val="24"/>
                <w:highlight w:val="none"/>
                <w:lang w:val="en-US" w:eastAsia="zh-CN"/>
              </w:rPr>
              <w:t>的项目，应选定下列定标办法：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☑票决数量法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□票决计分法</w:t>
            </w:r>
          </w:p>
          <w:p>
            <w:pPr>
              <w:adjustRightInd w:val="0"/>
              <w:snapToGrid w:val="0"/>
              <w:jc w:val="left"/>
              <w:rPr>
                <w:rFonts w:hint="eastAsia" w:ascii="宋体" w:hAnsi="宋体" w:eastAsia="宋体" w:cs="宋体"/>
                <w:bCs/>
                <w:snapToGrid w:val="0"/>
                <w:color w:val="auto"/>
                <w:kern w:val="0"/>
                <w:sz w:val="24"/>
                <w:szCs w:val="24"/>
                <w:highlight w:val="none"/>
                <w:lang w:val="en-US" w:eastAsia="zh-CN"/>
              </w:rPr>
            </w:pPr>
            <w:r>
              <w:rPr>
                <w:rFonts w:hint="eastAsia" w:ascii="宋体" w:hAnsi="宋体" w:eastAsia="宋体" w:cs="宋体"/>
                <w:bCs/>
                <w:snapToGrid w:val="0"/>
                <w:color w:val="auto"/>
                <w:kern w:val="0"/>
                <w:sz w:val="24"/>
                <w:szCs w:val="24"/>
                <w:highlight w:val="none"/>
                <w:lang w:val="en-US" w:eastAsia="zh-CN"/>
              </w:rPr>
              <w:t>□集体议事法</w:t>
            </w:r>
          </w:p>
          <w:p>
            <w:pPr>
              <w:adjustRightInd w:val="0"/>
              <w:snapToGrid w:val="0"/>
              <w:jc w:val="left"/>
              <w:rPr>
                <w:rFonts w:hint="eastAsia" w:ascii="宋体" w:hAnsi="宋体" w:eastAsia="宋体" w:cs="宋体"/>
                <w:bCs/>
                <w:snapToGrid w:val="0"/>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□其他方法：</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985"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0</w:t>
            </w:r>
          </w:p>
        </w:tc>
        <w:tc>
          <w:tcPr>
            <w:tcW w:w="1577" w:type="dxa"/>
            <w:tcBorders>
              <w:top w:val="single" w:color="000000" w:sz="4" w:space="0"/>
              <w:left w:val="single" w:color="000000" w:sz="4" w:space="0"/>
              <w:bottom w:val="single" w:color="000000" w:sz="4" w:space="0"/>
              <w:right w:val="single" w:color="000000" w:sz="4" w:space="0"/>
            </w:tcBorders>
            <w:noWrap w:val="0"/>
            <w:vAlign w:val="center"/>
          </w:tcPr>
          <w:p>
            <w:pPr>
              <w:snapToGrid w:val="0"/>
              <w:spacing w:before="120" w:beforeLines="50" w:line="440" w:lineRule="exact"/>
              <w:jc w:val="center"/>
              <w:rPr>
                <w:rStyle w:val="20"/>
                <w:rFonts w:hint="eastAsia" w:ascii="宋体" w:hAnsi="宋体" w:eastAsia="宋体" w:cs="宋体"/>
                <w:color w:val="auto"/>
                <w:kern w:val="0"/>
                <w:sz w:val="24"/>
                <w:szCs w:val="24"/>
                <w:highlight w:val="none"/>
              </w:rPr>
            </w:pPr>
            <w:r>
              <w:rPr>
                <w:rFonts w:hint="eastAsia" w:ascii="宋体" w:hAnsi="宋体" w:eastAsia="宋体" w:cs="宋体"/>
                <w:snapToGrid w:val="0"/>
                <w:color w:val="auto"/>
                <w:kern w:val="0"/>
                <w:sz w:val="24"/>
                <w:szCs w:val="24"/>
                <w:highlight w:val="none"/>
              </w:rPr>
              <w:t>招标代理服务费</w:t>
            </w:r>
          </w:p>
        </w:tc>
        <w:tc>
          <w:tcPr>
            <w:tcW w:w="7370" w:type="dxa"/>
            <w:tcBorders>
              <w:top w:val="single" w:color="000000" w:sz="4" w:space="0"/>
              <w:left w:val="single" w:color="000000" w:sz="4" w:space="0"/>
              <w:bottom w:val="single" w:color="000000" w:sz="4" w:space="0"/>
            </w:tcBorders>
            <w:noWrap w:val="0"/>
            <w:vAlign w:val="center"/>
          </w:tcPr>
          <w:p>
            <w:pPr>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本项目施工招标代理服务费</w:t>
            </w:r>
            <w:r>
              <w:rPr>
                <w:rFonts w:hint="eastAsia" w:hAnsi="宋体" w:cs="宋体"/>
                <w:snapToGrid w:val="0"/>
                <w:color w:val="auto"/>
                <w:kern w:val="0"/>
                <w:sz w:val="24"/>
                <w:szCs w:val="24"/>
                <w:highlight w:val="none"/>
                <w:lang w:val="en-US" w:eastAsia="zh-CN"/>
              </w:rPr>
              <w:t>含专家评标费用，</w:t>
            </w:r>
            <w:r>
              <w:rPr>
                <w:rFonts w:hint="eastAsia" w:ascii="宋体" w:hAnsi="宋体" w:eastAsia="宋体" w:cs="宋体"/>
                <w:snapToGrid w:val="0"/>
                <w:color w:val="auto"/>
                <w:kern w:val="0"/>
                <w:sz w:val="24"/>
                <w:szCs w:val="24"/>
                <w:highlight w:val="none"/>
              </w:rPr>
              <w:t>本项目施工招标代理服务费由中标人支付。该费用不再另行报价，由投标人在投标报价时综合考虑在内。</w:t>
            </w:r>
          </w:p>
          <w:p>
            <w:pPr>
              <w:adjustRightInd w:val="0"/>
              <w:snapToGrid w:val="0"/>
              <w:jc w:val="left"/>
              <w:rPr>
                <w:rStyle w:val="20"/>
                <w:rFonts w:hint="eastAsia" w:ascii="宋体" w:hAnsi="宋体" w:eastAsia="宋体" w:cs="宋体"/>
                <w:color w:val="auto"/>
                <w:kern w:val="0"/>
                <w:sz w:val="24"/>
                <w:szCs w:val="24"/>
                <w:highlight w:val="none"/>
              </w:rPr>
            </w:pPr>
            <w:r>
              <w:rPr>
                <w:rFonts w:hint="eastAsia" w:ascii="宋体" w:hAnsi="宋体" w:eastAsia="宋体" w:cs="宋体"/>
                <w:b/>
                <w:bCs/>
                <w:snapToGrid w:val="0"/>
                <w:color w:val="auto"/>
                <w:kern w:val="0"/>
                <w:sz w:val="24"/>
                <w:szCs w:val="24"/>
                <w:highlight w:val="none"/>
              </w:rPr>
              <w:t>注：参与投标视为认可该条款。</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1</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p>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keepNext w:val="0"/>
              <w:keepLines w:val="0"/>
              <w:pageBreakBefore w:val="0"/>
              <w:widowControl w:val="0"/>
              <w:kinsoku/>
              <w:wordWrap w:val="0"/>
              <w:overflowPunct/>
              <w:topLinePunct w:val="0"/>
              <w:autoSpaceDE/>
              <w:autoSpaceDN/>
              <w:bidi w:val="0"/>
              <w:adjustRightInd w:val="0"/>
              <w:snapToGrid w:val="0"/>
              <w:spacing w:line="400" w:lineRule="exact"/>
              <w:ind w:left="120" w:leftChars="50" w:firstLine="0" w:firstLineChars="0"/>
              <w:jc w:val="left"/>
              <w:textAlignment w:val="auto"/>
              <w:rPr>
                <w:rFonts w:hint="eastAsia" w:hAnsi="宋体" w:cs="宋体"/>
                <w:b w:val="0"/>
                <w:bCs w:val="0"/>
                <w:snapToGrid w:val="0"/>
                <w:color w:val="auto"/>
                <w:kern w:val="0"/>
                <w:szCs w:val="24"/>
                <w:highlight w:val="none"/>
              </w:rPr>
            </w:pPr>
            <w:r>
              <w:rPr>
                <w:rFonts w:hint="eastAsia" w:hAnsi="宋体" w:cs="宋体"/>
                <w:b w:val="0"/>
                <w:bCs w:val="0"/>
                <w:snapToGrid w:val="0"/>
                <w:color w:val="auto"/>
                <w:kern w:val="0"/>
                <w:szCs w:val="24"/>
                <w:highlight w:val="none"/>
              </w:rPr>
              <w:t>单位名称：南雄市国有资产投资有限责任公司</w:t>
            </w:r>
          </w:p>
          <w:p>
            <w:pPr>
              <w:keepNext w:val="0"/>
              <w:keepLines w:val="0"/>
              <w:pageBreakBefore w:val="0"/>
              <w:widowControl w:val="0"/>
              <w:kinsoku/>
              <w:wordWrap w:val="0"/>
              <w:overflowPunct/>
              <w:topLinePunct w:val="0"/>
              <w:autoSpaceDE/>
              <w:autoSpaceDN/>
              <w:bidi w:val="0"/>
              <w:adjustRightInd w:val="0"/>
              <w:snapToGrid w:val="0"/>
              <w:spacing w:line="400" w:lineRule="exact"/>
              <w:ind w:left="120" w:leftChars="50" w:firstLine="0" w:firstLineChars="0"/>
              <w:jc w:val="left"/>
              <w:textAlignment w:val="auto"/>
              <w:rPr>
                <w:rFonts w:hint="eastAsia" w:hAnsi="宋体" w:cs="宋体"/>
                <w:b w:val="0"/>
                <w:bCs w:val="0"/>
                <w:snapToGrid w:val="0"/>
                <w:color w:val="auto"/>
                <w:kern w:val="0"/>
                <w:szCs w:val="24"/>
                <w:highlight w:val="none"/>
              </w:rPr>
            </w:pPr>
            <w:r>
              <w:rPr>
                <w:rFonts w:hint="eastAsia" w:hAnsi="宋体" w:cs="宋体"/>
                <w:b w:val="0"/>
                <w:bCs w:val="0"/>
                <w:snapToGrid w:val="0"/>
                <w:color w:val="auto"/>
                <w:kern w:val="0"/>
                <w:szCs w:val="24"/>
                <w:highlight w:val="none"/>
              </w:rPr>
              <w:t>办公地址：南雄市雄州街道浈江路126号内东侧附楼一、二、五层</w:t>
            </w:r>
          </w:p>
          <w:p>
            <w:pPr>
              <w:keepNext w:val="0"/>
              <w:keepLines w:val="0"/>
              <w:pageBreakBefore w:val="0"/>
              <w:widowControl w:val="0"/>
              <w:kinsoku/>
              <w:wordWrap w:val="0"/>
              <w:overflowPunct/>
              <w:topLinePunct w:val="0"/>
              <w:autoSpaceDE/>
              <w:autoSpaceDN/>
              <w:bidi w:val="0"/>
              <w:adjustRightInd w:val="0"/>
              <w:snapToGrid w:val="0"/>
              <w:spacing w:line="400" w:lineRule="exact"/>
              <w:ind w:left="120" w:leftChars="50" w:firstLine="0" w:firstLineChars="0"/>
              <w:jc w:val="left"/>
              <w:textAlignment w:val="auto"/>
              <w:rPr>
                <w:rFonts w:hint="eastAsia" w:hAnsi="宋体" w:cs="宋体"/>
                <w:b w:val="0"/>
                <w:bCs w:val="0"/>
                <w:snapToGrid w:val="0"/>
                <w:color w:val="auto"/>
                <w:kern w:val="0"/>
                <w:szCs w:val="24"/>
                <w:highlight w:val="none"/>
              </w:rPr>
            </w:pPr>
            <w:r>
              <w:rPr>
                <w:rFonts w:hint="eastAsia" w:hAnsi="宋体" w:cs="宋体"/>
                <w:b w:val="0"/>
                <w:bCs w:val="0"/>
                <w:snapToGrid w:val="0"/>
                <w:color w:val="auto"/>
                <w:kern w:val="0"/>
                <w:szCs w:val="24"/>
                <w:highlight w:val="none"/>
              </w:rPr>
              <w:t>联系人（部门）：朱部长</w:t>
            </w:r>
          </w:p>
          <w:p>
            <w:pPr>
              <w:keepNext w:val="0"/>
              <w:keepLines w:val="0"/>
              <w:pageBreakBefore w:val="0"/>
              <w:widowControl w:val="0"/>
              <w:kinsoku/>
              <w:wordWrap w:val="0"/>
              <w:overflowPunct/>
              <w:topLinePunct w:val="0"/>
              <w:autoSpaceDE/>
              <w:autoSpaceDN/>
              <w:bidi w:val="0"/>
              <w:adjustRightInd w:val="0"/>
              <w:snapToGrid w:val="0"/>
              <w:spacing w:line="400" w:lineRule="exact"/>
              <w:ind w:left="120" w:leftChars="50" w:firstLine="0" w:firstLineChars="0"/>
              <w:jc w:val="left"/>
              <w:textAlignment w:val="auto"/>
              <w:rPr>
                <w:rFonts w:hint="eastAsia" w:ascii="宋体" w:hAnsi="宋体" w:eastAsia="宋体" w:cs="宋体"/>
                <w:color w:val="auto"/>
                <w:kern w:val="0"/>
                <w:sz w:val="24"/>
                <w:szCs w:val="24"/>
                <w:highlight w:val="none"/>
                <w:lang w:val="en-US" w:eastAsia="zh-CN" w:bidi="ar-SA"/>
              </w:rPr>
            </w:pPr>
            <w:r>
              <w:rPr>
                <w:rFonts w:hint="eastAsia" w:hAnsi="宋体" w:cs="宋体"/>
                <w:b w:val="0"/>
                <w:bCs w:val="0"/>
                <w:snapToGrid w:val="0"/>
                <w:color w:val="auto"/>
                <w:kern w:val="0"/>
                <w:szCs w:val="24"/>
                <w:highlight w:val="none"/>
              </w:rPr>
              <w:t>联系电话：0751-3899909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3</w:t>
            </w:r>
            <w:r>
              <w:rPr>
                <w:rStyle w:val="20"/>
                <w:rFonts w:hint="eastAsia" w:hAnsi="宋体" w:cs="宋体"/>
                <w:color w:val="auto"/>
                <w:kern w:val="0"/>
                <w:sz w:val="24"/>
                <w:szCs w:val="24"/>
                <w:highlight w:val="none"/>
                <w:lang w:val="en-US" w:eastAsia="zh-CN"/>
              </w:rPr>
              <w:t>2</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招标代理机构</w:t>
            </w:r>
          </w:p>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单位名称：广东君霖项目管理有限公司</w:t>
            </w:r>
          </w:p>
          <w:p>
            <w:pPr>
              <w:keepNext w:val="0"/>
              <w:keepLines w:val="0"/>
              <w:pageBreakBefore w:val="0"/>
              <w:widowControl w:val="0"/>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办公地址：韶关市曲江区马坝镇安山路35号之一308</w:t>
            </w:r>
          </w:p>
          <w:p>
            <w:pPr>
              <w:keepNext w:val="0"/>
              <w:keepLines w:val="0"/>
              <w:pageBreakBefore w:val="0"/>
              <w:widowControl w:val="0"/>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联系人(部门)：马工</w:t>
            </w:r>
          </w:p>
          <w:p>
            <w:pPr>
              <w:keepNext w:val="0"/>
              <w:keepLines w:val="0"/>
              <w:pageBreakBefore w:val="0"/>
              <w:widowControl w:val="0"/>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lang w:val="en-US" w:eastAsia="zh-CN" w:bidi="ar-SA"/>
              </w:rPr>
            </w:pPr>
            <w:r>
              <w:rPr>
                <w:rFonts w:hint="eastAsia" w:hAnsi="宋体" w:cs="宋体"/>
                <w:snapToGrid w:val="0"/>
                <w:color w:val="auto"/>
                <w:kern w:val="0"/>
                <w:szCs w:val="24"/>
                <w:highlight w:val="none"/>
              </w:rPr>
              <w:t>联系电话：15007510825</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23"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default" w:ascii="宋体" w:hAnsi="宋体" w:eastAsia="宋体" w:cs="宋体"/>
                <w:color w:val="auto"/>
                <w:kern w:val="0"/>
                <w:sz w:val="24"/>
                <w:szCs w:val="24"/>
                <w:highlight w:val="none"/>
                <w:lang w:val="en-US" w:eastAsia="zh-CN" w:bidi="ar-SA"/>
              </w:rPr>
            </w:pPr>
            <w:r>
              <w:rPr>
                <w:rFonts w:hint="eastAsia" w:hAnsi="宋体" w:cs="宋体"/>
                <w:color w:val="auto"/>
                <w:kern w:val="0"/>
                <w:sz w:val="24"/>
                <w:szCs w:val="24"/>
                <w:highlight w:val="none"/>
                <w:lang w:val="en-US" w:eastAsia="zh-CN" w:bidi="ar-SA"/>
              </w:rPr>
              <w:t>33</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交易场所</w:t>
            </w:r>
          </w:p>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单位名称：韶关市公共资源交易中心</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办公地址：</w:t>
            </w:r>
            <w:r>
              <w:rPr>
                <w:rFonts w:hint="eastAsia" w:ascii="宋体" w:hAnsi="宋体" w:eastAsia="宋体" w:cs="宋体"/>
                <w:color w:val="auto"/>
                <w:kern w:val="0"/>
                <w:sz w:val="24"/>
                <w:szCs w:val="24"/>
                <w:highlight w:val="none"/>
                <w:lang w:eastAsia="zh-CN"/>
              </w:rPr>
              <w:t>韶关市公共资源交易中心南雄分中心（南雄市雄东路1号大润发四楼南雄市公共服务中心内）</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联系人：工程交易股</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电话： 0751-3860729</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652" w:hRule="atLeast"/>
          <w:jc w:val="center"/>
        </w:trPr>
        <w:tc>
          <w:tcPr>
            <w:tcW w:w="646" w:type="dxa"/>
            <w:tcBorders>
              <w:top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hAnsi="宋体" w:cs="宋体"/>
                <w:color w:val="auto"/>
                <w:kern w:val="0"/>
                <w:sz w:val="24"/>
                <w:szCs w:val="24"/>
                <w:highlight w:val="none"/>
                <w:lang w:val="en-US" w:eastAsia="zh-CN"/>
              </w:rPr>
              <w:t>34</w:t>
            </w:r>
          </w:p>
        </w:tc>
        <w:tc>
          <w:tcPr>
            <w:tcW w:w="157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snapToGrid w:val="0"/>
              <w:spacing w:line="360" w:lineRule="exact"/>
              <w:jc w:val="center"/>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行政监督部门</w:t>
            </w:r>
          </w:p>
          <w:p>
            <w:pPr>
              <w:snapToGrid w:val="0"/>
              <w:spacing w:line="360" w:lineRule="exact"/>
              <w:jc w:val="center"/>
              <w:rPr>
                <w:rFonts w:hint="eastAsia" w:ascii="宋体" w:hAnsi="宋体" w:eastAsia="宋体" w:cs="宋体"/>
                <w:color w:val="auto"/>
                <w:kern w:val="0"/>
                <w:sz w:val="24"/>
                <w:szCs w:val="24"/>
                <w:highlight w:val="none"/>
                <w:lang w:val="en-US" w:eastAsia="zh-CN" w:bidi="ar-SA"/>
              </w:rPr>
            </w:pPr>
            <w:r>
              <w:rPr>
                <w:rStyle w:val="20"/>
                <w:rFonts w:hint="eastAsia" w:ascii="宋体" w:hAnsi="宋体" w:eastAsia="宋体" w:cs="宋体"/>
                <w:color w:val="auto"/>
                <w:kern w:val="0"/>
                <w:sz w:val="24"/>
                <w:szCs w:val="24"/>
                <w:highlight w:val="none"/>
              </w:rPr>
              <w:t>联系方式</w:t>
            </w:r>
          </w:p>
        </w:tc>
        <w:tc>
          <w:tcPr>
            <w:tcW w:w="7370" w:type="dxa"/>
            <w:tcBorders>
              <w:top w:val="single" w:color="000000" w:sz="4" w:space="0"/>
              <w:left w:val="single" w:color="000000" w:sz="4" w:space="0"/>
              <w:bottom w:val="single" w:color="000000" w:sz="4" w:space="0"/>
            </w:tcBorders>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单位名称：南雄市农业农村局</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办公地址：南雄市沿江西路 98 号</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hAnsi="宋体" w:cs="宋体"/>
                <w:snapToGrid w:val="0"/>
                <w:color w:val="auto"/>
                <w:kern w:val="0"/>
                <w:szCs w:val="24"/>
                <w:highlight w:val="none"/>
              </w:rPr>
            </w:pPr>
            <w:r>
              <w:rPr>
                <w:rFonts w:hint="eastAsia" w:hAnsi="宋体" w:cs="宋体"/>
                <w:snapToGrid w:val="0"/>
                <w:color w:val="auto"/>
                <w:kern w:val="0"/>
                <w:szCs w:val="24"/>
                <w:highlight w:val="none"/>
              </w:rPr>
              <w:t>联系人（部门）：乡村建设与农村社会事业促进股</w:t>
            </w:r>
          </w:p>
          <w:p>
            <w:pPr>
              <w:keepNext w:val="0"/>
              <w:keepLines w:val="0"/>
              <w:pageBreakBefore w:val="0"/>
              <w:widowControl/>
              <w:kinsoku/>
              <w:wordWrap/>
              <w:overflowPunct/>
              <w:topLinePunct w:val="0"/>
              <w:autoSpaceDE/>
              <w:autoSpaceDN/>
              <w:bidi w:val="0"/>
              <w:adjustRightInd/>
              <w:snapToGrid/>
              <w:spacing w:line="400" w:lineRule="exact"/>
              <w:ind w:left="120" w:leftChars="50"/>
              <w:jc w:val="left"/>
              <w:textAlignment w:val="auto"/>
              <w:rPr>
                <w:rFonts w:hint="eastAsia" w:ascii="宋体" w:hAnsi="宋体" w:eastAsia="宋体" w:cs="宋体"/>
                <w:color w:val="auto"/>
                <w:kern w:val="0"/>
                <w:sz w:val="24"/>
                <w:szCs w:val="24"/>
                <w:highlight w:val="none"/>
                <w:lang w:val="en-US" w:eastAsia="zh-CN" w:bidi="ar-SA"/>
              </w:rPr>
            </w:pPr>
            <w:r>
              <w:rPr>
                <w:rFonts w:hint="eastAsia" w:hAnsi="宋体" w:cs="宋体"/>
                <w:snapToGrid w:val="0"/>
                <w:color w:val="auto"/>
                <w:kern w:val="0"/>
                <w:szCs w:val="24"/>
                <w:highlight w:val="none"/>
              </w:rPr>
              <w:t>联系电话：0751-3802620</w:t>
            </w:r>
          </w:p>
        </w:tc>
      </w:tr>
    </w:tbl>
    <w:p>
      <w:pPr>
        <w:pStyle w:val="24"/>
        <w:snapToGrid w:val="0"/>
        <w:spacing w:before="260" w:after="260" w:line="360" w:lineRule="exact"/>
        <w:jc w:val="both"/>
        <w:rPr>
          <w:rStyle w:val="20"/>
          <w:rFonts w:hint="eastAsia" w:ascii="宋体" w:hAnsi="宋体" w:eastAsia="宋体" w:cs="宋体"/>
          <w:b/>
          <w:bCs/>
          <w:color w:val="auto"/>
          <w:highlight w:val="none"/>
        </w:rPr>
        <w:sectPr>
          <w:footerReference r:id="rId7" w:type="default"/>
          <w:endnotePr>
            <w:numFmt w:val="decimal"/>
          </w:endnotePr>
          <w:pgSz w:w="11906" w:h="16838"/>
          <w:pgMar w:top="1247" w:right="1531" w:bottom="1276" w:left="1531" w:header="850" w:footer="547" w:gutter="0"/>
          <w:pgNumType w:start="1"/>
          <w:cols w:space="720" w:num="1"/>
          <w:docGrid w:linePitch="327" w:charSpace="0"/>
        </w:sectPr>
      </w:pPr>
    </w:p>
    <w:p>
      <w:pPr>
        <w:pStyle w:val="24"/>
        <w:snapToGrid w:val="0"/>
        <w:spacing w:after="260" w:line="440" w:lineRule="exact"/>
        <w:jc w:val="center"/>
        <w:outlineLvl w:val="1"/>
        <w:rPr>
          <w:rStyle w:val="20"/>
          <w:rFonts w:hint="eastAsia" w:ascii="宋体" w:hAnsi="宋体" w:eastAsia="宋体" w:cs="宋体"/>
          <w:color w:val="auto"/>
          <w:highlight w:val="none"/>
        </w:rPr>
      </w:pPr>
      <w:bookmarkStart w:id="20" w:name="_Toc11352"/>
      <w:bookmarkStart w:id="21" w:name="_Toc11705"/>
      <w:bookmarkStart w:id="22" w:name="_Toc12413"/>
      <w:bookmarkStart w:id="23" w:name="_Toc4906"/>
      <w:bookmarkStart w:id="24" w:name="_Toc30944"/>
      <w:bookmarkStart w:id="25" w:name="_Toc3663"/>
      <w:bookmarkStart w:id="26" w:name="_Toc30806"/>
      <w:bookmarkStart w:id="27" w:name="_Toc30618"/>
      <w:bookmarkStart w:id="28" w:name="_Toc11396"/>
      <w:bookmarkStart w:id="29" w:name="_Toc32120"/>
      <w:r>
        <w:rPr>
          <w:rStyle w:val="20"/>
          <w:rFonts w:hint="eastAsia" w:ascii="宋体" w:hAnsi="宋体" w:eastAsia="宋体" w:cs="宋体"/>
          <w:b/>
          <w:bCs/>
          <w:color w:val="auto"/>
          <w:highlight w:val="none"/>
        </w:rPr>
        <w:t>第二节 重要事项时间地点一览表</w:t>
      </w:r>
      <w:bookmarkEnd w:id="20"/>
      <w:bookmarkEnd w:id="21"/>
      <w:bookmarkEnd w:id="22"/>
      <w:bookmarkEnd w:id="23"/>
      <w:bookmarkEnd w:id="24"/>
      <w:bookmarkEnd w:id="25"/>
      <w:bookmarkEnd w:id="26"/>
      <w:bookmarkEnd w:id="27"/>
      <w:bookmarkEnd w:id="28"/>
      <w:bookmarkEnd w:id="29"/>
    </w:p>
    <w:tbl>
      <w:tblPr>
        <w:tblStyle w:val="16"/>
        <w:tblW w:w="9513"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17"/>
        <w:gridCol w:w="1806"/>
        <w:gridCol w:w="729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招标公告</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发布时间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15</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18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00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获取招标文</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件截止时间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3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网上提问</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27</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51"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网上答疑</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0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27</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30</w:t>
            </w:r>
            <w:r>
              <w:rPr>
                <w:rFonts w:hint="eastAsia" w:ascii="宋体" w:hAnsi="宋体" w:eastAsia="宋体" w:cs="宋体"/>
                <w:snapToGrid w:val="0"/>
                <w:color w:val="auto"/>
                <w:kern w:val="0"/>
                <w:sz w:val="24"/>
                <w:szCs w:val="24"/>
                <w:highlight w:val="none"/>
              </w:rPr>
              <w:t>分至202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29</w:t>
            </w:r>
            <w:r>
              <w:rPr>
                <w:rFonts w:hint="eastAsia" w:ascii="宋体" w:hAnsi="宋体" w:eastAsia="宋体" w:cs="宋体"/>
                <w:snapToGrid w:val="0"/>
                <w:color w:val="auto"/>
                <w:kern w:val="0"/>
                <w:sz w:val="24"/>
                <w:szCs w:val="24"/>
                <w:highlight w:val="none"/>
              </w:rPr>
              <w:t>日</w:t>
            </w:r>
            <w:r>
              <w:rPr>
                <w:rFonts w:hint="eastAsia" w:ascii="宋体" w:hAnsi="宋体" w:eastAsia="宋体" w:cs="宋体"/>
                <w:snapToGrid w:val="0"/>
                <w:color w:val="auto"/>
                <w:kern w:val="0"/>
                <w:sz w:val="24"/>
                <w:szCs w:val="24"/>
                <w:highlight w:val="none"/>
                <w:u w:val="single"/>
                <w:lang w:val="en-US" w:eastAsia="zh-CN"/>
              </w:rPr>
              <w:t>16</w:t>
            </w:r>
            <w:r>
              <w:rPr>
                <w:rFonts w:hint="eastAsia" w:ascii="宋体" w:hAnsi="宋体" w:eastAsia="宋体" w:cs="宋体"/>
                <w:snapToGrid w:val="0"/>
                <w:color w:val="auto"/>
                <w:kern w:val="0"/>
                <w:sz w:val="24"/>
                <w:szCs w:val="24"/>
                <w:highlight w:val="none"/>
              </w:rPr>
              <w:t>时</w:t>
            </w:r>
            <w:r>
              <w:rPr>
                <w:rFonts w:hint="eastAsia" w:ascii="宋体" w:hAnsi="宋体" w:eastAsia="宋体" w:cs="宋体"/>
                <w:snapToGrid w:val="0"/>
                <w:color w:val="auto"/>
                <w:kern w:val="0"/>
                <w:sz w:val="24"/>
                <w:szCs w:val="24"/>
                <w:highlight w:val="none"/>
                <w:u w:val="single"/>
                <w:lang w:val="en-US" w:eastAsia="zh-CN"/>
              </w:rPr>
              <w:t>00</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0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投标保证缴</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纳截止时间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26"/>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投标保证金到账截止时间：202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p>
            <w:pPr>
              <w:pStyle w:val="26"/>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投标保证担保投保截止时间：202</w:t>
            </w:r>
            <w:r>
              <w:rPr>
                <w:rFonts w:hint="eastAsia" w:ascii="宋体" w:hAnsi="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投标保证保险投保截止时间：202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ascii="宋体"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ascii="宋体"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4"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电子投标</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截止时间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93"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7</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highlight w:val="none"/>
              </w:rPr>
              <w:t>递交时间</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w:t>
            </w:r>
            <w:r>
              <w:rPr>
                <w:rFonts w:hint="eastAsia" w:hAnsi="宋体" w:cs="宋体"/>
                <w:snapToGrid w:val="0"/>
                <w:color w:val="auto"/>
                <w:kern w:val="0"/>
                <w:sz w:val="24"/>
                <w:szCs w:val="24"/>
                <w:highlight w:val="none"/>
                <w:u w:val="single"/>
                <w:lang w:val="en-US" w:eastAsia="zh-CN"/>
              </w:rPr>
              <w:t>0</w:t>
            </w:r>
            <w:r>
              <w:rPr>
                <w:rFonts w:hint="eastAsia" w:ascii="宋体" w:hAnsi="宋体" w:cs="宋体"/>
                <w:snapToGrid w:val="0"/>
                <w:color w:val="auto"/>
                <w:kern w:val="0"/>
                <w:sz w:val="24"/>
                <w:szCs w:val="24"/>
                <w:highlight w:val="none"/>
                <w:u w:val="single"/>
                <w:lang w:val="en-US" w:eastAsia="zh-CN"/>
              </w:rPr>
              <w:t xml:space="preserve">0 </w:t>
            </w:r>
            <w:r>
              <w:rPr>
                <w:rFonts w:hint="eastAsia" w:ascii="宋体" w:hAnsi="宋体" w:eastAsia="宋体" w:cs="宋体"/>
                <w:snapToGrid w:val="0"/>
                <w:color w:val="auto"/>
                <w:kern w:val="0"/>
                <w:sz w:val="24"/>
                <w:szCs w:val="24"/>
                <w:highlight w:val="none"/>
              </w:rPr>
              <w:t>分至202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bookmarkStart w:id="547" w:name="_GoBack"/>
            <w:bookmarkEnd w:id="547"/>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2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8</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highlight w:val="none"/>
              </w:rPr>
            </w:pPr>
            <w:r>
              <w:rPr>
                <w:rFonts w:hint="eastAsia" w:ascii="宋体" w:hAnsi="宋体" w:eastAsia="宋体" w:cs="宋体"/>
                <w:snapToGrid w:val="0"/>
                <w:color w:val="auto"/>
                <w:kern w:val="0"/>
                <w:sz w:val="24"/>
                <w:highlight w:val="none"/>
              </w:rPr>
              <w:t>投标相关资料（如有）</w:t>
            </w:r>
          </w:p>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color w:val="auto"/>
                <w:sz w:val="24"/>
                <w:highlight w:val="none"/>
              </w:rPr>
              <w:t>递交地点</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递交场所：韶关市公共资源交易中心南雄分中心，</w:t>
            </w:r>
          </w:p>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地址：南雄市雄东路1号(大润发)四楼韶关市公共资源交易中心南雄分中心(南雄市公共服务中心内)。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46"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9</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开标时间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keepNext w:val="0"/>
              <w:keepLines w:val="0"/>
              <w:pageBreakBefore w:val="0"/>
              <w:widowControl w:val="0"/>
              <w:kinsoku/>
              <w:wordWrap w:val="0"/>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rPr>
              <w:t>202</w:t>
            </w:r>
            <w:r>
              <w:rPr>
                <w:rFonts w:hint="eastAsia" w:hAnsi="宋体" w:eastAsia="宋体" w:cs="宋体"/>
                <w:snapToGrid w:val="0"/>
                <w:color w:val="auto"/>
                <w:kern w:val="0"/>
                <w:sz w:val="24"/>
                <w:szCs w:val="24"/>
                <w:highlight w:val="none"/>
                <w:lang w:val="en-US" w:eastAsia="zh-CN"/>
              </w:rPr>
              <w:t>6</w:t>
            </w:r>
            <w:r>
              <w:rPr>
                <w:rFonts w:hint="eastAsia" w:ascii="宋体" w:hAnsi="宋体" w:eastAsia="宋体" w:cs="宋体"/>
                <w:snapToGrid w:val="0"/>
                <w:color w:val="auto"/>
                <w:kern w:val="0"/>
                <w:sz w:val="24"/>
                <w:szCs w:val="24"/>
                <w:highlight w:val="none"/>
              </w:rPr>
              <w:t>年</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月</w:t>
            </w:r>
            <w:r>
              <w:rPr>
                <w:rFonts w:hint="eastAsia" w:hAnsi="宋体" w:cs="宋体"/>
                <w:snapToGrid w:val="0"/>
                <w:color w:val="auto"/>
                <w:kern w:val="0"/>
                <w:sz w:val="24"/>
                <w:szCs w:val="24"/>
                <w:highlight w:val="none"/>
                <w:u w:val="single"/>
                <w:lang w:val="en-US" w:eastAsia="zh-CN"/>
              </w:rPr>
              <w:t>7</w:t>
            </w:r>
            <w:r>
              <w:rPr>
                <w:rFonts w:hint="eastAsia" w:ascii="宋体" w:hAnsi="宋体" w:eastAsia="宋体" w:cs="宋体"/>
                <w:snapToGrid w:val="0"/>
                <w:color w:val="auto"/>
                <w:kern w:val="0"/>
                <w:sz w:val="24"/>
                <w:szCs w:val="24"/>
                <w:highlight w:val="none"/>
              </w:rPr>
              <w:t>日</w:t>
            </w:r>
            <w:r>
              <w:rPr>
                <w:rFonts w:hint="eastAsia" w:ascii="宋体" w:hAnsi="宋体" w:cs="宋体"/>
                <w:snapToGrid w:val="0"/>
                <w:color w:val="auto"/>
                <w:kern w:val="0"/>
                <w:sz w:val="24"/>
                <w:szCs w:val="24"/>
                <w:highlight w:val="none"/>
                <w:u w:val="single"/>
                <w:lang w:val="en-US" w:eastAsia="zh-CN"/>
              </w:rPr>
              <w:t xml:space="preserve"> 9 </w:t>
            </w:r>
            <w:r>
              <w:rPr>
                <w:rFonts w:hint="eastAsia" w:ascii="宋体" w:hAnsi="宋体" w:eastAsia="宋体" w:cs="宋体"/>
                <w:snapToGrid w:val="0"/>
                <w:color w:val="auto"/>
                <w:kern w:val="0"/>
                <w:sz w:val="24"/>
                <w:szCs w:val="24"/>
                <w:highlight w:val="none"/>
              </w:rPr>
              <w:t>时</w:t>
            </w:r>
            <w:r>
              <w:rPr>
                <w:rFonts w:hint="eastAsia" w:ascii="宋体" w:hAnsi="宋体" w:cs="宋体"/>
                <w:snapToGrid w:val="0"/>
                <w:color w:val="auto"/>
                <w:kern w:val="0"/>
                <w:sz w:val="24"/>
                <w:szCs w:val="24"/>
                <w:highlight w:val="none"/>
                <w:u w:val="single"/>
                <w:lang w:val="en-US" w:eastAsia="zh-CN"/>
              </w:rPr>
              <w:t xml:space="preserve"> 30 </w:t>
            </w:r>
            <w:r>
              <w:rPr>
                <w:rFonts w:hint="eastAsia" w:ascii="宋体" w:hAnsi="宋体" w:eastAsia="宋体" w:cs="宋体"/>
                <w:snapToGrid w:val="0"/>
                <w:color w:val="auto"/>
                <w:kern w:val="0"/>
                <w:sz w:val="24"/>
                <w:szCs w:val="24"/>
                <w:highlight w:val="none"/>
              </w:rPr>
              <w:t>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410" w:hRule="exact"/>
          <w:jc w:val="center"/>
        </w:trPr>
        <w:tc>
          <w:tcPr>
            <w:tcW w:w="417"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10</w:t>
            </w:r>
          </w:p>
        </w:tc>
        <w:tc>
          <w:tcPr>
            <w:tcW w:w="1806" w:type="dxa"/>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开标地点 </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开标场所：韶关市公共资源交易中心南雄分中心，</w:t>
            </w:r>
          </w:p>
          <w:p>
            <w:pPr>
              <w:keepNext w:val="0"/>
              <w:keepLines w:val="0"/>
              <w:pageBreakBefore w:val="0"/>
              <w:widowControl w:val="0"/>
              <w:kinsoku/>
              <w:overflowPunct/>
              <w:topLinePunct w:val="0"/>
              <w:autoSpaceDE/>
              <w:autoSpaceDN/>
              <w:bidi w:val="0"/>
              <w:adjustRightInd w:val="0"/>
              <w:snapToGrid w:val="0"/>
              <w:spacing w:line="360" w:lineRule="auto"/>
              <w:jc w:val="left"/>
              <w:textAlignment w:val="auto"/>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 w:val="24"/>
                <w:szCs w:val="24"/>
                <w:highlight w:val="none"/>
                <w:lang w:val="en-US" w:eastAsia="zh-CN" w:bidi="ar-SA"/>
              </w:rPr>
              <w:t>地址：南雄市雄东路1号大润发四楼韶关市公共资源交易中心南雄分中心（南雄市公共服务中心内）。</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772" w:hRule="exact"/>
          <w:jc w:val="center"/>
        </w:trPr>
        <w:tc>
          <w:tcPr>
            <w:tcW w:w="2223" w:type="dxa"/>
            <w:gridSpan w:val="2"/>
            <w:tcBorders>
              <w:top w:val="single" w:color="080000" w:sz="4" w:space="0"/>
              <w:left w:val="single" w:color="080000" w:sz="4" w:space="0"/>
              <w:bottom w:val="single" w:color="080000" w:sz="4" w:space="0"/>
              <w:right w:val="single" w:color="080000" w:sz="4" w:space="0"/>
            </w:tcBorders>
            <w:noWrap w:val="0"/>
            <w:vAlign w:val="center"/>
          </w:tcPr>
          <w:p>
            <w:pPr>
              <w:pStyle w:val="26"/>
              <w:wordWrap w:val="0"/>
              <w:adjustRightInd w:val="0"/>
              <w:snapToGrid w:val="0"/>
              <w:spacing w:line="36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c>
          <w:tcPr>
            <w:tcW w:w="7290" w:type="dxa"/>
            <w:tcBorders>
              <w:top w:val="single" w:color="080000" w:sz="4" w:space="0"/>
              <w:left w:val="single" w:color="080000" w:sz="4" w:space="0"/>
              <w:bottom w:val="single" w:color="080000" w:sz="4" w:space="0"/>
              <w:right w:val="single" w:color="080000" w:sz="4" w:space="0"/>
            </w:tcBorders>
            <w:noWrap w:val="0"/>
            <w:vAlign w:val="center"/>
          </w:tcPr>
          <w:p>
            <w:pPr>
              <w:pStyle w:val="4"/>
              <w:wordWrap w:val="0"/>
              <w:adjustRightInd w:val="0"/>
              <w:snapToGrid w:val="0"/>
              <w:spacing w:line="400" w:lineRule="exact"/>
              <w:ind w:firstLine="240" w:firstLineChars="100"/>
              <w:jc w:val="left"/>
              <w:rPr>
                <w:rFonts w:hint="eastAsia" w:ascii="宋体" w:hAnsi="宋体" w:eastAsia="宋体" w:cs="宋体"/>
                <w:snapToGrid w:val="0"/>
                <w:color w:val="auto"/>
                <w:kern w:val="0"/>
                <w:highlight w:val="none"/>
              </w:rPr>
            </w:pPr>
            <w:r>
              <w:rPr>
                <w:rFonts w:hint="eastAsia" w:ascii="宋体" w:hAnsi="宋体" w:eastAsia="宋体" w:cs="宋体"/>
                <w:color w:val="auto"/>
                <w:highlight w:val="none"/>
                <w:shd w:val="clear" w:color="auto" w:fill="FFFFFF"/>
              </w:rPr>
              <w:t>投标人应按有关计划时间安排办理企业CA认证、企业入库等，获取招标文件后</w:t>
            </w:r>
            <w:r>
              <w:rPr>
                <w:rFonts w:hint="eastAsia" w:ascii="宋体" w:hAnsi="宋体" w:eastAsia="宋体" w:cs="宋体"/>
                <w:snapToGrid w:val="0"/>
                <w:color w:val="auto"/>
                <w:kern w:val="0"/>
                <w:highlight w:val="none"/>
              </w:rPr>
              <w:t>自行下载招标文件、资料文件及招标答疑书等。若由于投标人自身原因未能及时取得上述资料的，由此发生的任何责任由投标人自负。</w:t>
            </w:r>
          </w:p>
        </w:tc>
      </w:tr>
    </w:tbl>
    <w:p>
      <w:pPr>
        <w:pStyle w:val="23"/>
        <w:tabs>
          <w:tab w:val="left" w:pos="885"/>
        </w:tabs>
        <w:snapToGrid w:val="0"/>
        <w:spacing w:line="440" w:lineRule="exact"/>
        <w:ind w:left="885" w:hanging="885"/>
        <w:jc w:val="center"/>
        <w:rPr>
          <w:rStyle w:val="20"/>
          <w:rFonts w:hint="eastAsia" w:ascii="宋体" w:hAnsi="宋体" w:eastAsia="宋体" w:cs="宋体"/>
          <w:color w:val="auto"/>
          <w:sz w:val="24"/>
          <w:szCs w:val="24"/>
          <w:highlight w:val="none"/>
        </w:rPr>
        <w:sectPr>
          <w:endnotePr>
            <w:numFmt w:val="decimal"/>
          </w:endnotePr>
          <w:pgSz w:w="11906" w:h="16838"/>
          <w:pgMar w:top="1701" w:right="1531" w:bottom="1417" w:left="1531" w:header="850" w:footer="992" w:gutter="0"/>
          <w:cols w:space="720" w:num="1"/>
          <w:docGrid w:linePitch="327" w:charSpace="0"/>
        </w:sectPr>
      </w:pPr>
    </w:p>
    <w:p>
      <w:pPr>
        <w:pStyle w:val="23"/>
        <w:tabs>
          <w:tab w:val="left" w:pos="885"/>
        </w:tabs>
        <w:snapToGrid w:val="0"/>
        <w:ind w:left="885" w:hanging="885"/>
        <w:jc w:val="center"/>
        <w:outlineLvl w:val="1"/>
        <w:rPr>
          <w:rStyle w:val="20"/>
          <w:rFonts w:hint="eastAsia" w:ascii="宋体" w:hAnsi="宋体" w:eastAsia="宋体" w:cs="宋体"/>
          <w:color w:val="auto"/>
          <w:highlight w:val="none"/>
          <w:u w:val="single"/>
        </w:rPr>
      </w:pPr>
      <w:bookmarkStart w:id="30" w:name="_Toc26764"/>
      <w:bookmarkStart w:id="31" w:name="_Toc5521"/>
      <w:bookmarkStart w:id="32" w:name="_Toc26910"/>
      <w:bookmarkStart w:id="33" w:name="_Toc31767"/>
      <w:bookmarkStart w:id="34" w:name="_Toc4501"/>
      <w:bookmarkStart w:id="35" w:name="_Toc21763"/>
      <w:bookmarkStart w:id="36" w:name="_Toc5177"/>
      <w:bookmarkStart w:id="37" w:name="_Toc7836"/>
      <w:bookmarkStart w:id="38" w:name="_Toc9729"/>
      <w:bookmarkStart w:id="39" w:name="_Toc28559"/>
      <w:r>
        <w:rPr>
          <w:rStyle w:val="20"/>
          <w:rFonts w:hint="eastAsia" w:ascii="宋体" w:hAnsi="宋体" w:eastAsia="宋体" w:cs="宋体"/>
          <w:b/>
          <w:bCs/>
          <w:color w:val="auto"/>
          <w:sz w:val="24"/>
          <w:szCs w:val="24"/>
          <w:highlight w:val="none"/>
        </w:rPr>
        <w:t>第三节 投标人须知正文</w:t>
      </w:r>
      <w:bookmarkEnd w:id="30"/>
      <w:bookmarkEnd w:id="31"/>
      <w:bookmarkEnd w:id="32"/>
      <w:bookmarkEnd w:id="33"/>
      <w:bookmarkEnd w:id="34"/>
      <w:bookmarkEnd w:id="35"/>
      <w:bookmarkEnd w:id="36"/>
      <w:bookmarkEnd w:id="37"/>
      <w:bookmarkEnd w:id="38"/>
      <w:bookmarkEnd w:id="39"/>
    </w:p>
    <w:p>
      <w:pPr>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sz w:val="24"/>
          <w:szCs w:val="24"/>
          <w:highlight w:val="none"/>
          <w:u w:val="single"/>
        </w:rPr>
        <w:t>南雄市乡村振兴和人居环境整治建设项目-南雄市乡村振兴特色产业基础设施建设项目（四期）土建工程</w:t>
      </w:r>
      <w:r>
        <w:rPr>
          <w:rFonts w:hint="eastAsia" w:ascii="宋体" w:hAnsi="宋体" w:cs="宋体"/>
          <w:kern w:val="0"/>
          <w:sz w:val="24"/>
          <w:szCs w:val="22"/>
          <w:highlight w:val="none"/>
        </w:rPr>
        <w:t>业经</w:t>
      </w:r>
      <w:r>
        <w:rPr>
          <w:rFonts w:hint="eastAsia" w:ascii="宋体" w:hAnsi="宋体" w:cs="宋体"/>
          <w:kern w:val="0"/>
          <w:sz w:val="24"/>
          <w:szCs w:val="22"/>
          <w:highlight w:val="none"/>
          <w:u w:val="single"/>
        </w:rPr>
        <w:t>南雄市发展和改革局以《南雄市发展和改革局关于南雄市乡村振兴和人居环境整治建设项目可行性研究报告的批复》雄发改投审〔2022〕20号</w:t>
      </w:r>
      <w:r>
        <w:rPr>
          <w:rFonts w:hint="eastAsia" w:hAnsi="宋体" w:cs="宋体"/>
          <w:kern w:val="0"/>
          <w:sz w:val="24"/>
          <w:szCs w:val="22"/>
          <w:highlight w:val="none"/>
          <w:u w:val="single"/>
          <w:lang w:eastAsia="zh-CN"/>
        </w:rPr>
        <w:t>、</w:t>
      </w:r>
      <w:r>
        <w:rPr>
          <w:rFonts w:hint="eastAsia" w:ascii="宋体" w:hAnsi="宋体" w:cs="宋体"/>
          <w:kern w:val="0"/>
          <w:sz w:val="24"/>
          <w:szCs w:val="22"/>
          <w:highlight w:val="none"/>
          <w:u w:val="single"/>
          <w:lang w:eastAsia="zh-CN"/>
        </w:rPr>
        <w:t>《</w:t>
      </w:r>
      <w:r>
        <w:rPr>
          <w:rFonts w:hint="eastAsia" w:ascii="宋体" w:hAnsi="宋体" w:cs="宋体"/>
          <w:kern w:val="0"/>
          <w:sz w:val="24"/>
          <w:szCs w:val="22"/>
          <w:highlight w:val="none"/>
          <w:u w:val="single"/>
        </w:rPr>
        <w:t>关于</w:t>
      </w:r>
      <w:r>
        <w:rPr>
          <w:rFonts w:hint="eastAsia" w:ascii="宋体" w:hAnsi="宋体" w:cs="宋体"/>
          <w:kern w:val="0"/>
          <w:sz w:val="24"/>
          <w:szCs w:val="22"/>
          <w:highlight w:val="none"/>
          <w:u w:val="single"/>
          <w:lang w:val="en-US" w:eastAsia="zh-CN"/>
        </w:rPr>
        <w:t>调整</w:t>
      </w:r>
      <w:r>
        <w:rPr>
          <w:rFonts w:hint="eastAsia" w:ascii="宋体" w:hAnsi="宋体" w:cs="宋体"/>
          <w:kern w:val="0"/>
          <w:sz w:val="24"/>
          <w:szCs w:val="22"/>
          <w:highlight w:val="none"/>
          <w:u w:val="single"/>
        </w:rPr>
        <w:t>南雄市乡村振兴和人居环境整治建设项目可行性研究报告的批复》</w:t>
      </w:r>
      <w:r>
        <w:rPr>
          <w:rFonts w:hint="eastAsia" w:ascii="宋体" w:hAnsi="宋体" w:cs="宋体"/>
          <w:kern w:val="0"/>
          <w:sz w:val="24"/>
          <w:szCs w:val="22"/>
          <w:highlight w:val="none"/>
          <w:u w:val="single"/>
          <w:lang w:eastAsia="zh-CN"/>
        </w:rPr>
        <w:t>雄发改投审〔2025〕85号</w:t>
      </w:r>
      <w:r>
        <w:rPr>
          <w:rFonts w:hint="eastAsia" w:ascii="宋体" w:hAnsi="宋体" w:cs="宋体"/>
          <w:kern w:val="0"/>
          <w:sz w:val="24"/>
          <w:szCs w:val="22"/>
          <w:highlight w:val="none"/>
        </w:rPr>
        <w:t>批准建设，项目代码为</w:t>
      </w:r>
      <w:r>
        <w:rPr>
          <w:rFonts w:hint="eastAsia" w:ascii="宋体" w:hAnsi="宋体" w:cs="宋体"/>
          <w:kern w:val="0"/>
          <w:sz w:val="24"/>
          <w:szCs w:val="22"/>
          <w:highlight w:val="none"/>
          <w:u w:val="single"/>
        </w:rPr>
        <w:t>2202-440282-04-01-669002。</w:t>
      </w:r>
      <w:r>
        <w:rPr>
          <w:rFonts w:hint="eastAsia" w:ascii="宋体" w:hAnsi="宋体" w:cs="宋体"/>
          <w:kern w:val="0"/>
          <w:sz w:val="24"/>
          <w:szCs w:val="22"/>
          <w:highlight w:val="none"/>
        </w:rPr>
        <w:t>本项目业主为</w:t>
      </w:r>
      <w:r>
        <w:rPr>
          <w:rFonts w:hint="eastAsia" w:ascii="宋体" w:hAnsi="宋体" w:cs="宋体"/>
          <w:kern w:val="0"/>
          <w:sz w:val="24"/>
          <w:szCs w:val="22"/>
          <w:highlight w:val="none"/>
          <w:u w:val="single"/>
        </w:rPr>
        <w:t>南雄市政府投资建设项目代建管理中心</w:t>
      </w:r>
      <w:r>
        <w:rPr>
          <w:rFonts w:hint="eastAsia" w:ascii="宋体" w:hAnsi="宋体" w:cs="宋体"/>
          <w:kern w:val="0"/>
          <w:sz w:val="24"/>
          <w:szCs w:val="22"/>
          <w:highlight w:val="none"/>
        </w:rPr>
        <w:t>，建设资金来源为</w:t>
      </w:r>
      <w:r>
        <w:rPr>
          <w:rFonts w:hint="eastAsia" w:ascii="宋体" w:hAnsi="宋体" w:cs="宋体"/>
          <w:kern w:val="0"/>
          <w:sz w:val="24"/>
          <w:szCs w:val="22"/>
          <w:highlight w:val="none"/>
          <w:u w:val="single"/>
        </w:rPr>
        <w:t>市财政资金，出资比例为100%</w:t>
      </w:r>
      <w:r>
        <w:rPr>
          <w:rFonts w:hint="eastAsia" w:ascii="宋体" w:hAnsi="宋体" w:cs="宋体"/>
          <w:kern w:val="0"/>
          <w:sz w:val="24"/>
          <w:szCs w:val="22"/>
          <w:highlight w:val="none"/>
        </w:rPr>
        <w:t>，</w:t>
      </w:r>
      <w:r>
        <w:rPr>
          <w:rFonts w:hint="eastAsia" w:hAnsi="宋体" w:cs="宋体"/>
          <w:snapToGrid w:val="0"/>
          <w:color w:val="auto"/>
          <w:kern w:val="0"/>
          <w:highlight w:val="none"/>
        </w:rPr>
        <w:t>招标人为</w:t>
      </w:r>
      <w:r>
        <w:rPr>
          <w:rFonts w:hint="eastAsia" w:hAnsi="宋体" w:cs="宋体"/>
          <w:snapToGrid w:val="0"/>
          <w:color w:val="auto"/>
          <w:kern w:val="0"/>
          <w:highlight w:val="none"/>
          <w:u w:val="single"/>
          <w:lang w:eastAsia="zh-CN"/>
        </w:rPr>
        <w:t>南雄市国有资产投资有限责任公司</w:t>
      </w:r>
      <w:r>
        <w:rPr>
          <w:rFonts w:hint="eastAsia" w:hAnsi="宋体" w:cs="宋体"/>
          <w:snapToGrid w:val="0"/>
          <w:color w:val="auto"/>
          <w:kern w:val="0"/>
          <w:highlight w:val="none"/>
        </w:rPr>
        <w:t>，招标代理机构为</w:t>
      </w:r>
      <w:r>
        <w:rPr>
          <w:rFonts w:hint="eastAsia" w:hAnsi="宋体" w:cs="宋体"/>
          <w:snapToGrid w:val="0"/>
          <w:color w:val="auto"/>
          <w:kern w:val="0"/>
          <w:highlight w:val="none"/>
          <w:u w:val="single"/>
          <w:lang w:eastAsia="zh-CN"/>
        </w:rPr>
        <w:t>广东君霖项目管理有限公司</w:t>
      </w:r>
      <w:r>
        <w:rPr>
          <w:rFonts w:hint="eastAsia" w:hAnsi="宋体" w:cs="宋体"/>
          <w:snapToGrid w:val="0"/>
          <w:color w:val="auto"/>
          <w:kern w:val="0"/>
          <w:highlight w:val="none"/>
        </w:rPr>
        <w:t>。项目已具备招标条件，现对该项目的</w:t>
      </w:r>
      <w:r>
        <w:rPr>
          <w:rFonts w:hint="eastAsia" w:hAnsi="宋体" w:cs="宋体"/>
          <w:snapToGrid w:val="0"/>
          <w:color w:val="auto"/>
          <w:kern w:val="0"/>
          <w:highlight w:val="none"/>
          <w:u w:val="single"/>
          <w:lang w:eastAsia="zh-CN"/>
        </w:rPr>
        <w:t>南雄市乡村振兴和人居环境整治建设项目-南雄市乡村振兴特色产业基础设施建设项目（四期）土建工程</w:t>
      </w:r>
      <w:r>
        <w:rPr>
          <w:rFonts w:hint="eastAsia" w:hAnsi="宋体" w:cs="宋体"/>
          <w:snapToGrid w:val="0"/>
          <w:color w:val="auto"/>
          <w:kern w:val="0"/>
          <w:highlight w:val="none"/>
          <w:u w:val="single"/>
          <w:lang w:val="en-US" w:eastAsia="zh-CN"/>
        </w:rPr>
        <w:t>施工</w:t>
      </w:r>
      <w:r>
        <w:rPr>
          <w:rFonts w:hint="eastAsia" w:hAnsi="宋体" w:cs="宋体"/>
          <w:snapToGrid w:val="0"/>
          <w:color w:val="auto"/>
          <w:kern w:val="0"/>
          <w:highlight w:val="none"/>
        </w:rPr>
        <w:t>进行公开招标。</w:t>
      </w: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1．工程概况、招标范围和标段划分、投标费用</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1.1 </w:t>
      </w:r>
      <w:r>
        <w:rPr>
          <w:rStyle w:val="20"/>
          <w:rFonts w:hint="eastAsia" w:ascii="宋体" w:hAnsi="宋体" w:eastAsia="宋体" w:cs="宋体"/>
          <w:color w:val="auto"/>
          <w:kern w:val="0"/>
          <w:sz w:val="24"/>
          <w:szCs w:val="24"/>
          <w:highlight w:val="none"/>
        </w:rPr>
        <w:t>工程概况</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1.1.1</w:t>
      </w:r>
      <w:r>
        <w:rPr>
          <w:rStyle w:val="20"/>
          <w:rFonts w:hint="eastAsia" w:ascii="宋体" w:hAnsi="宋体" w:eastAsia="宋体" w:cs="宋体"/>
          <w:color w:val="auto"/>
          <w:kern w:val="0"/>
          <w:sz w:val="24"/>
          <w:szCs w:val="24"/>
          <w:highlight w:val="none"/>
        </w:rPr>
        <w:t xml:space="preserve"> 建设地点：</w:t>
      </w:r>
      <w:r>
        <w:rPr>
          <w:rStyle w:val="20"/>
          <w:rFonts w:hint="eastAsia" w:ascii="宋体" w:hAnsi="宋体" w:cs="宋体"/>
          <w:color w:val="auto"/>
          <w:kern w:val="0"/>
          <w:sz w:val="24"/>
          <w:szCs w:val="24"/>
          <w:highlight w:val="none"/>
          <w:lang w:eastAsia="zh-CN"/>
        </w:rPr>
        <w:t>南雄市油山镇孔村、黄坑镇小陂村、黄坑镇塘源村</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1.1.2</w:t>
      </w:r>
      <w:r>
        <w:rPr>
          <w:rStyle w:val="20"/>
          <w:rFonts w:hint="eastAsia" w:ascii="宋体" w:hAnsi="宋体" w:eastAsia="宋体" w:cs="宋体"/>
          <w:color w:val="auto"/>
          <w:kern w:val="0"/>
          <w:sz w:val="24"/>
          <w:szCs w:val="24"/>
          <w:highlight w:val="none"/>
        </w:rPr>
        <w:t xml:space="preserve"> 建设内容和规模：</w:t>
      </w:r>
      <w:r>
        <w:rPr>
          <w:rStyle w:val="20"/>
          <w:rFonts w:hint="eastAsia" w:ascii="宋体" w:hAnsi="宋体" w:cs="宋体"/>
          <w:color w:val="auto"/>
          <w:sz w:val="24"/>
          <w:highlight w:val="none"/>
          <w:lang w:val="en-US" w:eastAsia="zh-CN"/>
        </w:rPr>
        <w:t>在油山镇孔村、黄坑镇小陂村、黄坑镇塘源村拟新建3个烤房群共计90座烤房(其中油山镇孔村30座、黄坑镇小陂村40座、黄坑镇塘源村20座)，建设内容包含三通一平、场地硬化、编烟工作棚、围墙大门、电气、排水及其他附属配套设施等。</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1.1.3 </w:t>
      </w:r>
      <w:r>
        <w:rPr>
          <w:rStyle w:val="20"/>
          <w:rFonts w:hint="eastAsia" w:ascii="宋体" w:hAnsi="宋体" w:eastAsia="宋体" w:cs="宋体"/>
          <w:color w:val="auto"/>
          <w:kern w:val="0"/>
          <w:sz w:val="24"/>
          <w:szCs w:val="24"/>
          <w:highlight w:val="none"/>
        </w:rPr>
        <w:t>项目总投资</w:t>
      </w:r>
      <w:r>
        <w:rPr>
          <w:rStyle w:val="20"/>
          <w:rFonts w:hint="eastAsia" w:ascii="宋体" w:hAnsi="宋体" w:eastAsia="宋体" w:cs="宋体"/>
          <w:color w:val="auto"/>
          <w:kern w:val="0"/>
          <w:sz w:val="24"/>
          <w:szCs w:val="24"/>
          <w:highlight w:val="none"/>
          <w:lang w:eastAsia="zh-CN"/>
        </w:rPr>
        <w:t>：</w:t>
      </w:r>
      <w:r>
        <w:rPr>
          <w:rStyle w:val="20"/>
          <w:rFonts w:hint="eastAsia" w:ascii="宋体" w:hAnsi="宋体" w:cs="宋体"/>
          <w:color w:val="auto"/>
          <w:kern w:val="0"/>
          <w:sz w:val="24"/>
          <w:szCs w:val="24"/>
          <w:highlight w:val="none"/>
          <w:lang w:val="en-US" w:eastAsia="zh-CN" w:bidi="ar-SA"/>
        </w:rPr>
        <w:t>项目投资概算为670.86万元，其中建安费用576.13万元，工程建设其他费用62.78万元，预备费31.95万元。</w:t>
      </w:r>
    </w:p>
    <w:p>
      <w:pPr>
        <w:pStyle w:val="27"/>
        <w:snapToGrid w:val="0"/>
        <w:spacing w:line="440" w:lineRule="atLeast"/>
        <w:ind w:firstLine="480"/>
        <w:jc w:val="left"/>
        <w:rPr>
          <w:rStyle w:val="20"/>
          <w:rFonts w:hint="eastAsia" w:ascii="宋体" w:hAnsi="宋体" w:eastAsia="宋体" w:cs="宋体"/>
          <w:b/>
          <w:bCs/>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1.2 </w:t>
      </w:r>
      <w:r>
        <w:rPr>
          <w:rStyle w:val="20"/>
          <w:rFonts w:hint="eastAsia" w:ascii="宋体" w:hAnsi="宋体" w:eastAsia="宋体" w:cs="宋体"/>
          <w:color w:val="auto"/>
          <w:kern w:val="0"/>
          <w:sz w:val="24"/>
          <w:szCs w:val="24"/>
          <w:highlight w:val="none"/>
        </w:rPr>
        <w:t>招标范围和标段划分</w:t>
      </w:r>
    </w:p>
    <w:p>
      <w:pPr>
        <w:pStyle w:val="27"/>
        <w:snapToGrid w:val="0"/>
        <w:spacing w:line="440" w:lineRule="atLeast"/>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1.2.1</w:t>
      </w:r>
      <w:r>
        <w:rPr>
          <w:rStyle w:val="20"/>
          <w:rFonts w:hint="eastAsia" w:ascii="宋体" w:hAnsi="宋体" w:eastAsia="宋体" w:cs="宋体"/>
          <w:color w:val="auto"/>
          <w:kern w:val="0"/>
          <w:sz w:val="24"/>
          <w:szCs w:val="24"/>
          <w:highlight w:val="none"/>
        </w:rPr>
        <w:t xml:space="preserve"> 招标范围：工程量清单及</w:t>
      </w:r>
      <w:r>
        <w:rPr>
          <w:rFonts w:hint="eastAsia" w:ascii="宋体" w:hAnsi="宋体" w:eastAsia="宋体" w:cs="宋体"/>
          <w:snapToGrid w:val="0"/>
          <w:color w:val="auto"/>
          <w:kern w:val="0"/>
          <w:sz w:val="24"/>
          <w:szCs w:val="24"/>
          <w:highlight w:val="none"/>
        </w:rPr>
        <w:t>施工图纸范围内的</w:t>
      </w:r>
      <w:r>
        <w:rPr>
          <w:rFonts w:hint="eastAsia" w:ascii="宋体" w:hAnsi="宋体" w:eastAsia="宋体" w:cs="宋体"/>
          <w:snapToGrid w:val="0"/>
          <w:color w:val="auto"/>
          <w:kern w:val="0"/>
          <w:sz w:val="24"/>
          <w:highlight w:val="none"/>
        </w:rPr>
        <w:t>所有工程</w:t>
      </w:r>
      <w:r>
        <w:rPr>
          <w:rStyle w:val="20"/>
          <w:rFonts w:hint="eastAsia" w:ascii="宋体" w:hAnsi="宋体" w:eastAsia="宋体" w:cs="宋体"/>
          <w:color w:val="auto"/>
          <w:kern w:val="0"/>
          <w:sz w:val="24"/>
          <w:szCs w:val="24"/>
          <w:highlight w:val="none"/>
        </w:rPr>
        <w:t xml:space="preserve">及配套附属工程等施工。 </w:t>
      </w:r>
    </w:p>
    <w:p>
      <w:pPr>
        <w:pStyle w:val="24"/>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1.2.2</w:t>
      </w:r>
      <w:r>
        <w:rPr>
          <w:rStyle w:val="20"/>
          <w:rFonts w:hint="eastAsia" w:ascii="宋体" w:hAnsi="宋体" w:eastAsia="宋体" w:cs="宋体"/>
          <w:color w:val="auto"/>
          <w:highlight w:val="none"/>
        </w:rPr>
        <w:t xml:space="preserve"> 标段划分：本项目不划分标段。</w:t>
      </w:r>
    </w:p>
    <w:p>
      <w:pPr>
        <w:tabs>
          <w:tab w:val="left" w:pos="7020"/>
        </w:tabs>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1.3</w:t>
      </w:r>
      <w:r>
        <w:rPr>
          <w:rStyle w:val="20"/>
          <w:rFonts w:hint="eastAsia" w:ascii="宋体" w:hAnsi="宋体" w:eastAsia="宋体" w:cs="宋体"/>
          <w:color w:val="auto"/>
          <w:kern w:val="0"/>
          <w:highlight w:val="none"/>
        </w:rPr>
        <w:t xml:space="preserve"> 投标费用：投标人应承担所有准备和参加投标的相关费用，不论投标结果如何，招标人均无义务和责任承担这些费用。</w:t>
      </w:r>
    </w:p>
    <w:p>
      <w:pPr>
        <w:pStyle w:val="28"/>
        <w:rPr>
          <w:rStyle w:val="20"/>
          <w:rFonts w:hint="eastAsia" w:ascii="宋体" w:hAnsi="宋体" w:eastAsia="宋体" w:cs="宋体"/>
          <w:color w:val="auto"/>
          <w:highlight w:val="none"/>
        </w:rPr>
      </w:pPr>
    </w:p>
    <w:p>
      <w:pPr>
        <w:pStyle w:val="24"/>
        <w:numPr>
          <w:ilvl w:val="0"/>
          <w:numId w:val="1"/>
        </w:numPr>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投标人资格要求</w:t>
      </w:r>
    </w:p>
    <w:p>
      <w:pPr>
        <w:snapToGrid w:val="0"/>
        <w:ind w:firstLine="482"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本工程不接受联合体投标。</w:t>
      </w:r>
    </w:p>
    <w:p>
      <w:pPr>
        <w:snapToGrid w:val="0"/>
        <w:ind w:firstLine="482"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资格资质要求</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2.2.1</w:t>
      </w:r>
      <w:r>
        <w:rPr>
          <w:rStyle w:val="20"/>
          <w:rFonts w:hint="eastAsia" w:ascii="宋体" w:hAnsi="宋体" w:eastAsia="宋体" w:cs="宋体"/>
          <w:color w:val="auto"/>
          <w:kern w:val="0"/>
          <w:sz w:val="24"/>
          <w:szCs w:val="24"/>
          <w:highlight w:val="none"/>
        </w:rPr>
        <w:t xml:space="preserve"> 投标人须具备独立法人资格，按国家法律经营。</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2.2.2</w:t>
      </w:r>
      <w:r>
        <w:rPr>
          <w:rStyle w:val="20"/>
          <w:rFonts w:hint="eastAsia" w:ascii="宋体" w:hAnsi="宋体" w:eastAsia="宋体" w:cs="宋体"/>
          <w:color w:val="auto"/>
          <w:kern w:val="0"/>
          <w:sz w:val="24"/>
          <w:szCs w:val="24"/>
          <w:highlight w:val="none"/>
        </w:rPr>
        <w:t xml:space="preserve"> 投标人须持有建设行政主管部门颁发的企业资质证书及安全生产许可证。</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rPr>
        <w:t>2.2.3</w:t>
      </w:r>
      <w:r>
        <w:rPr>
          <w:rStyle w:val="20"/>
          <w:rFonts w:hint="eastAsia" w:ascii="宋体" w:hAnsi="宋体" w:eastAsia="宋体" w:cs="宋体"/>
          <w:color w:val="auto"/>
          <w:kern w:val="0"/>
          <w:sz w:val="24"/>
          <w:szCs w:val="24"/>
          <w:highlight w:val="none"/>
        </w:rPr>
        <w:t xml:space="preserve"> 投标人须具备以下资质：</w:t>
      </w:r>
      <w:r>
        <w:rPr>
          <w:rStyle w:val="20"/>
          <w:rFonts w:hint="eastAsia" w:ascii="宋体" w:hAnsi="宋体" w:eastAsia="宋体" w:cs="宋体"/>
          <w:color w:val="auto"/>
          <w:kern w:val="0"/>
          <w:sz w:val="24"/>
          <w:szCs w:val="24"/>
          <w:highlight w:val="none"/>
          <w:lang w:eastAsia="zh-CN"/>
        </w:rPr>
        <w:t>建筑工程施工总承包三级以上（含三级）资质。</w:t>
      </w:r>
    </w:p>
    <w:p>
      <w:pPr>
        <w:pStyle w:val="26"/>
        <w:wordWrap w:val="0"/>
        <w:adjustRightInd w:val="0"/>
        <w:snapToGrid w:val="0"/>
        <w:spacing w:line="360" w:lineRule="auto"/>
        <w:ind w:firstLine="480"/>
        <w:jc w:val="left"/>
        <w:rPr>
          <w:rFonts w:hint="eastAsia" w:ascii="宋体" w:hAnsi="宋体" w:eastAsia="宋体" w:cs="宋体"/>
          <w:snapToGrid w:val="0"/>
          <w:color w:val="auto"/>
          <w:kern w:val="0"/>
          <w:sz w:val="24"/>
          <w:highlight w:val="none"/>
        </w:rPr>
      </w:pPr>
      <w:r>
        <w:rPr>
          <w:rStyle w:val="20"/>
          <w:rFonts w:hint="eastAsia" w:ascii="宋体" w:hAnsi="宋体" w:eastAsia="宋体" w:cs="宋体"/>
          <w:b/>
          <w:bCs/>
          <w:color w:val="auto"/>
          <w:kern w:val="0"/>
          <w:sz w:val="24"/>
          <w:szCs w:val="24"/>
          <w:highlight w:val="none"/>
        </w:rPr>
        <w:t>2.2.4</w:t>
      </w:r>
      <w:r>
        <w:rPr>
          <w:rStyle w:val="20"/>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rPr>
        <w:t>根据有关文件精神，投标人的相关证书到期的，均按该证书的发证机构相关行业主管部门最新文件执行（如自动顺延或推迟办理延期业务的通知），投标人必须将相关文件附在该证书后面，证明在开标日继续有效。</w:t>
      </w:r>
    </w:p>
    <w:p>
      <w:pPr>
        <w:pStyle w:val="26"/>
        <w:wordWrap w:val="0"/>
        <w:adjustRightInd w:val="0"/>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w:t>
      </w:r>
      <w:r>
        <w:rPr>
          <w:rStyle w:val="20"/>
          <w:rFonts w:hint="eastAsia" w:ascii="宋体" w:hAnsi="宋体" w:eastAsia="宋体" w:cs="宋体"/>
          <w:color w:val="auto"/>
          <w:kern w:val="0"/>
          <w:sz w:val="24"/>
          <w:szCs w:val="24"/>
          <w:highlight w:val="none"/>
        </w:rPr>
        <w:t xml:space="preserve"> 相关人员要求</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2.3.1 </w:t>
      </w:r>
      <w:r>
        <w:rPr>
          <w:rFonts w:hint="eastAsia" w:hAnsi="宋体"/>
          <w:color w:val="auto"/>
          <w:highlight w:val="none"/>
        </w:rPr>
        <w:t>拟派项目经理为建筑工程专业一级或二级注册建造师，持有住建部门核准的在使用有效期内的有效电子注册证书（二级注册建造师跨地区执业必须满足广东省住建部门有关规定）。同时均须具备有效安全生产考核合格证明（B证，安全生产考核合格证书或“广东省建筑施工企业管理人员安全生产考核信息系统”考核合格信息打印页），且未担任其他在施（包括已中标未开工、已开工未竣工）建设工程项目的项目经理。</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lang w:eastAsia="zh-CN"/>
        </w:rPr>
      </w:pPr>
      <w:r>
        <w:rPr>
          <w:rStyle w:val="20"/>
          <w:rFonts w:hint="eastAsia" w:ascii="宋体" w:hAnsi="宋体" w:eastAsia="宋体" w:cs="宋体"/>
          <w:b/>
          <w:bCs/>
          <w:color w:val="auto"/>
          <w:kern w:val="0"/>
          <w:sz w:val="24"/>
          <w:szCs w:val="24"/>
          <w:highlight w:val="none"/>
        </w:rPr>
        <w:t>2.3.2</w:t>
      </w:r>
      <w:r>
        <w:rPr>
          <w:rStyle w:val="20"/>
          <w:rFonts w:hint="eastAsia" w:ascii="宋体" w:hAnsi="宋体" w:eastAsia="宋体" w:cs="宋体"/>
          <w:color w:val="auto"/>
          <w:kern w:val="0"/>
          <w:sz w:val="24"/>
          <w:szCs w:val="24"/>
          <w:highlight w:val="none"/>
        </w:rPr>
        <w:t xml:space="preserve"> 拟派项目技术负责人须具备</w:t>
      </w:r>
      <w:r>
        <w:rPr>
          <w:rStyle w:val="20"/>
          <w:rFonts w:hint="eastAsia" w:ascii="宋体" w:hAnsi="宋体" w:eastAsia="宋体" w:cs="宋体"/>
          <w:color w:val="auto"/>
          <w:kern w:val="0"/>
          <w:sz w:val="24"/>
          <w:szCs w:val="24"/>
          <w:highlight w:val="none"/>
          <w:lang w:eastAsia="zh-CN"/>
        </w:rPr>
        <w:t>建筑工程专业类中级以上（含中级）技术职称。</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2.3.3</w:t>
      </w:r>
      <w:r>
        <w:rPr>
          <w:rStyle w:val="20"/>
          <w:rFonts w:hint="eastAsia" w:ascii="宋体" w:hAnsi="宋体" w:eastAsia="宋体" w:cs="宋体"/>
          <w:color w:val="auto"/>
          <w:kern w:val="0"/>
          <w:sz w:val="24"/>
          <w:szCs w:val="24"/>
          <w:highlight w:val="none"/>
        </w:rPr>
        <w:t xml:space="preserve"> 拟派专职安全生产管理人员须具备有效安全生产考核合格证明（C证，安全生产考核合格证书或“广东省建筑施工企业管理人员安全生产考核系统”考核合格信息打印页），且不少于1人。</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2.3.4</w:t>
      </w:r>
      <w:r>
        <w:rPr>
          <w:rStyle w:val="20"/>
          <w:rFonts w:hint="eastAsia" w:ascii="宋体" w:hAnsi="宋体" w:eastAsia="宋体" w:cs="宋体"/>
          <w:color w:val="auto"/>
          <w:kern w:val="0"/>
          <w:sz w:val="24"/>
          <w:szCs w:val="24"/>
          <w:highlight w:val="none"/>
        </w:rPr>
        <w:t xml:space="preserve"> </w:t>
      </w:r>
      <w:r>
        <w:rPr>
          <w:rFonts w:hint="eastAsia" w:ascii="宋体" w:hAnsi="宋体" w:eastAsia="宋体" w:cs="宋体"/>
          <w:snapToGrid w:val="0"/>
          <w:color w:val="auto"/>
          <w:kern w:val="0"/>
          <w:sz w:val="24"/>
          <w:highlight w:val="none"/>
        </w:rPr>
        <w:t>投标人与其拟派往本项目管理机构的所有人员之间必须具备合法、唯一的劳动聘用关系。拟派人员中具备注册执业资格的，其注册单位须与投标人保持一致</w:t>
      </w:r>
      <w:r>
        <w:rPr>
          <w:rStyle w:val="20"/>
          <w:rFonts w:hint="eastAsia" w:ascii="宋体" w:hAnsi="宋体" w:eastAsia="宋体" w:cs="宋体"/>
          <w:color w:val="auto"/>
          <w:kern w:val="0"/>
          <w:sz w:val="24"/>
          <w:szCs w:val="24"/>
          <w:highlight w:val="none"/>
        </w:rPr>
        <w:t>。</w:t>
      </w:r>
    </w:p>
    <w:p>
      <w:pPr>
        <w:pStyle w:val="27"/>
        <w:snapToGrid w:val="0"/>
        <w:spacing w:line="360" w:lineRule="auto"/>
        <w:ind w:firstLine="482"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2.4</w:t>
      </w:r>
      <w:r>
        <w:rPr>
          <w:rStyle w:val="20"/>
          <w:rFonts w:hint="eastAsia" w:ascii="宋体" w:hAnsi="宋体" w:eastAsia="宋体" w:cs="宋体"/>
          <w:color w:val="auto"/>
          <w:kern w:val="0"/>
          <w:sz w:val="24"/>
          <w:szCs w:val="24"/>
          <w:highlight w:val="none"/>
        </w:rPr>
        <w:t xml:space="preserve"> 禁止投标条款</w:t>
      </w:r>
    </w:p>
    <w:p>
      <w:pPr>
        <w:pStyle w:val="27"/>
        <w:snapToGrid w:val="0"/>
        <w:spacing w:line="360" w:lineRule="auto"/>
        <w:ind w:firstLine="48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 xml:space="preserve">2.4.1 </w:t>
      </w:r>
      <w:r>
        <w:rPr>
          <w:rStyle w:val="20"/>
          <w:rFonts w:hint="eastAsia" w:ascii="宋体" w:hAnsi="宋体" w:eastAsia="宋体" w:cs="宋体"/>
          <w:color w:val="auto"/>
          <w:kern w:val="0"/>
          <w:sz w:val="24"/>
          <w:szCs w:val="24"/>
          <w:highlight w:val="none"/>
        </w:rPr>
        <w:t>投标人不得存在下列情形之一：</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（1）为招标人不具有独立法人资格的附属机构（单位）；</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（2）为本招标项目前期准备提供设计或咨询服务的；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（3）与本招标项目的其他投标人为同一个单位负责人；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（4）与本招标项目的其他投标人存在控股、管理关系；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（5）为本招标项目的监理人；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（6）为本招标项目的代建人；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（7）为本招标项目的招标代理机构；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（8）与本招标项目的监理人或代建人或招标代理机构同为一个法定代表人；</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（9）与本招标项目的监理人或代建人或招标代理机构存在控股或参股关系；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（10）与本招标项目的监理人或代建人或招标代理机构存在相互任职或工作关系；</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（11）被依法暂停或者取消投标资格；</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（12）被责令停产停业、暂扣或者吊销许可证、暂扣或者吊销执照；</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（13）进入清算程序，或被宣告破产，或其他丧失履约能力的情形；</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（14）在最近三年内发生重大工程质量或安全问题（以相关行业主管部门的行政处罚决定或司法机关出具的有关法律文书为准）；</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（15）被“信用中国”网站（https://www.creditchina.gov.cn）发布的《法人和非法人组织公共信用信息报告》列为严重失信主体名单的。</w:t>
      </w:r>
    </w:p>
    <w:p>
      <w:pPr>
        <w:snapToGrid w:val="0"/>
        <w:spacing w:line="40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2.4.2</w:t>
      </w:r>
      <w:r>
        <w:rPr>
          <w:rStyle w:val="20"/>
          <w:rFonts w:hint="eastAsia" w:ascii="宋体" w:hAnsi="宋体" w:eastAsia="宋体" w:cs="宋体"/>
          <w:color w:val="auto"/>
          <w:kern w:val="0"/>
          <w:highlight w:val="none"/>
        </w:rPr>
        <w:t xml:space="preserve"> 招标人拒绝以下名单中的单位参加本次投标：</w:t>
      </w:r>
    </w:p>
    <w:tbl>
      <w:tblPr>
        <w:tblStyle w:val="1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3"/>
        <w:gridCol w:w="3771"/>
        <w:gridCol w:w="4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454" w:type="pct"/>
            <w:noWrap w:val="0"/>
            <w:vAlign w:val="center"/>
          </w:tcPr>
          <w:p>
            <w:pPr>
              <w:wordWrap w:val="0"/>
              <w:adjustRightInd w:val="0"/>
              <w:snapToGrid w:val="0"/>
              <w:ind w:right="-218" w:rightChars="-9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983" w:type="pct"/>
            <w:noWrap w:val="0"/>
            <w:vAlign w:val="center"/>
          </w:tcPr>
          <w:p>
            <w:pPr>
              <w:wordWrap w:val="0"/>
              <w:adjustRightInd w:val="0"/>
              <w:snapToGrid w:val="0"/>
              <w:ind w:right="-206" w:rightChars="-86"/>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单位名称</w:t>
            </w:r>
          </w:p>
        </w:tc>
        <w:tc>
          <w:tcPr>
            <w:tcW w:w="2561" w:type="pct"/>
            <w:noWrap w:val="0"/>
            <w:vAlign w:val="center"/>
          </w:tcPr>
          <w:p>
            <w:pPr>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拒绝原因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jc w:val="center"/>
        </w:trPr>
        <w:tc>
          <w:tcPr>
            <w:tcW w:w="454" w:type="pct"/>
            <w:noWrap w:val="0"/>
            <w:vAlign w:val="center"/>
          </w:tcPr>
          <w:p>
            <w:pPr>
              <w:pStyle w:val="26"/>
              <w:wordWrap w:val="0"/>
              <w:adjustRightInd w:val="0"/>
              <w:snapToGrid w:val="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1983"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南雄市政府投资建设项目代建管理中心</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为本招标项目的业主单位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4" w:type="pct"/>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p>
        </w:tc>
        <w:tc>
          <w:tcPr>
            <w:tcW w:w="1983" w:type="pct"/>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lang w:eastAsia="zh-CN"/>
              </w:rPr>
              <w:t>南雄市国有资产投资有限责任公司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为本招标项目的招标人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4" w:type="pct"/>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3</w:t>
            </w:r>
          </w:p>
        </w:tc>
        <w:tc>
          <w:tcPr>
            <w:tcW w:w="1983" w:type="pct"/>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lang w:eastAsia="zh-CN"/>
              </w:rPr>
              <w:t>广东省建筑设计研究院集团股份有限公司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为本招标项目的可行性研究报告编制单位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4" w:type="pct"/>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4</w:t>
            </w:r>
          </w:p>
        </w:tc>
        <w:tc>
          <w:tcPr>
            <w:tcW w:w="1983" w:type="pct"/>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Cs w:val="24"/>
                <w:highlight w:val="none"/>
                <w:lang w:eastAsia="zh-CN"/>
              </w:rPr>
            </w:pPr>
            <w:r>
              <w:rPr>
                <w:rFonts w:hint="eastAsia" w:ascii="宋体" w:hAnsi="宋体" w:eastAsia="宋体" w:cs="宋体"/>
                <w:snapToGrid w:val="0"/>
                <w:color w:val="auto"/>
                <w:kern w:val="0"/>
                <w:szCs w:val="24"/>
                <w:highlight w:val="none"/>
                <w:lang w:eastAsia="zh-CN"/>
              </w:rPr>
              <w:t>湖南中核岩土工程有限责任公司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勘察单位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454" w:type="pct"/>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5</w:t>
            </w:r>
          </w:p>
        </w:tc>
        <w:tc>
          <w:tcPr>
            <w:tcW w:w="1983" w:type="pct"/>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Cs w:val="24"/>
                <w:highlight w:val="none"/>
                <w:lang w:eastAsia="zh-CN"/>
              </w:rPr>
              <w:t>广州建筑产业开发有限公司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设计单位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54" w:type="pct"/>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6</w:t>
            </w:r>
          </w:p>
        </w:tc>
        <w:tc>
          <w:tcPr>
            <w:tcW w:w="1983" w:type="pct"/>
            <w:noWrap w:val="0"/>
            <w:vAlign w:val="center"/>
          </w:tcPr>
          <w:p>
            <w:pPr>
              <w:keepNext w:val="0"/>
              <w:keepLines w:val="0"/>
              <w:pageBreakBefore w:val="0"/>
              <w:kinsoku/>
              <w:overflowPunct/>
              <w:topLinePunct w:val="0"/>
              <w:autoSpaceDE/>
              <w:autoSpaceDN/>
              <w:bidi w:val="0"/>
              <w:snapToGrid w:val="0"/>
              <w:spacing w:line="400" w:lineRule="exact"/>
              <w:ind w:right="0" w:rightChars="0"/>
              <w:jc w:val="center"/>
              <w:rPr>
                <w:rFonts w:hint="eastAsia" w:ascii="宋体" w:hAnsi="宋体" w:eastAsia="宋体" w:cs="宋体"/>
                <w:color w:val="auto"/>
                <w:sz w:val="24"/>
                <w:szCs w:val="24"/>
                <w:highlight w:val="none"/>
                <w:lang w:eastAsia="zh-CN"/>
              </w:rPr>
            </w:pPr>
            <w:r>
              <w:rPr>
                <w:rFonts w:hint="eastAsia" w:hAnsi="宋体" w:eastAsia="宋体"/>
                <w:snapToGrid w:val="0"/>
                <w:color w:val="auto"/>
                <w:kern w:val="0"/>
                <w:highlight w:val="none"/>
                <w:lang w:eastAsia="zh-CN"/>
              </w:rPr>
              <w:t>广东宝骏工程咨询有限公司</w:t>
            </w:r>
          </w:p>
        </w:tc>
        <w:tc>
          <w:tcPr>
            <w:tcW w:w="2561" w:type="pct"/>
            <w:noWrap w:val="0"/>
            <w:vAlign w:val="center"/>
          </w:tcPr>
          <w:p>
            <w:pPr>
              <w:keepNext w:val="0"/>
              <w:keepLines w:val="0"/>
              <w:pageBreakBefore w:val="0"/>
              <w:kinsoku/>
              <w:overflowPunct/>
              <w:topLinePunct w:val="0"/>
              <w:autoSpaceDE/>
              <w:autoSpaceDN/>
              <w:bidi w:val="0"/>
              <w:snapToGrid w:val="0"/>
              <w:spacing w:line="400" w:lineRule="exact"/>
              <w:ind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Style w:val="20"/>
                <w:rFonts w:hint="eastAsia" w:hAnsi="宋体"/>
                <w:color w:val="auto"/>
                <w:kern w:val="0"/>
                <w:highlight w:val="none"/>
              </w:rPr>
              <w:t>造价咨询单位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54" w:type="pct"/>
            <w:shd w:val="clear" w:color="auto" w:fill="auto"/>
            <w:noWrap w:val="0"/>
            <w:vAlign w:val="center"/>
          </w:tcPr>
          <w:p>
            <w:pPr>
              <w:pStyle w:val="26"/>
              <w:wordWrap w:val="0"/>
              <w:adjustRightInd w:val="0"/>
              <w:snapToGrid w:val="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7</w:t>
            </w:r>
          </w:p>
        </w:tc>
        <w:tc>
          <w:tcPr>
            <w:tcW w:w="1983" w:type="pct"/>
            <w:shd w:val="clear" w:color="auto" w:fill="auto"/>
            <w:noWrap w:val="0"/>
            <w:vAlign w:val="center"/>
          </w:tcPr>
          <w:p>
            <w:pPr>
              <w:snapToGrid w:val="0"/>
              <w:spacing w:line="240" w:lineRule="auto"/>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Cs/>
                <w:snapToGrid w:val="0"/>
                <w:color w:val="auto"/>
                <w:kern w:val="0"/>
                <w:sz w:val="24"/>
                <w:szCs w:val="24"/>
                <w:highlight w:val="none"/>
                <w:lang w:val="en-US" w:eastAsia="zh-CN"/>
              </w:rPr>
              <w:t>广东志达建设监理有限公司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w:t>
            </w:r>
            <w:r>
              <w:rPr>
                <w:rFonts w:hint="eastAsia" w:ascii="宋体" w:hAnsi="宋体" w:eastAsia="宋体" w:cs="宋体"/>
                <w:snapToGrid w:val="0"/>
                <w:color w:val="auto"/>
                <w:kern w:val="0"/>
                <w:sz w:val="24"/>
                <w:szCs w:val="24"/>
                <w:highlight w:val="none"/>
                <w:lang w:val="en-US" w:eastAsia="zh-CN"/>
              </w:rPr>
              <w:t>监理单位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454" w:type="pct"/>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983" w:type="pct"/>
            <w:noWrap w:val="0"/>
            <w:vAlign w:val="center"/>
          </w:tcPr>
          <w:p>
            <w:pPr>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snapToGrid w:val="0"/>
                <w:color w:val="auto"/>
                <w:kern w:val="0"/>
                <w:sz w:val="24"/>
                <w:szCs w:val="24"/>
                <w:highlight w:val="none"/>
                <w:lang w:eastAsia="zh-CN"/>
              </w:rPr>
              <w:t>广东君霖项目管理有限公司</w:t>
            </w:r>
          </w:p>
        </w:tc>
        <w:tc>
          <w:tcPr>
            <w:tcW w:w="2561" w:type="pct"/>
            <w:noWrap w:val="0"/>
            <w:vAlign w:val="center"/>
          </w:tcPr>
          <w:p>
            <w:pPr>
              <w:pStyle w:val="26"/>
              <w:keepNext w:val="0"/>
              <w:keepLines w:val="0"/>
              <w:pageBreakBefore w:val="0"/>
              <w:kinsoku/>
              <w:wordWrap w:val="0"/>
              <w:overflowPunct/>
              <w:topLinePunct w:val="0"/>
              <w:autoSpaceDE/>
              <w:autoSpaceDN/>
              <w:bidi w:val="0"/>
              <w:adjustRightInd w:val="0"/>
              <w:snapToGrid w:val="0"/>
              <w:spacing w:line="38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snapToGrid w:val="0"/>
                <w:color w:val="auto"/>
                <w:kern w:val="0"/>
                <w:sz w:val="24"/>
                <w:szCs w:val="24"/>
                <w:highlight w:val="none"/>
              </w:rPr>
              <w:t>为本招标项目的招标代理机构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454" w:type="pct"/>
            <w:noWrap w:val="0"/>
            <w:vAlign w:val="center"/>
          </w:tcPr>
          <w:p>
            <w:pPr>
              <w:pStyle w:val="26"/>
              <w:wordWrap w:val="0"/>
              <w:adjustRightInd w:val="0"/>
              <w:snapToGrid w:val="0"/>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983" w:type="pct"/>
            <w:noWrap w:val="0"/>
            <w:vAlign w:val="center"/>
          </w:tcPr>
          <w:p>
            <w:pPr>
              <w:wordWrap w:val="0"/>
              <w:adjustRightInd w:val="0"/>
              <w:snapToGrid w:val="0"/>
              <w:spacing w:line="400" w:lineRule="exact"/>
              <w:jc w:val="center"/>
              <w:rPr>
                <w:rFonts w:hint="eastAsia" w:ascii="宋体" w:hAnsi="宋体" w:eastAsia="宋体" w:cs="宋体"/>
                <w:color w:val="auto"/>
                <w:sz w:val="24"/>
                <w:szCs w:val="24"/>
                <w:highlight w:val="none"/>
                <w:lang w:eastAsia="zh-CN"/>
              </w:rPr>
            </w:pPr>
            <w:r>
              <w:rPr>
                <w:rFonts w:hint="eastAsia" w:hAnsi="宋体" w:cs="宋体"/>
                <w:snapToGrid w:val="0"/>
                <w:color w:val="auto"/>
                <w:kern w:val="0"/>
                <w:szCs w:val="24"/>
                <w:highlight w:val="none"/>
              </w:rPr>
              <w:t>无</w:t>
            </w:r>
          </w:p>
        </w:tc>
        <w:tc>
          <w:tcPr>
            <w:tcW w:w="2561" w:type="pct"/>
            <w:noWrap w:val="0"/>
            <w:vAlign w:val="center"/>
          </w:tcPr>
          <w:p>
            <w:pPr>
              <w:wordWrap w:val="0"/>
              <w:adjustRightInd w:val="0"/>
              <w:snapToGrid w:val="0"/>
              <w:spacing w:line="400" w:lineRule="exact"/>
              <w:jc w:val="center"/>
              <w:rPr>
                <w:rFonts w:hint="eastAsia" w:ascii="宋体" w:hAnsi="宋体" w:eastAsia="宋体" w:cs="宋体"/>
                <w:color w:val="auto"/>
                <w:sz w:val="24"/>
                <w:szCs w:val="24"/>
                <w:highlight w:val="none"/>
              </w:rPr>
            </w:pPr>
            <w:r>
              <w:rPr>
                <w:rFonts w:hint="eastAsia" w:hAnsi="宋体" w:cs="宋体"/>
                <w:snapToGrid w:val="0"/>
                <w:color w:val="auto"/>
                <w:kern w:val="0"/>
                <w:szCs w:val="24"/>
                <w:highlight w:val="none"/>
              </w:rPr>
              <w:t>为本招标项目上一次招标的中标人，但无正当理由不签订合同，被招标人书面拒绝再次投标。</w:t>
            </w:r>
          </w:p>
        </w:tc>
      </w:tr>
    </w:tbl>
    <w:p>
      <w:pPr>
        <w:snapToGrid w:val="0"/>
        <w:spacing w:line="400" w:lineRule="exact"/>
        <w:ind w:firstLine="480" w:firstLineChars="200"/>
        <w:rPr>
          <w:rStyle w:val="20"/>
          <w:rFonts w:hint="eastAsia" w:ascii="宋体" w:hAnsi="宋体" w:eastAsia="宋体" w:cs="宋体"/>
          <w:color w:val="auto"/>
          <w:kern w:val="0"/>
          <w:highlight w:val="none"/>
        </w:rPr>
      </w:pPr>
    </w:p>
    <w:p>
      <w:pPr>
        <w:pStyle w:val="27"/>
        <w:snapToGrid w:val="0"/>
        <w:spacing w:line="360" w:lineRule="auto"/>
        <w:ind w:firstLine="482"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b/>
          <w:bCs/>
          <w:color w:val="auto"/>
          <w:kern w:val="0"/>
          <w:sz w:val="24"/>
          <w:szCs w:val="24"/>
          <w:highlight w:val="none"/>
        </w:rPr>
        <w:t>2.5</w:t>
      </w:r>
      <w:r>
        <w:rPr>
          <w:rStyle w:val="20"/>
          <w:rFonts w:hint="eastAsia" w:ascii="宋体" w:hAnsi="宋体" w:eastAsia="宋体" w:cs="宋体"/>
          <w:color w:val="auto"/>
          <w:kern w:val="0"/>
          <w:sz w:val="24"/>
          <w:szCs w:val="24"/>
          <w:highlight w:val="none"/>
        </w:rPr>
        <w:t xml:space="preserve"> 其他要求</w:t>
      </w:r>
    </w:p>
    <w:p>
      <w:pPr>
        <w:pStyle w:val="27"/>
        <w:snapToGrid w:val="0"/>
        <w:spacing w:line="360" w:lineRule="auto"/>
        <w:ind w:firstLine="480" w:firstLineChars="200"/>
        <w:jc w:val="left"/>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p>
      <w:pPr>
        <w:pStyle w:val="27"/>
        <w:snapToGrid w:val="0"/>
        <w:spacing w:line="360" w:lineRule="auto"/>
        <w:ind w:firstLine="422" w:firstLineChars="200"/>
        <w:jc w:val="left"/>
        <w:rPr>
          <w:rStyle w:val="20"/>
          <w:rFonts w:hint="eastAsia" w:ascii="宋体" w:hAnsi="宋体" w:eastAsia="宋体" w:cs="宋体"/>
          <w:b/>
          <w:bCs/>
          <w:strike/>
          <w:dstrike w:val="0"/>
          <w:color w:val="auto"/>
          <w:kern w:val="0"/>
          <w:highlight w:val="none"/>
        </w:rPr>
      </w:pPr>
    </w:p>
    <w:p>
      <w:pPr>
        <w:pStyle w:val="24"/>
        <w:numPr>
          <w:ilvl w:val="0"/>
          <w:numId w:val="1"/>
        </w:numPr>
        <w:snapToGrid w:val="0"/>
        <w:ind w:firstLine="480"/>
        <w:jc w:val="both"/>
        <w:rPr>
          <w:rStyle w:val="20"/>
          <w:rFonts w:hint="eastAsia" w:ascii="宋体" w:hAnsi="宋体" w:eastAsia="宋体" w:cs="宋体"/>
          <w:b/>
          <w:bCs/>
          <w:color w:val="auto"/>
          <w:highlight w:val="none"/>
        </w:rPr>
      </w:pPr>
      <w:r>
        <w:rPr>
          <w:rFonts w:hint="eastAsia" w:ascii="宋体" w:hAnsi="宋体" w:eastAsia="宋体" w:cs="宋体"/>
          <w:b/>
          <w:snapToGrid w:val="0"/>
          <w:color w:val="auto"/>
          <w:highlight w:val="none"/>
        </w:rPr>
        <w:t>招标文件的获取、提问和答疑</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3.1 </w:t>
      </w:r>
      <w:r>
        <w:rPr>
          <w:rFonts w:hint="eastAsia" w:ascii="宋体" w:hAnsi="宋体" w:eastAsia="宋体" w:cs="宋体"/>
          <w:snapToGrid w:val="0"/>
          <w:color w:val="auto"/>
          <w:kern w:val="0"/>
          <w:sz w:val="24"/>
          <w:szCs w:val="24"/>
          <w:highlight w:val="none"/>
        </w:rPr>
        <w:t>本次招标实行电子投标。本项目招标文件随招标公告一并在广东省招标投标监管网（</w:t>
      </w:r>
      <w:r>
        <w:rPr>
          <w:rFonts w:hint="eastAsia" w:ascii="宋体" w:hAnsi="宋体" w:eastAsia="宋体" w:cs="宋体"/>
          <w:snapToGrid w:val="0"/>
          <w:color w:val="auto"/>
          <w:kern w:val="0"/>
          <w:sz w:val="24"/>
          <w:szCs w:val="24"/>
          <w:highlight w:val="none"/>
          <w:lang w:eastAsia="zh-CN"/>
        </w:rPr>
        <w:t>http：//zbtb.gd.gov.cn</w:t>
      </w:r>
      <w:r>
        <w:rPr>
          <w:rFonts w:hint="eastAsia" w:ascii="宋体" w:hAnsi="宋体" w:eastAsia="宋体" w:cs="宋体"/>
          <w:snapToGrid w:val="0"/>
          <w:color w:val="auto"/>
          <w:kern w:val="0"/>
          <w:sz w:val="24"/>
          <w:szCs w:val="24"/>
          <w:highlight w:val="none"/>
        </w:rPr>
        <w:t>）、全国公共资源交易平台（广东省·韶关市）（https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网站发布。招标文件一经广东省招标投标监管网、全国公共资源交易平台（广东省·韶关市）发布，视为发送投标人，招标文件及相关附件由投标人自行在全国公共资源交易平台（广东省·韶关市）网站下载。请于招标文件获取期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“重要事项时间地点一览表”）招标文件获取期间与招标公告发布时间一致，投标人须登录全国公共资源交易平台（广东省·韶关市）（https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//ygp.gdzwfw.gov.cn/ggzy-portal/#/440200/index），使用新建设工程交易系统进行下载招标文件及相关附件，并于电子投标截止时间（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“重要事项时间地点一览表”）前完成电子投标。投标人可登录全国公共资源交易平台（广东省·韶关市）（https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投标人操作指南（电子评标）V1.3》，了解网上获取招标文件操作流程。技术咨询电话：18819797080/0751-8379671伍先生，业务咨询电话：0751-8633211、8633071。</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2"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3.2 </w:t>
      </w:r>
      <w:r>
        <w:rPr>
          <w:rFonts w:hint="eastAsia" w:ascii="宋体" w:hAnsi="宋体" w:eastAsia="宋体" w:cs="宋体"/>
          <w:snapToGrid w:val="0"/>
          <w:color w:val="auto"/>
          <w:kern w:val="0"/>
          <w:sz w:val="24"/>
          <w:szCs w:val="24"/>
          <w:highlight w:val="none"/>
        </w:rPr>
        <w:t>只有申领了数字证书（CA）、“粤企签”或GDCA/SZCA/NETCA等符合法律法规规定的电子印章，并在交易系统中完成企业信息数据入库的投标人，方可使用建设工程交易系统进行招标文件及附件获取和电子投标。</w:t>
      </w:r>
    </w:p>
    <w:p>
      <w:pPr>
        <w:keepNext w:val="0"/>
        <w:keepLines w:val="0"/>
        <w:pageBreakBefore w:val="0"/>
        <w:widowControl w:val="0"/>
        <w:tabs>
          <w:tab w:val="left" w:pos="7020"/>
        </w:tabs>
        <w:kinsoku/>
        <w:wordWrap w:val="0"/>
        <w:overflowPunct/>
        <w:topLinePunct w:val="0"/>
        <w:autoSpaceDE/>
        <w:autoSpaceDN/>
        <w:bidi w:val="0"/>
        <w:adjustRightInd/>
        <w:snapToGrid/>
        <w:spacing w:line="40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首次在韶关市参与建设工程招标投标活动的投标人，必须在平台系统上传企业相关资料办理企业入库事宜。投标人可登录全国公共资源交易平台（广东省·韶关市）（https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//ygp.gdzwfw.gov.cn/ggzy-portal/#/440200/index）办理办理企业入库、数字证书及电子印章事宜，具体请在平台查阅相应的交易指引。</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已入库企业有关信息（如单位名称、基本账号、资质、人员等）发生变化的，须及时在交易系统进行相应变更。投标人未及时变更信息而造成的损失和后果，由投标人自行承担。</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3.3</w:t>
      </w:r>
      <w:r>
        <w:rPr>
          <w:rFonts w:hint="eastAsia" w:ascii="宋体" w:hAnsi="宋体" w:eastAsia="宋体" w:cs="宋体"/>
          <w:snapToGrid w:val="0"/>
          <w:color w:val="auto"/>
          <w:kern w:val="0"/>
          <w:sz w:val="24"/>
          <w:szCs w:val="24"/>
          <w:highlight w:val="none"/>
        </w:rPr>
        <w:t xml:space="preserve"> 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3.3.1</w:t>
      </w:r>
      <w:r>
        <w:rPr>
          <w:rFonts w:hint="eastAsia" w:ascii="宋体" w:hAnsi="宋体" w:eastAsia="宋体" w:cs="宋体"/>
          <w:snapToGrid w:val="0"/>
          <w:color w:val="auto"/>
          <w:kern w:val="0"/>
          <w:sz w:val="24"/>
          <w:szCs w:val="24"/>
          <w:highlight w:val="none"/>
        </w:rPr>
        <w:t xml:space="preserve"> 投标人须缴纳金额为人民币</w:t>
      </w:r>
      <w:r>
        <w:rPr>
          <w:rFonts w:hint="eastAsia" w:hAnsi="宋体" w:cs="宋体"/>
          <w:snapToGrid w:val="0"/>
          <w:color w:val="auto"/>
          <w:kern w:val="0"/>
          <w:sz w:val="24"/>
          <w:szCs w:val="24"/>
          <w:highlight w:val="none"/>
          <w:u w:val="single"/>
          <w:lang w:val="en-US" w:eastAsia="zh-CN"/>
        </w:rPr>
        <w:t>伍</w:t>
      </w:r>
      <w:r>
        <w:rPr>
          <w:rFonts w:hint="eastAsia" w:ascii="宋体" w:hAnsi="宋体" w:eastAsia="宋体" w:cs="宋体"/>
          <w:snapToGrid w:val="0"/>
          <w:color w:val="auto"/>
          <w:kern w:val="0"/>
          <w:sz w:val="24"/>
          <w:szCs w:val="24"/>
          <w:highlight w:val="none"/>
          <w:u w:val="single"/>
          <w:lang w:val="en-US" w:eastAsia="zh-CN"/>
        </w:rPr>
        <w:t>万元整</w:t>
      </w:r>
      <w:r>
        <w:rPr>
          <w:rFonts w:hint="eastAsia" w:ascii="宋体" w:hAnsi="宋体" w:eastAsia="宋体" w:cs="宋体"/>
          <w:snapToGrid w:val="0"/>
          <w:color w:val="auto"/>
          <w:kern w:val="0"/>
          <w:sz w:val="24"/>
          <w:szCs w:val="24"/>
          <w:highlight w:val="none"/>
        </w:rPr>
        <w:t>的投标保证。</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3.3.2</w:t>
      </w:r>
      <w:r>
        <w:rPr>
          <w:rFonts w:hint="eastAsia" w:ascii="宋体" w:hAnsi="宋体" w:eastAsia="宋体" w:cs="宋体"/>
          <w:snapToGrid w:val="0"/>
          <w:color w:val="auto"/>
          <w:kern w:val="0"/>
          <w:sz w:val="24"/>
          <w:szCs w:val="24"/>
          <w:highlight w:val="none"/>
        </w:rPr>
        <w:t xml:space="preserve"> 投标保证的形式包括投标保证金、投标保证担保、投标保证保险三种，由投标人自主选择。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（1）采用投标保证金的，投标人在建设工程交易系统获取招标文件完毕后，即可在系统申请缴纳投标保证金，获取本次招标投标保证金缴纳账号。投标人必须于投标保证金到账截止时间（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“重要事项时间地点一览表”）前，从其基本账户将投标保证金转账到指定的缴纳账号。逾期到账的、从非投标人基本账户转出的，其投标无效。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（2）采用投标保证担保的，投标人应提交有效的电子保函或保证保险，电子保函或保证保险的有效期不得短于投标有效期。投标人必须在投标保证担保截止时间（详</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“重要事项时间地点一览表”）前，使用工程建设交易系统完成网上办理电子保函或保证保险。</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（3）采用投标保证保险的，投标人须在投标保证保险投保截止时间（</w:t>
      </w:r>
      <w:r>
        <w:rPr>
          <w:rFonts w:hint="eastAsia" w:ascii="宋体" w:hAnsi="宋体" w:eastAsia="宋体" w:cs="宋体"/>
          <w:snapToGrid w:val="0"/>
          <w:color w:val="auto"/>
          <w:kern w:val="0"/>
          <w:sz w:val="24"/>
          <w:szCs w:val="24"/>
          <w:highlight w:val="none"/>
          <w:lang w:eastAsia="zh-CN"/>
        </w:rPr>
        <w:t>见本招标文件</w:t>
      </w:r>
      <w:r>
        <w:rPr>
          <w:rFonts w:hint="eastAsia" w:ascii="宋体" w:hAnsi="宋体" w:eastAsia="宋体" w:cs="宋体"/>
          <w:snapToGrid w:val="0"/>
          <w:color w:val="auto"/>
          <w:kern w:val="0"/>
          <w:sz w:val="24"/>
          <w:szCs w:val="24"/>
          <w:highlight w:val="none"/>
        </w:rPr>
        <w:t>“重要事项时间地点一览表”）前，使用建设工程交易系统完成网上投保。投标人可在系统选择保险机构、录入投保信息、支付保费、打印电子保单，电子保单的有效期不得短于投标有效期。投标人可登录投标人可登录全国公共资源交易平台（广东省·韶关市）（https</w:t>
      </w:r>
      <w:r>
        <w:rPr>
          <w:rFonts w:hint="eastAsia" w:ascii="宋体" w:hAnsi="宋体" w:eastAsia="宋体" w:cs="宋体"/>
          <w:snapToGrid w:val="0"/>
          <w:color w:val="auto"/>
          <w:kern w:val="0"/>
          <w:sz w:val="24"/>
          <w:szCs w:val="24"/>
          <w:highlight w:val="none"/>
          <w:lang w:eastAsia="zh-CN"/>
        </w:rPr>
        <w:t>：</w:t>
      </w:r>
      <w:r>
        <w:rPr>
          <w:rFonts w:hint="eastAsia" w:ascii="宋体" w:hAnsi="宋体" w:eastAsia="宋体" w:cs="宋体"/>
          <w:snapToGrid w:val="0"/>
          <w:color w:val="auto"/>
          <w:kern w:val="0"/>
          <w:sz w:val="24"/>
          <w:szCs w:val="24"/>
          <w:highlight w:val="none"/>
        </w:rPr>
        <w:t>//ygp.gdzwfw.gov.cn/ggzy-portal/#/440200/index），在【服务指南】栏目中下载《韶关市公共资源建设工程交易系统-投标人操作指南（电子评标）V1.3》，了解网上投保具体操作流程。逾期投保的，其投标无效。</w:t>
      </w:r>
    </w:p>
    <w:p>
      <w:pPr>
        <w:keepNext w:val="0"/>
        <w:keepLines w:val="0"/>
        <w:pageBreakBefore w:val="0"/>
        <w:widowControl w:val="0"/>
        <w:tabs>
          <w:tab w:val="left" w:pos="7020"/>
        </w:tabs>
        <w:kinsoku/>
        <w:wordWrap w:val="0"/>
        <w:overflowPunct/>
        <w:topLinePunct w:val="0"/>
        <w:autoSpaceDE/>
        <w:autoSpaceDN/>
        <w:bidi w:val="0"/>
        <w:adjustRightInd/>
        <w:snapToGrid/>
        <w:spacing w:line="42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温馨提</w:t>
      </w:r>
      <w:r>
        <w:rPr>
          <w:rFonts w:hint="eastAsia" w:ascii="宋体" w:hAnsi="宋体" w:eastAsia="宋体" w:cs="宋体"/>
          <w:snapToGrid w:val="0"/>
          <w:color w:val="auto"/>
          <w:kern w:val="0"/>
          <w:sz w:val="24"/>
          <w:szCs w:val="24"/>
          <w:highlight w:val="none"/>
          <w:lang w:eastAsia="zh-CN"/>
        </w:rPr>
        <w:t>示</w:t>
      </w:r>
      <w:r>
        <w:rPr>
          <w:rFonts w:hint="eastAsia" w:ascii="宋体" w:hAnsi="宋体" w:eastAsia="宋体" w:cs="宋体"/>
          <w:snapToGrid w:val="0"/>
          <w:color w:val="auto"/>
          <w:kern w:val="0"/>
          <w:sz w:val="24"/>
          <w:szCs w:val="24"/>
          <w:highlight w:val="none"/>
        </w:rPr>
        <w:t>：1.投标人采用投标保证担保或投标保证保险的，为避免在评标过程中因有效期发生争议，建议投标人将银行保函或电子保单有效期设置为较招标文件规定的投标有效期延长不少于20个日历天。</w:t>
      </w:r>
    </w:p>
    <w:p>
      <w:pPr>
        <w:pStyle w:val="8"/>
        <w:keepNext w:val="0"/>
        <w:keepLines w:val="0"/>
        <w:pageBreakBefore w:val="0"/>
        <w:widowControl w:val="0"/>
        <w:kinsoku/>
        <w:overflowPunct/>
        <w:topLinePunct w:val="0"/>
        <w:autoSpaceDE/>
        <w:autoSpaceDN/>
        <w:bidi w:val="0"/>
        <w:adjustRightInd/>
        <w:snapToGrid/>
        <w:spacing w:line="420" w:lineRule="exact"/>
        <w:ind w:firstLine="482" w:firstLineChars="200"/>
        <w:rPr>
          <w:rFonts w:hint="eastAsia" w:ascii="宋体" w:hAnsi="宋体" w:eastAsia="宋体" w:cs="宋体"/>
          <w:snapToGrid w:val="0"/>
          <w:color w:val="auto"/>
          <w:sz w:val="24"/>
          <w:szCs w:val="24"/>
          <w:highlight w:val="none"/>
        </w:rPr>
      </w:pPr>
      <w:r>
        <w:rPr>
          <w:rFonts w:hint="eastAsia" w:ascii="宋体" w:hAnsi="宋体" w:eastAsia="宋体" w:cs="宋体"/>
          <w:b/>
          <w:bCs/>
          <w:snapToGrid w:val="0"/>
          <w:color w:val="auto"/>
          <w:sz w:val="24"/>
          <w:szCs w:val="24"/>
          <w:highlight w:val="none"/>
        </w:rPr>
        <w:t>3.4</w:t>
      </w:r>
      <w:r>
        <w:rPr>
          <w:rFonts w:hint="eastAsia" w:ascii="宋体" w:hAnsi="宋体" w:eastAsia="宋体" w:cs="宋体"/>
          <w:snapToGrid w:val="0"/>
          <w:color w:val="auto"/>
          <w:sz w:val="24"/>
          <w:szCs w:val="24"/>
          <w:highlight w:val="none"/>
        </w:rPr>
        <w:t xml:space="preserve"> 若投标人因自身原因未能正确获取招标文件、电子投标、缴纳投标保证的，其投标无效。</w:t>
      </w:r>
    </w:p>
    <w:p>
      <w:pPr>
        <w:tabs>
          <w:tab w:val="left" w:pos="7020"/>
        </w:tabs>
        <w:snapToGrid w:val="0"/>
        <w:spacing w:line="440" w:lineRule="exact"/>
        <w:ind w:firstLine="482" w:firstLineChars="200"/>
        <w:rPr>
          <w:rStyle w:val="20"/>
          <w:rFonts w:hint="eastAsia" w:ascii="宋体" w:hAnsi="宋体" w:eastAsia="宋体" w:cs="宋体"/>
          <w:b/>
          <w:bCs/>
          <w:color w:val="auto"/>
          <w:kern w:val="0"/>
          <w:highlight w:val="none"/>
        </w:rPr>
      </w:pP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工期要求</w:t>
      </w:r>
    </w:p>
    <w:p>
      <w:pPr>
        <w:tabs>
          <w:tab w:val="left" w:pos="7020"/>
        </w:tabs>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hAnsi="宋体"/>
          <w:color w:val="auto"/>
          <w:kern w:val="0"/>
          <w:highlight w:val="none"/>
          <w:lang w:eastAsia="zh-CN"/>
        </w:rPr>
        <w:t>本招标项目施工招标工期为90个日历天</w:t>
      </w:r>
      <w:r>
        <w:rPr>
          <w:rStyle w:val="20"/>
          <w:rFonts w:hint="eastAsia" w:ascii="宋体" w:hAnsi="宋体" w:eastAsia="宋体" w:cs="宋体"/>
          <w:color w:val="auto"/>
          <w:kern w:val="0"/>
          <w:highlight w:val="none"/>
        </w:rPr>
        <w:t>，中标人必须在招标工期内完成本工程招标范围内的全部内容。</w:t>
      </w:r>
    </w:p>
    <w:p>
      <w:pPr>
        <w:tabs>
          <w:tab w:val="left" w:pos="7020"/>
        </w:tabs>
        <w:snapToGrid w:val="0"/>
        <w:spacing w:line="440" w:lineRule="exact"/>
        <w:ind w:firstLine="482" w:firstLineChars="200"/>
        <w:rPr>
          <w:rStyle w:val="20"/>
          <w:rFonts w:hint="eastAsia" w:ascii="宋体" w:hAnsi="宋体" w:eastAsia="宋体" w:cs="宋体"/>
          <w:b/>
          <w:bCs/>
          <w:color w:val="auto"/>
          <w:kern w:val="0"/>
          <w:highlight w:val="none"/>
        </w:rPr>
      </w:pP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质量标准和材料、机械要求</w:t>
      </w:r>
    </w:p>
    <w:p>
      <w:pPr>
        <w:snapToGrid w:val="0"/>
        <w:spacing w:before="120" w:after="120"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5.1 </w:t>
      </w:r>
      <w:r>
        <w:rPr>
          <w:rStyle w:val="20"/>
          <w:rFonts w:hint="eastAsia" w:ascii="宋体" w:hAnsi="宋体" w:eastAsia="宋体" w:cs="宋体"/>
          <w:color w:val="auto"/>
          <w:kern w:val="0"/>
          <w:highlight w:val="none"/>
        </w:rPr>
        <w:t>施工工艺严格按照国家和广东省的有关现行施工技术规范及标准执行，工程质量标准</w:t>
      </w:r>
      <w:r>
        <w:rPr>
          <w:rFonts w:hint="eastAsia" w:ascii="宋体" w:hAnsi="宋体" w:eastAsia="宋体" w:cs="宋体"/>
          <w:snapToGrid w:val="0"/>
          <w:color w:val="auto"/>
          <w:kern w:val="0"/>
          <w:highlight w:val="none"/>
        </w:rPr>
        <w:t>须达到</w:t>
      </w:r>
      <w:r>
        <w:rPr>
          <w:rFonts w:hint="eastAsia" w:ascii="宋体" w:hAnsi="宋体" w:eastAsia="宋体" w:cs="宋体"/>
          <w:bCs/>
          <w:snapToGrid w:val="0"/>
          <w:color w:val="auto"/>
          <w:kern w:val="0"/>
          <w:highlight w:val="none"/>
          <w:u w:val="single"/>
        </w:rPr>
        <w:t>《建筑工程施工质量验收统一标准》(GB50300-2013)</w:t>
      </w:r>
      <w:r>
        <w:rPr>
          <w:rFonts w:hint="eastAsia" w:ascii="宋体" w:hAnsi="宋体" w:eastAsia="宋体" w:cs="宋体"/>
          <w:snapToGrid w:val="0"/>
          <w:color w:val="auto"/>
          <w:kern w:val="0"/>
          <w:highlight w:val="none"/>
          <w:u w:val="single"/>
        </w:rPr>
        <w:t>合格</w:t>
      </w:r>
      <w:r>
        <w:rPr>
          <w:rStyle w:val="20"/>
          <w:rFonts w:hint="eastAsia" w:hAnsi="宋体"/>
          <w:color w:val="auto"/>
          <w:kern w:val="0"/>
          <w:highlight w:val="none"/>
          <w:lang w:eastAsia="zh-CN"/>
        </w:rPr>
        <w:t>，</w:t>
      </w:r>
      <w:r>
        <w:rPr>
          <w:rFonts w:hint="eastAsia" w:ascii="宋体" w:hAnsi="宋体" w:eastAsia="宋体" w:cs="宋体"/>
          <w:color w:val="auto"/>
          <w:highlight w:val="none"/>
        </w:rPr>
        <w:t>如未达到合格标准，则按合同价款的</w:t>
      </w:r>
      <w:r>
        <w:rPr>
          <w:rFonts w:hint="eastAsia" w:ascii="宋体" w:hAnsi="宋体" w:eastAsia="宋体" w:cs="宋体"/>
          <w:color w:val="auto"/>
          <w:highlight w:val="none"/>
          <w:u w:val="single"/>
        </w:rPr>
        <w:t xml:space="preserve">1 </w:t>
      </w:r>
      <w:r>
        <w:rPr>
          <w:rFonts w:hint="eastAsia" w:ascii="宋体" w:hAnsi="宋体" w:eastAsia="宋体" w:cs="宋体"/>
          <w:color w:val="auto"/>
          <w:highlight w:val="none"/>
        </w:rPr>
        <w:t>%向招标人返纳质量违约金，并由中标人负责返修至达到</w:t>
      </w:r>
      <w:r>
        <w:rPr>
          <w:rFonts w:hint="eastAsia" w:ascii="宋体" w:hAnsi="宋体" w:eastAsia="宋体" w:cs="宋体"/>
          <w:b/>
          <w:bCs/>
          <w:color w:val="auto"/>
          <w:highlight w:val="none"/>
          <w:u w:val="single"/>
        </w:rPr>
        <w:t>合格标准</w:t>
      </w:r>
      <w:r>
        <w:rPr>
          <w:rFonts w:hint="eastAsia" w:ascii="宋体" w:hAnsi="宋体" w:eastAsia="宋体" w:cs="宋体"/>
          <w:color w:val="auto"/>
          <w:highlight w:val="none"/>
        </w:rPr>
        <w:t>，返修费用由中标人承担，同时承担所有的责任及经济损失。</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5.2</w:t>
      </w:r>
      <w:r>
        <w:rPr>
          <w:rStyle w:val="20"/>
          <w:rFonts w:hint="eastAsia" w:ascii="宋体" w:hAnsi="宋体" w:eastAsia="宋体" w:cs="宋体"/>
          <w:color w:val="auto"/>
          <w:kern w:val="0"/>
          <w:highlight w:val="none"/>
        </w:rPr>
        <w:t xml:space="preserve"> 中标人在施工中如果工程质量不符合设计要求和有关规定，招标人或监理单位要求停工和返工的必须立即执行，并承担由此产生的各种费用，工期不予顺延。</w:t>
      </w:r>
    </w:p>
    <w:p>
      <w:pPr>
        <w:snapToGrid w:val="0"/>
        <w:spacing w:line="440" w:lineRule="exact"/>
        <w:ind w:firstLine="57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5.3</w:t>
      </w:r>
      <w:r>
        <w:rPr>
          <w:rStyle w:val="20"/>
          <w:rFonts w:hint="eastAsia" w:ascii="宋体" w:hAnsi="宋体" w:eastAsia="宋体" w:cs="宋体"/>
          <w:color w:val="auto"/>
          <w:kern w:val="0"/>
          <w:highlight w:val="none"/>
        </w:rPr>
        <w:t xml:space="preserve"> 保修期限按《建设工程质量管理条例》（中华人民共和国国务院令第279号）规定执行，在保修期内因施工质量问题而造成返修，一切费用由中标人负责。中标人在向招标人提交竣工验收报告时，应当向招标人出具质量保修书。质量保修书中应当明确建设工程的保修范围、保修期限和保修责任等。</w:t>
      </w:r>
    </w:p>
    <w:p>
      <w:pPr>
        <w:snapToGrid w:val="0"/>
        <w:spacing w:line="440" w:lineRule="exact"/>
        <w:ind w:firstLine="561"/>
        <w:rPr>
          <w:rStyle w:val="20"/>
          <w:rFonts w:hint="eastAsia" w:ascii="宋体" w:hAnsi="宋体" w:eastAsia="宋体" w:cs="宋体"/>
          <w:i/>
          <w:iCs/>
          <w:color w:val="auto"/>
          <w:kern w:val="0"/>
          <w:highlight w:val="none"/>
        </w:rPr>
      </w:pPr>
      <w:r>
        <w:rPr>
          <w:rStyle w:val="20"/>
          <w:rFonts w:hint="eastAsia" w:ascii="宋体" w:hAnsi="宋体" w:eastAsia="宋体" w:cs="宋体"/>
          <w:b/>
          <w:bCs/>
          <w:color w:val="auto"/>
          <w:kern w:val="0"/>
          <w:highlight w:val="none"/>
        </w:rPr>
        <w:t>5.4</w:t>
      </w:r>
      <w:r>
        <w:rPr>
          <w:rStyle w:val="20"/>
          <w:rFonts w:hint="eastAsia" w:ascii="宋体" w:hAnsi="宋体" w:eastAsia="宋体" w:cs="宋体"/>
          <w:color w:val="auto"/>
          <w:kern w:val="0"/>
          <w:highlight w:val="none"/>
        </w:rPr>
        <w:t xml:space="preserve"> 工程使用的主要材料质量要求不低于招标工程量清单所列的要求。主要材料必须先提供样板给招标人确定其颜色、等级、品牌等，</w:t>
      </w:r>
      <w:r>
        <w:rPr>
          <w:rStyle w:val="20"/>
          <w:rFonts w:hint="eastAsia" w:ascii="宋体" w:hAnsi="宋体" w:eastAsia="宋体" w:cs="宋体"/>
          <w:color w:val="auto"/>
          <w:kern w:val="0"/>
          <w:highlight w:val="none"/>
          <w:lang w:val="zh-CN"/>
        </w:rPr>
        <w:t>并经检测部门检测合格</w:t>
      </w:r>
      <w:r>
        <w:rPr>
          <w:rStyle w:val="20"/>
          <w:rFonts w:hint="eastAsia" w:ascii="宋体" w:hAnsi="宋体" w:eastAsia="宋体" w:cs="宋体"/>
          <w:color w:val="auto"/>
          <w:kern w:val="0"/>
          <w:highlight w:val="none"/>
        </w:rPr>
        <w:t>方可使用，所有材料必须使用合格产品。</w:t>
      </w:r>
    </w:p>
    <w:p>
      <w:pPr>
        <w:keepNext w:val="0"/>
        <w:keepLines w:val="0"/>
        <w:pageBreakBefore w:val="0"/>
        <w:widowControl/>
        <w:kinsoku/>
        <w:wordWrap w:val="0"/>
        <w:overflowPunct/>
        <w:topLinePunct w:val="0"/>
        <w:autoSpaceDE/>
        <w:autoSpaceDN/>
        <w:bidi w:val="0"/>
        <w:adjustRightInd/>
        <w:snapToGrid w:val="0"/>
        <w:spacing w:line="440" w:lineRule="exact"/>
        <w:ind w:firstLine="482" w:firstLineChars="200"/>
        <w:textAlignment w:val="baseline"/>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5.5 </w:t>
      </w:r>
      <w:r>
        <w:rPr>
          <w:rStyle w:val="20"/>
          <w:rFonts w:hint="eastAsia" w:hAnsi="宋体" w:cs="宋体"/>
          <w:color w:val="auto"/>
          <w:kern w:val="0"/>
          <w:sz w:val="24"/>
          <w:szCs w:val="24"/>
          <w:highlight w:val="none"/>
          <w:lang w:val="en-US" w:eastAsia="zh-CN" w:bidi="ar-SA"/>
        </w:rPr>
        <w:t>本招标项目不纳入绿色建筑实施范围。</w:t>
      </w:r>
    </w:p>
    <w:p>
      <w:pPr>
        <w:snapToGrid w:val="0"/>
        <w:spacing w:line="440" w:lineRule="exact"/>
        <w:ind w:firstLine="482" w:firstLineChars="200"/>
        <w:rPr>
          <w:rFonts w:hint="eastAsia" w:ascii="宋体" w:hAnsi="宋体" w:eastAsia="宋体" w:cs="宋体"/>
          <w:color w:val="auto"/>
          <w:highlight w:val="none"/>
        </w:rPr>
      </w:pPr>
      <w:r>
        <w:rPr>
          <w:rStyle w:val="20"/>
          <w:rFonts w:hint="eastAsia" w:ascii="宋体" w:hAnsi="宋体" w:eastAsia="宋体" w:cs="宋体"/>
          <w:b/>
          <w:bCs/>
          <w:color w:val="auto"/>
          <w:kern w:val="0"/>
          <w:highlight w:val="none"/>
        </w:rPr>
        <w:t>5.6</w:t>
      </w:r>
      <w:r>
        <w:rPr>
          <w:rFonts w:hint="eastAsia" w:ascii="宋体" w:hAnsi="宋体" w:eastAsia="宋体" w:cs="宋体"/>
          <w:snapToGrid w:val="0"/>
          <w:color w:val="auto"/>
          <w:kern w:val="0"/>
          <w:highlight w:val="none"/>
        </w:rPr>
        <w:t>本招标项目不纳入装配式建造建设实施范围。</w:t>
      </w:r>
    </w:p>
    <w:p>
      <w:pPr>
        <w:pStyle w:val="29"/>
        <w:spacing w:line="440" w:lineRule="exact"/>
        <w:ind w:firstLine="482" w:firstLineChars="200"/>
        <w:rPr>
          <w:rStyle w:val="20"/>
          <w:rFonts w:hint="eastAsia" w:ascii="宋体" w:hAnsi="宋体" w:eastAsia="宋体" w:cs="宋体"/>
          <w:color w:val="auto"/>
          <w:sz w:val="24"/>
          <w:szCs w:val="24"/>
          <w:highlight w:val="none"/>
          <w:u w:val="single"/>
        </w:rPr>
      </w:pPr>
      <w:r>
        <w:rPr>
          <w:rStyle w:val="20"/>
          <w:rFonts w:hint="eastAsia" w:ascii="宋体" w:hAnsi="宋体" w:eastAsia="宋体" w:cs="宋体"/>
          <w:b/>
          <w:bCs/>
          <w:color w:val="auto"/>
          <w:sz w:val="24"/>
          <w:szCs w:val="24"/>
          <w:highlight w:val="none"/>
        </w:rPr>
        <w:t xml:space="preserve">5.7 </w:t>
      </w:r>
      <w:r>
        <w:rPr>
          <w:rStyle w:val="20"/>
          <w:rFonts w:hint="eastAsia" w:ascii="宋体" w:hAnsi="宋体" w:eastAsia="宋体" w:cs="宋体"/>
          <w:color w:val="auto"/>
          <w:sz w:val="24"/>
          <w:szCs w:val="24"/>
          <w:highlight w:val="none"/>
        </w:rPr>
        <w:t>其它：本招标文件（包括答疑纪要、补充及修改文件）中招标人对材料或设备有明确要求的，投标人必须响应招标人要求，如投标人在投标文件未明确响应者视为默认；或投标人在投标文件中的虽有响应但不符合招标人要求的，视为无效响应，中标后必须按招标人要求执行。如招标人在招标文件中对材料或设备没有明确要求，则中标人必须使用合格材料或设备，主要材料和设备在使用之前通知监理工程师验收，经验收合格后方可使用。</w:t>
      </w:r>
    </w:p>
    <w:p>
      <w:pPr>
        <w:spacing w:line="440" w:lineRule="exact"/>
        <w:ind w:firstLine="402" w:firstLineChars="200"/>
        <w:rPr>
          <w:rStyle w:val="20"/>
          <w:rFonts w:hint="eastAsia" w:ascii="宋体" w:hAnsi="宋体" w:eastAsia="宋体" w:cs="宋体"/>
          <w:color w:val="auto"/>
          <w:highlight w:val="none"/>
        </w:rPr>
      </w:pPr>
      <w:r>
        <w:rPr>
          <w:rFonts w:hint="eastAsia" w:ascii="宋体" w:hAnsi="宋体" w:eastAsia="宋体" w:cs="宋体"/>
          <w:b/>
          <w:bCs/>
          <w:color w:val="auto"/>
          <w:kern w:val="0"/>
          <w:sz w:val="20"/>
          <w:szCs w:val="20"/>
          <w:highlight w:val="none"/>
        </w:rPr>
        <w:t xml:space="preserve"> </w:t>
      </w:r>
      <w:r>
        <w:rPr>
          <w:rFonts w:hint="eastAsia" w:ascii="宋体" w:hAnsi="宋体" w:eastAsia="宋体" w:cs="宋体"/>
          <w:b/>
          <w:bCs/>
          <w:snapToGrid w:val="0"/>
          <w:color w:val="auto"/>
          <w:kern w:val="0"/>
          <w:highlight w:val="none"/>
        </w:rPr>
        <w:t xml:space="preserve">5.8 </w:t>
      </w:r>
      <w:r>
        <w:rPr>
          <w:rFonts w:hint="eastAsia" w:ascii="宋体" w:hAnsi="宋体" w:eastAsia="宋体" w:cs="宋体"/>
          <w:snapToGrid w:val="0"/>
          <w:color w:val="auto"/>
          <w:kern w:val="0"/>
          <w:highlight w:val="none"/>
        </w:rPr>
        <w:t>工程使用的主要材料质量要求：不低于强制标准所列的要求，主要材料必须先提供样板或相关资料给招标人同意确定其规格、型号、颜色、等级等，</w:t>
      </w:r>
      <w:r>
        <w:rPr>
          <w:rFonts w:hint="eastAsia" w:ascii="宋体" w:hAnsi="宋体" w:eastAsia="宋体" w:cs="宋体"/>
          <w:snapToGrid w:val="0"/>
          <w:color w:val="auto"/>
          <w:kern w:val="0"/>
          <w:highlight w:val="none"/>
          <w:lang w:val="zh-CN"/>
        </w:rPr>
        <w:t>并经</w:t>
      </w:r>
      <w:r>
        <w:rPr>
          <w:rFonts w:hint="eastAsia" w:ascii="宋体" w:hAnsi="宋体" w:eastAsia="宋体" w:cs="宋体"/>
          <w:snapToGrid w:val="0"/>
          <w:color w:val="auto"/>
          <w:kern w:val="0"/>
          <w:highlight w:val="none"/>
        </w:rPr>
        <w:t>招标</w:t>
      </w:r>
      <w:r>
        <w:rPr>
          <w:rFonts w:hint="eastAsia" w:ascii="宋体" w:hAnsi="宋体" w:eastAsia="宋体" w:cs="宋体"/>
          <w:snapToGrid w:val="0"/>
          <w:color w:val="auto"/>
          <w:kern w:val="0"/>
          <w:highlight w:val="none"/>
          <w:lang w:val="zh-CN"/>
        </w:rPr>
        <w:t>人委托的第三方检测部门检测合格</w:t>
      </w:r>
      <w:r>
        <w:rPr>
          <w:rFonts w:hint="eastAsia" w:ascii="宋体" w:hAnsi="宋体" w:eastAsia="宋体" w:cs="宋体"/>
          <w:snapToGrid w:val="0"/>
          <w:color w:val="auto"/>
          <w:kern w:val="0"/>
          <w:highlight w:val="none"/>
        </w:rPr>
        <w:t>方可使用，所有材料必须使用合格产品。</w:t>
      </w:r>
    </w:p>
    <w:p>
      <w:pPr>
        <w:pStyle w:val="24"/>
        <w:numPr>
          <w:ilvl w:val="0"/>
          <w:numId w:val="1"/>
        </w:numPr>
        <w:snapToGrid w:val="0"/>
        <w:spacing w:line="440" w:lineRule="exact"/>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施工条件及现场踏勘</w:t>
      </w:r>
    </w:p>
    <w:p>
      <w:pPr>
        <w:pStyle w:val="30"/>
        <w:snapToGrid w:val="0"/>
        <w:spacing w:line="440" w:lineRule="exact"/>
        <w:ind w:firstLine="48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6.1</w:t>
      </w:r>
      <w:r>
        <w:rPr>
          <w:rStyle w:val="20"/>
          <w:rFonts w:hint="eastAsia" w:ascii="宋体" w:hAnsi="宋体" w:eastAsia="宋体" w:cs="宋体"/>
          <w:color w:val="auto"/>
          <w:kern w:val="0"/>
          <w:highlight w:val="none"/>
        </w:rPr>
        <w:t xml:space="preserve"> 本工程招标人仅在征地红线范围内提供场地，其他一切场地费用由中标人自行负责（含临时道路）。</w:t>
      </w:r>
    </w:p>
    <w:p>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6.2 施工用水及水源：</w:t>
      </w:r>
      <w:r>
        <w:rPr>
          <w:rStyle w:val="20"/>
          <w:rFonts w:hint="eastAsia" w:ascii="宋体" w:hAnsi="宋体" w:eastAsia="宋体" w:cs="宋体"/>
          <w:color w:val="auto"/>
          <w:kern w:val="0"/>
          <w:highlight w:val="none"/>
          <w:u w:val="single"/>
        </w:rPr>
        <w:t>由中标人自行解决，费用考虑在投标报价中</w:t>
      </w:r>
      <w:r>
        <w:rPr>
          <w:rFonts w:hint="eastAsia" w:ascii="宋体" w:hAnsi="宋体" w:eastAsia="宋体" w:cs="宋体"/>
          <w:snapToGrid w:val="0"/>
          <w:color w:val="auto"/>
          <w:kern w:val="0"/>
          <w:highlight w:val="none"/>
          <w:u w:val="single"/>
        </w:rPr>
        <w:t>，不另计</w:t>
      </w:r>
      <w:r>
        <w:rPr>
          <w:rStyle w:val="20"/>
          <w:rFonts w:hint="eastAsia" w:ascii="宋体" w:hAnsi="宋体" w:eastAsia="宋体" w:cs="宋体"/>
          <w:color w:val="auto"/>
          <w:kern w:val="0"/>
          <w:highlight w:val="none"/>
          <w:u w:val="single"/>
        </w:rPr>
        <w:t>。</w:t>
      </w:r>
    </w:p>
    <w:p>
      <w:pPr>
        <w:wordWrap w:val="0"/>
        <w:adjustRightInd w:val="0"/>
        <w:snapToGrid w:val="0"/>
        <w:spacing w:line="440" w:lineRule="exact"/>
        <w:ind w:firstLine="56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6.3 施工用电及电源：</w:t>
      </w:r>
      <w:r>
        <w:rPr>
          <w:rStyle w:val="20"/>
          <w:rFonts w:hint="eastAsia" w:ascii="宋体" w:hAnsi="宋体" w:eastAsia="宋体" w:cs="宋体"/>
          <w:color w:val="auto"/>
          <w:kern w:val="0"/>
          <w:highlight w:val="none"/>
          <w:u w:val="single"/>
        </w:rPr>
        <w:t>由中标人自行解决，费用考虑在投标报价中</w:t>
      </w:r>
      <w:r>
        <w:rPr>
          <w:rFonts w:hint="eastAsia" w:ascii="宋体" w:hAnsi="宋体" w:eastAsia="宋体" w:cs="宋体"/>
          <w:snapToGrid w:val="0"/>
          <w:color w:val="auto"/>
          <w:kern w:val="0"/>
          <w:highlight w:val="none"/>
          <w:u w:val="single"/>
        </w:rPr>
        <w:t>，不另计</w:t>
      </w:r>
      <w:r>
        <w:rPr>
          <w:rStyle w:val="20"/>
          <w:rFonts w:hint="eastAsia" w:ascii="宋体" w:hAnsi="宋体" w:eastAsia="宋体" w:cs="宋体"/>
          <w:color w:val="auto"/>
          <w:kern w:val="0"/>
          <w:highlight w:val="none"/>
          <w:u w:val="single"/>
        </w:rPr>
        <w:t>。</w:t>
      </w:r>
    </w:p>
    <w:p>
      <w:pPr>
        <w:pStyle w:val="22"/>
        <w:spacing w:line="440" w:lineRule="exact"/>
        <w:ind w:firstLine="482" w:firstLineChars="200"/>
        <w:rPr>
          <w:rStyle w:val="20"/>
          <w:rFonts w:hint="eastAsia" w:ascii="宋体" w:hAnsi="宋体" w:eastAsia="宋体" w:cs="宋体"/>
          <w:color w:val="auto"/>
          <w:highlight w:val="none"/>
          <w:u w:val="single"/>
        </w:rPr>
      </w:pPr>
      <w:r>
        <w:rPr>
          <w:rStyle w:val="20"/>
          <w:rFonts w:hint="eastAsia" w:ascii="宋体" w:hAnsi="宋体" w:eastAsia="宋体" w:cs="宋体"/>
          <w:b/>
          <w:bCs/>
          <w:color w:val="auto"/>
          <w:highlight w:val="none"/>
        </w:rPr>
        <w:t>6.4</w:t>
      </w:r>
      <w:r>
        <w:rPr>
          <w:rStyle w:val="20"/>
          <w:rFonts w:hint="eastAsia" w:ascii="宋体" w:hAnsi="宋体" w:eastAsia="宋体" w:cs="宋体"/>
          <w:color w:val="auto"/>
          <w:highlight w:val="none"/>
        </w:rPr>
        <w:t xml:space="preserve"> 施工用水、用电各提供一驳接点到现场边缘，要求中标人单独安装水表、电表，其水、电费按工程所在地</w:t>
      </w:r>
      <w:r>
        <w:rPr>
          <w:rStyle w:val="20"/>
          <w:rFonts w:hint="eastAsia" w:ascii="宋体" w:hAnsi="宋体" w:eastAsia="宋体" w:cs="宋体"/>
          <w:color w:val="auto"/>
          <w:highlight w:val="none"/>
          <w:u w:val="single"/>
        </w:rPr>
        <w:t>南雄市</w:t>
      </w:r>
      <w:r>
        <w:rPr>
          <w:rStyle w:val="20"/>
          <w:rFonts w:hint="eastAsia" w:ascii="宋体" w:hAnsi="宋体" w:eastAsia="宋体" w:cs="宋体"/>
          <w:color w:val="auto"/>
          <w:highlight w:val="none"/>
        </w:rPr>
        <w:t>基建工程水、电计费标准计算并由中标人缴纳，相关水、电接入费用及水、电表安装、购置等费用由中标人自行承担。</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6.5</w:t>
      </w:r>
      <w:r>
        <w:rPr>
          <w:rStyle w:val="20"/>
          <w:rFonts w:hint="eastAsia" w:ascii="宋体" w:hAnsi="宋体" w:eastAsia="宋体" w:cs="宋体"/>
          <w:color w:val="auto"/>
          <w:kern w:val="0"/>
          <w:highlight w:val="none"/>
        </w:rPr>
        <w:t xml:space="preserve"> 招标人不组织现场踏勘，但会在招标文件及有关设计文件中明确告知招标工程的具体位置和周边环境，并在现场设置足以识别的标识或提供足以表明工程具体位置的文字或图片。投标人需要了解现场情况的，可自行进行现场踏勘。</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6.6</w:t>
      </w:r>
      <w:r>
        <w:rPr>
          <w:rStyle w:val="20"/>
          <w:rFonts w:hint="eastAsia" w:ascii="宋体" w:hAnsi="宋体" w:eastAsia="宋体" w:cs="宋体"/>
          <w:color w:val="auto"/>
          <w:kern w:val="0"/>
          <w:highlight w:val="none"/>
        </w:rPr>
        <w:t xml:space="preserve"> 在现场踏勘过程中，投标人应确保自身安全，投标人如果发生人身伤亡、财物或其他损失，法律法规有规定的按有关规定处理，没有规定的由投标人自行负责。</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6.7</w:t>
      </w:r>
      <w:r>
        <w:rPr>
          <w:rStyle w:val="20"/>
          <w:rFonts w:hint="eastAsia" w:ascii="宋体" w:hAnsi="宋体" w:eastAsia="宋体" w:cs="宋体"/>
          <w:color w:val="auto"/>
          <w:kern w:val="0"/>
          <w:highlight w:val="none"/>
        </w:rPr>
        <w:t xml:space="preserve"> 现场踏勘期间的交通、食宿由投标人自行安排，费用自理。</w:t>
      </w:r>
    </w:p>
    <w:p>
      <w:pPr>
        <w:pStyle w:val="22"/>
        <w:rPr>
          <w:rStyle w:val="20"/>
          <w:rFonts w:hint="eastAsia" w:ascii="宋体" w:hAnsi="宋体" w:eastAsia="宋体" w:cs="宋体"/>
          <w:color w:val="auto"/>
          <w:highlight w:val="none"/>
        </w:rPr>
      </w:pPr>
    </w:p>
    <w:p>
      <w:pPr>
        <w:pStyle w:val="24"/>
        <w:snapToGrid w:val="0"/>
        <w:spacing w:line="440" w:lineRule="exact"/>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7．招标文件的提问和答疑</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7.1</w:t>
      </w:r>
      <w:r>
        <w:rPr>
          <w:rStyle w:val="20"/>
          <w:rFonts w:hint="eastAsia" w:ascii="宋体" w:hAnsi="宋体" w:eastAsia="宋体" w:cs="宋体"/>
          <w:color w:val="auto"/>
          <w:kern w:val="0"/>
          <w:highlight w:val="none"/>
        </w:rPr>
        <w:t xml:space="preserve"> 投标人若对招标文件（含施工图、招标工程量清单）有疑问，应在提问截止时间（见本章第二节</w:t>
      </w:r>
      <w:r>
        <w:rPr>
          <w:rFonts w:hint="eastAsia" w:ascii="宋体" w:hAnsi="宋体" w:eastAsia="宋体" w:cs="宋体"/>
          <w:snapToGrid w:val="0"/>
          <w:color w:val="auto"/>
          <w:kern w:val="0"/>
          <w:highlight w:val="none"/>
        </w:rPr>
        <w:t>“重要事项时间地点一览表”</w:t>
      </w:r>
      <w:r>
        <w:rPr>
          <w:rStyle w:val="20"/>
          <w:rFonts w:hint="eastAsia" w:ascii="宋体" w:hAnsi="宋体" w:eastAsia="宋体" w:cs="宋体"/>
          <w:color w:val="auto"/>
          <w:kern w:val="0"/>
          <w:highlight w:val="none"/>
        </w:rPr>
        <w:t>）前使用</w:t>
      </w:r>
      <w:r>
        <w:rPr>
          <w:rStyle w:val="20"/>
          <w:rFonts w:hint="eastAsia" w:hAnsi="宋体" w:eastAsia="宋体" w:cs="宋体"/>
          <w:color w:val="auto"/>
          <w:kern w:val="0"/>
          <w:highlight w:val="none"/>
          <w:lang w:eastAsia="zh-CN"/>
        </w:rPr>
        <w:t>建设工程交易系统</w:t>
      </w:r>
      <w:r>
        <w:rPr>
          <w:rStyle w:val="20"/>
          <w:rFonts w:hint="eastAsia" w:ascii="宋体" w:hAnsi="宋体" w:eastAsia="宋体" w:cs="宋体"/>
          <w:color w:val="auto"/>
          <w:kern w:val="0"/>
          <w:highlight w:val="none"/>
        </w:rPr>
        <w:t>提出问题。未在指定时间前、未采用指定方式提出的，招标人不予受理。</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7.2 </w:t>
      </w:r>
      <w:r>
        <w:rPr>
          <w:rStyle w:val="20"/>
          <w:rFonts w:hint="eastAsia" w:ascii="宋体" w:hAnsi="宋体" w:eastAsia="宋体" w:cs="宋体"/>
          <w:color w:val="auto"/>
          <w:kern w:val="0"/>
          <w:highlight w:val="none"/>
        </w:rPr>
        <w:t>招标人在提问截止时间（见本章第二节</w:t>
      </w:r>
      <w:r>
        <w:rPr>
          <w:rFonts w:hint="eastAsia" w:ascii="宋体" w:hAnsi="宋体" w:eastAsia="宋体" w:cs="宋体"/>
          <w:snapToGrid w:val="0"/>
          <w:color w:val="auto"/>
          <w:kern w:val="0"/>
          <w:highlight w:val="none"/>
        </w:rPr>
        <w:t>“重要事项时间地点一览表”</w:t>
      </w:r>
      <w:r>
        <w:rPr>
          <w:rStyle w:val="20"/>
          <w:rFonts w:hint="eastAsia" w:ascii="宋体" w:hAnsi="宋体" w:eastAsia="宋体" w:cs="宋体"/>
          <w:color w:val="auto"/>
          <w:kern w:val="0"/>
          <w:highlight w:val="none"/>
        </w:rPr>
        <w:t>）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7.3</w:t>
      </w:r>
      <w:r>
        <w:rPr>
          <w:rStyle w:val="20"/>
          <w:rFonts w:hint="eastAsia" w:ascii="宋体" w:hAnsi="宋体" w:eastAsia="宋体" w:cs="宋体"/>
          <w:color w:val="auto"/>
          <w:kern w:val="0"/>
          <w:highlight w:val="none"/>
        </w:rPr>
        <w:t xml:space="preserve"> 招标人对招标文件所作的答疑（或修改）公告，构成招标文件的组成部分。</w:t>
      </w:r>
    </w:p>
    <w:p>
      <w:pPr>
        <w:pStyle w:val="24"/>
        <w:snapToGrid w:val="0"/>
        <w:spacing w:line="440" w:lineRule="exact"/>
        <w:ind w:firstLine="480"/>
        <w:jc w:val="both"/>
        <w:rPr>
          <w:rStyle w:val="20"/>
          <w:rFonts w:hint="eastAsia" w:ascii="宋体" w:hAnsi="宋体" w:eastAsia="宋体" w:cs="宋体"/>
          <w:b/>
          <w:bCs/>
          <w:color w:val="auto"/>
          <w:highlight w:val="none"/>
        </w:rPr>
      </w:pPr>
    </w:p>
    <w:p>
      <w:pPr>
        <w:pStyle w:val="24"/>
        <w:snapToGrid w:val="0"/>
        <w:spacing w:line="360" w:lineRule="auto"/>
        <w:ind w:firstLine="480"/>
        <w:jc w:val="both"/>
        <w:rPr>
          <w:rStyle w:val="20"/>
          <w:rFonts w:hint="eastAsia" w:ascii="宋体" w:hAnsi="宋体" w:eastAsia="宋体" w:cs="宋体"/>
          <w:i/>
          <w:iCs/>
          <w:color w:val="auto"/>
          <w:highlight w:val="none"/>
          <w:lang w:eastAsia="zh-CN"/>
        </w:rPr>
      </w:pPr>
      <w:r>
        <w:rPr>
          <w:rStyle w:val="20"/>
          <w:rFonts w:hint="eastAsia" w:ascii="宋体" w:hAnsi="宋体" w:eastAsia="宋体" w:cs="宋体"/>
          <w:b/>
          <w:bCs/>
          <w:color w:val="auto"/>
          <w:highlight w:val="none"/>
        </w:rPr>
        <w:t>8．</w:t>
      </w:r>
      <w:r>
        <w:rPr>
          <w:rStyle w:val="20"/>
          <w:rFonts w:hint="eastAsia" w:hAnsi="宋体" w:cs="宋体"/>
          <w:b/>
          <w:bCs/>
          <w:color w:val="auto"/>
          <w:highlight w:val="none"/>
          <w:lang w:eastAsia="zh-CN"/>
        </w:rPr>
        <w:t>最高投标限价</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8.1</w:t>
      </w:r>
      <w:r>
        <w:rPr>
          <w:rStyle w:val="20"/>
          <w:rFonts w:hint="eastAsia" w:ascii="宋体" w:hAnsi="宋体" w:eastAsia="宋体" w:cs="宋体"/>
          <w:color w:val="auto"/>
          <w:kern w:val="0"/>
          <w:highlight w:val="none"/>
        </w:rPr>
        <w:t xml:space="preserve"> 本工程按照以下依据编制</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r>
        <w:rPr>
          <w:rFonts w:hint="eastAsia" w:hAnsi="宋体" w:cs="宋体"/>
          <w:color w:val="auto"/>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hAnsi="宋体" w:cs="宋体"/>
          <w:color w:val="auto"/>
          <w:szCs w:val="24"/>
          <w:highlight w:val="none"/>
          <w:lang w:val="en-US" w:eastAsia="zh-CN"/>
        </w:rPr>
        <w:t>等；</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（3）施工图及相关资料；</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（4）招标文件及招标工程量清单；</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（5）施工现场情况、工程特点及常规施工方案；</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（6）项目所在地工程造价管理机构发布的工程造价信息，工程造价信息缺项的，参照市场价格；</w:t>
      </w:r>
    </w:p>
    <w:p>
      <w:pPr>
        <w:snapToGrid w:val="0"/>
        <w:spacing w:line="360" w:lineRule="auto"/>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（7）与建设项目相关的标准、规范、技术资料。</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Cs/>
          <w:snapToGrid w:val="0"/>
          <w:color w:val="auto"/>
          <w:kern w:val="0"/>
          <w:sz w:val="24"/>
          <w:szCs w:val="24"/>
          <w:highlight w:val="none"/>
          <w:lang w:val="en-US" w:eastAsia="zh-CN"/>
        </w:rPr>
      </w:pPr>
      <w:r>
        <w:rPr>
          <w:rStyle w:val="20"/>
          <w:rFonts w:hint="eastAsia" w:ascii="宋体" w:hAnsi="宋体" w:eastAsia="宋体" w:cs="宋体"/>
          <w:b/>
          <w:bCs/>
          <w:color w:val="auto"/>
          <w:kern w:val="0"/>
          <w:highlight w:val="none"/>
        </w:rPr>
        <w:t>8.2</w:t>
      </w:r>
      <w:r>
        <w:rPr>
          <w:rStyle w:val="20"/>
          <w:rFonts w:hint="eastAsia" w:ascii="宋体" w:hAnsi="宋体" w:eastAsia="宋体" w:cs="宋体"/>
          <w:color w:val="auto"/>
          <w:kern w:val="0"/>
          <w:highlight w:val="none"/>
        </w:rPr>
        <w:t xml:space="preserve"> </w:t>
      </w:r>
      <w:r>
        <w:rPr>
          <w:rFonts w:hint="eastAsia"/>
          <w:color w:val="auto"/>
          <w:sz w:val="24"/>
          <w:szCs w:val="24"/>
          <w:highlight w:val="none"/>
          <w:lang w:eastAsia="zh-CN"/>
        </w:rPr>
        <w:t>本项目最高投标限价、施工图纸、招标工程量清单在投标截止时间15天前以补充公告的形式在广东省招标投标监管网和全国公共资源交易平台（广东省·韶关市）发布。</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8.3</w:t>
      </w:r>
      <w:r>
        <w:rPr>
          <w:rStyle w:val="20"/>
          <w:rFonts w:hint="eastAsia" w:ascii="宋体" w:hAnsi="宋体" w:eastAsia="宋体" w:cs="宋体"/>
          <w:color w:val="auto"/>
          <w:kern w:val="0"/>
          <w:highlight w:val="none"/>
        </w:rPr>
        <w:t xml:space="preserve"> 暂估价指招标工程量清单中提供的用于支付必然发生但暂时不能确定价格的材料、工程设备的单价以及专业工程的金额；暂列金额指招标工程量清单中暂定并包括在合同价款中的一笔款项，用于工程合同签订时尚未确定或者不可预见的所需材料、工程设备、服务的采购，施工中可能发生的工程变更、合同约定调整因素出现时的合同价款调整以及发生的索赔、现场签证确认等的费用。</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8.4</w:t>
      </w:r>
      <w:r>
        <w:rPr>
          <w:rStyle w:val="20"/>
          <w:rFonts w:hint="eastAsia" w:ascii="宋体" w:hAnsi="宋体" w:eastAsia="宋体" w:cs="宋体"/>
          <w:color w:val="auto"/>
          <w:kern w:val="0"/>
          <w:highlight w:val="none"/>
        </w:rPr>
        <w:t xml:space="preserve"> 本工程以暂估价形式列入招标工程量清单中的材料、工程设备、专业工程（以下统称“暂估价项目”）包括：</w:t>
      </w:r>
      <w:r>
        <w:rPr>
          <w:rFonts w:hint="eastAsia" w:ascii="宋体" w:hAnsi="宋体" w:eastAsia="宋体" w:cs="宋体"/>
          <w:snapToGrid w:val="0"/>
          <w:color w:val="auto"/>
          <w:kern w:val="0"/>
          <w:highlight w:val="none"/>
        </w:rPr>
        <w:t>暂估价为招标人在工程量清单中提供的用于支付必然发生但暂时不能确定价格的材料、工程设备的单价以及专业工程的金额。投标人必须按招标工程量清单中列出的单价、金额统一报价，其结算原则按本招标文件相关条款执行。</w:t>
      </w:r>
    </w:p>
    <w:p>
      <w:pPr>
        <w:snapToGrid w:val="0"/>
        <w:spacing w:line="360" w:lineRule="auto"/>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kern w:val="0"/>
          <w:highlight w:val="none"/>
        </w:rPr>
        <w:t xml:space="preserve"> 当暂估价项目的内容、标准、要求在项目实施过程中得以深化、明确、固定后，按以下原则发包：</w:t>
      </w:r>
    </w:p>
    <w:p>
      <w:pPr>
        <w:snapToGrid w:val="0"/>
        <w:spacing w:line="360" w:lineRule="auto"/>
        <w:ind w:firstLine="480" w:firstLineChars="200"/>
        <w:rPr>
          <w:rStyle w:val="20"/>
          <w:rFonts w:hint="eastAsia" w:ascii="宋体" w:hAnsi="宋体" w:eastAsia="宋体" w:cs="宋体"/>
          <w:color w:val="auto"/>
          <w:highlight w:val="none"/>
        </w:rPr>
      </w:pPr>
      <w:r>
        <w:rPr>
          <w:rStyle w:val="20"/>
          <w:rFonts w:hint="eastAsia" w:ascii="宋体" w:hAnsi="宋体" w:eastAsia="宋体" w:cs="宋体"/>
          <w:color w:val="auto"/>
          <w:kern w:val="0"/>
          <w:highlight w:val="none"/>
        </w:rPr>
        <w:t>（1）暂估价项目按工程、货物（指材料或工程设备，下同）的类别分类汇总的金额，达到必须招标规模标准的，由</w:t>
      </w:r>
      <w:r>
        <w:rPr>
          <w:rStyle w:val="20"/>
          <w:rFonts w:hint="eastAsia" w:ascii="宋体" w:hAnsi="宋体" w:eastAsia="宋体" w:cs="宋体"/>
          <w:color w:val="auto"/>
          <w:kern w:val="0"/>
          <w:highlight w:val="none"/>
          <w:u w:val="single"/>
        </w:rPr>
        <w:t>中标人招标，招标人参与管理</w:t>
      </w:r>
      <w:r>
        <w:rPr>
          <w:rStyle w:val="20"/>
          <w:rFonts w:hint="eastAsia" w:ascii="宋体" w:hAnsi="宋体" w:eastAsia="宋体" w:cs="宋体"/>
          <w:color w:val="auto"/>
          <w:kern w:val="0"/>
          <w:highlight w:val="none"/>
        </w:rPr>
        <w:t>，确定专业工程承包人（或材料、工程设备供应商）和合同价格。</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（2）暂估价项目按工程、货物的类别分类汇总的金额，未达到必须招标规模标准但适用政府采购规定的，按照政府采购规定确定专业工程承包人（或材料、工程设备供应商）和合同价格。</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暂估价项目按工程、货物的类别分类汇总的金额，未达到必须招标规模标准也不适用政府采购规定，中标人具备相应资格条件的，由中标人承包；中标人不具备相应资格条件但具备分包权的，由中标人分包，招标人同中标人结算原则按本招标文件相关条款执行。</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（4）暂估价项目按工程、货物的类别分类汇总的金额，未达到必须招标规模标准也不适用政府采购规定，中标人既不具备相应资格条件又不具备分包权的，由招标人另行发包。</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（5）暂估价项目由其他承包人承包的，纳入中标人的管理和协调范围，由其他承包人向中标人承担质量、安全、文明施工、工期责任，中标人向招标人承担责任。</w:t>
      </w:r>
    </w:p>
    <w:p>
      <w:pPr>
        <w:snapToGrid w:val="0"/>
        <w:spacing w:line="440" w:lineRule="exact"/>
        <w:ind w:firstLine="482" w:firstLineChars="200"/>
        <w:rPr>
          <w:rStyle w:val="20"/>
          <w:rFonts w:hint="eastAsia" w:ascii="宋体" w:hAnsi="宋体" w:eastAsia="宋体" w:cs="宋体"/>
          <w:color w:val="auto"/>
          <w:highlight w:val="none"/>
        </w:rPr>
      </w:pPr>
      <w:r>
        <w:rPr>
          <w:rStyle w:val="20"/>
          <w:rFonts w:hint="eastAsia" w:ascii="宋体" w:hAnsi="宋体" w:eastAsia="宋体" w:cs="宋体"/>
          <w:b/>
          <w:bCs/>
          <w:color w:val="auto"/>
          <w:kern w:val="0"/>
          <w:highlight w:val="none"/>
        </w:rPr>
        <w:t>8.6</w:t>
      </w:r>
      <w:r>
        <w:rPr>
          <w:rStyle w:val="20"/>
          <w:rFonts w:hint="eastAsia" w:ascii="宋体" w:hAnsi="宋体" w:eastAsia="宋体" w:cs="宋体"/>
          <w:color w:val="auto"/>
          <w:kern w:val="0"/>
          <w:highlight w:val="none"/>
        </w:rPr>
        <w:t xml:space="preserve"> 本工程以</w:t>
      </w:r>
      <w:r>
        <w:rPr>
          <w:rStyle w:val="20"/>
          <w:rFonts w:hint="eastAsia" w:ascii="宋体" w:hAnsi="宋体" w:eastAsia="宋体" w:cs="宋体"/>
          <w:color w:val="auto"/>
          <w:highlight w:val="none"/>
        </w:rPr>
        <w:t>暂列金额</w:t>
      </w:r>
      <w:r>
        <w:rPr>
          <w:rStyle w:val="20"/>
          <w:rFonts w:hint="eastAsia" w:ascii="宋体" w:hAnsi="宋体" w:eastAsia="宋体" w:cs="宋体"/>
          <w:color w:val="auto"/>
          <w:kern w:val="0"/>
          <w:highlight w:val="none"/>
        </w:rPr>
        <w:t>形式列入招标工程量清单中的</w:t>
      </w:r>
      <w:r>
        <w:rPr>
          <w:rStyle w:val="20"/>
          <w:rFonts w:hint="eastAsia" w:ascii="宋体" w:hAnsi="宋体" w:eastAsia="宋体" w:cs="宋体"/>
          <w:color w:val="auto"/>
          <w:highlight w:val="none"/>
        </w:rPr>
        <w:t>所需货物和服务的采购</w:t>
      </w:r>
      <w:r>
        <w:rPr>
          <w:rStyle w:val="20"/>
          <w:rFonts w:hint="eastAsia" w:ascii="宋体" w:hAnsi="宋体" w:eastAsia="宋体" w:cs="宋体"/>
          <w:color w:val="auto"/>
          <w:kern w:val="0"/>
          <w:highlight w:val="none"/>
        </w:rPr>
        <w:t>（以下统称“暂列金额项目”）若有</w:t>
      </w:r>
      <w:r>
        <w:rPr>
          <w:rStyle w:val="20"/>
          <w:rFonts w:hint="eastAsia" w:ascii="宋体" w:hAnsi="宋体" w:eastAsia="宋体" w:cs="宋体"/>
          <w:color w:val="auto"/>
          <w:highlight w:val="none"/>
        </w:rPr>
        <w:t>发生，按照本节第</w:t>
      </w: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highlight w:val="none"/>
        </w:rPr>
        <w:t>条的规定确定货物（或服务）供应商和合同价格。暂列金额项目由其他承包人承包的，纳入中标人的管理和协调范围，由其他承包人向中标人承担质量、安全、文明施工、工期责任，中标人向招标人承担责任。</w:t>
      </w:r>
    </w:p>
    <w:p>
      <w:pPr>
        <w:snapToGrid w:val="0"/>
        <w:spacing w:line="440" w:lineRule="exact"/>
        <w:ind w:firstLine="480" w:firstLineChars="200"/>
        <w:rPr>
          <w:rStyle w:val="20"/>
          <w:rFonts w:hint="eastAsia" w:ascii="宋体" w:hAnsi="宋体" w:eastAsia="宋体" w:cs="宋体"/>
          <w:color w:val="auto"/>
          <w:highlight w:val="none"/>
        </w:rPr>
      </w:pP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9．投标报价</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9.1</w:t>
      </w:r>
      <w:r>
        <w:rPr>
          <w:rStyle w:val="20"/>
          <w:rFonts w:hint="eastAsia" w:ascii="宋体" w:hAnsi="宋体" w:eastAsia="宋体" w:cs="宋体"/>
          <w:color w:val="auto"/>
          <w:kern w:val="0"/>
          <w:highlight w:val="none"/>
        </w:rPr>
        <w:t xml:space="preserve"> 投标人应按照以下依据编制投标报价：</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（3）企业定额；</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（4）招标文件及其答疑（或修改）公告、招标工程量清单；</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（5）施工图及相关资料；</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（6）施工现场情况、工程特点及投标时拟定的施工组织设计或施工方案；</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（7）市场价格信息或项目所在地工程造价管理机构发布的工程造价信息；</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（8）与建设项目相关的标准、规范、技术资料。</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9.2</w:t>
      </w:r>
      <w:r>
        <w:rPr>
          <w:rStyle w:val="20"/>
          <w:rFonts w:hint="eastAsia" w:ascii="宋体" w:hAnsi="宋体" w:eastAsia="宋体" w:cs="宋体"/>
          <w:color w:val="auto"/>
          <w:kern w:val="0"/>
          <w:highlight w:val="none"/>
        </w:rPr>
        <w:t xml:space="preserve"> 投标人应根据招标工程量清单、工程量清单计价规范中的工作内容、设计文件和有关要求、施工现场实际情况、投标人拟定的施工组织设计、本单位的企业定额和市场价格进行编制，自行报价，并承担一定范围内的风险费用。所谓</w:t>
      </w:r>
      <w:r>
        <w:rPr>
          <w:rFonts w:hint="eastAsia" w:ascii="宋体" w:hAnsi="宋体" w:eastAsia="宋体" w:cs="宋体"/>
          <w:snapToGrid w:val="0"/>
          <w:color w:val="auto"/>
          <w:kern w:val="0"/>
          <w:highlight w:val="none"/>
        </w:rPr>
        <w:t>“一定范围内的风险”</w:t>
      </w:r>
      <w:r>
        <w:rPr>
          <w:rStyle w:val="20"/>
          <w:rFonts w:hint="eastAsia" w:ascii="宋体" w:hAnsi="宋体" w:eastAsia="宋体" w:cs="宋体"/>
          <w:color w:val="auto"/>
          <w:kern w:val="0"/>
          <w:highlight w:val="none"/>
        </w:rPr>
        <w:t>是指合同约定的风险。</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9.3</w:t>
      </w:r>
      <w:r>
        <w:rPr>
          <w:rStyle w:val="20"/>
          <w:rFonts w:hint="eastAsia" w:ascii="宋体" w:hAnsi="宋体" w:eastAsia="宋体" w:cs="宋体"/>
          <w:color w:val="auto"/>
          <w:kern w:val="0"/>
          <w:highlight w:val="none"/>
        </w:rPr>
        <w:t xml:space="preserve"> 招标人及招标代理机构不集中组织现场踏勘，投标人需要了解现场情况的，可自行进行现场踏勘。各投标人应勘察施工现场及周围环境、地形、地貌、水文、交通等情况，以获得一切可能影响到投标的直接资料。投标人应针对现场情况编制施工组织设计，并在编制投标报价时考虑现场情况的影响。</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9.4</w:t>
      </w:r>
      <w:r>
        <w:rPr>
          <w:rStyle w:val="20"/>
          <w:rFonts w:hint="eastAsia" w:ascii="宋体" w:hAnsi="宋体" w:eastAsia="宋体" w:cs="宋体"/>
          <w:color w:val="auto"/>
          <w:kern w:val="0"/>
          <w:highlight w:val="none"/>
        </w:rPr>
        <w:t>招标人向投标人提供的有关现场的数据和资料，是招标人现有的能被投标人利用的资料，招标人对投标人做出的任何推论、理解和结论均不负责任。</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9.5</w:t>
      </w:r>
      <w:r>
        <w:rPr>
          <w:rStyle w:val="20"/>
          <w:rFonts w:hint="eastAsia" w:ascii="宋体" w:hAnsi="宋体" w:eastAsia="宋体" w:cs="宋体"/>
          <w:color w:val="auto"/>
          <w:kern w:val="0"/>
          <w:highlight w:val="none"/>
        </w:rPr>
        <w:t>投标人必须按照招标工程量清单及表格填报价格。项目编码、</w:t>
      </w:r>
      <w:r>
        <w:rPr>
          <w:rStyle w:val="20"/>
          <w:rFonts w:hint="eastAsia" w:hAnsi="宋体" w:cs="宋体"/>
          <w:color w:val="auto"/>
          <w:kern w:val="0"/>
          <w:highlight w:val="none"/>
          <w:lang w:eastAsia="zh-CN"/>
        </w:rPr>
        <w:t>工程名称</w:t>
      </w:r>
      <w:r>
        <w:rPr>
          <w:rStyle w:val="20"/>
          <w:rFonts w:hint="eastAsia" w:ascii="宋体" w:hAnsi="宋体" w:eastAsia="宋体" w:cs="宋体"/>
          <w:color w:val="auto"/>
          <w:kern w:val="0"/>
          <w:highlight w:val="none"/>
        </w:rPr>
        <w:t>、项目特征、计量单位、工程量必须与招标工程量清单一致。所有报价均以人民币“元”为单位，并保留小数点后两位。</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9.6</w:t>
      </w:r>
      <w:r>
        <w:rPr>
          <w:rStyle w:val="20"/>
          <w:rFonts w:hint="eastAsia" w:ascii="宋体" w:hAnsi="宋体" w:eastAsia="宋体" w:cs="宋体"/>
          <w:color w:val="auto"/>
          <w:kern w:val="0"/>
          <w:highlight w:val="none"/>
        </w:rPr>
        <w:t>投标人只允许有一个投标总价。投标总价必须同时用大、小写表示，大、小写报价应保持一致，若不一致，以大写报价为准。招标工程量清单与计价表中列明的所有需要填写单价和合价的项目，投标人均应填写且只允许有一个报价。未填写单价和合价的项目，视为此项费用已包含在已标价工程量清单其他项目的单价和合价中，竣工结算时不得重新组价和调整。</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9.7</w:t>
      </w:r>
      <w:r>
        <w:rPr>
          <w:rStyle w:val="20"/>
          <w:rFonts w:hint="eastAsia" w:ascii="宋体" w:hAnsi="宋体" w:eastAsia="宋体" w:cs="宋体"/>
          <w:color w:val="auto"/>
          <w:kern w:val="0"/>
          <w:highlight w:val="none"/>
        </w:rPr>
        <w:t xml:space="preserve"> 投标人的投标总价不得高于</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，也不得低于工程成本。投标人对投标总价的所有优惠（降价、让利等），均应当反映在具体清单项目或其综合单价的报价上。</w:t>
      </w:r>
      <w:r>
        <w:rPr>
          <w:rStyle w:val="20"/>
          <w:rFonts w:hint="eastAsia" w:ascii="宋体" w:hAnsi="宋体" w:eastAsia="宋体" w:cs="宋体"/>
          <w:b/>
          <w:bCs/>
          <w:color w:val="auto"/>
          <w:kern w:val="0"/>
          <w:highlight w:val="none"/>
        </w:rPr>
        <w:t>如果投标人的投标总价下浮率（投标总价下浮率＝100%－投标总价÷</w:t>
      </w:r>
      <w:r>
        <w:rPr>
          <w:rStyle w:val="20"/>
          <w:rFonts w:hint="eastAsia" w:hAnsi="宋体" w:cs="宋体"/>
          <w:b/>
          <w:bCs/>
          <w:color w:val="auto"/>
          <w:kern w:val="0"/>
          <w:highlight w:val="none"/>
          <w:lang w:eastAsia="zh-CN"/>
        </w:rPr>
        <w:t>最高投标限价</w:t>
      </w:r>
      <w:r>
        <w:rPr>
          <w:rStyle w:val="20"/>
          <w:rFonts w:hint="eastAsia" w:ascii="宋体" w:hAnsi="宋体" w:eastAsia="宋体" w:cs="宋体"/>
          <w:b/>
          <w:bCs/>
          <w:color w:val="auto"/>
          <w:kern w:val="0"/>
          <w:highlight w:val="none"/>
        </w:rPr>
        <w:t>×100%）高于15%时，投标人必须在投标文件中专项作出详细合理的书面说明并提供以往类似工程详细成本分析报告供评标委员会审查。</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9.8</w:t>
      </w:r>
      <w:r>
        <w:rPr>
          <w:rStyle w:val="20"/>
          <w:rFonts w:hint="eastAsia" w:ascii="宋体" w:hAnsi="宋体" w:eastAsia="宋体" w:cs="宋体"/>
          <w:color w:val="auto"/>
          <w:kern w:val="0"/>
          <w:highlight w:val="none"/>
        </w:rPr>
        <w:t xml:space="preserve"> 投标人的</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报价必须达到或超过招标工程量清单中提供的</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9.9</w:t>
      </w:r>
      <w:r>
        <w:rPr>
          <w:rStyle w:val="20"/>
          <w:rFonts w:hint="eastAsia" w:ascii="宋体" w:hAnsi="宋体" w:eastAsia="宋体" w:cs="宋体"/>
          <w:color w:val="auto"/>
          <w:kern w:val="0"/>
          <w:highlight w:val="none"/>
        </w:rPr>
        <w:t xml:space="preserve"> 投标人必须按照招标工程量清单中提供的暂列金额和暂估价统一报价。投标人应充分考虑暂估价项目（或暂列金额项目）的管理和协调所发生的费用，并将其纳入已标价工程量清单中的适当项目。招标人视该项管理和协调所发生的费用已包含在其它有价款的竞争性报价内，不再另行支付。</w:t>
      </w:r>
    </w:p>
    <w:p>
      <w:pPr>
        <w:wordWrap w:val="0"/>
        <w:adjustRightInd w:val="0"/>
        <w:snapToGrid w:val="0"/>
        <w:ind w:firstLine="482" w:firstLineChars="200"/>
        <w:jc w:val="left"/>
        <w:rPr>
          <w:rFonts w:hint="eastAsia" w:ascii="宋体" w:hAnsi="宋体" w:eastAsia="宋体" w:cs="宋体"/>
          <w:b/>
          <w:bCs/>
          <w:snapToGrid w:val="0"/>
          <w:color w:val="auto"/>
          <w:kern w:val="0"/>
          <w:highlight w:val="none"/>
        </w:rPr>
      </w:pPr>
      <w:r>
        <w:rPr>
          <w:rFonts w:hint="eastAsia" w:ascii="宋体" w:hAnsi="宋体" w:eastAsia="宋体" w:cs="宋体"/>
          <w:b/>
          <w:color w:val="auto"/>
          <w:highlight w:val="none"/>
          <w:u w:val="double"/>
        </w:rPr>
        <w:t>9.10招标人可根据政府有关项目工作计划或本项目资金安排情况或相关政策变化或项目实际实施情况，对本项目建设内容和规模进行调整，投标人中标后不得因此调整向招标人提出额外的费用补偿或索赔，必须按调整后的规模及内容完成工程的施工及结算。</w:t>
      </w:r>
    </w:p>
    <w:p>
      <w:pPr>
        <w:pStyle w:val="31"/>
        <w:rPr>
          <w:rFonts w:hint="eastAsia" w:ascii="宋体" w:hAnsi="宋体" w:eastAsia="宋体" w:cs="宋体"/>
          <w:color w:val="auto"/>
          <w:highlight w:val="none"/>
        </w:rPr>
      </w:pPr>
    </w:p>
    <w:p>
      <w:pPr>
        <w:pStyle w:val="22"/>
        <w:rPr>
          <w:rStyle w:val="20"/>
          <w:rFonts w:hint="eastAsia" w:ascii="宋体" w:hAnsi="宋体" w:eastAsia="宋体" w:cs="宋体"/>
          <w:b/>
          <w:bCs/>
          <w:color w:val="auto"/>
          <w:highlight w:val="none"/>
        </w:rPr>
      </w:pPr>
    </w:p>
    <w:p>
      <w:pPr>
        <w:pStyle w:val="24"/>
        <w:numPr>
          <w:ilvl w:val="0"/>
          <w:numId w:val="2"/>
        </w:numPr>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投标文件的编制要求</w:t>
      </w:r>
    </w:p>
    <w:p>
      <w:pPr>
        <w:pStyle w:val="24"/>
        <w:snapToGrid w:val="0"/>
        <w:ind w:firstLine="482" w:firstLineChars="20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10.1</w:t>
      </w:r>
      <w:r>
        <w:rPr>
          <w:rStyle w:val="20"/>
          <w:rFonts w:hint="eastAsia" w:ascii="宋体" w:hAnsi="宋体" w:eastAsia="宋体" w:cs="宋体"/>
          <w:color w:val="auto"/>
          <w:highlight w:val="none"/>
        </w:rPr>
        <w:t xml:space="preserve"> 一般要求</w:t>
      </w:r>
    </w:p>
    <w:p>
      <w:pPr>
        <w:pStyle w:val="9"/>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投标文件应按第六章 投标文件格式规定的内容，投标人提交的投标文件应当使用招标文件所提供的投标文件全部格式。</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10.1.1</w:t>
      </w:r>
      <w:r>
        <w:rPr>
          <w:rStyle w:val="20"/>
          <w:rFonts w:hint="eastAsia" w:ascii="宋体" w:hAnsi="宋体" w:eastAsia="宋体" w:cs="宋体"/>
          <w:color w:val="auto"/>
          <w:kern w:val="0"/>
          <w:highlight w:val="none"/>
        </w:rPr>
        <w:t xml:space="preserve"> 投标人必须响应招标文件，并在充分理解招标人提供的全部文件、设计图纸、资料及现场条件的基础上编制投标文件。因投标文件不符合招标文件的要求而造成的损失和后果，由投标人自行承担。</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10.1.2</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投标文件全部采用电子文档，</w:t>
      </w:r>
      <w:r>
        <w:rPr>
          <w:rFonts w:hint="eastAsia" w:ascii="宋体" w:hAnsi="宋体" w:eastAsia="宋体" w:cs="宋体"/>
          <w:b/>
          <w:bCs/>
          <w:snapToGrid w:val="0"/>
          <w:color w:val="auto"/>
          <w:kern w:val="0"/>
          <w:highlight w:val="none"/>
        </w:rPr>
        <w:t>投标文件所附证书证件均为原件扫描件</w:t>
      </w:r>
      <w:r>
        <w:rPr>
          <w:rFonts w:hint="eastAsia" w:ascii="宋体" w:hAnsi="宋体" w:eastAsia="宋体" w:cs="宋体"/>
          <w:snapToGrid w:val="0"/>
          <w:color w:val="auto"/>
          <w:kern w:val="0"/>
          <w:highlight w:val="none"/>
        </w:rPr>
        <w:t>，并采用单位数字证书，按招标文件要求在相应位置加盖电子印章。投标文件中需个人签字或盖章的，应加盖个人电子印章或在线下完成后扫描上传。按照交易平台关于全流程电子化项目的相关指引进行操作。</w:t>
      </w:r>
      <w:r>
        <w:rPr>
          <w:rStyle w:val="20"/>
          <w:rFonts w:hint="eastAsia" w:ascii="宋体" w:hAnsi="宋体" w:eastAsia="宋体" w:cs="宋体"/>
          <w:color w:val="auto"/>
          <w:kern w:val="0"/>
          <w:highlight w:val="none"/>
        </w:rPr>
        <w:t>详见：</w:t>
      </w:r>
      <w:r>
        <w:rPr>
          <w:rStyle w:val="20"/>
          <w:rFonts w:hint="eastAsia" w:ascii="宋体" w:hAnsi="宋体" w:eastAsia="宋体" w:cs="宋体"/>
          <w:color w:val="auto"/>
          <w:kern w:val="0"/>
          <w:highlight w:val="none"/>
          <w:lang w:eastAsia="zh-CN"/>
        </w:rPr>
        <w:t>全国公共资源交易平台（广东省·韶关市）</w:t>
      </w:r>
      <w:r>
        <w:rPr>
          <w:rStyle w:val="20"/>
          <w:rFonts w:hint="eastAsia" w:hAnsi="宋体" w:eastAsia="宋体" w:cs="宋体"/>
          <w:color w:val="auto"/>
          <w:kern w:val="0"/>
          <w:highlight w:val="none"/>
          <w:lang w:eastAsia="zh-CN"/>
        </w:rPr>
        <w:t>服务指南</w:t>
      </w:r>
      <w:r>
        <w:rPr>
          <w:rStyle w:val="20"/>
          <w:rFonts w:hint="eastAsia" w:ascii="宋体" w:hAnsi="宋体" w:eastAsia="宋体" w:cs="宋体"/>
          <w:color w:val="auto"/>
          <w:kern w:val="0"/>
          <w:highlight w:val="none"/>
        </w:rPr>
        <w:t>。</w:t>
      </w:r>
    </w:p>
    <w:p>
      <w:pPr>
        <w:pStyle w:val="30"/>
        <w:snapToGrid w:val="0"/>
        <w:ind w:firstLineChars="0"/>
        <w:rPr>
          <w:rStyle w:val="20"/>
          <w:rFonts w:hint="eastAsia" w:ascii="宋体" w:hAnsi="宋体" w:eastAsia="宋体" w:cs="宋体"/>
          <w:color w:val="auto"/>
          <w:kern w:val="0"/>
          <w:highlight w:val="none"/>
        </w:rPr>
      </w:pPr>
      <w:r>
        <w:rPr>
          <w:rFonts w:hint="eastAsia" w:ascii="宋体" w:hAnsi="宋体" w:eastAsia="宋体" w:cs="宋体"/>
          <w:b/>
          <w:bCs/>
          <w:snapToGrid w:val="0"/>
          <w:color w:val="auto"/>
          <w:kern w:val="0"/>
          <w:highlight w:val="none"/>
        </w:rPr>
        <w:t>10.1.3</w:t>
      </w:r>
      <w:r>
        <w:rPr>
          <w:rFonts w:hint="eastAsia" w:ascii="宋体" w:hAnsi="宋体" w:eastAsia="宋体" w:cs="宋体"/>
          <w:snapToGrid w:val="0"/>
          <w:color w:val="auto"/>
          <w:kern w:val="0"/>
          <w:highlight w:val="none"/>
        </w:rPr>
        <w:t>投标文件需按以下要求签字、盖章</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电子投标文件：</w:t>
      </w:r>
    </w:p>
    <w:p>
      <w:pPr>
        <w:pStyle w:val="30"/>
        <w:snapToGrid w:val="0"/>
        <w:ind w:firstLineChars="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电子投标文件：</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10.1.3.1</w:t>
      </w:r>
      <w:r>
        <w:rPr>
          <w:rStyle w:val="20"/>
          <w:rFonts w:hint="eastAsia" w:ascii="宋体" w:hAnsi="宋体" w:eastAsia="宋体" w:cs="宋体"/>
          <w:color w:val="auto"/>
          <w:kern w:val="0"/>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10.1.3.2</w:t>
      </w:r>
      <w:r>
        <w:rPr>
          <w:rStyle w:val="20"/>
          <w:rFonts w:hint="eastAsia" w:ascii="宋体" w:hAnsi="宋体" w:eastAsia="宋体" w:cs="宋体"/>
          <w:color w:val="auto"/>
          <w:kern w:val="0"/>
          <w:highlight w:val="none"/>
        </w:rPr>
        <w:t xml:space="preserve"> 投标文件封套、封面、组成内容中凡要求录入投标人名称且注明“盖单位章”处盖单位法人公章（电子印章）。</w:t>
      </w:r>
    </w:p>
    <w:p>
      <w:pPr>
        <w:pStyle w:val="30"/>
        <w:snapToGrid w:val="0"/>
        <w:ind w:firstLineChars="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10.1.3.3</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lang w:val="en-US" w:eastAsia="zh-CN"/>
        </w:rPr>
        <w:t>投标文件的签字均为签字人本人亲笔署名或签章（电子印章），其余部分的复印件无须另行签字、盖章。</w:t>
      </w:r>
    </w:p>
    <w:p>
      <w:pPr>
        <w:pStyle w:val="24"/>
        <w:snapToGrid w:val="0"/>
        <w:ind w:firstLine="482" w:firstLineChars="200"/>
        <w:jc w:val="both"/>
        <w:rPr>
          <w:rStyle w:val="20"/>
          <w:rFonts w:hint="eastAsia" w:ascii="宋体" w:hAnsi="宋体" w:eastAsia="宋体" w:cs="宋体"/>
          <w:b/>
          <w:bCs/>
          <w:color w:val="auto"/>
          <w:highlight w:val="none"/>
        </w:rPr>
      </w:pPr>
      <w:bookmarkStart w:id="40" w:name="_Toc11533"/>
      <w:bookmarkStart w:id="41" w:name="_Toc28294"/>
      <w:bookmarkStart w:id="42" w:name="_Toc28154"/>
      <w:bookmarkStart w:id="43" w:name="_Toc257031159"/>
      <w:bookmarkStart w:id="44" w:name="_Toc14523"/>
      <w:bookmarkStart w:id="45" w:name="_Toc23762"/>
      <w:bookmarkStart w:id="46" w:name="_Toc274313880"/>
      <w:r>
        <w:rPr>
          <w:rStyle w:val="20"/>
          <w:rFonts w:hint="eastAsia" w:ascii="宋体" w:hAnsi="宋体" w:eastAsia="宋体" w:cs="宋体"/>
          <w:b/>
          <w:bCs/>
          <w:color w:val="auto"/>
          <w:highlight w:val="none"/>
        </w:rPr>
        <w:t>10.2 商务标书的编制要求</w:t>
      </w:r>
      <w:bookmarkEnd w:id="40"/>
      <w:bookmarkEnd w:id="41"/>
      <w:bookmarkEnd w:id="42"/>
      <w:bookmarkEnd w:id="43"/>
      <w:bookmarkEnd w:id="44"/>
      <w:bookmarkEnd w:id="45"/>
      <w:bookmarkEnd w:id="46"/>
    </w:p>
    <w:p>
      <w:pPr>
        <w:pStyle w:val="24"/>
        <w:snapToGrid w:val="0"/>
        <w:ind w:firstLine="482" w:firstLineChars="200"/>
        <w:jc w:val="both"/>
        <w:rPr>
          <w:rStyle w:val="20"/>
          <w:rFonts w:hint="eastAsia" w:ascii="宋体" w:hAnsi="宋体" w:eastAsia="宋体" w:cs="宋体"/>
          <w:color w:val="auto"/>
          <w:highlight w:val="none"/>
        </w:rPr>
      </w:pPr>
      <w:r>
        <w:rPr>
          <w:rStyle w:val="20"/>
          <w:rFonts w:hint="eastAsia" w:ascii="宋体" w:hAnsi="宋体" w:eastAsia="宋体" w:cs="宋体"/>
          <w:b/>
          <w:bCs/>
          <w:color w:val="auto"/>
          <w:highlight w:val="none"/>
        </w:rPr>
        <w:t xml:space="preserve">10.2.1 </w:t>
      </w:r>
      <w:r>
        <w:rPr>
          <w:rStyle w:val="20"/>
          <w:rFonts w:hint="eastAsia" w:ascii="宋体" w:hAnsi="宋体" w:eastAsia="宋体" w:cs="宋体"/>
          <w:color w:val="auto"/>
          <w:highlight w:val="none"/>
        </w:rPr>
        <w:t>商务标书包括但不限于以下内容：</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（3）《投标函》（格式二）；</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（4）《各项承诺一览表》（格式三）；</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（5）《授权委托书》（格式四）；</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（6）《法定代表人身份证明》（格式五）；</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（7）《联合体协议书》（格式六）及所附资料；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8）投标保证缴纳证明（投标人采用投标保证金的，附建设工程交易系统《缴纳投标保证金通知书》页面截图和银行转账单彩色扫描件；采用投标保证担保的，附银行保函彩色扫描件；采用投标保证保险的，附电子保单和《</w:t>
      </w:r>
      <w:r>
        <w:rPr>
          <w:rFonts w:hint="eastAsia" w:ascii="宋体" w:hAnsi="宋体" w:eastAsia="宋体" w:cs="宋体"/>
          <w:b/>
          <w:bCs w:val="0"/>
          <w:snapToGrid w:val="0"/>
          <w:color w:val="auto"/>
          <w:kern w:val="0"/>
          <w:sz w:val="24"/>
          <w:highlight w:val="none"/>
        </w:rPr>
        <w:t>韶关市公共资源交易一体化平台保证金缴纳信息》页面截图</w:t>
      </w:r>
      <w:r>
        <w:rPr>
          <w:rFonts w:hint="eastAsia" w:ascii="宋体" w:hAnsi="宋体" w:eastAsia="宋体" w:cs="宋体"/>
          <w:b w:val="0"/>
          <w:snapToGrid w:val="0"/>
          <w:color w:val="auto"/>
          <w:kern w:val="0"/>
          <w:sz w:val="24"/>
          <w:highlight w:val="none"/>
        </w:rPr>
        <w:t>）；</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（9）《投标人基本情况表》（格式七）及所附资料；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（10）《项目经理简历表》（格式八）及所附资料；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（11）《项目经理任职声明》（格式九）；</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（12）《项目技术负责人简历表》（格式十）及所附资料；</w:t>
      </w:r>
    </w:p>
    <w:p>
      <w:pPr>
        <w:pStyle w:val="31"/>
        <w:widowControl/>
        <w:spacing w:line="360" w:lineRule="auto"/>
        <w:ind w:firstLine="480" w:firstLineChars="200"/>
        <w:jc w:val="both"/>
        <w:textAlignment w:val="baseline"/>
        <w:rPr>
          <w:rFonts w:hint="eastAsia" w:ascii="宋体" w:hAnsi="宋体" w:eastAsia="宋体" w:cs="宋体"/>
          <w:b w:val="0"/>
          <w:snapToGrid w:val="0"/>
          <w:color w:val="auto"/>
          <w:kern w:val="0"/>
          <w:sz w:val="24"/>
          <w:highlight w:val="none"/>
        </w:rPr>
      </w:pPr>
      <w:r>
        <w:rPr>
          <w:rFonts w:hint="eastAsia" w:ascii="宋体" w:hAnsi="宋体" w:eastAsia="宋体" w:cs="宋体"/>
          <w:b w:val="0"/>
          <w:snapToGrid w:val="0"/>
          <w:color w:val="auto"/>
          <w:kern w:val="0"/>
          <w:sz w:val="24"/>
          <w:highlight w:val="none"/>
        </w:rPr>
        <w:t>（1</w:t>
      </w:r>
      <w:r>
        <w:rPr>
          <w:rFonts w:hint="eastAsia" w:ascii="宋体" w:hAnsi="宋体" w:cs="宋体"/>
          <w:b w:val="0"/>
          <w:snapToGrid w:val="0"/>
          <w:color w:val="auto"/>
          <w:kern w:val="0"/>
          <w:sz w:val="24"/>
          <w:highlight w:val="none"/>
          <w:lang w:val="en-US" w:eastAsia="zh-CN"/>
        </w:rPr>
        <w:t>3</w:t>
      </w:r>
      <w:r>
        <w:rPr>
          <w:rFonts w:hint="eastAsia" w:ascii="宋体" w:hAnsi="宋体" w:eastAsia="宋体" w:cs="宋体"/>
          <w:b w:val="0"/>
          <w:snapToGrid w:val="0"/>
          <w:color w:val="auto"/>
          <w:kern w:val="0"/>
          <w:sz w:val="24"/>
          <w:highlight w:val="none"/>
        </w:rPr>
        <w:t>）《专职安全员简历表》（格式十</w:t>
      </w:r>
      <w:r>
        <w:rPr>
          <w:rFonts w:hint="eastAsia" w:ascii="宋体" w:hAnsi="宋体" w:eastAsia="宋体" w:cs="宋体"/>
          <w:snapToGrid w:val="0"/>
          <w:color w:val="auto"/>
          <w:kern w:val="0"/>
          <w:highlight w:val="none"/>
        </w:rPr>
        <w:t>一</w:t>
      </w:r>
      <w:r>
        <w:rPr>
          <w:rFonts w:hint="eastAsia" w:ascii="宋体" w:hAnsi="宋体" w:eastAsia="宋体" w:cs="宋体"/>
          <w:b w:val="0"/>
          <w:snapToGrid w:val="0"/>
          <w:color w:val="auto"/>
          <w:kern w:val="0"/>
          <w:sz w:val="24"/>
          <w:highlight w:val="none"/>
        </w:rPr>
        <w:t>）及所附资料；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）《项目管理机构组成表》（格式十</w:t>
      </w:r>
      <w:r>
        <w:rPr>
          <w:rFonts w:hint="eastAsia" w:hAnsi="宋体" w:cs="宋体"/>
          <w:snapToGrid w:val="0"/>
          <w:color w:val="auto"/>
          <w:kern w:val="0"/>
          <w:highlight w:val="none"/>
          <w:lang w:val="en-US" w:eastAsia="zh-CN"/>
        </w:rPr>
        <w:t>二</w:t>
      </w:r>
      <w:r>
        <w:rPr>
          <w:rFonts w:hint="eastAsia" w:ascii="宋体" w:hAnsi="宋体" w:eastAsia="宋体" w:cs="宋体"/>
          <w:snapToGrid w:val="0"/>
          <w:color w:val="auto"/>
          <w:kern w:val="0"/>
          <w:highlight w:val="none"/>
        </w:rPr>
        <w:t>）及所附资料；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）本节第15.5.1目“评标方法”要求提供的评审资料；</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）投标人认为有必要补充的其他资料。（</w:t>
      </w:r>
      <w:r>
        <w:rPr>
          <w:rFonts w:hint="eastAsia" w:ascii="宋体" w:hAnsi="宋体" w:eastAsia="宋体" w:cs="宋体"/>
          <w:snapToGrid w:val="0"/>
          <w:color w:val="auto"/>
          <w:kern w:val="0"/>
          <w:szCs w:val="18"/>
          <w:highlight w:val="none"/>
        </w:rPr>
        <w:t>例如投标人已经工商变更，但其企业资质证书、安全生产许可证或其员工执业资格注册证书上的企业名称未能在投标期间完成变更的书面说明和佐证材料；外省企业所在省、地级市住建部门或其授权的组织（机构）关于企业资质、人员资格有效期自动顺延或延期办理的相关文件等</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szCs w:val="18"/>
          <w:highlight w:val="none"/>
        </w:rPr>
      </w:pPr>
      <w:r>
        <w:rPr>
          <w:rFonts w:hint="eastAsia" w:ascii="宋体" w:hAnsi="宋体" w:eastAsia="宋体" w:cs="宋体"/>
          <w:b/>
          <w:bCs/>
          <w:snapToGrid w:val="0"/>
          <w:color w:val="auto"/>
          <w:kern w:val="0"/>
          <w:szCs w:val="18"/>
          <w:highlight w:val="none"/>
        </w:rPr>
        <w:t>10.2.2</w:t>
      </w:r>
      <w:r>
        <w:rPr>
          <w:rFonts w:hint="eastAsia" w:ascii="宋体" w:hAnsi="宋体" w:eastAsia="宋体" w:cs="宋体"/>
          <w:snapToGrid w:val="0"/>
          <w:color w:val="auto"/>
          <w:kern w:val="0"/>
          <w:szCs w:val="18"/>
          <w:highlight w:val="none"/>
        </w:rPr>
        <w:t xml:space="preserve"> 本节第</w:t>
      </w:r>
      <w:r>
        <w:rPr>
          <w:rFonts w:hint="eastAsia" w:ascii="宋体" w:hAnsi="宋体" w:eastAsia="宋体" w:cs="宋体"/>
          <w:b/>
          <w:bCs/>
          <w:snapToGrid w:val="0"/>
          <w:color w:val="auto"/>
          <w:kern w:val="0"/>
          <w:szCs w:val="18"/>
          <w:highlight w:val="none"/>
        </w:rPr>
        <w:t>10.2.1</w:t>
      </w:r>
      <w:r>
        <w:rPr>
          <w:rFonts w:hint="eastAsia" w:ascii="宋体" w:hAnsi="宋体" w:eastAsia="宋体" w:cs="宋体"/>
          <w:snapToGrid w:val="0"/>
          <w:color w:val="auto"/>
          <w:kern w:val="0"/>
          <w:szCs w:val="18"/>
          <w:highlight w:val="none"/>
        </w:rPr>
        <w:t>目中所列出的商务标书组成内容中，第（1）至第（1</w:t>
      </w:r>
      <w:r>
        <w:rPr>
          <w:rFonts w:hint="eastAsia" w:hAnsi="宋体" w:cs="宋体"/>
          <w:snapToGrid w:val="0"/>
          <w:color w:val="auto"/>
          <w:kern w:val="0"/>
          <w:szCs w:val="18"/>
          <w:highlight w:val="none"/>
          <w:lang w:val="en-US" w:eastAsia="zh-CN"/>
        </w:rPr>
        <w:t>4</w:t>
      </w:r>
      <w:r>
        <w:rPr>
          <w:rFonts w:hint="eastAsia" w:ascii="宋体" w:hAnsi="宋体" w:eastAsia="宋体" w:cs="宋体"/>
          <w:snapToGrid w:val="0"/>
          <w:color w:val="auto"/>
          <w:kern w:val="0"/>
          <w:szCs w:val="18"/>
          <w:highlight w:val="none"/>
        </w:rPr>
        <w:t>）项所有投标人均应提供，</w:t>
      </w:r>
      <w:r>
        <w:rPr>
          <w:rFonts w:hint="eastAsia" w:ascii="宋体" w:hAnsi="宋体" w:eastAsia="宋体" w:cs="宋体"/>
          <w:b/>
          <w:bCs/>
          <w:snapToGrid w:val="0"/>
          <w:color w:val="auto"/>
          <w:kern w:val="0"/>
          <w:szCs w:val="18"/>
          <w:highlight w:val="none"/>
        </w:rPr>
        <w:t>但非联合体投标的，无需提供第（7）项内容。</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10.2.3</w:t>
      </w:r>
      <w:r>
        <w:rPr>
          <w:rFonts w:hint="eastAsia" w:ascii="宋体" w:hAnsi="宋体" w:eastAsia="宋体" w:cs="宋体"/>
          <w:snapToGrid w:val="0"/>
          <w:color w:val="auto"/>
          <w:kern w:val="0"/>
          <w:highlight w:val="none"/>
        </w:rPr>
        <w:t xml:space="preserve"> 商务标书的组成内容按本节第</w:t>
      </w:r>
      <w:r>
        <w:rPr>
          <w:rFonts w:hint="eastAsia" w:ascii="宋体" w:hAnsi="宋体" w:eastAsia="宋体" w:cs="宋体"/>
          <w:b/>
          <w:bCs/>
          <w:snapToGrid w:val="0"/>
          <w:color w:val="auto"/>
          <w:kern w:val="0"/>
          <w:highlight w:val="none"/>
        </w:rPr>
        <w:t>10.2.1</w:t>
      </w:r>
      <w:r>
        <w:rPr>
          <w:rFonts w:hint="eastAsia" w:ascii="宋体" w:hAnsi="宋体" w:eastAsia="宋体" w:cs="宋体"/>
          <w:snapToGrid w:val="0"/>
          <w:color w:val="auto"/>
          <w:kern w:val="0"/>
          <w:highlight w:val="none"/>
        </w:rPr>
        <w:t>目规定的顺序整理、编排后，逐页</w:t>
      </w:r>
      <w:r>
        <w:rPr>
          <w:rFonts w:hint="eastAsia" w:ascii="宋体" w:hAnsi="宋体" w:eastAsia="宋体" w:cs="宋体"/>
          <w:snapToGrid w:val="0"/>
          <w:color w:val="auto"/>
          <w:kern w:val="0"/>
          <w:szCs w:val="18"/>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10.2.4</w:t>
      </w:r>
      <w:r>
        <w:rPr>
          <w:rFonts w:hint="eastAsia" w:ascii="宋体" w:hAnsi="宋体" w:eastAsia="宋体" w:cs="宋体"/>
          <w:snapToGrid w:val="0"/>
          <w:color w:val="auto"/>
          <w:kern w:val="0"/>
          <w:highlight w:val="none"/>
        </w:rPr>
        <w:t xml:space="preserve"> 商务标书电子文件制作要求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投标人应将商务标书正本的所有内容按本节第10.2.1目规定的顺序整理、编排后，从封面开始标记页码，作成一个PDF格式电子文件。</w:t>
      </w:r>
    </w:p>
    <w:p>
      <w:pPr>
        <w:pStyle w:val="24"/>
        <w:snapToGrid w:val="0"/>
        <w:ind w:firstLine="482" w:firstLineChars="200"/>
        <w:jc w:val="both"/>
        <w:rPr>
          <w:rStyle w:val="20"/>
          <w:rFonts w:hint="eastAsia" w:ascii="宋体" w:hAnsi="宋体" w:eastAsia="宋体" w:cs="宋体"/>
          <w:b/>
          <w:bCs/>
          <w:color w:val="auto"/>
          <w:highlight w:val="none"/>
        </w:rPr>
      </w:pPr>
      <w:bookmarkStart w:id="47" w:name="_Toc23486"/>
      <w:bookmarkStart w:id="48" w:name="_Toc29164"/>
      <w:bookmarkStart w:id="49" w:name="_Toc4083"/>
      <w:bookmarkStart w:id="50" w:name="_Toc10756"/>
      <w:bookmarkStart w:id="51" w:name="_Toc18154"/>
      <w:bookmarkStart w:id="52" w:name="_Toc28389"/>
      <w:r>
        <w:rPr>
          <w:rStyle w:val="20"/>
          <w:rFonts w:hint="eastAsia" w:ascii="宋体" w:hAnsi="宋体" w:eastAsia="宋体" w:cs="宋体"/>
          <w:b/>
          <w:bCs/>
          <w:color w:val="auto"/>
          <w:highlight w:val="none"/>
        </w:rPr>
        <w:t>10.3 经济标书的编制要求</w:t>
      </w:r>
      <w:bookmarkEnd w:id="47"/>
      <w:bookmarkEnd w:id="48"/>
      <w:bookmarkEnd w:id="49"/>
      <w:bookmarkEnd w:id="50"/>
      <w:bookmarkEnd w:id="51"/>
      <w:bookmarkEnd w:id="52"/>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10.3.1</w:t>
      </w:r>
      <w:r>
        <w:rPr>
          <w:rFonts w:hint="eastAsia" w:ascii="宋体" w:hAnsi="宋体" w:eastAsia="宋体" w:cs="宋体"/>
          <w:snapToGrid w:val="0"/>
          <w:color w:val="auto"/>
          <w:kern w:val="0"/>
          <w:highlight w:val="none"/>
        </w:rPr>
        <w:t xml:space="preserve"> 经济标书包括以下内容：</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（3）《投标总价》；</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说明：投标人应在招标工程量清单中填报价格，形成已标价工程量清单，同时按照</w:t>
      </w:r>
      <w:r>
        <w:rPr>
          <w:rStyle w:val="20"/>
          <w:rFonts w:hint="eastAsia" w:hAnsi="宋体" w:cs="宋体"/>
          <w:color w:val="auto"/>
          <w:kern w:val="0"/>
          <w:highlight w:val="none"/>
          <w:lang w:eastAsia="zh-CN"/>
        </w:rPr>
        <w:t>《建设工程工程量清单计价标准》（GB/T50500-2024）</w:t>
      </w:r>
      <w:r>
        <w:rPr>
          <w:rFonts w:hint="eastAsia" w:ascii="宋体" w:hAnsi="宋体" w:eastAsia="宋体" w:cs="宋体"/>
          <w:snapToGrid w:val="0"/>
          <w:color w:val="auto"/>
          <w:kern w:val="0"/>
          <w:highlight w:val="none"/>
        </w:rPr>
        <w:t>有关格式和以下要求制作封面、扉页、</w:t>
      </w:r>
      <w:r>
        <w:rPr>
          <w:rFonts w:hint="eastAsia" w:hAnsi="宋体" w:cs="宋体"/>
          <w:snapToGrid w:val="0"/>
          <w:color w:val="auto"/>
          <w:kern w:val="0"/>
          <w:highlight w:val="none"/>
          <w:lang w:val="en-US" w:eastAsia="zh-CN"/>
        </w:rPr>
        <w:t>投标报价填报</w:t>
      </w:r>
      <w:r>
        <w:rPr>
          <w:rFonts w:hint="eastAsia" w:ascii="宋体" w:hAnsi="宋体" w:eastAsia="宋体" w:cs="宋体"/>
          <w:snapToGrid w:val="0"/>
          <w:color w:val="auto"/>
          <w:kern w:val="0"/>
          <w:highlight w:val="none"/>
        </w:rPr>
        <w:t>说明：</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a．投标人委托造价咨询单位编制《投标总价》的，应在《投标总价》封面（即</w:t>
      </w:r>
      <w:r>
        <w:rPr>
          <w:rFonts w:hint="eastAsia" w:hAnsi="宋体" w:cs="宋体"/>
          <w:snapToGrid w:val="0"/>
          <w:color w:val="auto"/>
          <w:kern w:val="0"/>
          <w:highlight w:val="none"/>
          <w:lang w:val="en-US" w:eastAsia="zh-CN"/>
        </w:rPr>
        <w:t>表B.3.1</w:t>
      </w:r>
      <w:r>
        <w:rPr>
          <w:rFonts w:hint="eastAsia" w:ascii="宋体" w:hAnsi="宋体" w:eastAsia="宋体" w:cs="宋体"/>
          <w:snapToGrid w:val="0"/>
          <w:color w:val="auto"/>
          <w:kern w:val="0"/>
          <w:highlight w:val="none"/>
        </w:rPr>
        <w:t>）加盖造价咨询人公章，并在该封面后附造价咨询人的营业执照彩色扫描件。</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b．《投标总价》扉页（即</w:t>
      </w:r>
      <w:r>
        <w:rPr>
          <w:rFonts w:hint="eastAsia" w:hAnsi="宋体" w:cs="宋体"/>
          <w:snapToGrid w:val="0"/>
          <w:color w:val="auto"/>
          <w:kern w:val="0"/>
          <w:highlight w:val="none"/>
          <w:lang w:val="en-US" w:eastAsia="zh-CN"/>
        </w:rPr>
        <w:t>表C.3.1</w:t>
      </w:r>
      <w:r>
        <w:rPr>
          <w:rFonts w:hint="eastAsia" w:ascii="宋体" w:hAnsi="宋体" w:eastAsia="宋体" w:cs="宋体"/>
          <w:snapToGrid w:val="0"/>
          <w:color w:val="auto"/>
          <w:kern w:val="0"/>
          <w:highlight w:val="none"/>
        </w:rPr>
        <w:t>）后附编制人的造价工程师注册证书彩色扫描件（非电子证书须扫描至变更注册栏）。</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c．《投标总价》</w:t>
      </w:r>
      <w:r>
        <w:rPr>
          <w:rFonts w:hint="eastAsia" w:hAnsi="宋体" w:cs="宋体"/>
          <w:snapToGrid w:val="0"/>
          <w:color w:val="auto"/>
          <w:kern w:val="0"/>
          <w:highlight w:val="none"/>
          <w:lang w:val="en-US" w:eastAsia="zh-CN"/>
        </w:rPr>
        <w:t>投标报价填报</w:t>
      </w:r>
      <w:r>
        <w:rPr>
          <w:rFonts w:hint="eastAsia" w:ascii="宋体" w:hAnsi="宋体" w:eastAsia="宋体" w:cs="宋体"/>
          <w:snapToGrid w:val="0"/>
          <w:color w:val="auto"/>
          <w:kern w:val="0"/>
          <w:highlight w:val="none"/>
        </w:rPr>
        <w:t>说明（即表</w:t>
      </w:r>
      <w:r>
        <w:rPr>
          <w:rFonts w:hint="eastAsia" w:hAnsi="宋体" w:cs="宋体"/>
          <w:snapToGrid w:val="0"/>
          <w:color w:val="auto"/>
          <w:kern w:val="0"/>
          <w:highlight w:val="none"/>
          <w:lang w:val="en-US" w:eastAsia="zh-CN"/>
        </w:rPr>
        <w:t>D.2.1</w:t>
      </w:r>
      <w:r>
        <w:rPr>
          <w:rFonts w:hint="eastAsia" w:ascii="宋体" w:hAnsi="宋体" w:eastAsia="宋体" w:cs="宋体"/>
          <w:snapToGrid w:val="0"/>
          <w:color w:val="auto"/>
          <w:kern w:val="0"/>
          <w:highlight w:val="none"/>
        </w:rPr>
        <w:t>）中的</w:t>
      </w:r>
      <w:r>
        <w:rPr>
          <w:rFonts w:hint="eastAsia" w:hAnsi="宋体" w:cs="宋体"/>
          <w:snapToGrid w:val="0"/>
          <w:color w:val="auto"/>
          <w:kern w:val="0"/>
          <w:highlight w:val="none"/>
          <w:lang w:val="en-US" w:eastAsia="zh-CN"/>
        </w:rPr>
        <w:t>注释</w:t>
      </w:r>
      <w:r>
        <w:rPr>
          <w:rFonts w:hint="eastAsia" w:ascii="宋体" w:hAnsi="宋体" w:eastAsia="宋体" w:cs="宋体"/>
          <w:snapToGrid w:val="0"/>
          <w:color w:val="auto"/>
          <w:kern w:val="0"/>
          <w:highlight w:val="none"/>
        </w:rPr>
        <w:t>内容填写，尚应专项说明造价软件的名称、版本、加密锁编号。</w:t>
      </w:r>
    </w:p>
    <w:p>
      <w:pPr>
        <w:tabs>
          <w:tab w:val="left" w:pos="7020"/>
        </w:tabs>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（4）投标人认为有必要补充的其他资料（例如关于投标总价下浮率超过15%的书面说明和佐证材料）。</w:t>
      </w:r>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10.3.2</w:t>
      </w:r>
      <w:r>
        <w:rPr>
          <w:rFonts w:hint="eastAsia" w:ascii="宋体" w:hAnsi="宋体" w:eastAsia="宋体" w:cs="宋体"/>
          <w:snapToGrid w:val="0"/>
          <w:color w:val="auto"/>
          <w:kern w:val="0"/>
          <w:highlight w:val="none"/>
        </w:rPr>
        <w:t xml:space="preserve"> 本节</w:t>
      </w:r>
      <w:r>
        <w:rPr>
          <w:rFonts w:hint="eastAsia" w:ascii="宋体" w:hAnsi="宋体" w:eastAsia="宋体" w:cs="宋体"/>
          <w:b/>
          <w:bCs/>
          <w:snapToGrid w:val="0"/>
          <w:color w:val="auto"/>
          <w:kern w:val="0"/>
          <w:highlight w:val="none"/>
        </w:rPr>
        <w:t>第10.3.1目</w:t>
      </w:r>
      <w:r>
        <w:rPr>
          <w:rFonts w:hint="eastAsia" w:ascii="宋体" w:hAnsi="宋体" w:eastAsia="宋体" w:cs="宋体"/>
          <w:snapToGrid w:val="0"/>
          <w:color w:val="auto"/>
          <w:kern w:val="0"/>
          <w:highlight w:val="none"/>
        </w:rPr>
        <w:t>中所列出的经济标书组成内容中，第（1）至第（3）项所有投标人均应提供。</w:t>
      </w:r>
    </w:p>
    <w:p>
      <w:pPr>
        <w:tabs>
          <w:tab w:val="left" w:pos="7020"/>
        </w:tabs>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10.3.3</w:t>
      </w:r>
      <w:r>
        <w:rPr>
          <w:rFonts w:hint="eastAsia" w:ascii="宋体" w:hAnsi="宋体" w:eastAsia="宋体" w:cs="宋体"/>
          <w:snapToGrid w:val="0"/>
          <w:color w:val="auto"/>
          <w:kern w:val="0"/>
          <w:highlight w:val="none"/>
        </w:rPr>
        <w:t xml:space="preserve"> 经济标书的组成内容按本节第10.3.1目规定的顺序整理、编排后，逐页</w:t>
      </w:r>
      <w:r>
        <w:rPr>
          <w:rFonts w:hint="eastAsia" w:ascii="宋体" w:hAnsi="宋体" w:eastAsia="宋体" w:cs="宋体"/>
          <w:color w:val="auto"/>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napToGrid w:val="0"/>
        <w:ind w:firstLine="48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10.4</w:t>
      </w:r>
      <w:r>
        <w:rPr>
          <w:rStyle w:val="20"/>
          <w:rFonts w:hint="eastAsia" w:ascii="宋体" w:hAnsi="宋体" w:eastAsia="宋体" w:cs="宋体"/>
          <w:b/>
          <w:bCs/>
          <w:color w:val="auto"/>
          <w:kern w:val="0"/>
          <w:highlight w:val="none"/>
        </w:rPr>
        <w:t xml:space="preserve"> 施工组织设计的编制要求</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
          <w:bCs/>
          <w:snapToGrid w:val="0"/>
          <w:color w:val="auto"/>
          <w:kern w:val="0"/>
          <w:highlight w:val="none"/>
        </w:rPr>
        <w:t>10.4.1</w:t>
      </w:r>
      <w:r>
        <w:rPr>
          <w:rFonts w:hint="eastAsia" w:ascii="宋体" w:hAnsi="宋体" w:eastAsia="宋体" w:cs="宋体"/>
          <w:snapToGrid w:val="0"/>
          <w:color w:val="auto"/>
          <w:kern w:val="0"/>
          <w:highlight w:val="none"/>
        </w:rPr>
        <w:t xml:space="preserve"> 施工组织设计的编制依据包括且不限于</w:t>
      </w:r>
      <w:r>
        <w:rPr>
          <w:rFonts w:hint="eastAsia" w:ascii="宋体" w:hAnsi="宋体" w:eastAsia="宋体" w:cs="宋体"/>
          <w:bCs/>
          <w:snapToGrid w:val="0"/>
          <w:color w:val="auto"/>
          <w:kern w:val="0"/>
          <w:highlight w:val="none"/>
        </w:rPr>
        <w:t>：</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（1）招标文件及</w:t>
      </w:r>
      <w:r>
        <w:rPr>
          <w:rFonts w:hint="eastAsia" w:ascii="宋体" w:hAnsi="宋体" w:eastAsia="宋体" w:cs="宋体"/>
          <w:snapToGrid w:val="0"/>
          <w:color w:val="auto"/>
          <w:kern w:val="0"/>
          <w:highlight w:val="none"/>
        </w:rPr>
        <w:t>其答疑（或修改）公告；</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（2）施工图及相关资料；</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（3）施工现场情况、工程特点；</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（4）相关法律、法规、规定；</w:t>
      </w:r>
    </w:p>
    <w:p>
      <w:pPr>
        <w:wordWrap w:val="0"/>
        <w:adjustRightInd w:val="0"/>
        <w:ind w:firstLine="480"/>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国家、广东省、韶关市关于施工现场管理、施工工艺、绿色施工、安全防护、文明施工、环境保护等方面的标准、规范、技术资料。如《广东省住房和城乡建设厅绿色施工导则》《广东省建设工程施工扬尘污染防治管理办法（试行）》等；</w:t>
      </w:r>
    </w:p>
    <w:p>
      <w:pPr>
        <w:wordWrap w:val="0"/>
        <w:adjustRightInd w:val="0"/>
        <w:ind w:firstLine="480"/>
        <w:rPr>
          <w:rFonts w:hint="eastAsia" w:ascii="宋体" w:hAnsi="宋体" w:eastAsia="宋体" w:cs="宋体"/>
          <w:snapToGrid w:val="0"/>
          <w:color w:val="auto"/>
          <w:kern w:val="0"/>
          <w:highlight w:val="none"/>
        </w:rPr>
      </w:pPr>
      <w:r>
        <w:rPr>
          <w:rFonts w:hint="eastAsia" w:ascii="宋体" w:hAnsi="宋体" w:eastAsia="宋体" w:cs="宋体"/>
          <w:bCs/>
          <w:snapToGrid w:val="0"/>
          <w:color w:val="auto"/>
          <w:kern w:val="0"/>
          <w:highlight w:val="none"/>
        </w:rPr>
        <w:t>（6）企业内部标准、工法。</w:t>
      </w:r>
    </w:p>
    <w:p>
      <w:pPr>
        <w:wordWrap w:val="0"/>
        <w:adjustRightIn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snapToGrid w:val="0"/>
          <w:color w:val="auto"/>
          <w:kern w:val="0"/>
          <w:highlight w:val="none"/>
        </w:rPr>
        <w:t>10.4.2</w:t>
      </w:r>
      <w:r>
        <w:rPr>
          <w:rFonts w:hint="eastAsia" w:ascii="宋体" w:hAnsi="宋体" w:eastAsia="宋体" w:cs="宋体"/>
          <w:bCs/>
          <w:snapToGrid w:val="0"/>
          <w:color w:val="auto"/>
          <w:kern w:val="0"/>
          <w:highlight w:val="none"/>
        </w:rPr>
        <w:t xml:space="preserve"> </w:t>
      </w:r>
      <w:r>
        <w:rPr>
          <w:rFonts w:hint="eastAsia" w:ascii="宋体" w:hAnsi="宋体" w:eastAsia="宋体" w:cs="宋体"/>
          <w:snapToGrid w:val="0"/>
          <w:color w:val="auto"/>
          <w:kern w:val="0"/>
          <w:highlight w:val="none"/>
        </w:rPr>
        <w:t>施工组织设计包括但不限于以下内容：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（1）封面（格式一）；</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（2）目录；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（3）总体概述（包括施工程序总体设想及施工段划分等内容）；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（4）施工总进度计划及保证措施（包括进度管理目标；以横道图或标明关键线路的网络进度计划；保障进度计划需要的人、材、机需求计划及保证措施；违约责任承诺等内容）；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（5）质量保证措施（包括质量管理目标；相应保证措施；违约责任承诺等内容）；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（6）施工技术措施（包括关键施工技术、工艺及工程项目实施的重点、难点分析和解决方案；新技术应用与承诺等内容）；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（7）绿色施工、安全防护、文明施工措施计划</w:t>
      </w:r>
      <w:r>
        <w:rPr>
          <w:rFonts w:hint="eastAsia" w:ascii="宋体" w:hAnsi="宋体" w:eastAsia="宋体" w:cs="宋体"/>
          <w:b/>
          <w:bCs/>
          <w:snapToGrid w:val="0"/>
          <w:color w:val="auto"/>
          <w:kern w:val="0"/>
          <w:highlight w:val="none"/>
        </w:rPr>
        <w:t>【应对建设单位组织的勘察设计等单位在施工招标文件中列出的危大工程清单(详见格式十</w:t>
      </w:r>
      <w:r>
        <w:rPr>
          <w:rFonts w:hint="eastAsia" w:hAnsi="宋体" w:cs="宋体"/>
          <w:b/>
          <w:bCs/>
          <w:snapToGrid w:val="0"/>
          <w:color w:val="auto"/>
          <w:kern w:val="0"/>
          <w:highlight w:val="none"/>
          <w:lang w:val="en-US" w:eastAsia="zh-CN"/>
        </w:rPr>
        <w:t>四</w:t>
      </w:r>
      <w:r>
        <w:rPr>
          <w:rFonts w:hint="eastAsia" w:ascii="宋体" w:hAnsi="宋体" w:eastAsia="宋体" w:cs="宋体"/>
          <w:b/>
          <w:bCs/>
          <w:snapToGrid w:val="0"/>
          <w:color w:val="auto"/>
          <w:kern w:val="0"/>
          <w:highlight w:val="none"/>
        </w:rPr>
        <w:t>)进行投标文件回应,如有】</w:t>
      </w:r>
      <w:r>
        <w:rPr>
          <w:rFonts w:hint="eastAsia" w:ascii="宋体" w:hAnsi="宋体" w:eastAsia="宋体" w:cs="宋体"/>
          <w:snapToGrid w:val="0"/>
          <w:color w:val="auto"/>
          <w:kern w:val="0"/>
          <w:highlight w:val="none"/>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8）施工现场总平面布置（投标人应递交一份施工现场总平面布置图，绘出现场临时设施布置图表并附文字说明，说明临时设施、加工车间、现场办公、设备及仓储、供电、供水、卫生、生活、道路、消防等设施的情况和布置）；</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（9）项目管理机构。</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（10）投标人认为有必要补充的其他内容（例如对总包管理的认识以及对专业分包工程的管理、协调、配合、服务方案）。</w:t>
      </w:r>
    </w:p>
    <w:p>
      <w:pPr>
        <w:wordWrap w:val="0"/>
        <w:adjustRightIn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10.4.3</w:t>
      </w:r>
      <w:r>
        <w:rPr>
          <w:rFonts w:hint="eastAsia" w:ascii="宋体" w:hAnsi="宋体" w:eastAsia="宋体" w:cs="宋体"/>
          <w:snapToGrid w:val="0"/>
          <w:color w:val="auto"/>
          <w:kern w:val="0"/>
          <w:highlight w:val="none"/>
        </w:rPr>
        <w:t xml:space="preserve"> 本节第</w:t>
      </w:r>
      <w:r>
        <w:rPr>
          <w:rFonts w:hint="eastAsia" w:ascii="宋体" w:hAnsi="宋体" w:eastAsia="宋体" w:cs="宋体"/>
          <w:b/>
          <w:bCs/>
          <w:snapToGrid w:val="0"/>
          <w:color w:val="auto"/>
          <w:kern w:val="0"/>
          <w:highlight w:val="none"/>
        </w:rPr>
        <w:t>10.4.2</w:t>
      </w:r>
      <w:r>
        <w:rPr>
          <w:rFonts w:hint="eastAsia" w:ascii="宋体" w:hAnsi="宋体" w:eastAsia="宋体" w:cs="宋体"/>
          <w:snapToGrid w:val="0"/>
          <w:color w:val="auto"/>
          <w:kern w:val="0"/>
          <w:highlight w:val="none"/>
        </w:rPr>
        <w:t>目中所列出的施工组织设计组成内容中，第（1）至第（9）项</w:t>
      </w:r>
      <w:r>
        <w:rPr>
          <w:rFonts w:hint="eastAsia" w:ascii="宋体" w:hAnsi="宋体" w:eastAsia="宋体" w:cs="宋体"/>
          <w:snapToGrid w:val="0"/>
          <w:color w:val="auto"/>
          <w:kern w:val="0"/>
          <w:szCs w:val="18"/>
          <w:highlight w:val="none"/>
        </w:rPr>
        <w:t>所有投标人均应提供</w:t>
      </w:r>
      <w:r>
        <w:rPr>
          <w:rFonts w:hint="eastAsia" w:ascii="宋体" w:hAnsi="宋体" w:eastAsia="宋体" w:cs="宋体"/>
          <w:snapToGrid w:val="0"/>
          <w:color w:val="auto"/>
          <w:kern w:val="0"/>
          <w:highlight w:val="none"/>
        </w:rPr>
        <w:t>。</w:t>
      </w:r>
    </w:p>
    <w:p>
      <w:pPr>
        <w:wordWrap w:val="0"/>
        <w:adjustRightIn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10.4.4</w:t>
      </w:r>
      <w:r>
        <w:rPr>
          <w:rFonts w:hint="eastAsia" w:ascii="宋体" w:hAnsi="宋体" w:eastAsia="宋体" w:cs="宋体"/>
          <w:snapToGrid w:val="0"/>
          <w:color w:val="auto"/>
          <w:kern w:val="0"/>
          <w:highlight w:val="none"/>
        </w:rPr>
        <w:t xml:space="preserve"> 施工组织设计的组成内容按本节</w:t>
      </w:r>
      <w:r>
        <w:rPr>
          <w:rFonts w:hint="eastAsia" w:ascii="宋体" w:hAnsi="宋体" w:eastAsia="宋体" w:cs="宋体"/>
          <w:b/>
          <w:bCs/>
          <w:snapToGrid w:val="0"/>
          <w:color w:val="auto"/>
          <w:kern w:val="0"/>
          <w:highlight w:val="none"/>
        </w:rPr>
        <w:t>第10.4.2目</w:t>
      </w:r>
      <w:r>
        <w:rPr>
          <w:rFonts w:hint="eastAsia" w:ascii="宋体" w:hAnsi="宋体" w:eastAsia="宋体" w:cs="宋体"/>
          <w:snapToGrid w:val="0"/>
          <w:color w:val="auto"/>
          <w:kern w:val="0"/>
          <w:highlight w:val="none"/>
        </w:rPr>
        <w:t>规定的顺序整理、编排后，逐页</w:t>
      </w:r>
      <w:r>
        <w:rPr>
          <w:rFonts w:hint="eastAsia" w:ascii="宋体" w:hAnsi="宋体" w:eastAsia="宋体" w:cs="宋体"/>
          <w:color w:val="auto"/>
          <w:highlight w:val="none"/>
        </w:rPr>
        <w:t>（页码起始从封面开始）</w:t>
      </w:r>
      <w:r>
        <w:rPr>
          <w:rFonts w:hint="eastAsia" w:ascii="宋体" w:hAnsi="宋体" w:eastAsia="宋体" w:cs="宋体"/>
          <w:snapToGrid w:val="0"/>
          <w:color w:val="auto"/>
          <w:kern w:val="0"/>
          <w:highlight w:val="none"/>
        </w:rPr>
        <w:t>连续标记页码。</w:t>
      </w:r>
    </w:p>
    <w:p>
      <w:pPr>
        <w:wordWrap w:val="0"/>
        <w:adjustRightInd w:val="0"/>
        <w:spacing w:line="440" w:lineRule="exact"/>
        <w:ind w:firstLine="482" w:firstLineChars="200"/>
        <w:rPr>
          <w:rFonts w:hint="eastAsia" w:ascii="宋体" w:hAnsi="宋体" w:eastAsia="宋体" w:cs="宋体"/>
          <w:bCs/>
          <w:snapToGrid w:val="0"/>
          <w:color w:val="auto"/>
          <w:highlight w:val="none"/>
        </w:rPr>
      </w:pPr>
      <w:r>
        <w:rPr>
          <w:rFonts w:hint="eastAsia" w:ascii="宋体" w:hAnsi="宋体" w:eastAsia="宋体" w:cs="宋体"/>
          <w:b/>
          <w:bCs/>
          <w:snapToGrid w:val="0"/>
          <w:color w:val="auto"/>
          <w:kern w:val="0"/>
          <w:highlight w:val="none"/>
        </w:rPr>
        <w:t>10.4.5</w:t>
      </w:r>
      <w:r>
        <w:rPr>
          <w:rFonts w:hint="eastAsia" w:ascii="宋体" w:hAnsi="宋体" w:eastAsia="宋体" w:cs="宋体"/>
          <w:snapToGrid w:val="0"/>
          <w:color w:val="auto"/>
          <w:kern w:val="0"/>
          <w:highlight w:val="none"/>
        </w:rPr>
        <w:t xml:space="preserve"> 施工组织设计的正文除施工现场平面布置图和进度计划图用白色标准A3纸</w:t>
      </w:r>
      <w:r>
        <w:rPr>
          <w:rFonts w:hint="eastAsia" w:ascii="宋体" w:hAnsi="宋体" w:eastAsia="宋体" w:cs="宋体"/>
          <w:bCs/>
          <w:snapToGrid w:val="0"/>
          <w:color w:val="auto"/>
          <w:highlight w:val="none"/>
        </w:rPr>
        <w:t>设置外，其他内容一律用白色标准A4纸设置。施工组织设计的正文建议不超过500页。</w:t>
      </w:r>
    </w:p>
    <w:p>
      <w:pPr>
        <w:wordWrap w:val="0"/>
        <w:adjustRightInd w:val="0"/>
        <w:snapToGrid w:val="0"/>
        <w:ind w:firstLine="480"/>
        <w:rPr>
          <w:rStyle w:val="20"/>
          <w:rFonts w:hint="eastAsia" w:ascii="宋体" w:hAnsi="宋体" w:eastAsia="宋体" w:cs="宋体"/>
          <w:b/>
          <w:bCs/>
          <w:color w:val="auto"/>
          <w:highlight w:val="none"/>
          <w:lang w:val="en-US" w:eastAsia="zh-CN"/>
        </w:rPr>
      </w:pPr>
      <w:bookmarkStart w:id="53" w:name="_Toc20579"/>
      <w:r>
        <w:rPr>
          <w:rStyle w:val="20"/>
          <w:rFonts w:hint="eastAsia" w:ascii="宋体" w:hAnsi="宋体" w:eastAsia="宋体" w:cs="宋体"/>
          <w:b/>
          <w:bCs/>
          <w:color w:val="auto"/>
          <w:highlight w:val="none"/>
          <w:lang w:val="en-US" w:eastAsia="zh-CN"/>
        </w:rPr>
        <w:t>10.5定标文件的编制要求：</w:t>
      </w:r>
    </w:p>
    <w:p>
      <w:pPr>
        <w:wordWrap w:val="0"/>
        <w:adjustRightIn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0.5</w:t>
      </w:r>
      <w:r>
        <w:rPr>
          <w:rFonts w:hint="eastAsia" w:ascii="宋体" w:hAnsi="宋体" w:eastAsia="宋体" w:cs="宋体"/>
          <w:b/>
          <w:bCs/>
          <w:snapToGrid w:val="0"/>
          <w:color w:val="auto"/>
          <w:kern w:val="0"/>
          <w:highlight w:val="none"/>
        </w:rPr>
        <w:t>.1</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val="en-US" w:eastAsia="zh-CN"/>
        </w:rPr>
        <w:t>定标文件</w:t>
      </w:r>
      <w:r>
        <w:rPr>
          <w:rFonts w:hint="eastAsia" w:ascii="宋体" w:hAnsi="宋体" w:eastAsia="宋体" w:cs="宋体"/>
          <w:snapToGrid w:val="0"/>
          <w:color w:val="auto"/>
          <w:kern w:val="0"/>
          <w:highlight w:val="none"/>
        </w:rPr>
        <w:t>包括以下内容：</w:t>
      </w:r>
    </w:p>
    <w:p>
      <w:pPr>
        <w:wordWrap w:val="0"/>
        <w:adjustRightInd w:val="0"/>
        <w:spacing w:line="440" w:lineRule="exact"/>
        <w:ind w:firstLine="480" w:firstLineChars="200"/>
        <w:rPr>
          <w:rFonts w:hint="eastAsia" w:hAnsi="宋体" w:cs="宋体"/>
          <w:snapToGrid w:val="0"/>
          <w:color w:val="auto"/>
          <w:kern w:val="0"/>
          <w:highlight w:val="none"/>
          <w:lang w:val="en-US" w:eastAsia="zh-CN"/>
        </w:rPr>
      </w:pP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封面</w:t>
      </w:r>
      <w:r>
        <w:rPr>
          <w:rFonts w:hint="eastAsia" w:ascii="宋体" w:hAnsi="宋体" w:eastAsia="宋体" w:cs="宋体"/>
          <w:snapToGrid w:val="0"/>
          <w:color w:val="auto"/>
          <w:kern w:val="0"/>
          <w:highlight w:val="none"/>
          <w:lang w:val="en-US" w:eastAsia="zh-CN"/>
        </w:rPr>
        <w:t>（格式十</w:t>
      </w:r>
      <w:r>
        <w:rPr>
          <w:rFonts w:hint="eastAsia" w:hAnsi="宋体" w:cs="宋体"/>
          <w:snapToGrid w:val="0"/>
          <w:color w:val="auto"/>
          <w:kern w:val="0"/>
          <w:highlight w:val="none"/>
          <w:lang w:val="en-US" w:eastAsia="zh-CN"/>
        </w:rPr>
        <w:t>五</w:t>
      </w:r>
      <w:r>
        <w:rPr>
          <w:rFonts w:hint="eastAsia" w:ascii="宋体" w:hAnsi="宋体" w:eastAsia="宋体" w:cs="宋体"/>
          <w:snapToGrid w:val="0"/>
          <w:color w:val="auto"/>
          <w:kern w:val="0"/>
          <w:highlight w:val="none"/>
          <w:lang w:val="en-US" w:eastAsia="zh-CN"/>
        </w:rPr>
        <w:t>）</w:t>
      </w:r>
    </w:p>
    <w:p>
      <w:pPr>
        <w:wordWrap w:val="0"/>
        <w:adjustRightInd w:val="0"/>
        <w:spacing w:line="440" w:lineRule="exact"/>
        <w:ind w:firstLine="480" w:firstLineChars="200"/>
        <w:rPr>
          <w:rFonts w:hint="eastAsia" w:ascii="宋体" w:hAnsi="宋体" w:eastAsia="宋体" w:cs="宋体"/>
          <w:snapToGrid w:val="0"/>
          <w:color w:val="auto"/>
          <w:kern w:val="0"/>
          <w:highlight w:val="none"/>
        </w:rPr>
      </w:pPr>
      <w:r>
        <w:rPr>
          <w:rFonts w:hint="eastAsia" w:hAnsi="宋体" w:cs="宋体"/>
          <w:snapToGrid w:val="0"/>
          <w:color w:val="auto"/>
          <w:kern w:val="0"/>
          <w:highlight w:val="none"/>
          <w:lang w:val="en-US" w:eastAsia="zh-CN"/>
        </w:rPr>
        <w:t>（2）</w:t>
      </w:r>
      <w:r>
        <w:rPr>
          <w:rFonts w:hint="eastAsia" w:ascii="宋体" w:hAnsi="宋体" w:eastAsia="宋体" w:cs="宋体"/>
          <w:snapToGrid w:val="0"/>
          <w:color w:val="auto"/>
          <w:kern w:val="0"/>
          <w:highlight w:val="none"/>
          <w:lang w:val="en-US" w:eastAsia="zh-CN"/>
        </w:rPr>
        <w:t>定标因素评审资料（格式十</w:t>
      </w:r>
      <w:r>
        <w:rPr>
          <w:rFonts w:hint="eastAsia" w:hAnsi="宋体" w:cs="宋体"/>
          <w:snapToGrid w:val="0"/>
          <w:color w:val="auto"/>
          <w:kern w:val="0"/>
          <w:highlight w:val="none"/>
          <w:lang w:val="en-US" w:eastAsia="zh-CN"/>
        </w:rPr>
        <w:t>六</w:t>
      </w:r>
      <w:r>
        <w:rPr>
          <w:rFonts w:hint="eastAsia" w:ascii="宋体" w:hAnsi="宋体" w:eastAsia="宋体" w:cs="宋体"/>
          <w:snapToGrid w:val="0"/>
          <w:color w:val="auto"/>
          <w:kern w:val="0"/>
          <w:highlight w:val="none"/>
          <w:lang w:val="en-US" w:eastAsia="zh-CN"/>
        </w:rPr>
        <w:t>）</w:t>
      </w:r>
    </w:p>
    <w:p>
      <w:pPr>
        <w:wordWrap w:val="0"/>
        <w:adjustRightInd w:val="0"/>
        <w:spacing w:line="440" w:lineRule="exact"/>
        <w:ind w:firstLine="482"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b/>
          <w:bCs/>
          <w:snapToGrid w:val="0"/>
          <w:color w:val="auto"/>
          <w:kern w:val="0"/>
          <w:highlight w:val="none"/>
        </w:rPr>
        <w:t>1</w:t>
      </w:r>
      <w:r>
        <w:rPr>
          <w:rFonts w:hint="eastAsia" w:ascii="宋体" w:hAnsi="宋体" w:eastAsia="宋体" w:cs="宋体"/>
          <w:b/>
          <w:bCs/>
          <w:snapToGrid w:val="0"/>
          <w:color w:val="auto"/>
          <w:kern w:val="0"/>
          <w:highlight w:val="none"/>
          <w:lang w:val="en-US" w:eastAsia="zh-CN"/>
        </w:rPr>
        <w:t>0.5</w:t>
      </w:r>
      <w:r>
        <w:rPr>
          <w:rFonts w:hint="eastAsia" w:ascii="宋体" w:hAnsi="宋体" w:eastAsia="宋体" w:cs="宋体"/>
          <w:b/>
          <w:bCs/>
          <w:snapToGrid w:val="0"/>
          <w:color w:val="auto"/>
          <w:kern w:val="0"/>
          <w:highlight w:val="none"/>
        </w:rPr>
        <w:t>.</w:t>
      </w:r>
      <w:r>
        <w:rPr>
          <w:rFonts w:hint="eastAsia" w:ascii="宋体" w:hAnsi="宋体" w:eastAsia="宋体" w:cs="宋体"/>
          <w:b/>
          <w:bCs/>
          <w:snapToGrid w:val="0"/>
          <w:color w:val="auto"/>
          <w:kern w:val="0"/>
          <w:highlight w:val="none"/>
          <w:lang w:val="en-US" w:eastAsia="zh-CN"/>
        </w:rPr>
        <w:t>2</w:t>
      </w:r>
      <w:r>
        <w:rPr>
          <w:rFonts w:hint="eastAsia" w:ascii="宋体" w:hAnsi="宋体" w:eastAsia="宋体" w:cs="宋体"/>
          <w:snapToGrid w:val="0"/>
          <w:color w:val="auto"/>
          <w:kern w:val="0"/>
          <w:highlight w:val="none"/>
        </w:rPr>
        <w:t xml:space="preserve"> 本节第1</w:t>
      </w:r>
      <w:r>
        <w:rPr>
          <w:rFonts w:hint="eastAsia" w:ascii="宋体" w:hAnsi="宋体" w:eastAsia="宋体" w:cs="宋体"/>
          <w:snapToGrid w:val="0"/>
          <w:color w:val="auto"/>
          <w:kern w:val="0"/>
          <w:highlight w:val="none"/>
          <w:lang w:val="en-US" w:eastAsia="zh-CN"/>
        </w:rPr>
        <w:t>0.5</w:t>
      </w:r>
      <w:r>
        <w:rPr>
          <w:rFonts w:hint="eastAsia" w:ascii="宋体" w:hAnsi="宋体" w:eastAsia="宋体" w:cs="宋体"/>
          <w:snapToGrid w:val="0"/>
          <w:color w:val="auto"/>
          <w:kern w:val="0"/>
          <w:highlight w:val="none"/>
        </w:rPr>
        <w:t>.</w:t>
      </w:r>
      <w:r>
        <w:rPr>
          <w:rFonts w:hint="eastAsia" w:ascii="宋体" w:hAnsi="宋体" w:eastAsia="宋体" w:cs="宋体"/>
          <w:snapToGrid w:val="0"/>
          <w:color w:val="auto"/>
          <w:kern w:val="0"/>
          <w:highlight w:val="none"/>
          <w:lang w:val="en-US" w:eastAsia="zh-CN"/>
        </w:rPr>
        <w:t>1</w:t>
      </w:r>
      <w:r>
        <w:rPr>
          <w:rFonts w:hint="eastAsia" w:ascii="宋体" w:hAnsi="宋体" w:eastAsia="宋体" w:cs="宋体"/>
          <w:snapToGrid w:val="0"/>
          <w:color w:val="auto"/>
          <w:kern w:val="0"/>
          <w:highlight w:val="none"/>
        </w:rPr>
        <w:t>目中所列出的组成内容中，第（1）项所有投标人均应提供。</w:t>
      </w:r>
    </w:p>
    <w:p>
      <w:pPr>
        <w:wordWrap w:val="0"/>
        <w:adjustRightInd w:val="0"/>
        <w:spacing w:line="440" w:lineRule="exact"/>
        <w:ind w:firstLine="482" w:firstLineChars="200"/>
        <w:rPr>
          <w:rFonts w:hint="default" w:ascii="宋体" w:hAnsi="宋体" w:eastAsia="宋体" w:cs="宋体"/>
          <w:b/>
          <w:bCs/>
          <w:snapToGrid w:val="0"/>
          <w:color w:val="auto"/>
          <w:kern w:val="0"/>
          <w:highlight w:val="none"/>
          <w:lang w:val="en-US" w:eastAsia="zh-CN"/>
        </w:rPr>
      </w:pPr>
      <w:r>
        <w:rPr>
          <w:rFonts w:hint="eastAsia" w:ascii="宋体" w:hAnsi="宋体" w:eastAsia="宋体" w:cs="宋体"/>
          <w:b/>
          <w:bCs/>
          <w:snapToGrid w:val="0"/>
          <w:color w:val="auto"/>
          <w:kern w:val="0"/>
          <w:highlight w:val="none"/>
          <w:lang w:val="en-US" w:eastAsia="zh-CN"/>
        </w:rPr>
        <w:t>注：</w:t>
      </w:r>
      <w:r>
        <w:rPr>
          <w:rFonts w:hint="eastAsia" w:hAnsi="宋体" w:cs="宋体"/>
          <w:b/>
          <w:bCs/>
          <w:snapToGrid w:val="0"/>
          <w:color w:val="auto"/>
          <w:kern w:val="0"/>
          <w:highlight w:val="none"/>
          <w:lang w:val="en-US" w:eastAsia="zh-CN"/>
        </w:rPr>
        <w:t>定标文件只适用于定标阶段提交给定标委员会查阅，评标委员会评标时不采用定标文件评审。</w:t>
      </w:r>
    </w:p>
    <w:p>
      <w:pPr>
        <w:wordWrap w:val="0"/>
        <w:adjustRightInd w:val="0"/>
        <w:spacing w:line="440" w:lineRule="exact"/>
        <w:rPr>
          <w:rFonts w:hint="eastAsia" w:ascii="宋体" w:hAnsi="宋体" w:eastAsia="宋体" w:cs="宋体"/>
          <w:bCs/>
          <w:snapToGrid w:val="0"/>
          <w:color w:val="auto"/>
          <w:highlight w:val="none"/>
        </w:rPr>
      </w:pPr>
    </w:p>
    <w:bookmarkEnd w:id="53"/>
    <w:p>
      <w:pPr>
        <w:wordWrap w:val="0"/>
        <w:adjustRightInd w:val="0"/>
        <w:ind w:firstLine="482" w:firstLineChars="200"/>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t>11.电子投标：</w:t>
      </w:r>
    </w:p>
    <w:p>
      <w:pPr>
        <w:wordWrap w:val="0"/>
        <w:adjustRightInd w:val="0"/>
        <w:ind w:firstLine="480" w:firstLineChars="200"/>
        <w:rPr>
          <w:rFonts w:hint="eastAsia" w:ascii="宋体" w:hAnsi="宋体" w:eastAsia="宋体" w:cs="宋体"/>
          <w:b/>
          <w:snapToGrid w:val="0"/>
          <w:color w:val="auto"/>
          <w:highlight w:val="none"/>
        </w:rPr>
      </w:pPr>
      <w:r>
        <w:rPr>
          <w:rFonts w:hint="eastAsia" w:ascii="宋体" w:hAnsi="宋体" w:eastAsia="宋体" w:cs="宋体"/>
          <w:bCs/>
          <w:snapToGrid w:val="0"/>
          <w:color w:val="auto"/>
          <w:highlight w:val="none"/>
        </w:rPr>
        <w:t>11.1</w:t>
      </w:r>
      <w:r>
        <w:rPr>
          <w:rFonts w:hint="eastAsia" w:hAnsi="宋体" w:cs="宋体"/>
          <w:bCs/>
          <w:snapToGrid w:val="0"/>
          <w:color w:val="auto"/>
          <w:szCs w:val="24"/>
          <w:highlight w:val="none"/>
        </w:rPr>
        <w:t>在建设工程交易系统上传加盖了电子印章的投标文件、录入相关信息及标书页码信息，（页码起始从封面开始）并提交投标标书。提交标书为已加密投标文件。具体操作参照</w:t>
      </w:r>
      <w:r>
        <w:rPr>
          <w:rFonts w:hint="eastAsia" w:ascii="宋体" w:hAnsi="宋体" w:eastAsia="宋体" w:cs="宋体"/>
          <w:bCs/>
          <w:snapToGrid w:val="0"/>
          <w:color w:val="auto"/>
          <w:szCs w:val="24"/>
          <w:highlight w:val="none"/>
        </w:rPr>
        <w:t>《韶关市公共资源建设工程交易系统-投标人操作指南（电子评标）》。</w:t>
      </w:r>
      <w:r>
        <w:rPr>
          <w:rFonts w:hint="eastAsia" w:hAnsi="宋体" w:cs="宋体"/>
          <w:bCs/>
          <w:snapToGrid w:val="0"/>
          <w:color w:val="auto"/>
          <w:szCs w:val="24"/>
          <w:highlight w:val="none"/>
        </w:rPr>
        <w:t>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 CA 数字证书对投标文件进行文件加密，形成加密的投标文件并提交标书。</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11.2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p>
    <w:p>
      <w:pPr>
        <w:wordWrap w:val="0"/>
        <w:adjustRightInd w:val="0"/>
        <w:snapToGrid w:val="0"/>
        <w:ind w:firstLine="480"/>
        <w:rPr>
          <w:rFonts w:hint="eastAsia" w:ascii="宋体" w:hAnsi="宋体" w:eastAsia="宋体" w:cs="宋体"/>
          <w:snapToGrid w:val="0"/>
          <w:color w:val="auto"/>
          <w:kern w:val="0"/>
          <w:highlight w:val="none"/>
        </w:rPr>
      </w:pPr>
      <w:bookmarkStart w:id="54" w:name="_Toc17508"/>
      <w:r>
        <w:rPr>
          <w:rFonts w:hint="eastAsia" w:ascii="宋体" w:hAnsi="宋体" w:eastAsia="宋体" w:cs="宋体"/>
          <w:b/>
          <w:bCs/>
          <w:snapToGrid w:val="0"/>
          <w:color w:val="auto"/>
          <w:kern w:val="0"/>
          <w:highlight w:val="none"/>
        </w:rPr>
        <w:t>12.</w:t>
      </w:r>
      <w:r>
        <w:rPr>
          <w:rFonts w:hint="eastAsia" w:ascii="宋体" w:hAnsi="宋体" w:eastAsia="宋体" w:cs="宋体"/>
          <w:snapToGrid w:val="0"/>
          <w:color w:val="auto"/>
          <w:kern w:val="0"/>
          <w:highlight w:val="none"/>
        </w:rPr>
        <w:t>电子投标及投标解密失败及突发情况的补救方案</w:t>
      </w:r>
      <w:bookmarkEnd w:id="54"/>
    </w:p>
    <w:p>
      <w:pPr>
        <w:wordWrap w:val="0"/>
        <w:adjustRightInd w:val="0"/>
        <w:ind w:firstLine="480" w:firstLineChars="200"/>
        <w:rPr>
          <w:rFonts w:hint="eastAsia" w:ascii="宋体" w:hAnsi="宋体" w:eastAsia="宋体" w:cs="宋体"/>
          <w:bCs/>
          <w:strike/>
          <w:snapToGrid w:val="0"/>
          <w:color w:val="auto"/>
          <w:highlight w:val="none"/>
          <w:u w:val="single"/>
        </w:rPr>
      </w:pPr>
      <w:r>
        <w:rPr>
          <w:rFonts w:hint="eastAsia" w:ascii="宋体" w:hAnsi="宋体" w:eastAsia="宋体" w:cs="宋体"/>
          <w:bCs/>
          <w:snapToGrid w:val="0"/>
          <w:color w:val="auto"/>
          <w:highlight w:val="none"/>
        </w:rPr>
        <w:t>12.1按照交易平台关于全流程电子化项目的相关</w:t>
      </w:r>
      <w:r>
        <w:rPr>
          <w:rFonts w:hint="eastAsia" w:ascii="宋体" w:hAnsi="宋体" w:eastAsia="宋体" w:cs="宋体"/>
          <w:snapToGrid w:val="0"/>
          <w:color w:val="auto"/>
          <w:kern w:val="0"/>
          <w:highlight w:val="none"/>
        </w:rPr>
        <w:t>指引</w:t>
      </w:r>
      <w:r>
        <w:rPr>
          <w:rFonts w:hint="eastAsia" w:ascii="宋体" w:hAnsi="宋体" w:eastAsia="宋体" w:cs="宋体"/>
          <w:bCs/>
          <w:snapToGrid w:val="0"/>
          <w:color w:val="auto"/>
          <w:highlight w:val="none"/>
        </w:rPr>
        <w:t>进行操作。详见：全国公共资源交易平台（广东省·韶关市）（https://ygp.gdzwfw.gov.cn/ggzy-portal/#/440200/index）交易指引栏目发布的最新版操作指引。</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12.2补救方案：</w:t>
      </w:r>
    </w:p>
    <w:p>
      <w:pPr>
        <w:widowControl w:val="0"/>
        <w:numPr>
          <w:ilvl w:val="0"/>
          <w:numId w:val="3"/>
        </w:numPr>
        <w:ind w:firstLine="480" w:firstLineChars="200"/>
        <w:textAlignment w:val="auto"/>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投标文件解密失败的补救方案：</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在规定时间内，因投标人之外原因(指网络瘫痪、服务器损坏、交易系统故障短期无法恢复)等导致的电子投标文件解密失败，在开标现场解密环节由代理授权后，解密失败投标人可在交易平台在规定时间（代理机构授权后30分钟内）内重新提交投标文件继续开标程序。</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（2）评标时突发情况的补救方案</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在评标过程中，因主场或副场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pPr>
        <w:wordWrap w:val="0"/>
        <w:adjustRightInd w:val="0"/>
        <w:ind w:firstLine="480" w:firstLineChars="200"/>
        <w:rPr>
          <w:rFonts w:hint="eastAsia" w:ascii="宋体" w:hAnsi="宋体" w:eastAsia="宋体" w:cs="宋体"/>
          <w:bCs/>
          <w:snapToGrid w:val="0"/>
          <w:color w:val="auto"/>
          <w:highlight w:val="none"/>
        </w:rPr>
      </w:pPr>
      <w:r>
        <w:rPr>
          <w:rFonts w:hint="eastAsia" w:ascii="宋体" w:hAnsi="宋体" w:eastAsia="宋体" w:cs="宋体"/>
          <w:bCs/>
          <w:snapToGrid w:val="0"/>
          <w:color w:val="auto"/>
          <w:highlight w:val="none"/>
        </w:rPr>
        <w:t>（3）除发生上述情况外，开标评标均以投标人通过交易平台网上递交的电子投标文件为准。</w:t>
      </w:r>
    </w:p>
    <w:p>
      <w:pPr>
        <w:adjustRightInd w:val="0"/>
        <w:rPr>
          <w:rFonts w:hint="eastAsia" w:ascii="宋体" w:hAnsi="宋体" w:eastAsia="宋体" w:cs="宋体"/>
          <w:b/>
          <w:bCs/>
          <w:snapToGrid w:val="0"/>
          <w:color w:val="auto"/>
          <w:kern w:val="0"/>
          <w:highlight w:val="none"/>
        </w:rPr>
      </w:pPr>
      <w:bookmarkStart w:id="55" w:name="_Toc12525"/>
      <w:r>
        <w:rPr>
          <w:rFonts w:hint="eastAsia" w:ascii="宋体" w:hAnsi="宋体" w:eastAsia="宋体" w:cs="宋体"/>
          <w:b/>
          <w:bCs/>
          <w:snapToGrid w:val="0"/>
          <w:color w:val="auto"/>
          <w:kern w:val="0"/>
          <w:highlight w:val="none"/>
        </w:rPr>
        <w:t>13．</w:t>
      </w:r>
      <w:bookmarkEnd w:id="55"/>
      <w:r>
        <w:rPr>
          <w:rFonts w:hint="eastAsia" w:ascii="宋体" w:hAnsi="宋体" w:eastAsia="宋体" w:cs="宋体"/>
          <w:b/>
          <w:bCs/>
          <w:snapToGrid w:val="0"/>
          <w:color w:val="auto"/>
          <w:kern w:val="0"/>
          <w:highlight w:val="none"/>
        </w:rPr>
        <w:t>投标文件的提交</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13.1</w:t>
      </w:r>
      <w:r>
        <w:rPr>
          <w:rFonts w:hint="eastAsia" w:ascii="Times New Roman"/>
          <w:snapToGrid w:val="0"/>
          <w:color w:val="auto"/>
          <w:kern w:val="0"/>
          <w:highlight w:val="none"/>
        </w:rPr>
        <w:t>在投标文件提交截止时间前，投标人通过全国公共资源交易平台（广东省·韶关市）提交已加密投标文件。逾期提交的电子投标文件，全国公共资源交易平台（广东省·韶关市）将予以拒收。</w:t>
      </w:r>
    </w:p>
    <w:p>
      <w:pPr>
        <w:wordWrap w:val="0"/>
        <w:adjustRightInd w:val="0"/>
        <w:snapToGrid w:val="0"/>
        <w:ind w:firstLine="480" w:firstLineChars="200"/>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13.2递交时间和地点：见本章第二节“重要事项时间地点一览表”</w:t>
      </w:r>
      <w:r>
        <w:rPr>
          <w:rFonts w:hint="eastAsia" w:hAnsi="宋体" w:eastAsia="宋体" w:cs="宋体"/>
          <w:snapToGrid w:val="0"/>
          <w:color w:val="auto"/>
          <w:kern w:val="0"/>
          <w:highlight w:val="none"/>
          <w:lang w:eastAsia="zh-CN"/>
        </w:rPr>
        <w:t>。</w:t>
      </w:r>
    </w:p>
    <w:p>
      <w:pPr>
        <w:pStyle w:val="8"/>
        <w:spacing w:line="360" w:lineRule="auto"/>
        <w:ind w:firstLine="480" w:firstLineChars="200"/>
        <w:rPr>
          <w:rFonts w:hint="eastAsia" w:ascii="宋体" w:hAnsi="宋体" w:eastAsia="宋体" w:cs="宋体"/>
          <w:bCs/>
          <w:snapToGrid w:val="0"/>
          <w:color w:val="auto"/>
          <w:highlight w:val="none"/>
        </w:rPr>
      </w:pPr>
      <w:r>
        <w:rPr>
          <w:rFonts w:hint="eastAsia" w:ascii="宋体" w:hAnsi="宋体" w:eastAsia="宋体" w:cs="宋体"/>
          <w:snapToGrid w:val="0"/>
          <w:color w:val="auto"/>
          <w:highlight w:val="none"/>
        </w:rPr>
        <w:t xml:space="preserve">13.3 </w:t>
      </w:r>
      <w:r>
        <w:rPr>
          <w:rFonts w:hint="eastAsia" w:ascii="宋体" w:hAnsi="宋体" w:eastAsia="宋体" w:cs="宋体"/>
          <w:bCs/>
          <w:snapToGrid w:val="0"/>
          <w:color w:val="auto"/>
          <w:highlight w:val="none"/>
        </w:rPr>
        <w:t>投标人法定代表人或其委托代理人（以下简称“投标人代表”）应在指定的时间和地点递交投标相关资料（如有）。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4</w:t>
      </w:r>
      <w:r>
        <w:rPr>
          <w:rFonts w:hint="eastAsia" w:ascii="宋体" w:hAnsi="宋体" w:eastAsia="宋体" w:cs="宋体"/>
          <w:snapToGrid w:val="0"/>
          <w:color w:val="auto"/>
          <w:kern w:val="0"/>
          <w:highlight w:val="none"/>
        </w:rPr>
        <w:t>代理机构对因不可抗力事件造成的投标文件的损坏、丢失的，不承担责任。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5</w:t>
      </w:r>
      <w:r>
        <w:rPr>
          <w:rFonts w:hint="eastAsia" w:ascii="宋体" w:hAnsi="宋体" w:eastAsia="宋体" w:cs="宋体"/>
          <w:snapToGrid w:val="0"/>
          <w:color w:val="auto"/>
          <w:kern w:val="0"/>
          <w:highlight w:val="none"/>
        </w:rPr>
        <w:t>出现下述情形之一，属于未成功提交投标文件，按无效投标处理：</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至提交投标文件截止时，投标文件未完整上传及提交标书；</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投标文件未按投标格式中注明需签字盖章的要求进行签名（含电子签名）和加盖电子印章，或签名（含电子签名）或电子印章不完整的；</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解密失败且在规定时间内未重新提交投标文件的；</w:t>
      </w:r>
    </w:p>
    <w:p>
      <w:pPr>
        <w:numPr>
          <w:ilvl w:val="0"/>
          <w:numId w:val="4"/>
        </w:numPr>
        <w:ind w:firstLine="720" w:firstLineChars="3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投标文件损坏或格式不正确的；</w:t>
      </w:r>
    </w:p>
    <w:p>
      <w:pPr>
        <w:ind w:firstLine="720" w:firstLineChars="300"/>
        <w:rPr>
          <w:rFonts w:hint="eastAsia" w:ascii="宋体" w:hAnsi="宋体" w:eastAsia="宋体" w:cs="宋体"/>
          <w:strike/>
          <w:dstrike w:val="0"/>
          <w:color w:val="auto"/>
          <w:highlight w:val="none"/>
        </w:rPr>
      </w:pPr>
      <w:r>
        <w:rPr>
          <w:rFonts w:hint="eastAsia" w:ascii="宋体" w:hAnsi="宋体" w:eastAsia="宋体" w:cs="宋体"/>
          <w:snapToGrid w:val="0"/>
          <w:color w:val="auto"/>
          <w:kern w:val="0"/>
          <w:highlight w:val="none"/>
        </w:rPr>
        <w:t>13.</w:t>
      </w:r>
      <w:r>
        <w:rPr>
          <w:rFonts w:hint="eastAsia" w:hAnsi="宋体" w:cs="宋体"/>
          <w:snapToGrid w:val="0"/>
          <w:color w:val="auto"/>
          <w:kern w:val="0"/>
          <w:highlight w:val="none"/>
          <w:lang w:val="en-US" w:eastAsia="zh-CN"/>
        </w:rPr>
        <w:t>6</w:t>
      </w:r>
      <w:r>
        <w:rPr>
          <w:rFonts w:hint="eastAsia" w:ascii="宋体" w:hAnsi="宋体" w:eastAsia="宋体" w:cs="宋体"/>
          <w:snapToGrid w:val="0"/>
          <w:color w:val="auto"/>
          <w:kern w:val="0"/>
          <w:highlight w:val="none"/>
        </w:rPr>
        <w:t xml:space="preserve"> 本次招标投标有效期为90个日历天，投标有效期从提交投标文件的截止之日起计算。在此期间，投标人不得撤销或修改其投标文件，否则其投标保证不予退还。</w:t>
      </w:r>
    </w:p>
    <w:p>
      <w:pPr>
        <w:adjustRightInd w:val="0"/>
        <w:rPr>
          <w:rFonts w:hint="eastAsia" w:ascii="宋体" w:hAnsi="宋体" w:eastAsia="宋体" w:cs="宋体"/>
          <w:b/>
          <w:bCs/>
          <w:snapToGrid w:val="0"/>
          <w:color w:val="auto"/>
          <w:kern w:val="0"/>
          <w:highlight w:val="none"/>
        </w:rPr>
      </w:pPr>
      <w:bookmarkStart w:id="56" w:name="_Toc29880"/>
      <w:r>
        <w:rPr>
          <w:rFonts w:hint="eastAsia" w:ascii="宋体" w:hAnsi="宋体" w:eastAsia="宋体" w:cs="宋体"/>
          <w:b/>
          <w:bCs/>
          <w:snapToGrid w:val="0"/>
          <w:color w:val="auto"/>
          <w:kern w:val="0"/>
          <w:highlight w:val="none"/>
        </w:rPr>
        <w:t>14．开标</w:t>
      </w:r>
      <w:bookmarkEnd w:id="56"/>
    </w:p>
    <w:p>
      <w:pPr>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w:t>
      </w:r>
      <w:r>
        <w:rPr>
          <w:rFonts w:hint="eastAsia" w:ascii="宋体" w:hAnsi="宋体" w:eastAsia="宋体" w:cs="宋体"/>
          <w:snapToGrid w:val="0"/>
          <w:color w:val="auto"/>
          <w:kern w:val="0"/>
          <w:highlight w:val="none"/>
        </w:rPr>
        <w:t xml:space="preserve"> </w:t>
      </w:r>
      <w:r>
        <w:rPr>
          <w:rFonts w:hint="eastAsia"/>
          <w:snapToGrid w:val="0"/>
          <w:color w:val="auto"/>
          <w:kern w:val="0"/>
          <w:sz w:val="24"/>
          <w:highlight w:val="none"/>
        </w:rPr>
        <w:t>招标人邀请所有正确</w:t>
      </w:r>
      <w:r>
        <w:rPr>
          <w:rFonts w:hint="eastAsia" w:ascii="宋体" w:hAnsi="宋体" w:cs="宋体"/>
          <w:snapToGrid w:val="0"/>
          <w:color w:val="auto"/>
          <w:kern w:val="0"/>
          <w:sz w:val="24"/>
          <w:highlight w:val="none"/>
        </w:rPr>
        <w:t>获取招标文件、</w:t>
      </w:r>
      <w:r>
        <w:rPr>
          <w:rFonts w:hint="eastAsia"/>
          <w:snapToGrid w:val="0"/>
          <w:color w:val="auto"/>
          <w:kern w:val="0"/>
          <w:sz w:val="24"/>
          <w:highlight w:val="none"/>
        </w:rPr>
        <w:t>电子投标、缴纳投标保证的投标人参加开标，投标人可自主决定是否参加。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w:t>
      </w:r>
      <w:r>
        <w:rPr>
          <w:rFonts w:hint="eastAsia" w:ascii="宋体" w:hAnsi="宋体" w:eastAsia="宋体" w:cs="宋体"/>
          <w:snapToGrid w:val="0"/>
          <w:color w:val="auto"/>
          <w:kern w:val="0"/>
          <w:highlight w:val="none"/>
        </w:rPr>
        <w:t>投标人不参加开标的，视其默认开标结果，以及放弃在开标期间见证、监督、投诉、申辩的权利。</w:t>
      </w:r>
    </w:p>
    <w:p>
      <w:pPr>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14.1.1</w:t>
      </w:r>
      <w:r>
        <w:rPr>
          <w:rFonts w:hint="eastAsia" w:ascii="宋体" w:hAnsi="宋体" w:eastAsia="宋体" w:cs="宋体"/>
          <w:snapToGrid w:val="0"/>
          <w:color w:val="auto"/>
          <w:kern w:val="0"/>
          <w:highlight w:val="none"/>
        </w:rPr>
        <w:t xml:space="preserve"> 开标时间和地点：见本章第二节“重要事项时间地点一览表”。</w:t>
      </w:r>
    </w:p>
    <w:p>
      <w:pPr>
        <w:keepNext w:val="0"/>
        <w:keepLines w:val="0"/>
        <w:pageBreakBefore w:val="0"/>
        <w:widowControl/>
        <w:kinsoku/>
        <w:wordWrap w:val="0"/>
        <w:overflowPunct/>
        <w:topLinePunct w:val="0"/>
        <w:autoSpaceDE/>
        <w:autoSpaceDN/>
        <w:bidi w:val="0"/>
        <w:adjustRightInd/>
        <w:snapToGrid/>
        <w:ind w:firstLine="482" w:firstLineChars="200"/>
        <w:textAlignment w:val="baseline"/>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14.1.2</w:t>
      </w:r>
      <w:r>
        <w:rPr>
          <w:rFonts w:hint="eastAsia" w:ascii="宋体" w:hAnsi="宋体" w:eastAsia="宋体" w:cs="宋体"/>
          <w:snapToGrid w:val="0"/>
          <w:color w:val="auto"/>
          <w:kern w:val="0"/>
          <w:highlight w:val="none"/>
        </w:rPr>
        <w:t xml:space="preserve"> 开标前24小时，若</w:t>
      </w:r>
      <w:r>
        <w:rPr>
          <w:rFonts w:hint="eastAsia" w:hAnsi="宋体" w:eastAsia="宋体" w:cs="宋体"/>
          <w:snapToGrid w:val="0"/>
          <w:color w:val="auto"/>
          <w:kern w:val="0"/>
          <w:highlight w:val="none"/>
          <w:lang w:eastAsia="zh-CN"/>
        </w:rPr>
        <w:t>建设工程交易系统</w:t>
      </w:r>
      <w:r>
        <w:rPr>
          <w:rFonts w:hint="eastAsia" w:ascii="宋体" w:hAnsi="宋体" w:eastAsia="宋体" w:cs="宋体"/>
          <w:snapToGrid w:val="0"/>
          <w:color w:val="auto"/>
          <w:kern w:val="0"/>
          <w:highlight w:val="none"/>
        </w:rPr>
        <w:t>显示缴纳投标保证（包括投标保证金、投标保证担保、投标保证保险）的投标人数量不足3个时，招标人将取消原定于次日召开的开标活动。投标人可在投标保证缴纳截止时间（见本章第二节“重要事项时间地点一览表”）至电子投标截止时间（见本章第二节“重要事项时间地点一览表”）期间全国公共资源交易平台（广东省·韶关市）（https://ygp.gdzwfw.gov.cn/ggzy-portal/#/440200/index）查询是否发布了取消开标活动的相关信息。</w:t>
      </w:r>
    </w:p>
    <w:p>
      <w:pPr>
        <w:keepNext w:val="0"/>
        <w:keepLines w:val="0"/>
        <w:pageBreakBefore w:val="0"/>
        <w:widowControl/>
        <w:kinsoku/>
        <w:wordWrap w:val="0"/>
        <w:overflowPunct/>
        <w:topLinePunct w:val="0"/>
        <w:autoSpaceDE/>
        <w:autoSpaceDN/>
        <w:bidi w:val="0"/>
        <w:adjustRightInd/>
        <w:snapToGrid/>
        <w:ind w:firstLine="482" w:firstLineChars="200"/>
        <w:textAlignment w:val="baseline"/>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14.1.3</w:t>
      </w:r>
      <w:r>
        <w:rPr>
          <w:rFonts w:hint="eastAsia" w:ascii="宋体" w:hAnsi="宋体" w:eastAsia="宋体" w:cs="宋体"/>
          <w:snapToGrid w:val="0"/>
          <w:color w:val="auto"/>
          <w:kern w:val="0"/>
          <w:highlight w:val="none"/>
        </w:rPr>
        <w:t>本项目实行全流程电子化招标投标，投标人在交易平台按要求上传加盖电子印章并经加密的电子投标文件，并在交易平台录入准确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14.2 </w:t>
      </w:r>
      <w:r>
        <w:rPr>
          <w:rFonts w:hint="eastAsia" w:ascii="宋体" w:hAnsi="宋体" w:eastAsia="宋体" w:cs="宋体"/>
          <w:snapToGrid w:val="0"/>
          <w:color w:val="auto"/>
          <w:kern w:val="0"/>
          <w:highlight w:val="none"/>
        </w:rPr>
        <w:t>开标程序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（1）主持人（招标人代表或招标人授权的招标代理机构人员）宣读开标纪律。</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（2）主持人宣布唱标人、记录人、见证人、监督人等有关人员姓名。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（3）唱标人公布在投标截止时间前进行投标文件的投标人数量和名称，并现场核实参加开标的投标人数量和名称。</w:t>
      </w:r>
    </w:p>
    <w:p>
      <w:pPr>
        <w:wordWrap w:val="0"/>
        <w:adjustRightInd w:val="0"/>
        <w:snapToGrid w:val="0"/>
        <w:ind w:firstLine="480" w:firstLineChars="200"/>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（4）</w:t>
      </w:r>
      <w:r>
        <w:rPr>
          <w:rFonts w:hint="eastAsia" w:ascii="宋体" w:hAnsi="宋体" w:eastAsia="宋体" w:cs="宋体"/>
          <w:color w:val="auto"/>
          <w:highlight w:val="none"/>
        </w:rPr>
        <w:t>招标代理机构在交易场所工作人员的见证下，对投标人的电子投标信息进行解密，</w:t>
      </w:r>
      <w:r>
        <w:rPr>
          <w:rFonts w:hint="eastAsia" w:ascii="宋体" w:hAnsi="宋体" w:eastAsia="宋体" w:cs="宋体"/>
          <w:snapToGrid w:val="0"/>
          <w:color w:val="auto"/>
          <w:kern w:val="0"/>
          <w:highlight w:val="none"/>
        </w:rPr>
        <w:t>建设工程交易系统</w:t>
      </w:r>
      <w:r>
        <w:rPr>
          <w:rFonts w:hint="eastAsia" w:ascii="宋体" w:hAnsi="宋体" w:eastAsia="宋体" w:cs="宋体"/>
          <w:color w:val="auto"/>
          <w:highlight w:val="none"/>
        </w:rPr>
        <w:t>自动生成《投标保证缴纳情况表》和《开标一览表》。</w:t>
      </w:r>
    </w:p>
    <w:p>
      <w:pPr>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color w:val="auto"/>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 xml:space="preserve">14.3 </w:t>
      </w:r>
      <w:r>
        <w:rPr>
          <w:rFonts w:hint="eastAsia" w:ascii="宋体" w:hAnsi="宋体" w:eastAsia="宋体" w:cs="宋体"/>
          <w:snapToGrid w:val="0"/>
          <w:color w:val="auto"/>
          <w:kern w:val="0"/>
          <w:highlight w:val="none"/>
        </w:rPr>
        <w:t>投标人对开标相关事项（如开标程序等）有异议的，必须在开标期间和开标现场提出，招标人或其授权的招标代理机构应当场作出答复，并记录在案。对开标事项的异议未在开标期间和开标现场提出的，招标人不予受理。</w:t>
      </w:r>
    </w:p>
    <w:p>
      <w:pPr>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 xml:space="preserve">14.4 </w:t>
      </w:r>
      <w:bookmarkStart w:id="57" w:name="_Hlt127093805"/>
      <w:bookmarkEnd w:id="57"/>
      <w:r>
        <w:rPr>
          <w:rFonts w:hint="eastAsia" w:ascii="宋体" w:hAnsi="宋体" w:eastAsia="宋体" w:cs="宋体"/>
          <w:snapToGrid w:val="0"/>
          <w:color w:val="auto"/>
          <w:kern w:val="0"/>
          <w:highlight w:val="none"/>
        </w:rPr>
        <w:t>招标代理机构将《开标一览表》以及其他有关资料移交评标委员会。</w:t>
      </w:r>
    </w:p>
    <w:p>
      <w:pPr>
        <w:pStyle w:val="24"/>
        <w:snapToGrid w:val="0"/>
        <w:ind w:firstLine="480"/>
        <w:jc w:val="both"/>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15．评标</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150" w:right="150" w:firstLine="480" w:firstLineChars="200"/>
        <w:textAlignment w:val="auto"/>
        <w:rPr>
          <w:rFonts w:hint="eastAsia" w:ascii="宋体" w:hAnsi="宋体" w:eastAsia="宋体" w:cs="宋体"/>
          <w:b w:val="0"/>
          <w:bCs w:val="0"/>
          <w:i w:val="0"/>
          <w:iCs w:val="0"/>
          <w:caps w:val="0"/>
          <w:color w:val="333333"/>
          <w:spacing w:val="0"/>
          <w:sz w:val="24"/>
          <w:szCs w:val="24"/>
          <w:highlight w:val="none"/>
          <w:lang w:eastAsia="zh-CN"/>
        </w:rPr>
      </w:pPr>
      <w:r>
        <w:rPr>
          <w:rFonts w:hint="eastAsia" w:ascii="宋体" w:hAnsi="宋体" w:cs="宋体"/>
          <w:b w:val="0"/>
          <w:bCs w:val="0"/>
          <w:i w:val="0"/>
          <w:iCs w:val="0"/>
          <w:caps w:val="0"/>
          <w:color w:val="333333"/>
          <w:spacing w:val="0"/>
          <w:sz w:val="24"/>
          <w:szCs w:val="24"/>
          <w:highlight w:val="none"/>
          <w:lang w:eastAsia="zh-CN"/>
        </w:rPr>
        <w:t>评标分为初步评审和详细评审两个阶段，由评标委员会在有关部门的监督下，严格按照本招标文件指定的评标方法，对投标人的投标文件进行审查、评审。评标委员会完成评标后，评标委员会按照投标人评审综合总得分由高到低的原则,向招标人推荐已明确的定标候选人数量（不标明排序），并向招标人提交由全体评标委员会成员签字的评标报告。</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w:t>
      </w:r>
      <w:r>
        <w:rPr>
          <w:rStyle w:val="20"/>
          <w:rFonts w:hint="eastAsia" w:ascii="宋体" w:hAnsi="宋体" w:eastAsia="宋体" w:cs="宋体"/>
          <w:color w:val="auto"/>
          <w:kern w:val="0"/>
          <w:highlight w:val="none"/>
        </w:rPr>
        <w:t xml:space="preserve"> 评标委员会</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15.1.1</w:t>
      </w:r>
      <w:r>
        <w:rPr>
          <w:rStyle w:val="20"/>
          <w:rFonts w:hint="eastAsia" w:ascii="宋体" w:hAnsi="宋体" w:eastAsia="宋体" w:cs="宋体"/>
          <w:color w:val="auto"/>
          <w:kern w:val="0"/>
          <w:highlight w:val="none"/>
        </w:rPr>
        <w:t xml:space="preserve"> 评标委员会由</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人组成，其中招标人代表</w:t>
      </w:r>
      <w:r>
        <w:rPr>
          <w:rStyle w:val="20"/>
          <w:rFonts w:hint="eastAsia" w:ascii="宋体" w:hAnsi="宋体" w:eastAsia="宋体" w:cs="宋体"/>
          <w:color w:val="auto"/>
          <w:kern w:val="0"/>
          <w:highlight w:val="none"/>
          <w:u w:val="single"/>
        </w:rPr>
        <w:t>0</w:t>
      </w:r>
      <w:r>
        <w:rPr>
          <w:rStyle w:val="20"/>
          <w:rFonts w:hint="eastAsia" w:ascii="宋体" w:hAnsi="宋体" w:eastAsia="宋体" w:cs="宋体"/>
          <w:color w:val="auto"/>
          <w:kern w:val="0"/>
          <w:highlight w:val="none"/>
        </w:rPr>
        <w:t>人，专家</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人。专家从广东省综合评标评审专家库中随机抽取，其中技术类专家</w:t>
      </w:r>
      <w:r>
        <w:rPr>
          <w:rStyle w:val="20"/>
          <w:rFonts w:hint="eastAsia" w:ascii="宋体" w:hAnsi="宋体" w:eastAsia="宋体" w:cs="宋体"/>
          <w:color w:val="auto"/>
          <w:kern w:val="0"/>
          <w:highlight w:val="none"/>
          <w:u w:val="single"/>
        </w:rPr>
        <w:t>3</w:t>
      </w:r>
      <w:r>
        <w:rPr>
          <w:rStyle w:val="20"/>
          <w:rFonts w:hint="eastAsia" w:ascii="宋体" w:hAnsi="宋体" w:eastAsia="宋体" w:cs="宋体"/>
          <w:color w:val="auto"/>
          <w:kern w:val="0"/>
          <w:highlight w:val="none"/>
        </w:rPr>
        <w:t>人，经济类专家</w:t>
      </w:r>
      <w:r>
        <w:rPr>
          <w:rStyle w:val="20"/>
          <w:rFonts w:hint="eastAsia" w:ascii="宋体" w:hAnsi="宋体" w:eastAsia="宋体" w:cs="宋体"/>
          <w:color w:val="auto"/>
          <w:kern w:val="0"/>
          <w:highlight w:val="none"/>
          <w:u w:val="single"/>
        </w:rPr>
        <w:t>2</w:t>
      </w:r>
      <w:r>
        <w:rPr>
          <w:rStyle w:val="20"/>
          <w:rFonts w:hint="eastAsia" w:ascii="宋体" w:hAnsi="宋体" w:eastAsia="宋体" w:cs="宋体"/>
          <w:color w:val="auto"/>
          <w:kern w:val="0"/>
          <w:highlight w:val="none"/>
        </w:rPr>
        <w:t>人。评标委员会设负责人，由评标委员会成员推举产生。评标委员会负责人与评标委员会的其他成员有同等的表决权。</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15.1.2</w:t>
      </w:r>
      <w:r>
        <w:rPr>
          <w:rStyle w:val="20"/>
          <w:rFonts w:hint="eastAsia" w:ascii="宋体" w:hAnsi="宋体" w:eastAsia="宋体" w:cs="宋体"/>
          <w:color w:val="auto"/>
          <w:kern w:val="0"/>
          <w:highlight w:val="none"/>
        </w:rPr>
        <w:t xml:space="preserve"> 评标委员会应认真、公正、诚实、廉洁地履行职责。有下列情形之一的，不得担任评标委员会成员：</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（1）投标人或投标人主要负责人的近亲属；</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（2）项目主管部门或者行政监督部门的人员；</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（3）与投标人有经济利益关系，可能影响对投标公正评审的；</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（4）曾因在招标、评标以及其他与招标投标有关活动中从事违法行为而受过行政处罚或刑事处罚的。</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评标委员会成员有以上情形之一的，应主动提出回避。</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15.1.3</w:t>
      </w:r>
      <w:r>
        <w:rPr>
          <w:rStyle w:val="20"/>
          <w:rFonts w:hint="eastAsia" w:ascii="宋体" w:hAnsi="宋体" w:eastAsia="宋体" w:cs="宋体"/>
          <w:color w:val="auto"/>
          <w:kern w:val="0"/>
          <w:highlight w:val="none"/>
        </w:rPr>
        <w:t xml:space="preserve"> 评标全过程实行封闭式管理，在中标结果公布前，禁止评标委员会成员以任何方式私下接触投标人。</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15.1.4</w:t>
      </w:r>
      <w:r>
        <w:rPr>
          <w:rStyle w:val="20"/>
          <w:rFonts w:hint="eastAsia" w:ascii="宋体" w:hAnsi="宋体" w:eastAsia="宋体" w:cs="宋体"/>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15.1.5</w:t>
      </w:r>
      <w:r>
        <w:rPr>
          <w:rStyle w:val="20"/>
          <w:rFonts w:hint="eastAsia" w:ascii="宋体" w:hAnsi="宋体" w:eastAsia="宋体" w:cs="宋体"/>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pPr>
        <w:snapToGrid w:val="0"/>
        <w:ind w:firstLine="561"/>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15.2</w:t>
      </w:r>
      <w:r>
        <w:rPr>
          <w:rStyle w:val="20"/>
          <w:rFonts w:hint="eastAsia" w:ascii="宋体" w:hAnsi="宋体" w:eastAsia="宋体" w:cs="宋体"/>
          <w:color w:val="auto"/>
          <w:kern w:val="0"/>
          <w:highlight w:val="none"/>
        </w:rPr>
        <w:t xml:space="preserve"> 评标方法 </w:t>
      </w:r>
    </w:p>
    <w:p>
      <w:pPr>
        <w:snapToGrid w:val="0"/>
        <w:ind w:firstLine="562"/>
        <w:rPr>
          <w:rStyle w:val="20"/>
          <w:rFonts w:hint="eastAsia" w:ascii="宋体" w:hAnsi="宋体" w:eastAsia="宋体" w:cs="宋体"/>
          <w:i/>
          <w:iCs/>
          <w:color w:val="auto"/>
          <w:kern w:val="0"/>
          <w:highlight w:val="none"/>
        </w:rPr>
      </w:pPr>
      <w:r>
        <w:rPr>
          <w:rStyle w:val="20"/>
          <w:rFonts w:hint="eastAsia" w:ascii="宋体" w:hAnsi="宋体" w:eastAsia="宋体" w:cs="宋体"/>
          <w:color w:val="auto"/>
          <w:kern w:val="0"/>
          <w:highlight w:val="none"/>
        </w:rPr>
        <w:t>根据有关法律、法规的相关规定，结合本工程资金来源和规模特点，本次招标采用</w:t>
      </w:r>
      <w:r>
        <w:rPr>
          <w:rStyle w:val="20"/>
          <w:rFonts w:hint="eastAsia" w:ascii="宋体" w:hAnsi="宋体" w:eastAsia="宋体" w:cs="宋体"/>
          <w:color w:val="auto"/>
          <w:kern w:val="0"/>
          <w:highlight w:val="none"/>
          <w:u w:val="single"/>
        </w:rPr>
        <w:t>综合评估法</w:t>
      </w:r>
      <w:r>
        <w:rPr>
          <w:rStyle w:val="20"/>
          <w:rFonts w:hint="eastAsia" w:ascii="宋体" w:hAnsi="宋体" w:eastAsia="宋体" w:cs="宋体"/>
          <w:color w:val="auto"/>
          <w:kern w:val="0"/>
          <w:highlight w:val="none"/>
        </w:rPr>
        <w:t>进行评标。</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15.3</w:t>
      </w:r>
      <w:r>
        <w:rPr>
          <w:rStyle w:val="20"/>
          <w:rFonts w:hint="eastAsia" w:ascii="宋体" w:hAnsi="宋体" w:eastAsia="宋体" w:cs="宋体"/>
          <w:color w:val="auto"/>
          <w:kern w:val="0"/>
          <w:highlight w:val="none"/>
        </w:rPr>
        <w:t xml:space="preserve"> 评审范围：评标委员会应对所有投标人的投标文件进行评审。</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w:t>
      </w:r>
      <w:r>
        <w:rPr>
          <w:rStyle w:val="20"/>
          <w:rFonts w:hint="eastAsia" w:ascii="宋体" w:hAnsi="宋体" w:eastAsia="宋体" w:cs="宋体"/>
          <w:color w:val="auto"/>
          <w:kern w:val="0"/>
          <w:highlight w:val="none"/>
        </w:rPr>
        <w:t xml:space="preserve"> 初步评审阶段 </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初步评审阶段分为资格评审、形式评审和响应性评审三个环节。</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15.4.1</w:t>
      </w:r>
      <w:r>
        <w:rPr>
          <w:rStyle w:val="20"/>
          <w:rFonts w:hint="eastAsia" w:ascii="宋体" w:hAnsi="宋体" w:eastAsia="宋体" w:cs="宋体"/>
          <w:color w:val="auto"/>
          <w:kern w:val="0"/>
          <w:highlight w:val="none"/>
        </w:rPr>
        <w:t xml:space="preserve"> 资格评审环节 </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资格评审事项包括：</w:t>
      </w:r>
    </w:p>
    <w:p>
      <w:pPr>
        <w:pageBreakBefore w:val="0"/>
        <w:kinsoku/>
        <w:wordWrap w:val="0"/>
        <w:overflowPunct/>
        <w:autoSpaceDE/>
        <w:autoSpaceDN/>
        <w:bidi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（1）投标人是否符合本章第三节第2.4条“禁止投标条款”规定。</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（2）</w:t>
      </w:r>
      <w:r>
        <w:rPr>
          <w:rFonts w:hint="eastAsia" w:ascii="宋体" w:hAnsi="宋体" w:eastAsia="宋体" w:cs="宋体"/>
          <w:snapToGrid w:val="0"/>
          <w:color w:val="auto"/>
          <w:kern w:val="0"/>
          <w:highlight w:val="none"/>
        </w:rPr>
        <w:t>投标人名称是否与营业执照、资质证书、安全生产许可证一致。</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（3）</w:t>
      </w:r>
      <w:r>
        <w:rPr>
          <w:rFonts w:hint="eastAsia" w:ascii="宋体" w:hAnsi="宋体" w:eastAsia="宋体" w:cs="宋体"/>
          <w:snapToGrid w:val="0"/>
          <w:color w:val="auto"/>
          <w:kern w:val="0"/>
          <w:highlight w:val="none"/>
        </w:rPr>
        <w:t>投标人的资质是否符合招标文件规定；其营业执照、资质证书、安全生产许可证是否合法、有效、准确。</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（4）</w:t>
      </w:r>
      <w:r>
        <w:rPr>
          <w:rFonts w:hint="eastAsia" w:ascii="宋体" w:hAnsi="宋体" w:eastAsia="宋体" w:cs="宋体"/>
          <w:snapToGrid w:val="0"/>
          <w:color w:val="auto"/>
          <w:kern w:val="0"/>
          <w:highlight w:val="none"/>
        </w:rPr>
        <w:t>《项目经理简历表》中拟派项目经理是否与《开标一览表》一致。</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（5）</w:t>
      </w:r>
      <w:r>
        <w:rPr>
          <w:rFonts w:hint="eastAsia" w:ascii="宋体" w:hAnsi="宋体" w:eastAsia="宋体" w:cs="宋体"/>
          <w:snapToGrid w:val="0"/>
          <w:color w:val="auto"/>
          <w:kern w:val="0"/>
          <w:highlight w:val="none"/>
        </w:rPr>
        <w:t>拟派项目经理、项目技术负责人、专职安全员的条件是否符合招标文件规定；项目管理机构组成人员的各类证书、证件、证明是否合法、有效、准确；是否擅自修改、遗漏《项目经理任职声明》的实质性内容。</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（6）</w:t>
      </w:r>
      <w:r>
        <w:rPr>
          <w:rFonts w:hint="eastAsia" w:ascii="宋体" w:hAnsi="宋体" w:eastAsia="宋体" w:cs="宋体"/>
          <w:snapToGrid w:val="0"/>
          <w:color w:val="auto"/>
          <w:kern w:val="0"/>
          <w:highlight w:val="none"/>
        </w:rPr>
        <w:t>投标人为外省建筑企业的，是否按规定在“进粤企业和人员诚信信息登记平台”录入企业</w:t>
      </w:r>
      <w:r>
        <w:rPr>
          <w:rFonts w:hint="eastAsia" w:ascii="Times New Roman"/>
          <w:snapToGrid w:val="0"/>
          <w:color w:val="auto"/>
          <w:kern w:val="0"/>
          <w:highlight w:val="none"/>
        </w:rPr>
        <w:t>及其拟派人员</w:t>
      </w:r>
      <w:r>
        <w:rPr>
          <w:rFonts w:hint="eastAsia" w:ascii="宋体" w:hAnsi="宋体" w:eastAsia="宋体" w:cs="宋体"/>
          <w:snapToGrid w:val="0"/>
          <w:color w:val="auto"/>
          <w:kern w:val="0"/>
          <w:highlight w:val="none"/>
        </w:rPr>
        <w:t>有关信息并通过数据规范检查。</w:t>
      </w:r>
    </w:p>
    <w:p>
      <w:pPr>
        <w:snapToGrid w:val="0"/>
        <w:ind w:firstLine="482" w:firstLineChars="200"/>
        <w:rPr>
          <w:rStyle w:val="20"/>
          <w:rFonts w:hint="eastAsia" w:ascii="宋体" w:hAnsi="宋体" w:eastAsia="宋体" w:cs="宋体"/>
          <w:strike/>
          <w:dstrike w:val="0"/>
          <w:color w:val="auto"/>
          <w:kern w:val="0"/>
          <w:highlight w:val="none"/>
        </w:rPr>
      </w:pPr>
      <w:r>
        <w:rPr>
          <w:rStyle w:val="20"/>
          <w:rFonts w:hint="eastAsia" w:ascii="宋体" w:hAnsi="宋体" w:eastAsia="宋体" w:cs="宋体"/>
          <w:b/>
          <w:bCs/>
          <w:color w:val="auto"/>
          <w:kern w:val="0"/>
          <w:highlight w:val="none"/>
        </w:rPr>
        <w:t>15.4.2</w:t>
      </w:r>
      <w:r>
        <w:rPr>
          <w:rStyle w:val="20"/>
          <w:rFonts w:hint="eastAsia" w:ascii="宋体" w:hAnsi="宋体" w:eastAsia="宋体" w:cs="宋体"/>
          <w:color w:val="auto"/>
          <w:kern w:val="0"/>
          <w:highlight w:val="none"/>
        </w:rPr>
        <w:t xml:space="preserve"> 形式评审环节</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形式评审事项包括：</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（1）</w:t>
      </w:r>
      <w:r>
        <w:rPr>
          <w:rFonts w:hint="eastAsia" w:ascii="宋体" w:hAnsi="宋体" w:eastAsia="宋体" w:cs="宋体"/>
          <w:snapToGrid w:val="0"/>
          <w:color w:val="auto"/>
          <w:kern w:val="0"/>
          <w:highlight w:val="none"/>
        </w:rPr>
        <w:t>各分册是否按招标文件规定加盖电子印章。</w:t>
      </w:r>
    </w:p>
    <w:p>
      <w:pPr>
        <w:widowControl w:val="0"/>
        <w:wordWrap w:val="0"/>
        <w:adjustRightInd w:val="0"/>
        <w:snapToGrid w:val="0"/>
        <w:ind w:firstLine="480" w:firstLineChars="200"/>
        <w:textAlignment w:val="auto"/>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（2）</w:t>
      </w:r>
      <w:r>
        <w:rPr>
          <w:rFonts w:hint="eastAsia" w:ascii="宋体" w:hAnsi="宋体" w:eastAsia="宋体" w:cs="宋体"/>
          <w:snapToGrid w:val="0"/>
          <w:color w:val="auto"/>
          <w:kern w:val="0"/>
          <w:highlight w:val="none"/>
        </w:rPr>
        <w:t>本节第10.2.2目、第10.3.2目、第10.4.3目中规定的“所有投标人均应提供”的组成内容（包括该组成内容的所附资料）是否完整、齐全。</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15.4.3</w:t>
      </w:r>
      <w:r>
        <w:rPr>
          <w:rStyle w:val="20"/>
          <w:rFonts w:hint="eastAsia" w:ascii="宋体" w:hAnsi="宋体" w:eastAsia="宋体" w:cs="宋体"/>
          <w:color w:val="auto"/>
          <w:kern w:val="0"/>
          <w:highlight w:val="none"/>
        </w:rPr>
        <w:t xml:space="preserve"> 响应性评审环节</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响应性评审事项包括：</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（1）投标有效期、质量标准、工期等是否响应招标文件实质性要求；是否擅自修改、遗漏《投标函》《各项承诺一览表》的实质性内容。</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（2）编制《投标总价》的造价工程师，其注册证书是否合法、有效。</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（3）投标人委托造价咨询单位编制《投标总价》的，是否在《投标总价》</w:t>
      </w:r>
      <w:r>
        <w:rPr>
          <w:rFonts w:hint="eastAsia" w:ascii="宋体" w:hAnsi="宋体" w:eastAsia="宋体" w:cs="宋体"/>
          <w:snapToGrid w:val="0"/>
          <w:color w:val="auto"/>
          <w:kern w:val="0"/>
          <w:highlight w:val="none"/>
        </w:rPr>
        <w:t>扉页（即</w:t>
      </w:r>
      <w:r>
        <w:rPr>
          <w:rFonts w:hint="eastAsia" w:hAnsi="宋体" w:cs="宋体"/>
          <w:snapToGrid w:val="0"/>
          <w:color w:val="auto"/>
          <w:kern w:val="0"/>
          <w:highlight w:val="none"/>
          <w:lang w:val="en-US" w:eastAsia="zh-CN"/>
        </w:rPr>
        <w:t>表C.3.1</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加盖造价咨询人公章；是否提供造价咨询人的营业执照</w:t>
      </w:r>
      <w:r>
        <w:rPr>
          <w:rStyle w:val="20"/>
          <w:rFonts w:hint="eastAsia" w:ascii="宋体" w:hAnsi="宋体" w:eastAsia="宋体" w:cs="宋体"/>
          <w:color w:val="auto"/>
          <w:highlight w:val="none"/>
        </w:rPr>
        <w:t>彩色扫描件</w:t>
      </w:r>
      <w:r>
        <w:rPr>
          <w:rStyle w:val="20"/>
          <w:rFonts w:hint="eastAsia" w:ascii="宋体" w:hAnsi="宋体" w:eastAsia="宋体" w:cs="宋体"/>
          <w:color w:val="auto"/>
          <w:kern w:val="0"/>
          <w:highlight w:val="none"/>
        </w:rPr>
        <w:t>。</w:t>
      </w: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（4）投标总价是否唯一；投标总价是否超出</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是否达到最低要求；暂列金额、暂估价是否按照招标工程量清单统一报价；投标人是否以低于成本的价格竞标。</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注：如果某投标人的投标总价下浮率（投标总价下浮率＝100%－投标总价÷</w:t>
      </w:r>
      <w:r>
        <w:rPr>
          <w:rStyle w:val="20"/>
          <w:rFonts w:hint="eastAsia" w:hAnsi="宋体" w:cs="宋体"/>
          <w:b/>
          <w:bCs/>
          <w:color w:val="auto"/>
          <w:kern w:val="0"/>
          <w:highlight w:val="none"/>
          <w:lang w:eastAsia="zh-CN"/>
        </w:rPr>
        <w:t>最高投标限价</w:t>
      </w:r>
      <w:r>
        <w:rPr>
          <w:rStyle w:val="20"/>
          <w:rFonts w:hint="eastAsia" w:ascii="宋体" w:hAnsi="宋体" w:eastAsia="宋体" w:cs="宋体"/>
          <w:b/>
          <w:bCs/>
          <w:color w:val="auto"/>
          <w:kern w:val="0"/>
          <w:highlight w:val="none"/>
        </w:rPr>
        <w:t>×100%）超过15%，又未提供相应书面说明和佐证材料或提供的书面说明和佐证材料不能令人信服的，评标委员会应认定其以低于成本的价格竞标，并否决其投标。评标委员会接受该投标人的投标总价而未否决其投标的，应在评标报告中说明判断理由。</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（5）施工组织设计的质量、进度保障措施是否符合国家和省市现行有关规范、规定、标准，是否能实现工程质量、进度管理目标。</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15.4.4</w:t>
      </w:r>
      <w:r>
        <w:rPr>
          <w:rStyle w:val="20"/>
          <w:rFonts w:hint="eastAsia" w:ascii="宋体" w:hAnsi="宋体" w:eastAsia="宋体" w:cs="宋体"/>
          <w:color w:val="auto"/>
          <w:kern w:val="0"/>
          <w:highlight w:val="none"/>
        </w:rPr>
        <w:t xml:space="preserve"> 否决投标说明</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初步评审阶段各个环节否决投标的全部条件，在本章第四节“否决投标条件”第</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条至第</w:t>
      </w:r>
      <w:r>
        <w:rPr>
          <w:rStyle w:val="20"/>
          <w:rFonts w:hint="eastAsia" w:ascii="宋体" w:hAnsi="宋体" w:eastAsia="宋体" w:cs="宋体"/>
          <w:b/>
          <w:bCs/>
          <w:color w:val="auto"/>
          <w:kern w:val="0"/>
          <w:highlight w:val="none"/>
        </w:rPr>
        <w:t>4</w:t>
      </w:r>
      <w:r>
        <w:rPr>
          <w:rStyle w:val="20"/>
          <w:rFonts w:hint="eastAsia" w:ascii="宋体" w:hAnsi="宋体" w:eastAsia="宋体" w:cs="宋体"/>
          <w:color w:val="auto"/>
          <w:kern w:val="0"/>
          <w:highlight w:val="none"/>
        </w:rPr>
        <w:t>条中集中列示。投标人有其中所列任何一种情形的，由评标委员会否决其投标。在初步评审阶段任何环节被否决的投标人，不进入下一环节（或阶段）评审。在初步评审阶段任何环节，有效投标人数量不足3个时，招标人应依法重新组织招标。</w:t>
      </w:r>
    </w:p>
    <w:p>
      <w:pPr>
        <w:snapToGrid w:val="0"/>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15.5</w:t>
      </w:r>
      <w:r>
        <w:rPr>
          <w:rStyle w:val="20"/>
          <w:rFonts w:hint="eastAsia" w:ascii="宋体" w:hAnsi="宋体" w:eastAsia="宋体" w:cs="宋体"/>
          <w:color w:val="auto"/>
          <w:kern w:val="0"/>
          <w:highlight w:val="none"/>
        </w:rPr>
        <w:t xml:space="preserve"> 详细评审阶段</w:t>
      </w: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    15.5.1</w:t>
      </w:r>
      <w:r>
        <w:rPr>
          <w:rStyle w:val="20"/>
          <w:rFonts w:hint="eastAsia" w:ascii="宋体" w:hAnsi="宋体" w:eastAsia="宋体" w:cs="宋体"/>
          <w:color w:val="auto"/>
          <w:kern w:val="0"/>
          <w:highlight w:val="none"/>
        </w:rPr>
        <w:t xml:space="preserve"> “综合评估法”评审程序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评审内容分为商务技术和投标报价两大部分。其中，商务技术合计满分</w:t>
      </w:r>
      <w:r>
        <w:rPr>
          <w:rFonts w:hint="eastAsia" w:ascii="宋体" w:hAnsi="宋体" w:eastAsia="宋体" w:cs="宋体"/>
          <w:snapToGrid w:val="0"/>
          <w:color w:val="auto"/>
          <w:kern w:val="0"/>
          <w:highlight w:val="none"/>
          <w:u w:val="single"/>
        </w:rPr>
        <w:t>100</w:t>
      </w:r>
      <w:r>
        <w:rPr>
          <w:rFonts w:hint="eastAsia" w:ascii="宋体" w:hAnsi="宋体" w:eastAsia="宋体" w:cs="宋体"/>
          <w:snapToGrid w:val="0"/>
          <w:color w:val="auto"/>
          <w:kern w:val="0"/>
          <w:highlight w:val="none"/>
        </w:rPr>
        <w:t>分，权重为</w:t>
      </w:r>
      <w:r>
        <w:rPr>
          <w:rFonts w:hint="eastAsia" w:ascii="宋体" w:hAnsi="宋体" w:eastAsia="宋体" w:cs="宋体"/>
          <w:snapToGrid w:val="0"/>
          <w:color w:val="auto"/>
          <w:kern w:val="0"/>
          <w:highlight w:val="none"/>
          <w:u w:val="single"/>
        </w:rPr>
        <w:t>40%</w:t>
      </w:r>
      <w:r>
        <w:rPr>
          <w:rFonts w:hint="eastAsia" w:ascii="宋体" w:hAnsi="宋体" w:eastAsia="宋体" w:cs="宋体"/>
          <w:snapToGrid w:val="0"/>
          <w:color w:val="auto"/>
          <w:kern w:val="0"/>
          <w:highlight w:val="none"/>
        </w:rPr>
        <w:t>；投标报价满分100分，权重为</w:t>
      </w:r>
      <w:r>
        <w:rPr>
          <w:rFonts w:hint="eastAsia" w:ascii="宋体" w:hAnsi="宋体" w:eastAsia="宋体" w:cs="宋体"/>
          <w:snapToGrid w:val="0"/>
          <w:color w:val="auto"/>
          <w:kern w:val="0"/>
          <w:highlight w:val="none"/>
          <w:u w:val="single"/>
        </w:rPr>
        <w:t>60%</w:t>
      </w:r>
      <w:r>
        <w:rPr>
          <w:rFonts w:hint="eastAsia" w:ascii="宋体" w:hAnsi="宋体" w:eastAsia="宋体" w:cs="宋体"/>
          <w:snapToGrid w:val="0"/>
          <w:color w:val="auto"/>
          <w:kern w:val="0"/>
          <w:highlight w:val="none"/>
        </w:rPr>
        <w:t>。两大部分权重之和应为</w:t>
      </w:r>
      <w:r>
        <w:rPr>
          <w:rFonts w:hint="eastAsia" w:ascii="宋体" w:hAnsi="宋体" w:eastAsia="宋体" w:cs="宋体"/>
          <w:snapToGrid w:val="0"/>
          <w:color w:val="auto"/>
          <w:kern w:val="0"/>
          <w:highlight w:val="none"/>
          <w:u w:val="single"/>
        </w:rPr>
        <w:t>100%</w:t>
      </w:r>
      <w:r>
        <w:rPr>
          <w:rFonts w:hint="eastAsia" w:ascii="宋体" w:hAnsi="宋体" w:eastAsia="宋体" w:cs="宋体"/>
          <w:snapToGrid w:val="0"/>
          <w:color w:val="auto"/>
          <w:kern w:val="0"/>
          <w:highlight w:val="none"/>
        </w:rPr>
        <w:t>。</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除特别注明外，综合得分以及商务技术得分、投标报价得分的中间过程计算值和最终值，均按“四舍五入”原则精确到两位小数。</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（1）商务技术得分M</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评标委员会各成员独立按照《综合评分表》技术部分（施工组织设计）指定的评分标准对各评分因素进行打分，累加后得出技术评分。将评标委员会所有成员的技术评分去掉一个最高分和一个最低分后，取算术平均值，即为某投标人的技术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lang w:eastAsia="zh-CN"/>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．M＝M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＋M</w:t>
      </w:r>
      <w:r>
        <w:rPr>
          <w:rFonts w:hint="eastAsia" w:ascii="宋体" w:hAnsi="宋体" w:eastAsia="宋体" w:cs="宋体"/>
          <w:snapToGrid w:val="0"/>
          <w:color w:val="auto"/>
          <w:kern w:val="0"/>
          <w:highlight w:val="none"/>
          <w:vertAlign w:val="subscript"/>
        </w:rPr>
        <w:t>2</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式中：M</w:t>
      </w:r>
      <w:r>
        <w:rPr>
          <w:rFonts w:hint="eastAsia" w:ascii="宋体" w:hAnsi="宋体" w:eastAsia="宋体" w:cs="宋体"/>
          <w:snapToGrid w:val="0"/>
          <w:color w:val="auto"/>
          <w:kern w:val="0"/>
          <w:highlight w:val="none"/>
          <w:vertAlign w:val="subscript"/>
        </w:rPr>
        <w:t>1</w:t>
      </w:r>
      <w:r>
        <w:rPr>
          <w:rFonts w:hint="eastAsia" w:ascii="宋体" w:hAnsi="宋体" w:eastAsia="宋体" w:cs="宋体"/>
          <w:snapToGrid w:val="0"/>
          <w:color w:val="auto"/>
          <w:kern w:val="0"/>
          <w:highlight w:val="none"/>
        </w:rPr>
        <w:t>为某投标人的商务得分，M</w:t>
      </w:r>
      <w:r>
        <w:rPr>
          <w:rFonts w:hint="eastAsia" w:ascii="宋体" w:hAnsi="宋体" w:eastAsia="宋体" w:cs="宋体"/>
          <w:snapToGrid w:val="0"/>
          <w:color w:val="auto"/>
          <w:kern w:val="0"/>
          <w:highlight w:val="none"/>
          <w:vertAlign w:val="subscript"/>
        </w:rPr>
        <w:t>2</w:t>
      </w:r>
      <w:r>
        <w:rPr>
          <w:rFonts w:hint="eastAsia" w:ascii="宋体" w:hAnsi="宋体" w:eastAsia="宋体" w:cs="宋体"/>
          <w:snapToGrid w:val="0"/>
          <w:color w:val="auto"/>
          <w:kern w:val="0"/>
          <w:highlight w:val="none"/>
        </w:rPr>
        <w:t>为某投标人的技术得分。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（2）投标报价得分N</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．评标委员会按照《综合评分表》投标报价部分指定的方法计算评标基准价D。</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．采用内插法计算某投标人的投标报价得分N，即当投标人的投标总价等于评标基准价时得100分，每高于评标基准价一个百分点扣1分，每低于评标基准价一个百分点扣0.5分，扣完为止。公式如下：</w:t>
      </w:r>
    </w:p>
    <w:p>
      <w:pPr>
        <w:wordWrap w:val="0"/>
        <w:adjustRightInd w:val="0"/>
        <w:snapToGrid w:val="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N＝100－（| Di－D | ÷D）×100×E</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式中：D为评标基准价；Di为某投标人的投标总价；E为扣分因子，当Di＞D时，E＝1；当Di＜D时，E＝0.5。</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（3）综合得分</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综合得分换算为百分制，满分100分，公式如下：</w:t>
      </w:r>
    </w:p>
    <w:p>
      <w:pPr>
        <w:wordWrap w:val="0"/>
        <w:adjustRightInd w:val="0"/>
        <w:snapToGrid w:val="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综合得分＝M÷商务技术合计满分×100×商务技术权重＋N×投标报价权重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式中：M为商务技术得分，N为投标报价得分。</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4</w:t>
      </w:r>
      <w:r>
        <w:rPr>
          <w:rStyle w:val="20"/>
          <w:rFonts w:hint="eastAsia" w:ascii="宋体" w:hAnsi="宋体" w:eastAsia="宋体" w:cs="宋体"/>
          <w:color w:val="auto"/>
          <w:kern w:val="0"/>
          <w:highlight w:val="none"/>
        </w:rPr>
        <w:t>）评标委员会根据招标文件规定的评分细则，对招标文件中的各评审因素进行评审、比较、打分，将得分前5名不排序（按企业统一社会信用代码后4位大小排位）的投标人作为定标候选人推荐给招标人，并对每个定标候选人的优势、风险等评审情况进行说明。当投标人综合总得分相同时，以报价低为前；当投标人综合总得分相同且报价相同时，由评标委员会投票确定排前。</w:t>
      </w:r>
    </w:p>
    <w:p>
      <w:pPr>
        <w:snapToGrid w:val="0"/>
        <w:spacing w:line="440" w:lineRule="exact"/>
        <w:ind w:firstLine="480" w:firstLineChars="200"/>
        <w:rPr>
          <w:rStyle w:val="20"/>
          <w:rFonts w:hint="eastAsia" w:ascii="宋体" w:hAnsi="宋体" w:eastAsia="宋体" w:cs="宋体"/>
          <w:color w:val="auto"/>
          <w:kern w:val="0"/>
          <w:highlight w:val="none"/>
        </w:rPr>
        <w:sectPr>
          <w:endnotePr>
            <w:numFmt w:val="decimal"/>
          </w:endnotePr>
          <w:pgSz w:w="11906" w:h="16838"/>
          <w:pgMar w:top="1417" w:right="1310" w:bottom="1417" w:left="1304" w:header="850" w:footer="691" w:gutter="0"/>
          <w:cols w:space="720" w:num="1"/>
          <w:docGrid w:linePitch="327" w:charSpace="0"/>
        </w:sectPr>
      </w:pPr>
      <w:r>
        <w:rPr>
          <w:rStyle w:val="20"/>
          <w:rFonts w:hint="eastAsia" w:ascii="宋体" w:hAnsi="宋体" w:eastAsia="宋体" w:cs="宋体"/>
          <w:color w:val="auto"/>
          <w:kern w:val="0"/>
          <w:highlight w:val="none"/>
        </w:rPr>
        <w:t>定标候选人得分只作为评标委员会的推荐依据，不作为定标委员会对中标候选人排序的依据。当有效投标人数量不足5名但满足法定要求时，所有通过评审的有效投标人均应作为定标候选人。</w:t>
      </w:r>
    </w:p>
    <w:p>
      <w:pPr>
        <w:wordWrap w:val="0"/>
        <w:adjustRightInd w:val="0"/>
        <w:snapToGrid w:val="0"/>
        <w:spacing w:before="260" w:after="260" w:line="440" w:lineRule="exact"/>
        <w:ind w:firstLine="602" w:firstLineChars="200"/>
        <w:jc w:val="center"/>
        <w:rPr>
          <w:rFonts w:hint="eastAsia" w:ascii="Times New Roman"/>
          <w:b/>
          <w:bCs/>
          <w:snapToGrid w:val="0"/>
          <w:color w:val="auto"/>
          <w:kern w:val="0"/>
          <w:sz w:val="30"/>
          <w:szCs w:val="30"/>
          <w:highlight w:val="none"/>
        </w:rPr>
      </w:pPr>
      <w:r>
        <w:rPr>
          <w:rFonts w:hint="eastAsia" w:ascii="Times New Roman"/>
          <w:b/>
          <w:bCs/>
          <w:snapToGrid w:val="0"/>
          <w:color w:val="auto"/>
          <w:kern w:val="0"/>
          <w:sz w:val="30"/>
          <w:szCs w:val="30"/>
          <w:highlight w:val="none"/>
        </w:rPr>
        <w:t>综合评分表</w:t>
      </w:r>
    </w:p>
    <w:tbl>
      <w:tblPr>
        <w:tblStyle w:val="16"/>
        <w:tblW w:w="9484" w:type="dxa"/>
        <w:jc w:val="center"/>
        <w:tblLayout w:type="fixed"/>
        <w:tblCellMar>
          <w:top w:w="0" w:type="dxa"/>
          <w:left w:w="108" w:type="dxa"/>
          <w:bottom w:w="0" w:type="dxa"/>
          <w:right w:w="108" w:type="dxa"/>
        </w:tblCellMar>
      </w:tblPr>
      <w:tblGrid>
        <w:gridCol w:w="1180"/>
        <w:gridCol w:w="224"/>
        <w:gridCol w:w="3796"/>
        <w:gridCol w:w="4284"/>
      </w:tblGrid>
      <w:tr>
        <w:tblPrEx>
          <w:tblCellMar>
            <w:top w:w="0" w:type="dxa"/>
            <w:left w:w="108" w:type="dxa"/>
            <w:bottom w:w="0" w:type="dxa"/>
            <w:right w:w="108" w:type="dxa"/>
          </w:tblCellMar>
        </w:tblPrEx>
        <w:trPr>
          <w:trHeight w:val="557"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7D7D7"/>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商务部分，满分：</w:t>
            </w:r>
            <w:r>
              <w:rPr>
                <w:rFonts w:hint="eastAsia" w:ascii="宋体" w:hAnsi="宋体" w:eastAsia="宋体" w:cs="宋体"/>
                <w:b/>
                <w:bCs/>
                <w:snapToGrid w:val="0"/>
                <w:color w:val="auto"/>
                <w:kern w:val="0"/>
                <w:sz w:val="24"/>
                <w:szCs w:val="24"/>
                <w:highlight w:val="none"/>
                <w:u w:val="single"/>
              </w:rPr>
              <w:t xml:space="preserve"> 80 </w:t>
            </w:r>
            <w:r>
              <w:rPr>
                <w:rFonts w:hint="eastAsia" w:ascii="宋体" w:hAnsi="宋体" w:eastAsia="宋体" w:cs="宋体"/>
                <w:b/>
                <w:bCs/>
                <w:snapToGrid w:val="0"/>
                <w:color w:val="auto"/>
                <w:kern w:val="0"/>
                <w:sz w:val="24"/>
                <w:szCs w:val="24"/>
                <w:highlight w:val="none"/>
              </w:rPr>
              <w:t>分。</w:t>
            </w:r>
          </w:p>
        </w:tc>
      </w:tr>
      <w:tr>
        <w:tblPrEx>
          <w:tblCellMar>
            <w:top w:w="0" w:type="dxa"/>
            <w:left w:w="108" w:type="dxa"/>
            <w:bottom w:w="0" w:type="dxa"/>
            <w:right w:w="108" w:type="dxa"/>
          </w:tblCellMar>
        </w:tblPrEx>
        <w:trPr>
          <w:trHeight w:val="456" w:hRule="exac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tabs>
                <w:tab w:val="left" w:pos="1354"/>
                <w:tab w:val="left" w:pos="1459"/>
                <w:tab w:val="center" w:pos="3902"/>
                <w:tab w:val="right" w:pos="7805"/>
              </w:tabs>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企业奖项</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年来（20</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年1月1日至</w:t>
            </w:r>
            <w:r>
              <w:rPr>
                <w:rFonts w:hint="eastAsia" w:ascii="宋体" w:hAnsi="宋体" w:eastAsia="宋体" w:cs="宋体"/>
                <w:snapToGrid w:val="0"/>
                <w:color w:val="auto"/>
                <w:kern w:val="0"/>
                <w:sz w:val="24"/>
                <w:szCs w:val="24"/>
                <w:highlight w:val="none"/>
                <w:lang w:val="en-US" w:eastAsia="zh-CN"/>
              </w:rPr>
              <w:t>今</w:t>
            </w:r>
            <w:r>
              <w:rPr>
                <w:rFonts w:hint="eastAsia" w:ascii="宋体" w:hAnsi="宋体" w:eastAsia="宋体" w:cs="宋体"/>
                <w:snapToGrid w:val="0"/>
                <w:color w:val="auto"/>
                <w:kern w:val="0"/>
                <w:sz w:val="24"/>
                <w:szCs w:val="24"/>
                <w:highlight w:val="none"/>
              </w:rPr>
              <w:t>）获得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房屋建筑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工程类奖项情况：</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1．获得国家级奖项的，每个得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8</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2．获得省级奖项的，每个得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4</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3．获得地市级奖项的，每个得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2</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4．以上奖项均未获得的，不予计分。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5．本项最高得</w:t>
            </w:r>
            <w:r>
              <w:rPr>
                <w:rFonts w:hint="eastAsia" w:ascii="宋体" w:hAnsi="宋体" w:eastAsia="宋体" w:cs="宋体"/>
                <w:snapToGrid w:val="0"/>
                <w:color w:val="auto"/>
                <w:kern w:val="0"/>
                <w:sz w:val="24"/>
                <w:szCs w:val="24"/>
                <w:highlight w:val="none"/>
                <w:u w:val="single"/>
              </w:rPr>
              <w:t>1</w:t>
            </w:r>
            <w:r>
              <w:rPr>
                <w:rFonts w:hint="eastAsia" w:ascii="宋体" w:hAnsi="宋体" w:eastAsia="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rPr>
              <w:t>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1．允许投标人提交多个业绩，但同一业绩只按最高级别奖项计分一次。</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2．需附有关奖项证明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lang w:eastAsia="zh-CN"/>
              </w:rPr>
              <w:t>。</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3．颁发机构限定以下范围：</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①国家级奖项：</w:t>
            </w:r>
            <w:r>
              <w:rPr>
                <w:rFonts w:hint="eastAsia" w:ascii="宋体" w:hAnsi="宋体" w:eastAsia="宋体" w:cs="宋体"/>
                <w:b w:val="0"/>
                <w:bCs w:val="0"/>
                <w:iCs/>
                <w:snapToGrid w:val="0"/>
                <w:color w:val="auto"/>
                <w:kern w:val="0"/>
                <w:sz w:val="24"/>
                <w:szCs w:val="24"/>
                <w:highlight w:val="none"/>
                <w:u w:val="single"/>
              </w:rPr>
              <w:t>国务院、住建部、中国建筑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r>
              <w:rPr>
                <w:rFonts w:hint="eastAsia" w:ascii="宋体" w:hAnsi="宋体" w:eastAsia="宋体" w:cs="宋体"/>
                <w:b w:val="0"/>
                <w:bCs w:val="0"/>
                <w:snapToGrid w:val="0"/>
                <w:color w:val="auto"/>
                <w:kern w:val="0"/>
                <w:sz w:val="24"/>
                <w:szCs w:val="24"/>
                <w:highlight w:val="none"/>
                <w:u w:val="single"/>
              </w:rPr>
              <w:t xml:space="preserve"> </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②省级奖项：</w:t>
            </w:r>
            <w:r>
              <w:rPr>
                <w:rFonts w:hint="eastAsia" w:ascii="宋体" w:hAnsi="宋体" w:eastAsia="宋体" w:cs="宋体"/>
                <w:b w:val="0"/>
                <w:bCs w:val="0"/>
                <w:iCs/>
                <w:snapToGrid w:val="0"/>
                <w:color w:val="auto"/>
                <w:kern w:val="0"/>
                <w:sz w:val="24"/>
                <w:szCs w:val="24"/>
                <w:highlight w:val="none"/>
                <w:u w:val="single"/>
              </w:rPr>
              <w:t>省级人民政府、省级住建部门或监督部门、省级建筑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r>
              <w:rPr>
                <w:rFonts w:hint="eastAsia" w:ascii="宋体" w:hAnsi="宋体" w:eastAsia="宋体" w:cs="宋体"/>
                <w:b w:val="0"/>
                <w:bCs w:val="0"/>
                <w:snapToGrid w:val="0"/>
                <w:color w:val="auto"/>
                <w:kern w:val="0"/>
                <w:sz w:val="24"/>
                <w:szCs w:val="24"/>
                <w:highlight w:val="none"/>
              </w:rPr>
              <w:t xml:space="preserve"> </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③地市级奖项：</w:t>
            </w:r>
            <w:r>
              <w:rPr>
                <w:rFonts w:hint="eastAsia" w:ascii="宋体" w:hAnsi="宋体" w:eastAsia="宋体" w:cs="宋体"/>
                <w:b w:val="0"/>
                <w:bCs w:val="0"/>
                <w:iCs/>
                <w:snapToGrid w:val="0"/>
                <w:color w:val="auto"/>
                <w:kern w:val="0"/>
                <w:sz w:val="24"/>
                <w:szCs w:val="24"/>
                <w:highlight w:val="none"/>
                <w:u w:val="single"/>
              </w:rPr>
              <w:t>地市级人民政府、地市级住建部门或监督部门、</w:t>
            </w:r>
            <w:r>
              <w:rPr>
                <w:rFonts w:hint="eastAsia" w:ascii="宋体" w:hAnsi="宋体" w:eastAsia="宋体" w:cs="宋体"/>
                <w:b w:val="0"/>
                <w:bCs w:val="0"/>
                <w:iCs/>
                <w:snapToGrid w:val="0"/>
                <w:color w:val="auto"/>
                <w:kern w:val="0"/>
                <w:sz w:val="24"/>
                <w:szCs w:val="24"/>
                <w:highlight w:val="none"/>
                <w:u w:val="single"/>
                <w:lang w:val="en-US" w:eastAsia="zh-CN"/>
              </w:rPr>
              <w:t>地级市</w:t>
            </w:r>
            <w:r>
              <w:rPr>
                <w:rFonts w:hint="eastAsia" w:ascii="宋体" w:hAnsi="宋体" w:eastAsia="宋体" w:cs="宋体"/>
                <w:b w:val="0"/>
                <w:bCs w:val="0"/>
                <w:iCs/>
                <w:snapToGrid w:val="0"/>
                <w:color w:val="auto"/>
                <w:kern w:val="0"/>
                <w:sz w:val="24"/>
                <w:szCs w:val="24"/>
                <w:highlight w:val="none"/>
                <w:u w:val="single"/>
              </w:rPr>
              <w:t>建筑</w:t>
            </w:r>
            <w:r>
              <w:rPr>
                <w:rFonts w:hint="eastAsia" w:ascii="宋体" w:hAnsi="宋体" w:eastAsia="宋体" w:cs="宋体"/>
                <w:b w:val="0"/>
                <w:bCs w:val="0"/>
                <w:iCs/>
                <w:snapToGrid w:val="0"/>
                <w:color w:val="auto"/>
                <w:kern w:val="0"/>
                <w:sz w:val="24"/>
                <w:szCs w:val="24"/>
                <w:highlight w:val="none"/>
                <w:u w:val="single"/>
                <w:lang w:val="en-US" w:eastAsia="zh-CN"/>
              </w:rPr>
              <w:t>或市政协会</w:t>
            </w:r>
            <w:r>
              <w:rPr>
                <w:rFonts w:hint="eastAsia" w:ascii="宋体" w:hAnsi="宋体" w:eastAsia="宋体" w:cs="宋体"/>
                <w:b w:val="0"/>
                <w:bCs w:val="0"/>
                <w:snapToGrid w:val="0"/>
                <w:color w:val="auto"/>
                <w:kern w:val="0"/>
                <w:sz w:val="24"/>
                <w:szCs w:val="24"/>
                <w:highlight w:val="none"/>
                <w:u w:val="single"/>
              </w:rPr>
              <w:t>。</w:t>
            </w:r>
            <w:r>
              <w:rPr>
                <w:rFonts w:hint="eastAsia" w:ascii="宋体" w:hAnsi="宋体" w:eastAsia="宋体" w:cs="宋体"/>
                <w:b w:val="0"/>
                <w:bCs w:val="0"/>
                <w:iCs/>
                <w:snapToGrid w:val="0"/>
                <w:color w:val="auto"/>
                <w:kern w:val="0"/>
                <w:sz w:val="24"/>
                <w:szCs w:val="24"/>
                <w:highlight w:val="none"/>
                <w:u w:val="single"/>
              </w:rPr>
              <w:t>（相关协会需经民政部门备案）</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4．获奖时间以奖项证明的落款日期</w:t>
            </w:r>
            <w:r>
              <w:rPr>
                <w:rFonts w:hint="eastAsia" w:ascii="宋体" w:hAnsi="宋体" w:eastAsia="宋体" w:cs="宋体"/>
                <w:snapToGrid w:val="0"/>
                <w:color w:val="auto"/>
                <w:kern w:val="0"/>
                <w:sz w:val="24"/>
                <w:szCs w:val="24"/>
                <w:highlight w:val="none"/>
              </w:rPr>
              <w:t>为准。</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5．任一奖项有以下情形之一的，该奖项视为无效，不予计分：</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①奖项不属于指定类别的；</w:t>
            </w:r>
          </w:p>
          <w:p>
            <w:pPr>
              <w:pStyle w:val="3"/>
              <w:keepNext w:val="0"/>
              <w:keepLines w:val="0"/>
              <w:pageBreakBefore w:val="0"/>
              <w:widowControl w:val="0"/>
              <w:kinsoku/>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②颁发机构不符合要求的；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③获奖时间不符合要求的。</w:t>
            </w:r>
          </w:p>
          <w:p>
            <w:pPr>
              <w:pStyle w:val="4"/>
              <w:keepNext w:val="0"/>
              <w:keepLines w:val="0"/>
              <w:pageBreakBefore w:val="0"/>
              <w:widowControl w:val="0"/>
              <w:kinsoku/>
              <w:overflowPunct/>
              <w:topLinePunct w:val="0"/>
              <w:autoSpaceDE/>
              <w:autoSpaceDN/>
              <w:bidi w:val="0"/>
              <w:snapToGrid w:val="0"/>
              <w:spacing w:line="3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说明： 以上所称“要求 ”均指本表评分标准及备注的要求，下同。</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企业业绩</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企业近</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rPr>
              <w:t>年来（20</w:t>
            </w:r>
            <w:r>
              <w:rPr>
                <w:rFonts w:hint="eastAsia" w:ascii="宋体" w:hAnsi="宋体" w:eastAsia="宋体" w:cs="宋体"/>
                <w:snapToGrid w:val="0"/>
                <w:color w:val="auto"/>
                <w:kern w:val="0"/>
                <w:sz w:val="24"/>
                <w:szCs w:val="24"/>
                <w:highlight w:val="none"/>
                <w:lang w:val="en-US" w:eastAsia="zh-CN"/>
              </w:rPr>
              <w:t>20</w:t>
            </w:r>
            <w:r>
              <w:rPr>
                <w:rFonts w:hint="eastAsia" w:ascii="宋体" w:hAnsi="宋体" w:eastAsia="宋体" w:cs="宋体"/>
                <w:snapToGrid w:val="0"/>
                <w:color w:val="auto"/>
                <w:kern w:val="0"/>
                <w:sz w:val="24"/>
                <w:szCs w:val="24"/>
                <w:highlight w:val="none"/>
              </w:rPr>
              <w:t>年1月1日至</w:t>
            </w:r>
            <w:r>
              <w:rPr>
                <w:rFonts w:hint="eastAsia" w:ascii="宋体" w:hAnsi="宋体" w:eastAsia="宋体" w:cs="宋体"/>
                <w:snapToGrid w:val="0"/>
                <w:color w:val="auto"/>
                <w:kern w:val="0"/>
                <w:sz w:val="24"/>
                <w:szCs w:val="24"/>
                <w:highlight w:val="none"/>
                <w:lang w:val="en-US" w:eastAsia="zh-CN"/>
              </w:rPr>
              <w:t>今</w:t>
            </w:r>
            <w:r>
              <w:rPr>
                <w:rFonts w:hint="eastAsia" w:ascii="宋体" w:hAnsi="宋体" w:eastAsia="宋体" w:cs="宋体"/>
                <w:snapToGrid w:val="0"/>
                <w:color w:val="auto"/>
                <w:kern w:val="0"/>
                <w:sz w:val="24"/>
                <w:szCs w:val="24"/>
                <w:highlight w:val="none"/>
              </w:rPr>
              <w:t>）业绩情况：</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w:t>
            </w:r>
            <w:r>
              <w:rPr>
                <w:rFonts w:hint="eastAsia" w:ascii="宋体" w:hAnsi="宋体" w:eastAsia="宋体" w:cs="宋体"/>
                <w:snapToGrid w:val="0"/>
                <w:color w:val="auto"/>
                <w:kern w:val="0"/>
                <w:sz w:val="24"/>
                <w:szCs w:val="24"/>
                <w:highlight w:val="none"/>
                <w:u w:val="single"/>
              </w:rPr>
              <w:t>完成</w:t>
            </w:r>
            <w:r>
              <w:rPr>
                <w:rFonts w:hint="eastAsia" w:ascii="宋体" w:hAnsi="宋体" w:eastAsia="宋体" w:cs="宋体"/>
                <w:snapToGrid w:val="0"/>
                <w:color w:val="auto"/>
                <w:kern w:val="0"/>
                <w:sz w:val="24"/>
                <w:szCs w:val="24"/>
                <w:highlight w:val="none"/>
              </w:rPr>
              <w:t>过类似工程的，每个得5分。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u w:val="single"/>
              </w:rPr>
              <w:t>未完成</w:t>
            </w:r>
            <w:r>
              <w:rPr>
                <w:rFonts w:hint="eastAsia" w:ascii="宋体" w:hAnsi="宋体" w:eastAsia="宋体" w:cs="宋体"/>
                <w:snapToGrid w:val="0"/>
                <w:color w:val="auto"/>
                <w:kern w:val="0"/>
                <w:sz w:val="24"/>
                <w:szCs w:val="24"/>
                <w:highlight w:val="none"/>
              </w:rPr>
              <w:t>过类似工程的，不予计分。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 xml:space="preserve">3．本项最高得10分。 </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u w:val="single"/>
              </w:rPr>
            </w:pPr>
            <w:r>
              <w:rPr>
                <w:rFonts w:hint="eastAsia" w:ascii="宋体" w:hAnsi="宋体" w:eastAsia="宋体" w:cs="宋体"/>
                <w:snapToGrid w:val="0"/>
                <w:color w:val="auto"/>
                <w:kern w:val="0"/>
                <w:sz w:val="24"/>
                <w:szCs w:val="24"/>
                <w:highlight w:val="none"/>
              </w:rPr>
              <w:t>1．类似工程指：</w:t>
            </w:r>
            <w:r>
              <w:rPr>
                <w:rFonts w:hint="eastAsia" w:ascii="宋体" w:hAnsi="宋体" w:eastAsia="宋体" w:cs="宋体"/>
                <w:snapToGrid w:val="0"/>
                <w:color w:val="auto"/>
                <w:kern w:val="0"/>
                <w:sz w:val="24"/>
                <w:szCs w:val="24"/>
                <w:highlight w:val="none"/>
                <w:u w:val="single"/>
              </w:rPr>
              <w:t>合同金额≥</w:t>
            </w:r>
            <w:r>
              <w:rPr>
                <w:rFonts w:hint="eastAsia" w:hAnsi="宋体" w:cs="宋体"/>
                <w:snapToGrid w:val="0"/>
                <w:color w:val="auto"/>
                <w:kern w:val="0"/>
                <w:sz w:val="24"/>
                <w:szCs w:val="24"/>
                <w:highlight w:val="none"/>
                <w:u w:val="single"/>
                <w:lang w:val="en-US" w:eastAsia="zh-CN"/>
              </w:rPr>
              <w:t>6</w:t>
            </w:r>
            <w:r>
              <w:rPr>
                <w:rFonts w:hint="eastAsia" w:ascii="宋体" w:hAnsi="宋体" w:eastAsia="宋体" w:cs="宋体"/>
                <w:snapToGrid w:val="0"/>
                <w:color w:val="auto"/>
                <w:kern w:val="0"/>
                <w:sz w:val="24"/>
                <w:szCs w:val="24"/>
                <w:highlight w:val="none"/>
                <w:u w:val="single"/>
                <w:lang w:val="en-US" w:eastAsia="zh-CN"/>
              </w:rPr>
              <w:t>0</w:t>
            </w:r>
            <w:r>
              <w:rPr>
                <w:rFonts w:hint="eastAsia" w:ascii="宋体" w:hAnsi="宋体" w:eastAsia="宋体" w:cs="宋体"/>
                <w:snapToGrid w:val="0"/>
                <w:color w:val="auto"/>
                <w:kern w:val="0"/>
                <w:sz w:val="24"/>
                <w:szCs w:val="24"/>
                <w:highlight w:val="none"/>
                <w:u w:val="single"/>
              </w:rPr>
              <w:t>0万的</w:t>
            </w:r>
            <w:r>
              <w:rPr>
                <w:rFonts w:hint="eastAsia" w:ascii="宋体" w:hAnsi="宋体" w:eastAsia="宋体" w:cs="宋体"/>
                <w:snapToGrid w:val="0"/>
                <w:color w:val="auto"/>
                <w:kern w:val="0"/>
                <w:sz w:val="24"/>
                <w:szCs w:val="24"/>
                <w:highlight w:val="none"/>
                <w:u w:val="single"/>
                <w:lang w:val="en-US" w:eastAsia="zh-CN"/>
              </w:rPr>
              <w:t>房屋建筑工程</w:t>
            </w:r>
            <w:r>
              <w:rPr>
                <w:rFonts w:hint="eastAsia" w:ascii="宋体" w:hAnsi="宋体" w:eastAsia="宋体" w:cs="宋体"/>
                <w:snapToGrid w:val="0"/>
                <w:color w:val="auto"/>
                <w:kern w:val="0"/>
                <w:sz w:val="24"/>
                <w:szCs w:val="24"/>
                <w:highlight w:val="none"/>
                <w:u w:val="singl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2．需附有关业绩（仅限于以施工</w:t>
            </w:r>
            <w:r>
              <w:rPr>
                <w:rFonts w:hint="eastAsia" w:ascii="宋体" w:hAnsi="宋体" w:eastAsia="宋体" w:cs="宋体"/>
                <w:b/>
                <w:bCs/>
                <w:snapToGrid w:val="0"/>
                <w:color w:val="auto"/>
                <w:kern w:val="0"/>
                <w:sz w:val="24"/>
                <w:szCs w:val="24"/>
                <w:highlight w:val="none"/>
                <w:u w:val="single"/>
              </w:rPr>
              <w:t xml:space="preserve"> 总承包单位 </w:t>
            </w:r>
            <w:r>
              <w:rPr>
                <w:rFonts w:hint="eastAsia" w:ascii="宋体" w:hAnsi="宋体" w:eastAsia="宋体" w:cs="宋体"/>
                <w:snapToGrid w:val="0"/>
                <w:color w:val="auto"/>
                <w:kern w:val="0"/>
                <w:sz w:val="24"/>
                <w:szCs w:val="24"/>
                <w:highlight w:val="none"/>
              </w:rPr>
              <w:t>身份参建的项目）合同协议书和竣工验收报告的</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3．业绩时间以竣工验收报告日期为准。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4．任一业绩有以下情形之一的，该业绩视为无效，不予计分：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①业绩不属于类似工程的；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②不是以指定身份参建的；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③业绩时间不符合要求的；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④业绩未竣工验收的</w:t>
            </w:r>
            <w:r>
              <w:rPr>
                <w:rFonts w:hint="eastAsia" w:ascii="宋体" w:hAnsi="宋体" w:eastAsia="宋体" w:cs="宋体"/>
                <w:snapToGrid w:val="0"/>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企业银行</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资信评级</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1．银行资信评级AAA的，得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10</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2．银行资信评级AA（含AA＋、AA－）的，得</w:t>
            </w:r>
            <w:r>
              <w:rPr>
                <w:rFonts w:hint="eastAsia" w:ascii="宋体" w:hAnsi="宋体" w:eastAsia="宋体" w:cs="宋体"/>
                <w:snapToGrid w:val="0"/>
                <w:color w:val="auto"/>
                <w:kern w:val="0"/>
                <w:sz w:val="24"/>
                <w:szCs w:val="24"/>
                <w:highlight w:val="none"/>
                <w:u w:val="single"/>
              </w:rPr>
              <w:t xml:space="preserve"> </w:t>
            </w:r>
            <w:r>
              <w:rPr>
                <w:rFonts w:hint="eastAsia" w:ascii="宋体" w:hAnsi="宋体" w:eastAsia="宋体" w:cs="宋体"/>
                <w:snapToGrid w:val="0"/>
                <w:color w:val="auto"/>
                <w:kern w:val="0"/>
                <w:sz w:val="24"/>
                <w:szCs w:val="24"/>
                <w:highlight w:val="none"/>
                <w:u w:val="single"/>
                <w:lang w:val="en-US" w:eastAsia="zh-CN"/>
              </w:rPr>
              <w:t>5</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3．银行资信评级A（含A＋、A－）的，得</w:t>
            </w:r>
            <w:r>
              <w:rPr>
                <w:rFonts w:hint="eastAsia" w:ascii="宋体" w:hAnsi="宋体" w:eastAsia="宋体" w:cs="宋体"/>
                <w:snapToGrid w:val="0"/>
                <w:color w:val="auto"/>
                <w:kern w:val="0"/>
                <w:sz w:val="24"/>
                <w:szCs w:val="24"/>
                <w:highlight w:val="none"/>
                <w:u w:val="single"/>
              </w:rPr>
              <w:t xml:space="preserve"> 1 </w:t>
            </w:r>
            <w:r>
              <w:rPr>
                <w:rFonts w:hint="eastAsia" w:ascii="宋体" w:hAnsi="宋体" w:eastAsia="宋体" w:cs="宋体"/>
                <w:snapToGrid w:val="0"/>
                <w:color w:val="auto"/>
                <w:kern w:val="0"/>
                <w:sz w:val="24"/>
                <w:szCs w:val="24"/>
                <w:highlight w:val="none"/>
              </w:rPr>
              <w:t>分。</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4．未获得过以上评级的，或评级证书无效的，不予计分。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1．需附在有效期内的资信评级证书（证明）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snapToGrid w:val="0"/>
                <w:color w:val="auto"/>
                <w:kern w:val="0"/>
                <w:sz w:val="24"/>
                <w:szCs w:val="24"/>
                <w:highlight w:val="none"/>
              </w:rPr>
              <w:t>。</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2．评级证书（证明）须由</w:t>
            </w:r>
            <w:r>
              <w:rPr>
                <w:rFonts w:hint="eastAsia" w:ascii="宋体" w:hAnsi="宋体" w:eastAsia="宋体" w:cs="宋体"/>
                <w:b w:val="0"/>
                <w:bCs w:val="0"/>
                <w:snapToGrid w:val="0"/>
                <w:color w:val="auto"/>
                <w:kern w:val="0"/>
                <w:sz w:val="24"/>
                <w:szCs w:val="24"/>
                <w:highlight w:val="none"/>
                <w:u w:val="single"/>
              </w:rPr>
              <w:t xml:space="preserve"> 金融机构</w:t>
            </w:r>
            <w:r>
              <w:rPr>
                <w:rFonts w:hint="eastAsia" w:ascii="宋体" w:hAnsi="宋体" w:eastAsia="宋体" w:cs="宋体"/>
                <w:b w:val="0"/>
                <w:bCs w:val="0"/>
                <w:snapToGrid w:val="0"/>
                <w:color w:val="auto"/>
                <w:kern w:val="0"/>
                <w:sz w:val="24"/>
                <w:szCs w:val="24"/>
                <w:highlight w:val="none"/>
                <w:u w:val="single"/>
                <w:lang w:val="en-US" w:eastAsia="zh-CN"/>
              </w:rPr>
              <w:t xml:space="preserve"> </w:t>
            </w:r>
            <w:r>
              <w:rPr>
                <w:rFonts w:hint="eastAsia" w:ascii="宋体" w:hAnsi="宋体" w:eastAsia="宋体" w:cs="宋体"/>
                <w:snapToGrid w:val="0"/>
                <w:color w:val="auto"/>
                <w:kern w:val="0"/>
                <w:sz w:val="24"/>
                <w:szCs w:val="24"/>
                <w:highlight w:val="none"/>
              </w:rPr>
              <w:t>出具。</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3．评级证书（证明）有以下情形之一的，视为无效：</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①评级证书（证明）不在有效期内的；</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②出具机构不符合要求的</w:t>
            </w:r>
            <w:r>
              <w:rPr>
                <w:rFonts w:hint="eastAsia" w:ascii="宋体" w:hAnsi="宋体" w:eastAsia="宋体" w:cs="宋体"/>
                <w:snapToGrid w:val="0"/>
                <w:color w:val="auto"/>
                <w:kern w:val="0"/>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b w:val="0"/>
                <w:bCs w:val="0"/>
                <w:snapToGrid w:val="0"/>
                <w:color w:val="auto"/>
                <w:kern w:val="0"/>
                <w:sz w:val="24"/>
                <w:szCs w:val="24"/>
                <w:highlight w:val="none"/>
              </w:rPr>
              <w:t>企业</w:t>
            </w:r>
            <w:r>
              <w:rPr>
                <w:rFonts w:hint="eastAsia" w:ascii="宋体" w:hAnsi="宋体" w:eastAsia="宋体" w:cs="宋体"/>
                <w:b w:val="0"/>
                <w:bCs w:val="0"/>
                <w:color w:val="auto"/>
                <w:kern w:val="0"/>
                <w:sz w:val="24"/>
                <w:szCs w:val="24"/>
                <w:highlight w:val="none"/>
                <w:lang w:val="en-US" w:eastAsia="zh-CN"/>
              </w:rPr>
              <w:t>信</w:t>
            </w:r>
            <w:r>
              <w:rPr>
                <w:rFonts w:hint="eastAsia" w:ascii="宋体" w:hAnsi="宋体" w:eastAsia="宋体" w:cs="宋体"/>
                <w:b w:val="0"/>
                <w:bCs w:val="0"/>
                <w:color w:val="auto"/>
                <w:kern w:val="0"/>
                <w:sz w:val="24"/>
                <w:szCs w:val="24"/>
                <w:highlight w:val="none"/>
              </w:rPr>
              <w:t>誉</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rPr>
              <w:t>（</w:t>
            </w:r>
            <w:r>
              <w:rPr>
                <w:rFonts w:hint="eastAsia" w:ascii="宋体" w:hAnsi="宋体" w:eastAsia="宋体" w:cs="宋体"/>
                <w:b w:val="0"/>
                <w:bCs w:val="0"/>
                <w:snapToGrid w:val="0"/>
                <w:color w:val="auto"/>
                <w:kern w:val="0"/>
                <w:sz w:val="24"/>
                <w:szCs w:val="24"/>
                <w:highlight w:val="none"/>
                <w:lang w:val="en-US" w:eastAsia="zh-CN"/>
              </w:rPr>
              <w:t>10</w:t>
            </w:r>
            <w:r>
              <w:rPr>
                <w:rFonts w:hint="eastAsia" w:ascii="宋体" w:hAnsi="宋体" w:eastAsia="宋体" w:cs="宋体"/>
                <w:b w:val="0"/>
                <w:bCs w:val="0"/>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企业获得地级市</w:t>
            </w:r>
            <w:r>
              <w:rPr>
                <w:rFonts w:hint="eastAsia" w:hAnsi="宋体" w:cs="宋体"/>
                <w:b w:val="0"/>
                <w:bCs w:val="0"/>
                <w:snapToGrid w:val="0"/>
                <w:color w:val="auto"/>
                <w:kern w:val="0"/>
                <w:sz w:val="24"/>
                <w:szCs w:val="24"/>
                <w:highlight w:val="none"/>
                <w:lang w:val="en-US" w:eastAsia="zh-CN" w:bidi="ar-SA"/>
              </w:rPr>
              <w:t>或</w:t>
            </w:r>
            <w:r>
              <w:rPr>
                <w:rFonts w:hint="eastAsia" w:ascii="宋体" w:hAnsi="宋体" w:eastAsia="宋体" w:cs="宋体"/>
                <w:b w:val="0"/>
                <w:bCs w:val="0"/>
                <w:snapToGrid w:val="0"/>
                <w:color w:val="auto"/>
                <w:kern w:val="0"/>
                <w:sz w:val="24"/>
                <w:szCs w:val="24"/>
                <w:highlight w:val="none"/>
                <w:lang w:val="en-US" w:eastAsia="zh-CN" w:bidi="ar-SA"/>
              </w:rPr>
              <w:t>以上建筑协会颁发的建筑企业信誉AAA级施工企业情况（其中必须有2024年度）：</w:t>
            </w:r>
          </w:p>
          <w:p>
            <w:pPr>
              <w:keepNext/>
              <w:keepLines w:val="0"/>
              <w:pageBreakBefore w:val="0"/>
              <w:widowControl/>
              <w:numPr>
                <w:ilvl w:val="0"/>
                <w:numId w:val="5"/>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企业连续15年以上（不含15年）获得的，得10分；</w:t>
            </w:r>
          </w:p>
          <w:p>
            <w:pPr>
              <w:keepNext/>
              <w:keepLines w:val="0"/>
              <w:pageBreakBefore w:val="0"/>
              <w:widowControl/>
              <w:numPr>
                <w:ilvl w:val="0"/>
                <w:numId w:val="5"/>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企业连续11-15年获得的，得7分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3.企业连续6-10年获得的，得5分；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4.企业连续1-5年获得的，得1分；</w:t>
            </w:r>
          </w:p>
          <w:p>
            <w:pPr>
              <w:keepNext/>
              <w:keepLines w:val="0"/>
              <w:pageBreakBefore w:val="0"/>
              <w:widowControl/>
              <w:numPr>
                <w:ilvl w:val="0"/>
                <w:numId w:val="0"/>
              </w:numPr>
              <w:kinsoku/>
              <w:wordWrap/>
              <w:overflowPunct/>
              <w:topLinePunct w:val="0"/>
              <w:autoSpaceDE/>
              <w:autoSpaceDN/>
              <w:bidi w:val="0"/>
              <w:adjustRightInd/>
              <w:snapToGrid w:val="0"/>
              <w:spacing w:line="360" w:lineRule="exact"/>
              <w:ind w:left="0" w:leftChars="0" w:firstLine="0" w:firstLineChars="0"/>
              <w:jc w:val="left"/>
              <w:textAlignment w:val="baseline"/>
              <w:rPr>
                <w:rFonts w:hint="eastAsia" w:ascii="宋体" w:hAnsi="宋体" w:eastAsia="宋体" w:cs="宋体"/>
                <w:b w:val="0"/>
                <w:bCs w:val="0"/>
                <w:snapToGrid w:val="0"/>
                <w:color w:val="auto"/>
                <w:kern w:val="0"/>
                <w:sz w:val="24"/>
                <w:szCs w:val="24"/>
                <w:highlight w:val="none"/>
                <w:lang w:val="en-US" w:eastAsia="zh-CN" w:bidi="ar-SA"/>
              </w:rPr>
            </w:pPr>
            <w:r>
              <w:rPr>
                <w:rFonts w:hint="eastAsia" w:ascii="宋体" w:hAnsi="宋体" w:eastAsia="宋体" w:cs="宋体"/>
                <w:b w:val="0"/>
                <w:bCs w:val="0"/>
                <w:snapToGrid w:val="0"/>
                <w:color w:val="auto"/>
                <w:kern w:val="0"/>
                <w:sz w:val="24"/>
                <w:szCs w:val="24"/>
                <w:highlight w:val="none"/>
                <w:lang w:val="en-US" w:eastAsia="zh-CN" w:bidi="ar-SA"/>
              </w:rPr>
              <w:t>5.其他情形的，不予计分。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val="0"/>
              <w:spacing w:line="340" w:lineRule="exact"/>
              <w:textAlignment w:val="baseline"/>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b w:val="0"/>
                <w:bCs w:val="0"/>
                <w:color w:val="auto"/>
                <w:sz w:val="24"/>
                <w:szCs w:val="24"/>
                <w:highlight w:val="none"/>
              </w:rPr>
              <w:t>需提供证书</w:t>
            </w:r>
            <w:r>
              <w:rPr>
                <w:rFonts w:hint="eastAsia" w:ascii="宋体" w:hAnsi="宋体" w:eastAsia="宋体" w:cs="宋体"/>
                <w:b w:val="0"/>
                <w:bCs w:val="0"/>
                <w:color w:val="auto"/>
                <w:sz w:val="24"/>
                <w:szCs w:val="24"/>
                <w:highlight w:val="none"/>
                <w:lang w:val="en-US" w:eastAsia="zh-CN"/>
              </w:rPr>
              <w:t>及发文彩色扫描件</w:t>
            </w:r>
            <w:r>
              <w:rPr>
                <w:rFonts w:hint="eastAsia" w:ascii="宋体" w:hAnsi="宋体" w:eastAsia="宋体" w:cs="宋体"/>
                <w:b w:val="0"/>
                <w:bCs w:val="0"/>
                <w:color w:val="auto"/>
                <w:sz w:val="24"/>
                <w:szCs w:val="24"/>
                <w:highlight w:val="none"/>
                <w:lang w:eastAsia="zh-CN"/>
              </w:rPr>
              <w:t>。</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企业纳税信用</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val="en-US" w:eastAsia="zh-CN" w:bidi="ar-SA"/>
              </w:rPr>
              <w:t>（</w:t>
            </w:r>
            <w:r>
              <w:rPr>
                <w:rFonts w:hint="eastAsia" w:hAnsi="宋体" w:cs="宋体"/>
                <w:snapToGrid w:val="0"/>
                <w:color w:val="auto"/>
                <w:kern w:val="0"/>
                <w:sz w:val="24"/>
                <w:szCs w:val="24"/>
                <w:highlight w:val="none"/>
                <w:lang w:val="en-US" w:eastAsia="zh-CN" w:bidi="ar-SA"/>
              </w:rPr>
              <w:t>10</w:t>
            </w:r>
            <w:r>
              <w:rPr>
                <w:rFonts w:hint="eastAsia" w:ascii="宋体" w:hAnsi="宋体" w:eastAsia="宋体" w:cs="宋体"/>
                <w:snapToGrid w:val="0"/>
                <w:color w:val="auto"/>
                <w:kern w:val="0"/>
                <w:sz w:val="24"/>
                <w:szCs w:val="24"/>
                <w:highlight w:val="none"/>
                <w:lang w:val="en-US" w:eastAsia="zh-CN" w:bidi="ar-SA"/>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spacing w:line="276" w:lineRule="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1.企业连续5年以上（不含5年）获得纳税信用A级纳税人的，得10分。（其中必须有2025年度）</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1.需提供企业纳税信用A级纳税人证明材料（或证书）扫描件及国家税务总局（或省级电子税务局）网上查询截图，否则不得分。</w:t>
            </w:r>
          </w:p>
          <w:p>
            <w:pPr>
              <w:pStyle w:val="3"/>
              <w:numPr>
                <w:ilvl w:val="0"/>
                <w:numId w:val="0"/>
              </w:numPr>
              <w:wordWrap w:val="0"/>
              <w:adjustRightInd w:val="0"/>
              <w:snapToGrid w:val="0"/>
              <w:spacing w:line="400" w:lineRule="exact"/>
              <w:ind w:left="0" w:leftChars="0" w:firstLine="0" w:firstLineChars="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2.只计算投标人自身（不计算投标人的分公司、子公司及分支机构）。</w:t>
            </w:r>
          </w:p>
        </w:tc>
      </w:tr>
      <w:tr>
        <w:tblPrEx>
          <w:tblCellMar>
            <w:top w:w="0" w:type="dxa"/>
            <w:left w:w="108" w:type="dxa"/>
            <w:bottom w:w="0" w:type="dxa"/>
            <w:right w:w="108" w:type="dxa"/>
          </w:tblCellMar>
        </w:tblPrEx>
        <w:trPr>
          <w:trHeight w:val="3244"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wordWrap w:val="0"/>
              <w:adjustRightInd w:val="0"/>
              <w:snapToGrid w:val="0"/>
              <w:jc w:val="center"/>
              <w:rPr>
                <w:rFonts w:hint="eastAsia" w:cs="宋体"/>
                <w:color w:val="auto"/>
                <w:lang w:val="en-US" w:eastAsia="zh-CN"/>
              </w:rPr>
            </w:pPr>
            <w:r>
              <w:rPr>
                <w:rFonts w:hint="eastAsia" w:cs="宋体"/>
                <w:color w:val="auto"/>
                <w:lang w:val="en-US" w:eastAsia="zh-CN"/>
              </w:rPr>
              <w:t>企业获得体系认证证书</w:t>
            </w:r>
          </w:p>
          <w:p>
            <w:pPr>
              <w:pStyle w:val="3"/>
              <w:wordWrap w:val="0"/>
              <w:adjustRightInd w:val="0"/>
              <w:snapToGrid w:val="0"/>
              <w:jc w:val="center"/>
              <w:rPr>
                <w:rFonts w:hint="eastAsia" w:ascii="宋体" w:hAnsi="宋体" w:eastAsia="宋体" w:cs="宋体"/>
                <w:snapToGrid w:val="0"/>
                <w:color w:val="auto"/>
                <w:kern w:val="0"/>
                <w:sz w:val="24"/>
                <w:szCs w:val="24"/>
                <w:highlight w:val="none"/>
                <w:lang w:val="en-US" w:eastAsia="zh-CN" w:bidi="ar"/>
              </w:rPr>
            </w:pPr>
            <w:r>
              <w:rPr>
                <w:rFonts w:hint="eastAsia" w:cs="宋体"/>
                <w:color w:val="auto"/>
                <w:lang w:val="en-US" w:eastAsia="zh-CN"/>
              </w:rPr>
              <w:t>（10分）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3"/>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质量管理体系认证证书、职业健康安全管理体系认证证书、环境管理体系认证：</w:t>
            </w:r>
          </w:p>
          <w:p>
            <w:pPr>
              <w:pStyle w:val="33"/>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1．企业获得以上3项证书的得10分；</w:t>
            </w:r>
          </w:p>
          <w:p>
            <w:pPr>
              <w:pStyle w:val="33"/>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2．企业获得其中2项证书的得5分；</w:t>
            </w:r>
          </w:p>
          <w:p>
            <w:pPr>
              <w:pStyle w:val="33"/>
              <w:spacing w:line="360" w:lineRule="auto"/>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3．企业获得其中1项证书的得1分；</w:t>
            </w:r>
          </w:p>
          <w:p>
            <w:pPr>
              <w:pStyle w:val="33"/>
              <w:spacing w:line="360" w:lineRule="auto"/>
              <w:jc w:val="left"/>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color w:val="auto"/>
                <w:kern w:val="0"/>
                <w:sz w:val="24"/>
                <w:szCs w:val="24"/>
              </w:rPr>
              <w:t>4．未获得以上认证的，不予计分。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trike/>
                <w:dstrike w:val="0"/>
                <w:snapToGrid w:val="0"/>
                <w:color w:val="auto"/>
                <w:kern w:val="0"/>
                <w:sz w:val="24"/>
                <w:szCs w:val="24"/>
                <w:highlight w:val="none"/>
                <w:lang w:eastAsia="zh-CN"/>
              </w:rPr>
            </w:pPr>
            <w:r>
              <w:rPr>
                <w:rFonts w:hint="eastAsia" w:ascii="宋体" w:hAnsi="宋体" w:eastAsia="宋体" w:cs="宋体"/>
                <w:snapToGrid w:val="0"/>
                <w:color w:val="auto"/>
                <w:kern w:val="0"/>
                <w:sz w:val="24"/>
                <w:szCs w:val="24"/>
                <w:highlight w:val="none"/>
              </w:rPr>
              <w:t>1．需附在有效期内的认证证书</w:t>
            </w:r>
            <w:r>
              <w:rPr>
                <w:rFonts w:hint="eastAsia" w:ascii="宋体" w:hAnsi="宋体" w:eastAsia="宋体" w:cs="宋体"/>
                <w:snapToGrid w:val="0"/>
                <w:color w:val="auto"/>
                <w:kern w:val="0"/>
                <w:sz w:val="24"/>
                <w:szCs w:val="24"/>
                <w:highlight w:val="none"/>
                <w:lang w:eastAsia="zh-CN"/>
              </w:rPr>
              <w:t>扫描件</w:t>
            </w:r>
            <w:r>
              <w:rPr>
                <w:rFonts w:hint="eastAsia" w:ascii="宋体" w:hAnsi="宋体" w:eastAsia="宋体" w:cs="宋体"/>
                <w:strike w:val="0"/>
                <w:dstrike w:val="0"/>
                <w:snapToGrid w:val="0"/>
                <w:color w:val="auto"/>
                <w:kern w:val="0"/>
                <w:sz w:val="24"/>
                <w:szCs w:val="24"/>
                <w:highlight w:val="none"/>
                <w:lang w:eastAsia="zh-CN"/>
              </w:rPr>
              <w:t>；</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2．</w:t>
            </w:r>
            <w:r>
              <w:rPr>
                <w:rFonts w:hint="eastAsia" w:ascii="宋体" w:hAnsi="宋体" w:eastAsia="宋体" w:cs="宋体"/>
                <w:snapToGrid w:val="0"/>
                <w:color w:val="auto"/>
                <w:kern w:val="0"/>
                <w:sz w:val="24"/>
                <w:szCs w:val="24"/>
                <w:highlight w:val="none"/>
                <w:lang w:val="en-US" w:eastAsia="zh-CN"/>
              </w:rPr>
              <w:t>任一认证证书不在有效期内的，该认证证书视为无效，不予计分；</w:t>
            </w:r>
          </w:p>
        </w:tc>
      </w:tr>
      <w:tr>
        <w:tblPrEx>
          <w:tblCellMar>
            <w:top w:w="0" w:type="dxa"/>
            <w:left w:w="108" w:type="dxa"/>
            <w:bottom w:w="0" w:type="dxa"/>
            <w:right w:w="108" w:type="dxa"/>
          </w:tblCellMar>
        </w:tblPrEx>
        <w:trPr>
          <w:trHeight w:val="90"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lang w:bidi="ar"/>
              </w:rPr>
              <w:t>企业</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trike/>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bidi="ar"/>
              </w:rPr>
              <w:t>财务状况</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bidi="ar"/>
              </w:rPr>
              <w:t>（</w:t>
            </w:r>
            <w:r>
              <w:rPr>
                <w:rFonts w:hint="eastAsia" w:hAnsi="宋体" w:cs="宋体"/>
                <w:bCs/>
                <w:snapToGrid w:val="0"/>
                <w:color w:val="auto"/>
                <w:kern w:val="0"/>
                <w:sz w:val="24"/>
                <w:szCs w:val="24"/>
                <w:highlight w:val="none"/>
                <w:lang w:val="en-US" w:eastAsia="zh-CN" w:bidi="ar"/>
              </w:rPr>
              <w:t>10</w:t>
            </w:r>
            <w:r>
              <w:rPr>
                <w:rFonts w:hint="eastAsia" w:ascii="宋体" w:hAnsi="宋体" w:eastAsia="宋体" w:cs="宋体"/>
                <w:snapToGrid w:val="0"/>
                <w:color w:val="auto"/>
                <w:kern w:val="0"/>
                <w:sz w:val="24"/>
                <w:szCs w:val="24"/>
                <w:highlight w:val="none"/>
                <w:lang w:bidi="ar"/>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bidi="ar-SA"/>
              </w:rPr>
              <w:t>1．</w:t>
            </w:r>
            <w:r>
              <w:rPr>
                <w:rFonts w:hint="eastAsia" w:ascii="宋体" w:hAnsi="宋体" w:eastAsia="宋体" w:cs="宋体"/>
                <w:snapToGrid w:val="0"/>
                <w:color w:val="auto"/>
                <w:kern w:val="0"/>
                <w:sz w:val="24"/>
                <w:szCs w:val="24"/>
                <w:highlight w:val="none"/>
              </w:rPr>
              <w:t>提供不少于</w:t>
            </w:r>
            <w:r>
              <w:rPr>
                <w:rFonts w:hint="eastAsia" w:ascii="宋体" w:hAnsi="宋体" w:eastAsia="宋体" w:cs="宋体"/>
                <w:snapToGrid w:val="0"/>
                <w:color w:val="auto"/>
                <w:kern w:val="0"/>
                <w:sz w:val="24"/>
                <w:szCs w:val="24"/>
                <w:highlight w:val="none"/>
                <w:u w:val="single"/>
                <w:lang w:val="en-US" w:eastAsia="zh-CN"/>
              </w:rPr>
              <w:t>180</w:t>
            </w:r>
            <w:r>
              <w:rPr>
                <w:rFonts w:hint="eastAsia" w:ascii="宋体" w:hAnsi="宋体" w:eastAsia="宋体" w:cs="宋体"/>
                <w:snapToGrid w:val="0"/>
                <w:color w:val="auto"/>
                <w:kern w:val="0"/>
                <w:sz w:val="24"/>
                <w:szCs w:val="24"/>
                <w:highlight w:val="none"/>
              </w:rPr>
              <w:t>万元银行授信证明的，得</w:t>
            </w:r>
            <w:r>
              <w:rPr>
                <w:rFonts w:hint="eastAsia" w:ascii="宋体" w:hAnsi="宋体" w:eastAsia="宋体" w:cs="宋体"/>
                <w:snapToGrid w:val="0"/>
                <w:color w:val="auto"/>
                <w:kern w:val="0"/>
                <w:sz w:val="24"/>
                <w:szCs w:val="24"/>
                <w:highlight w:val="none"/>
                <w:lang w:val="en-US" w:eastAsia="zh-CN"/>
              </w:rPr>
              <w:t>10</w:t>
            </w:r>
            <w:r>
              <w:rPr>
                <w:rFonts w:hint="eastAsia" w:ascii="宋体" w:hAnsi="宋体" w:eastAsia="宋体" w:cs="宋体"/>
                <w:snapToGrid w:val="0"/>
                <w:color w:val="auto"/>
                <w:kern w:val="0"/>
                <w:sz w:val="24"/>
                <w:szCs w:val="24"/>
                <w:highlight w:val="none"/>
              </w:rPr>
              <w:t>分。</w:t>
            </w:r>
          </w:p>
          <w:p>
            <w:pPr>
              <w:pStyle w:val="33"/>
              <w:keepNext w:val="0"/>
              <w:keepLines w:val="0"/>
              <w:pageBreakBefore w:val="0"/>
              <w:widowControl w:val="0"/>
              <w:numPr>
                <w:ilvl w:val="0"/>
                <w:numId w:val="0"/>
              </w:numPr>
              <w:kinsoku/>
              <w:wordWrap/>
              <w:overflowPunct/>
              <w:topLinePunct w:val="0"/>
              <w:autoSpaceDE/>
              <w:autoSpaceDN/>
              <w:bidi w:val="0"/>
              <w:adjustRightInd w:val="0"/>
              <w:snapToGrid w:val="0"/>
              <w:spacing w:line="360" w:lineRule="exact"/>
              <w:ind w:left="0" w:leftChars="0" w:firstLine="0" w:firstLineChars="0"/>
              <w:jc w:val="lef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bidi="ar-SA"/>
              </w:rPr>
              <w:t>2．</w:t>
            </w:r>
            <w:r>
              <w:rPr>
                <w:rFonts w:hint="eastAsia" w:ascii="宋体" w:hAnsi="宋体" w:eastAsia="宋体" w:cs="宋体"/>
                <w:snapToGrid w:val="0"/>
                <w:color w:val="auto"/>
                <w:kern w:val="0"/>
                <w:sz w:val="24"/>
                <w:szCs w:val="24"/>
                <w:highlight w:val="none"/>
                <w:lang w:val="en-US" w:eastAsia="zh-CN"/>
              </w:rPr>
              <w:t>未提供的，不予计分</w:t>
            </w:r>
            <w:r>
              <w:rPr>
                <w:rFonts w:hint="eastAsia" w:ascii="宋体" w:hAnsi="宋体" w:eastAsia="宋体" w:cs="宋体"/>
                <w:snapToGrid w:val="0"/>
                <w:color w:val="auto"/>
                <w:kern w:val="0"/>
                <w:sz w:val="24"/>
                <w:szCs w:val="24"/>
                <w:highlight w:val="none"/>
              </w:rPr>
              <w:t>。</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1．需附在有效期内的有关证明</w:t>
            </w:r>
            <w:r>
              <w:rPr>
                <w:rFonts w:hint="eastAsia" w:ascii="宋体" w:hAnsi="宋体" w:eastAsia="宋体" w:cs="宋体"/>
                <w:snapToGrid w:val="0"/>
                <w:color w:val="auto"/>
                <w:kern w:val="0"/>
                <w:sz w:val="24"/>
                <w:szCs w:val="24"/>
                <w:highlight w:val="none"/>
                <w:lang w:val="en-US" w:eastAsia="zh-CN"/>
              </w:rPr>
              <w:t>扫描件</w:t>
            </w:r>
            <w:r>
              <w:rPr>
                <w:rFonts w:hint="eastAsia" w:ascii="宋体" w:hAnsi="宋体" w:eastAsia="宋体" w:cs="宋体"/>
                <w:b/>
                <w:bCs/>
                <w:snapToGrid w:val="0"/>
                <w:color w:val="auto"/>
                <w:kern w:val="0"/>
                <w:sz w:val="24"/>
                <w:szCs w:val="24"/>
                <w:highlight w:val="none"/>
                <w:lang w:eastAsia="zh-CN"/>
              </w:rPr>
              <w:t>。</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2．银行授信证明有以下情形之一的，视为无效，不予计分：</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①授信证明不在有效期内的；</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②授信额度不符合要求的。</w:t>
            </w:r>
          </w:p>
        </w:tc>
      </w:tr>
      <w:tr>
        <w:tblPrEx>
          <w:tblCellMar>
            <w:top w:w="0" w:type="dxa"/>
            <w:left w:w="108" w:type="dxa"/>
            <w:bottom w:w="0" w:type="dxa"/>
            <w:right w:w="108" w:type="dxa"/>
          </w:tblCellMar>
        </w:tblPrEx>
        <w:trPr>
          <w:trHeight w:val="2415" w:hRule="atLeast"/>
          <w:jc w:val="center"/>
        </w:trPr>
        <w:tc>
          <w:tcPr>
            <w:tcW w:w="1180" w:type="dxa"/>
            <w:tcBorders>
              <w:top w:val="single" w:color="auto" w:sz="4" w:space="0"/>
              <w:left w:val="single" w:color="auto" w:sz="4" w:space="0"/>
              <w:right w:val="single" w:color="auto" w:sz="4" w:space="0"/>
            </w:tcBorders>
            <w:noWrap w:val="0"/>
            <w:vAlign w:val="center"/>
          </w:tcPr>
          <w:p>
            <w:pPr>
              <w:pStyle w:val="3"/>
              <w:wordWrap w:val="0"/>
              <w:adjustRightInd w:val="0"/>
              <w:snapToGrid w:val="0"/>
              <w:spacing w:line="400" w:lineRule="exact"/>
              <w:jc w:val="center"/>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招标人</w:t>
            </w:r>
          </w:p>
          <w:p>
            <w:pPr>
              <w:pStyle w:val="3"/>
              <w:wordWrap w:val="0"/>
              <w:adjustRightInd w:val="0"/>
              <w:snapToGrid w:val="0"/>
              <w:spacing w:after="0" w:line="400" w:lineRule="exact"/>
              <w:jc w:val="center"/>
              <w:rPr>
                <w:rFonts w:hint="eastAsia" w:ascii="宋体" w:hAnsi="宋体" w:eastAsia="宋体" w:cs="宋体"/>
                <w:snapToGrid w:val="0"/>
                <w:color w:val="auto"/>
                <w:kern w:val="0"/>
                <w:sz w:val="24"/>
                <w:szCs w:val="24"/>
                <w:highlight w:val="none"/>
                <w:lang w:bidi="ar"/>
              </w:rPr>
            </w:pPr>
            <w:r>
              <w:rPr>
                <w:rFonts w:hint="eastAsia" w:ascii="宋体" w:hAnsi="宋体" w:eastAsia="宋体" w:cs="宋体"/>
                <w:snapToGrid w:val="0"/>
                <w:color w:val="auto"/>
                <w:kern w:val="0"/>
                <w:sz w:val="24"/>
                <w:szCs w:val="24"/>
                <w:highlight w:val="none"/>
              </w:rPr>
              <w:t>自选项(1</w:t>
            </w:r>
            <w:r>
              <w:rPr>
                <w:rFonts w:hint="eastAsia" w:ascii="宋体" w:hAnsi="宋体" w:eastAsia="宋体" w:cs="宋体"/>
                <w:snapToGrid w:val="0"/>
                <w:color w:val="auto"/>
                <w:kern w:val="0"/>
                <w:sz w:val="24"/>
                <w:szCs w:val="24"/>
                <w:highlight w:val="none"/>
                <w:lang w:val="en-US" w:eastAsia="zh-CN"/>
              </w:rPr>
              <w:t>0</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400" w:lineRule="exac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1．企业近1年度（2024年）获得</w:t>
            </w:r>
            <w:r>
              <w:rPr>
                <w:rFonts w:hint="eastAsia" w:ascii="宋体" w:hAnsi="宋体" w:eastAsia="宋体" w:cs="宋体"/>
                <w:b w:val="0"/>
                <w:bCs w:val="0"/>
                <w:snapToGrid w:val="0"/>
                <w:color w:val="auto"/>
                <w:kern w:val="0"/>
                <w:sz w:val="24"/>
                <w:szCs w:val="24"/>
                <w:highlight w:val="none"/>
              </w:rPr>
              <w:t>过人民武装部</w:t>
            </w:r>
            <w:r>
              <w:rPr>
                <w:rFonts w:hint="eastAsia" w:ascii="宋体" w:hAnsi="宋体" w:eastAsia="宋体" w:cs="宋体"/>
                <w:b w:val="0"/>
                <w:bCs w:val="0"/>
                <w:snapToGrid w:val="0"/>
                <w:color w:val="auto"/>
                <w:kern w:val="0"/>
                <w:sz w:val="24"/>
                <w:szCs w:val="24"/>
                <w:highlight w:val="none"/>
                <w:lang w:val="en-US" w:eastAsia="zh-CN"/>
              </w:rPr>
              <w:t>颁发的“支持国防建设</w:t>
            </w:r>
            <w:r>
              <w:rPr>
                <w:rFonts w:hint="eastAsia" w:hAnsi="宋体" w:cs="宋体"/>
                <w:b w:val="0"/>
                <w:bCs w:val="0"/>
                <w:snapToGrid w:val="0"/>
                <w:color w:val="auto"/>
                <w:kern w:val="0"/>
                <w:sz w:val="24"/>
                <w:szCs w:val="24"/>
                <w:highlight w:val="none"/>
                <w:lang w:val="en-US" w:eastAsia="zh-CN"/>
              </w:rPr>
              <w:t>先进</w:t>
            </w:r>
            <w:r>
              <w:rPr>
                <w:rFonts w:hint="eastAsia" w:ascii="宋体" w:hAnsi="宋体" w:eastAsia="宋体" w:cs="宋体"/>
                <w:b w:val="0"/>
                <w:bCs w:val="0"/>
                <w:snapToGrid w:val="0"/>
                <w:color w:val="auto"/>
                <w:kern w:val="0"/>
                <w:sz w:val="24"/>
                <w:szCs w:val="24"/>
                <w:highlight w:val="none"/>
                <w:lang w:val="en-US" w:eastAsia="zh-CN"/>
              </w:rPr>
              <w:t>单位”</w:t>
            </w:r>
            <w:r>
              <w:rPr>
                <w:rFonts w:hint="eastAsia" w:hAnsi="宋体" w:cs="宋体"/>
                <w:b w:val="0"/>
                <w:bCs w:val="0"/>
                <w:snapToGrid w:val="0"/>
                <w:color w:val="auto"/>
                <w:kern w:val="0"/>
                <w:sz w:val="24"/>
                <w:szCs w:val="24"/>
                <w:highlight w:val="none"/>
                <w:lang w:val="en-US" w:eastAsia="zh-CN"/>
              </w:rPr>
              <w:t>或</w:t>
            </w:r>
            <w:r>
              <w:rPr>
                <w:rFonts w:hint="eastAsia" w:ascii="宋体" w:hAnsi="宋体" w:eastAsia="宋体" w:cs="宋体"/>
                <w:b w:val="0"/>
                <w:bCs w:val="0"/>
                <w:snapToGrid w:val="0"/>
                <w:color w:val="auto"/>
                <w:kern w:val="0"/>
                <w:sz w:val="24"/>
                <w:szCs w:val="24"/>
                <w:highlight w:val="none"/>
                <w:lang w:val="en-US" w:eastAsia="zh-CN"/>
              </w:rPr>
              <w:t xml:space="preserve">“支持国防建设模范单位”证书的得10分； </w:t>
            </w:r>
          </w:p>
          <w:p>
            <w:pPr>
              <w:pStyle w:val="3"/>
              <w:keepNext w:val="0"/>
              <w:keepLines w:val="0"/>
              <w:pageBreakBefore w:val="0"/>
              <w:widowControl w:val="0"/>
              <w:kinsoku/>
              <w:wordWrap/>
              <w:overflowPunct/>
              <w:topLinePunct w:val="0"/>
              <w:autoSpaceDE/>
              <w:autoSpaceDN/>
              <w:bidi w:val="0"/>
              <w:adjustRightInd w:val="0"/>
              <w:snapToGrid w:val="0"/>
              <w:spacing w:after="0" w:afterLines="0" w:line="400" w:lineRule="exact"/>
              <w:textAlignment w:val="auto"/>
              <w:rPr>
                <w:rFonts w:hint="eastAsia" w:ascii="宋体" w:hAnsi="宋体" w:eastAsia="宋体" w:cs="宋体"/>
                <w:b w:val="0"/>
                <w:bCs w:val="0"/>
                <w:snapToGrid w:val="0"/>
                <w:color w:val="auto"/>
                <w:kern w:val="0"/>
                <w:sz w:val="24"/>
                <w:szCs w:val="24"/>
                <w:highlight w:val="none"/>
                <w:lang w:val="en-US" w:eastAsia="zh-CN"/>
              </w:rPr>
            </w:pPr>
            <w:r>
              <w:rPr>
                <w:rFonts w:hint="eastAsia" w:ascii="宋体" w:hAnsi="宋体" w:eastAsia="宋体" w:cs="宋体"/>
                <w:b w:val="0"/>
                <w:bCs w:val="0"/>
                <w:snapToGrid w:val="0"/>
                <w:color w:val="auto"/>
                <w:kern w:val="0"/>
                <w:sz w:val="24"/>
                <w:szCs w:val="24"/>
                <w:highlight w:val="none"/>
                <w:lang w:val="en-US" w:eastAsia="zh-CN"/>
              </w:rPr>
              <w:t xml:space="preserve">2．其他情形的，不予计分。 </w:t>
            </w:r>
          </w:p>
          <w:p>
            <w:pPr>
              <w:pStyle w:val="3"/>
              <w:keepNext w:val="0"/>
              <w:keepLines w:val="0"/>
              <w:pageBreakBefore w:val="0"/>
              <w:widowControl w:val="0"/>
              <w:kinsoku/>
              <w:wordWrap/>
              <w:overflowPunct/>
              <w:topLinePunct w:val="0"/>
              <w:autoSpaceDE/>
              <w:autoSpaceDN/>
              <w:bidi w:val="0"/>
              <w:adjustRightInd w:val="0"/>
              <w:snapToGrid w:val="0"/>
              <w:spacing w:after="0" w:afterLines="0" w:line="400" w:lineRule="exact"/>
              <w:textAlignment w:val="auto"/>
              <w:rPr>
                <w:rFonts w:hint="eastAsia" w:ascii="宋体" w:hAnsi="宋体" w:eastAsia="宋体" w:cs="宋体"/>
                <w:snapToGrid w:val="0"/>
                <w:color w:val="auto"/>
                <w:kern w:val="0"/>
                <w:sz w:val="24"/>
                <w:szCs w:val="24"/>
                <w:highlight w:val="yellow"/>
                <w:lang w:val="en-US" w:eastAsia="zh-CN"/>
              </w:rPr>
            </w:pPr>
            <w:r>
              <w:rPr>
                <w:rFonts w:hint="eastAsia" w:ascii="宋体" w:hAnsi="宋体" w:eastAsia="宋体" w:cs="宋体"/>
                <w:b w:val="0"/>
                <w:bCs w:val="0"/>
                <w:snapToGrid w:val="0"/>
                <w:color w:val="auto"/>
                <w:kern w:val="0"/>
                <w:sz w:val="24"/>
                <w:szCs w:val="24"/>
                <w:highlight w:val="none"/>
                <w:lang w:val="en-US" w:eastAsia="zh-CN"/>
              </w:rPr>
              <w:t>说明：本项最高得10分。</w:t>
            </w:r>
          </w:p>
        </w:tc>
        <w:tc>
          <w:tcPr>
            <w:tcW w:w="4284" w:type="dxa"/>
            <w:tcBorders>
              <w:top w:val="single" w:color="auto" w:sz="4" w:space="0"/>
              <w:left w:val="single" w:color="auto" w:sz="4" w:space="0"/>
              <w:right w:val="single" w:color="auto" w:sz="4" w:space="0"/>
            </w:tcBorders>
            <w:noWrap w:val="0"/>
            <w:vAlign w:val="center"/>
          </w:tcPr>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lang w:val="en-US" w:eastAsia="zh-CN"/>
              </w:rPr>
              <w:t xml:space="preserve">1．须提供有关证书彩色扫描件。 </w:t>
            </w:r>
          </w:p>
          <w:p>
            <w:pPr>
              <w:pStyle w:val="3"/>
              <w:keepNext w:val="0"/>
              <w:keepLines w:val="0"/>
              <w:pageBreakBefore w:val="0"/>
              <w:widowControl w:val="0"/>
              <w:kinsoku/>
              <w:wordWrap/>
              <w:overflowPunct/>
              <w:topLinePunct w:val="0"/>
              <w:autoSpaceDE/>
              <w:autoSpaceDN/>
              <w:bidi w:val="0"/>
              <w:adjustRightInd w:val="0"/>
              <w:snapToGrid w:val="0"/>
              <w:spacing w:after="0" w:afterLines="0"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2．颁发机构、时间不符合要求的，按第 2 项标准处理。</w:t>
            </w:r>
          </w:p>
        </w:tc>
      </w:tr>
      <w:tr>
        <w:tblPrEx>
          <w:tblCellMar>
            <w:top w:w="0" w:type="dxa"/>
            <w:left w:w="108" w:type="dxa"/>
            <w:bottom w:w="0" w:type="dxa"/>
            <w:right w:w="108" w:type="dxa"/>
          </w:tblCellMar>
        </w:tblPrEx>
        <w:trPr>
          <w:trHeight w:val="492"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技术部分（施工组织设计），满分：</w:t>
            </w:r>
            <w:r>
              <w:rPr>
                <w:rFonts w:hint="eastAsia" w:ascii="宋体" w:hAnsi="宋体" w:eastAsia="宋体" w:cs="宋体"/>
                <w:b/>
                <w:bCs/>
                <w:snapToGrid w:val="0"/>
                <w:color w:val="auto"/>
                <w:kern w:val="0"/>
                <w:sz w:val="24"/>
                <w:szCs w:val="24"/>
                <w:highlight w:val="none"/>
                <w:u w:val="single"/>
              </w:rPr>
              <w:t xml:space="preserve">  20  </w:t>
            </w:r>
            <w:r>
              <w:rPr>
                <w:rFonts w:hint="eastAsia" w:ascii="宋体" w:hAnsi="宋体" w:eastAsia="宋体" w:cs="宋体"/>
                <w:b/>
                <w:bCs/>
                <w:snapToGrid w:val="0"/>
                <w:color w:val="auto"/>
                <w:kern w:val="0"/>
                <w:sz w:val="24"/>
                <w:szCs w:val="24"/>
                <w:highlight w:val="none"/>
              </w:rPr>
              <w:t>分。</w:t>
            </w:r>
          </w:p>
        </w:tc>
      </w:tr>
      <w:tr>
        <w:tblPrEx>
          <w:tblCellMar>
            <w:top w:w="0" w:type="dxa"/>
            <w:left w:w="108" w:type="dxa"/>
            <w:bottom w:w="0" w:type="dxa"/>
            <w:right w:w="108" w:type="dxa"/>
          </w:tblCellMar>
        </w:tblPrEx>
        <w:trPr>
          <w:trHeight w:val="460" w:hRule="exac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评分因素</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评分标准</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备注</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57"/>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总体概述</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【差】得该项评分因素分值的60</w:t>
            </w:r>
            <w:r>
              <w:rPr>
                <w:rFonts w:hint="eastAsia" w:hAnsi="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【优】对项目总体有深刻认识，表述清晰、完整、严谨、合理，措施先进、具体、有效、成熟，采用了新技术、新工艺、新材料、新设备；施工段划分呼应总体表述，划分清晰、合理，符合规范要求。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【良】对项目总体有一定认识，表述清晰、完整，措施具体有效；施工段划分呼应总体表述，划分清晰，符合规范要求。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【中】对项目总体有认识，有一定的措施但部分不具体；施工段划分较合理，符合规范要求。</w:t>
            </w:r>
          </w:p>
          <w:p>
            <w:pPr>
              <w:pStyle w:val="3"/>
              <w:keepNext w:val="0"/>
              <w:keepLines w:val="0"/>
              <w:pageBreakBefore w:val="0"/>
              <w:widowControl w:val="0"/>
              <w:kinsoku/>
              <w:wordWrap w:val="0"/>
              <w:overflowPunct/>
              <w:topLinePunct w:val="0"/>
              <w:autoSpaceDE/>
              <w:autoSpaceDN/>
              <w:bidi w:val="0"/>
              <w:adjustRightInd w:val="0"/>
              <w:snapToGrid w:val="0"/>
              <w:spacing w:after="0" w:afterLines="0" w:line="360" w:lineRule="exact"/>
              <w:jc w:val="lef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【差】对项目认识不足，表述不清晰，措施不具体；施工段划分不合理。</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施工总进</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度计划及</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3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关键线路清晰、准确、完整，计划编制合理、可行。关键节点的控制措施有力、合理、可行。人、材、机需求和进场计划与进度计划相呼应，较好满足施工需要，调配投入计划合理、准确。进度违约责任承诺具体，</w:t>
            </w:r>
            <w:r>
              <w:rPr>
                <w:rFonts w:hint="eastAsia" w:ascii="宋体" w:hAnsi="宋体" w:eastAsia="宋体" w:cs="宋体"/>
                <w:b/>
                <w:bCs/>
                <w:snapToGrid w:val="0"/>
                <w:color w:val="auto"/>
                <w:kern w:val="0"/>
                <w:sz w:val="24"/>
                <w:szCs w:val="24"/>
                <w:highlight w:val="none"/>
              </w:rPr>
              <w:t>经济赔偿合理。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【良】关键线路清晰、准确、完整，计划编制可行。关键节点的控制措施合理、可行。人、材、机需求和进场计划与进度计划相呼应，基本满足施工需要，调配投入计划基本合理、准确。进度违约责任承诺具体，</w:t>
            </w:r>
            <w:r>
              <w:rPr>
                <w:rFonts w:hint="eastAsia" w:ascii="宋体" w:hAnsi="宋体" w:eastAsia="宋体" w:cs="宋体"/>
                <w:b/>
                <w:bCs/>
                <w:snapToGrid w:val="0"/>
                <w:color w:val="auto"/>
                <w:kern w:val="0"/>
                <w:sz w:val="24"/>
                <w:szCs w:val="24"/>
                <w:highlight w:val="none"/>
              </w:rPr>
              <w:t>经济赔偿较合理。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【中】关键线路基本准确，计划编制基本合理。关键节点的控制措施基本可行。人、材、机需求和进场计划与进度计划相呼应，基本满足施工需要，调配投入计划基本合理。进度违约责任承诺具体。</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【差】关键线路不准确，计划编制不合理。关键节点的控制不可行。人、材、机需求和进场计划与进度计划不相呼应，不能满足施工需要。没有违约责任承诺。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质量</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保证措施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4</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trike/>
                <w:d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【优】应用新技术、新工艺、新材料、新设备，针对项目实际提出先进、可行、具体的保证措施。超过招标文件的质量要求。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trike/>
                <w:dstrike w:val="0"/>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【良】针对项目实际提出先进、可行、具体的保证措施。满足招标文件的质量要求。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lang w:val="en-US" w:eastAsia="zh-CN"/>
              </w:rPr>
              <w:t>【中】具体措施可行。满足招标文件的质量要求。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lang w:val="en-US" w:eastAsia="zh-CN"/>
              </w:rPr>
              <w:t>【差】措施不可行，没有质量违约责任承诺。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技术措施</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jc w:val="both"/>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对项目关键技术、工艺有深入的表述，对重点、难点有先进、合理的建议，解决方案完整、经济、安全、切实可行，措施得力。针对项目实际，提出采用新技术的具体措施。新技术的验证材料可靠，对节约投资和工期的保证措施得力、具体、严谨。对采用新技术可能产生的风险有充分的预见，违约承诺具体，</w:t>
            </w:r>
            <w:r>
              <w:rPr>
                <w:rFonts w:hint="eastAsia" w:ascii="宋体" w:hAnsi="宋体" w:eastAsia="宋体" w:cs="宋体"/>
                <w:b/>
                <w:bCs/>
                <w:snapToGrid w:val="0"/>
                <w:color w:val="auto"/>
                <w:kern w:val="0"/>
                <w:sz w:val="24"/>
                <w:szCs w:val="24"/>
                <w:highlight w:val="none"/>
              </w:rPr>
              <w:t>经济赔偿合理。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b/>
                <w:bCs/>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对项目关键技术、工艺有深入的表述，对重点、难点有合理的建议，解决方案经济、安全、基本可行。针对项目实际，提出采用新技术的具体措施。新技术的验证材料可靠，对节约投资和工期有保证措施。对采用新技术可能产生的风险有一定的预见，违约责任承诺具体，</w:t>
            </w:r>
            <w:r>
              <w:rPr>
                <w:rFonts w:hint="eastAsia" w:ascii="宋体" w:hAnsi="宋体" w:eastAsia="宋体" w:cs="宋体"/>
                <w:b/>
                <w:bCs/>
                <w:snapToGrid w:val="0"/>
                <w:color w:val="auto"/>
                <w:kern w:val="0"/>
                <w:sz w:val="24"/>
                <w:szCs w:val="24"/>
                <w:highlight w:val="none"/>
              </w:rPr>
              <w:t>经济赔偿较合理。</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对项目关键技术有一定了解，对重点、难点有建议，解决方案基本可行。有新技术措施，但验证材料不充分，对节约投资和工期可能有一定收益，但对采用的新技术可能产生的风险预见不足。有违约责任承诺。</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【差】对项目关键技术有表述，对重点、难点有建议，解决方案不可行。采用的新技术针对性不强或验证材料不可靠，对节约投资、工期没有具体收益。无违约责任承诺。</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绿色施工、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安全防护、</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文明施工</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措施计划</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【优】针对项目实际情况，有先进、具体、完整、可行的措施，采用规范准确、清晰。</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【良】针对项目实际情况，有合理的措施且具体、完整，采用规范准确。</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【中】有基本合理的措施，采用规范准确。</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【差】措施不力，采用规范不正确。</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施工平面</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布置和临时设施布置</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2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【优】总体布置有针对性、合理，较好满足施工需要，符合绿色施工、安全防护、文明施工要求。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【良】总体布置合理，能满足施工需要，基本符合绿色施工、安全防护、文明施工要求。</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【中】总体布置基本合理，基本满足施工需要。</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【差】总体布置不合理，不符合绿色施工、安全防护、文明施工要求。</w:t>
            </w:r>
          </w:p>
        </w:tc>
      </w:tr>
      <w:tr>
        <w:tblPrEx>
          <w:tblCellMar>
            <w:top w:w="0" w:type="dxa"/>
            <w:left w:w="108" w:type="dxa"/>
            <w:bottom w:w="0" w:type="dxa"/>
            <w:right w:w="108" w:type="dxa"/>
          </w:tblCellMar>
        </w:tblPrEx>
        <w:trPr>
          <w:trHeight w:val="457" w:hRule="atLeast"/>
          <w:jc w:val="center"/>
        </w:trPr>
        <w:tc>
          <w:tcPr>
            <w:tcW w:w="1180" w:type="dxa"/>
            <w:tcBorders>
              <w:top w:val="single" w:color="auto" w:sz="4" w:space="0"/>
              <w:left w:val="single" w:color="auto" w:sz="4" w:space="0"/>
              <w:bottom w:val="single" w:color="auto" w:sz="4" w:space="0"/>
              <w:right w:val="single" w:color="auto" w:sz="4" w:space="0"/>
            </w:tcBorders>
            <w:noWrap w:val="0"/>
            <w:vAlign w:val="center"/>
          </w:tcPr>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项目</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管理机构</w:t>
            </w:r>
          </w:p>
          <w:p>
            <w:pPr>
              <w:pStyle w:val="36"/>
              <w:keepNext w:val="0"/>
              <w:keepLines w:val="0"/>
              <w:pageBreakBefore w:val="0"/>
              <w:widowControl w:val="0"/>
              <w:kinsoku/>
              <w:wordWrap w:val="0"/>
              <w:overflowPunct/>
              <w:topLinePunct w:val="0"/>
              <w:autoSpaceDE/>
              <w:autoSpaceDN/>
              <w:bidi w:val="0"/>
              <w:adjustRightInd w:val="0"/>
              <w:snapToGrid w:val="0"/>
              <w:spacing w:line="360" w:lineRule="exact"/>
              <w:jc w:val="center"/>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w:t>
            </w:r>
            <w:r>
              <w:rPr>
                <w:rFonts w:hint="eastAsia" w:ascii="宋体" w:hAnsi="宋体" w:eastAsia="宋体" w:cs="宋体"/>
                <w:snapToGrid w:val="0"/>
                <w:color w:val="auto"/>
                <w:kern w:val="0"/>
                <w:sz w:val="24"/>
                <w:szCs w:val="24"/>
                <w:highlight w:val="none"/>
                <w:u w:val="single"/>
              </w:rPr>
              <w:t xml:space="preserve"> 3 </w:t>
            </w:r>
            <w:r>
              <w:rPr>
                <w:rFonts w:hint="eastAsia" w:ascii="宋体" w:hAnsi="宋体" w:eastAsia="宋体" w:cs="宋体"/>
                <w:snapToGrid w:val="0"/>
                <w:color w:val="auto"/>
                <w:kern w:val="0"/>
                <w:sz w:val="24"/>
                <w:szCs w:val="24"/>
                <w:highlight w:val="none"/>
              </w:rPr>
              <w:t>分）</w:t>
            </w:r>
          </w:p>
        </w:tc>
        <w:tc>
          <w:tcPr>
            <w:tcW w:w="4020" w:type="dxa"/>
            <w:gridSpan w:val="2"/>
            <w:tcBorders>
              <w:top w:val="single" w:color="auto" w:sz="4" w:space="0"/>
              <w:left w:val="single" w:color="auto" w:sz="4" w:space="0"/>
              <w:bottom w:val="single" w:color="auto" w:sz="4" w:space="0"/>
              <w:right w:val="single" w:color="auto" w:sz="4" w:space="0"/>
            </w:tcBorders>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【优】得该项评分因素分值的90%～100%（含90%）。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【良】得该项评分因素分值的80%～90%（含80%）。</w:t>
            </w:r>
          </w:p>
          <w:p>
            <w:pPr>
              <w:pStyle w:val="58"/>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【中】得该项评分因素分值的70%～80%（含70%）。</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【差】得该项评分因素分值的60</w:t>
            </w:r>
            <w:r>
              <w:rPr>
                <w:rFonts w:hint="eastAsia" w:ascii="宋体" w:hAnsi="宋体" w:eastAsia="宋体" w:cs="宋体"/>
                <w:snapToGrid w:val="0"/>
                <w:color w:val="auto"/>
                <w:kern w:val="0"/>
                <w:sz w:val="24"/>
                <w:szCs w:val="24"/>
                <w:highlight w:val="none"/>
                <w:lang w:val="en-US" w:eastAsia="zh-CN"/>
              </w:rPr>
              <w:t>%</w:t>
            </w:r>
            <w:r>
              <w:rPr>
                <w:rFonts w:hint="eastAsia" w:ascii="宋体" w:hAnsi="宋体" w:eastAsia="宋体" w:cs="宋体"/>
                <w:snapToGrid w:val="0"/>
                <w:color w:val="auto"/>
                <w:kern w:val="0"/>
                <w:sz w:val="24"/>
                <w:szCs w:val="24"/>
                <w:highlight w:val="none"/>
              </w:rPr>
              <w:t>～70%（含60%）。</w:t>
            </w:r>
          </w:p>
        </w:tc>
        <w:tc>
          <w:tcPr>
            <w:tcW w:w="4284" w:type="dxa"/>
            <w:tcBorders>
              <w:top w:val="single" w:color="auto" w:sz="4" w:space="0"/>
              <w:left w:val="single" w:color="auto" w:sz="4" w:space="0"/>
              <w:bottom w:val="single" w:color="auto" w:sz="4" w:space="0"/>
              <w:right w:val="single" w:color="auto" w:sz="4" w:space="0"/>
            </w:tcBorders>
            <w:noWrap w:val="0"/>
            <w:vAlign w:val="center"/>
          </w:tcPr>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【优】组织机构形式合理，有完善的指挥系统，生产及质量、绿色施工、安全、文明施工、创优达标监控系统、联络协调系统。</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【良】组织机构形式合理，指挥系统，生产及质量、绿色施工、安全、文明施工、创优达标监控系统、联络协调系统齐全。</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【中】组织机构形式基本合理，有指挥系统，生产及质量、绿色施工、安全、文明施工、创优达标监控系统、联络协调系统。</w:t>
            </w:r>
          </w:p>
          <w:p>
            <w:pPr>
              <w:pStyle w:val="59"/>
              <w:keepNext w:val="0"/>
              <w:keepLines w:val="0"/>
              <w:pageBreakBefore w:val="0"/>
              <w:widowControl w:val="0"/>
              <w:kinsoku/>
              <w:wordWrap w:val="0"/>
              <w:overflowPunct/>
              <w:topLinePunct w:val="0"/>
              <w:autoSpaceDE/>
              <w:autoSpaceDN/>
              <w:bidi w:val="0"/>
              <w:adjustRightInd w:val="0"/>
              <w:snapToGrid w:val="0"/>
              <w:spacing w:line="360" w:lineRule="exact"/>
              <w:textAlignment w:val="auto"/>
              <w:rPr>
                <w:rFonts w:hint="eastAsia" w:ascii="宋体" w:hAnsi="宋体" w:eastAsia="宋体" w:cs="宋体"/>
                <w:snapToGrid w:val="0"/>
                <w:color w:val="auto"/>
                <w:kern w:val="0"/>
                <w:sz w:val="24"/>
                <w:szCs w:val="24"/>
                <w:highlight w:val="none"/>
                <w:lang w:val="en-US" w:eastAsia="zh-CN" w:bidi="ar-SA"/>
              </w:rPr>
            </w:pPr>
            <w:r>
              <w:rPr>
                <w:rFonts w:hint="eastAsia" w:ascii="宋体" w:hAnsi="宋体" w:eastAsia="宋体" w:cs="宋体"/>
                <w:snapToGrid w:val="0"/>
                <w:color w:val="auto"/>
                <w:kern w:val="0"/>
                <w:sz w:val="24"/>
                <w:szCs w:val="24"/>
                <w:highlight w:val="none"/>
              </w:rPr>
              <w:t>【差】组织机构形式合理，指挥系统，生产及质量、绿色施工、安全、文明施工、创优达标监控系统、联络协调系统不齐全。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exact"/>
          <w:jc w:val="center"/>
        </w:trPr>
        <w:tc>
          <w:tcPr>
            <w:tcW w:w="9484"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pPr>
              <w:pStyle w:val="3"/>
              <w:keepNext w:val="0"/>
              <w:keepLines w:val="0"/>
              <w:pageBreakBefore w:val="0"/>
              <w:widowControl w:val="0"/>
              <w:kinsoku/>
              <w:wordWrap w:val="0"/>
              <w:overflowPunct/>
              <w:topLinePunct w:val="0"/>
              <w:autoSpaceDE/>
              <w:autoSpaceDN/>
              <w:bidi w:val="0"/>
              <w:adjustRightInd w:val="0"/>
              <w:snapToGrid w:val="0"/>
              <w:spacing w:before="0" w:beforeLines="0" w:after="0" w:afterLines="0" w:line="440" w:lineRule="exact"/>
              <w:ind w:left="0" w:leftChars="0" w:right="0" w:rightChars="0" w:firstLine="0" w:firstLineChars="0"/>
              <w:jc w:val="left"/>
              <w:textAlignment w:val="auto"/>
              <w:outlineLvl w:val="9"/>
              <w:rPr>
                <w:rFonts w:hint="eastAsia" w:ascii="宋体" w:hAnsi="宋体" w:eastAsia="宋体" w:cs="宋体"/>
                <w:b w:val="0"/>
                <w:bCs w:val="0"/>
                <w:caps w:val="0"/>
                <w:smallCaps w:val="0"/>
                <w:snapToGrid w:val="0"/>
                <w:color w:val="auto"/>
                <w:spacing w:val="0"/>
                <w:kern w:val="0"/>
                <w:sz w:val="24"/>
                <w:szCs w:val="24"/>
                <w:highlight w:val="none"/>
              </w:rPr>
            </w:pPr>
            <w:r>
              <w:rPr>
                <w:rFonts w:hint="eastAsia" w:ascii="宋体" w:hAnsi="宋体" w:eastAsia="宋体" w:cs="宋体"/>
                <w:color w:val="auto"/>
                <w:kern w:val="0"/>
                <w:sz w:val="24"/>
                <w:szCs w:val="24"/>
                <w:highlight w:val="none"/>
              </w:rPr>
              <w:t>投标报价部分，满分：100分。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9"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kern w:val="0"/>
                <w:sz w:val="24"/>
                <w:szCs w:val="24"/>
                <w:highlight w:val="none"/>
              </w:rPr>
              <w:t>评标基准价D</w:t>
            </w:r>
          </w:p>
        </w:tc>
        <w:tc>
          <w:tcPr>
            <w:tcW w:w="8080" w:type="dxa"/>
            <w:gridSpan w:val="2"/>
            <w:tcBorders>
              <w:top w:val="single" w:color="auto" w:sz="4" w:space="0"/>
              <w:left w:val="nil"/>
              <w:bottom w:val="single" w:color="auto" w:sz="4" w:space="0"/>
              <w:right w:val="single" w:color="auto" w:sz="4" w:space="0"/>
            </w:tcBorders>
            <w:noWrap w:val="0"/>
            <w:vAlign w:val="top"/>
          </w:tcPr>
          <w:p>
            <w:pPr>
              <w:pageBreakBefore w:val="0"/>
              <w:widowControl w:val="0"/>
              <w:kinsoku/>
              <w:wordWrap w:val="0"/>
              <w:overflowPunct/>
              <w:autoSpaceDE/>
              <w:autoSpaceDN/>
              <w:bidi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（1）确定</w:t>
            </w:r>
            <w:r>
              <w:rPr>
                <w:rFonts w:hint="eastAsia" w:hAnsi="宋体" w:cs="宋体"/>
                <w:color w:val="auto"/>
                <w:kern w:val="0"/>
                <w:sz w:val="24"/>
                <w:szCs w:val="24"/>
                <w:highlight w:val="none"/>
                <w:lang w:eastAsia="zh-CN"/>
              </w:rPr>
              <w:t>最高投标限价</w:t>
            </w:r>
            <w:r>
              <w:rPr>
                <w:rFonts w:hint="eastAsia" w:ascii="宋体" w:hAnsi="宋体" w:eastAsia="宋体" w:cs="宋体"/>
                <w:color w:val="auto"/>
                <w:kern w:val="0"/>
                <w:sz w:val="24"/>
                <w:szCs w:val="24"/>
                <w:highlight w:val="none"/>
              </w:rPr>
              <w:t>下浮系数n：用1～21号球分别代表一个下浮系数，由评委代表从这21个号码中随机抽取 3 次，每次抽取1个号码，抽出的号球不参与下次抽取。所抽取的3个号码对应下浮系数的算术平均值作为</w:t>
            </w:r>
            <w:r>
              <w:rPr>
                <w:rFonts w:hint="eastAsia" w:hAnsi="宋体" w:cs="宋体"/>
                <w:color w:val="auto"/>
                <w:kern w:val="0"/>
                <w:sz w:val="24"/>
                <w:szCs w:val="24"/>
                <w:highlight w:val="none"/>
                <w:lang w:eastAsia="zh-CN"/>
              </w:rPr>
              <w:t>最高投标限价</w:t>
            </w:r>
            <w:r>
              <w:rPr>
                <w:rFonts w:hint="eastAsia" w:ascii="宋体" w:hAnsi="宋体" w:eastAsia="宋体" w:cs="宋体"/>
                <w:color w:val="auto"/>
                <w:kern w:val="0"/>
                <w:sz w:val="24"/>
                <w:szCs w:val="24"/>
                <w:highlight w:val="none"/>
              </w:rPr>
              <w:t>下浮系数n。具体号码对应的下浮系数可参考下表。</w:t>
            </w:r>
          </w:p>
          <w:tbl>
            <w:tblPr>
              <w:tblStyle w:val="16"/>
              <w:tblW w:w="0" w:type="auto"/>
              <w:tblInd w:w="113" w:type="dxa"/>
              <w:tblLayout w:type="fixed"/>
              <w:tblCellMar>
                <w:top w:w="0" w:type="dxa"/>
                <w:left w:w="108" w:type="dxa"/>
                <w:bottom w:w="0" w:type="dxa"/>
                <w:right w:w="108" w:type="dxa"/>
              </w:tblCellMar>
            </w:tblPr>
            <w:tblGrid>
              <w:gridCol w:w="1465"/>
              <w:gridCol w:w="794"/>
              <w:gridCol w:w="830"/>
              <w:gridCol w:w="864"/>
              <w:gridCol w:w="848"/>
              <w:gridCol w:w="882"/>
              <w:gridCol w:w="829"/>
              <w:gridCol w:w="819"/>
            </w:tblGrid>
            <w:tr>
              <w:tblPrEx>
                <w:tblCellMar>
                  <w:top w:w="0" w:type="dxa"/>
                  <w:left w:w="108" w:type="dxa"/>
                  <w:bottom w:w="0" w:type="dxa"/>
                  <w:right w:w="108" w:type="dxa"/>
                </w:tblCellMar>
              </w:tblPrEx>
              <w:trPr>
                <w:trHeight w:val="248"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tblPrEx>
                <w:tblCellMar>
                  <w:top w:w="0" w:type="dxa"/>
                  <w:left w:w="108" w:type="dxa"/>
                  <w:bottom w:w="0" w:type="dxa"/>
                  <w:right w:w="108" w:type="dxa"/>
                </w:tblCellMar>
              </w:tblPrEx>
              <w:trPr>
                <w:trHeight w:val="57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.0</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.1</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.2</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.3</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.4</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.5</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.6</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tblPrEx>
                <w:tblCellMar>
                  <w:top w:w="0" w:type="dxa"/>
                  <w:left w:w="108" w:type="dxa"/>
                  <w:bottom w:w="0" w:type="dxa"/>
                  <w:right w:w="108" w:type="dxa"/>
                </w:tblCellMar>
              </w:tblPrEx>
              <w:trPr>
                <w:trHeight w:val="515"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.7</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.8</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1</w:t>
                  </w:r>
                  <w:r>
                    <w:rPr>
                      <w:rFonts w:hint="eastAsia" w:ascii="宋体" w:hAnsi="宋体" w:eastAsia="宋体" w:cs="宋体"/>
                      <w:snapToGrid w:val="0"/>
                      <w:color w:val="auto"/>
                      <w:kern w:val="0"/>
                      <w:sz w:val="21"/>
                      <w:szCs w:val="21"/>
                      <w:highlight w:val="none"/>
                    </w:rPr>
                    <w:t>.9</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.0</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.1</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.2</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.3</w:t>
                  </w:r>
                </w:p>
              </w:tc>
            </w:tr>
            <w:tr>
              <w:tblPrEx>
                <w:tblCellMar>
                  <w:top w:w="0" w:type="dxa"/>
                  <w:left w:w="108" w:type="dxa"/>
                  <w:bottom w:w="0" w:type="dxa"/>
                  <w:right w:w="108" w:type="dxa"/>
                </w:tblCellMar>
              </w:tblPrEx>
              <w:trPr>
                <w:trHeight w:val="47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b/>
                      <w:snapToGrid w:val="0"/>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16</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tblPrEx>
                <w:tblCellMar>
                  <w:top w:w="0" w:type="dxa"/>
                  <w:left w:w="108" w:type="dxa"/>
                  <w:bottom w:w="0" w:type="dxa"/>
                  <w:right w:w="108" w:type="dxa"/>
                </w:tblCellMar>
              </w:tblPrEx>
              <w:trPr>
                <w:trHeight w:val="600" w:hRule="atLeast"/>
              </w:trPr>
              <w:tc>
                <w:tcPr>
                  <w:tcW w:w="1465"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79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.4</w:t>
                  </w:r>
                </w:p>
              </w:tc>
              <w:tc>
                <w:tcPr>
                  <w:tcW w:w="830"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.5</w:t>
                  </w:r>
                </w:p>
              </w:tc>
              <w:tc>
                <w:tcPr>
                  <w:tcW w:w="864"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.6</w:t>
                  </w:r>
                </w:p>
              </w:tc>
              <w:tc>
                <w:tcPr>
                  <w:tcW w:w="848"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.7</w:t>
                  </w:r>
                </w:p>
              </w:tc>
              <w:tc>
                <w:tcPr>
                  <w:tcW w:w="882"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.8</w:t>
                  </w:r>
                </w:p>
              </w:tc>
              <w:tc>
                <w:tcPr>
                  <w:tcW w:w="82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hAnsi="宋体" w:cs="宋体"/>
                      <w:snapToGrid w:val="0"/>
                      <w:color w:val="auto"/>
                      <w:kern w:val="0"/>
                      <w:sz w:val="21"/>
                      <w:szCs w:val="21"/>
                      <w:highlight w:val="none"/>
                      <w:lang w:val="en-US" w:eastAsia="zh-CN"/>
                    </w:rPr>
                    <w:t>2</w:t>
                  </w:r>
                  <w:r>
                    <w:rPr>
                      <w:rFonts w:hint="eastAsia" w:ascii="宋体" w:hAnsi="宋体" w:eastAsia="宋体" w:cs="宋体"/>
                      <w:snapToGrid w:val="0"/>
                      <w:color w:val="auto"/>
                      <w:kern w:val="0"/>
                      <w:sz w:val="21"/>
                      <w:szCs w:val="21"/>
                      <w:highlight w:val="none"/>
                    </w:rPr>
                    <w:t>.9</w:t>
                  </w:r>
                </w:p>
              </w:tc>
              <w:tc>
                <w:tcPr>
                  <w:tcW w:w="819" w:type="dxa"/>
                  <w:tcBorders>
                    <w:top w:val="single" w:color="000000" w:sz="4" w:space="0"/>
                    <w:left w:val="single" w:color="000000" w:sz="4" w:space="0"/>
                    <w:bottom w:val="single" w:color="000000" w:sz="4" w:space="0"/>
                    <w:right w:val="single" w:color="000000" w:sz="4" w:space="0"/>
                  </w:tcBorders>
                  <w:noWrap w:val="0"/>
                  <w:vAlign w:val="center"/>
                </w:tcPr>
                <w:p>
                  <w:pPr>
                    <w:wordWrap w:val="0"/>
                    <w:adjustRightInd w:val="0"/>
                    <w:snapToGrid w:val="0"/>
                    <w:spacing w:line="400" w:lineRule="exact"/>
                    <w:jc w:val="center"/>
                    <w:rPr>
                      <w:rFonts w:hint="eastAsia" w:ascii="宋体" w:hAnsi="宋体" w:eastAsia="宋体" w:cs="宋体"/>
                      <w:color w:val="auto"/>
                      <w:sz w:val="21"/>
                      <w:szCs w:val="21"/>
                      <w:highlight w:val="none"/>
                    </w:rPr>
                  </w:pPr>
                  <w:r>
                    <w:rPr>
                      <w:rFonts w:hint="eastAsia" w:hAnsi="宋体" w:cs="宋体"/>
                      <w:color w:val="auto"/>
                      <w:sz w:val="21"/>
                      <w:szCs w:val="21"/>
                      <w:highlight w:val="none"/>
                      <w:lang w:val="en-US" w:eastAsia="zh-CN"/>
                    </w:rPr>
                    <w:t>3</w:t>
                  </w:r>
                  <w:r>
                    <w:rPr>
                      <w:rFonts w:hint="eastAsia" w:ascii="宋体" w:hAnsi="宋体" w:eastAsia="宋体" w:cs="宋体"/>
                      <w:color w:val="auto"/>
                      <w:sz w:val="21"/>
                      <w:szCs w:val="21"/>
                      <w:highlight w:val="none"/>
                    </w:rPr>
                    <w:t>.0</w:t>
                  </w:r>
                </w:p>
              </w:tc>
            </w:tr>
          </w:tbl>
          <w:p>
            <w:pPr>
              <w:pageBreakBefore w:val="0"/>
              <w:kinsoku/>
              <w:wordWrap w:val="0"/>
              <w:overflowPunct/>
              <w:autoSpaceDE/>
              <w:autoSpaceDN/>
              <w:bidi w:val="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（2）评标基准价D＝</w:t>
            </w:r>
            <w:r>
              <w:rPr>
                <w:rFonts w:hint="eastAsia" w:hAnsi="宋体" w:cs="宋体"/>
                <w:snapToGrid w:val="0"/>
                <w:color w:val="auto"/>
                <w:kern w:val="0"/>
                <w:sz w:val="24"/>
                <w:szCs w:val="24"/>
                <w:highlight w:val="none"/>
                <w:lang w:eastAsia="zh-CN"/>
              </w:rPr>
              <w:t>最高投标限价</w:t>
            </w:r>
            <w:r>
              <w:rPr>
                <w:rFonts w:hint="eastAsia" w:ascii="宋体" w:hAnsi="宋体" w:eastAsia="宋体" w:cs="宋体"/>
                <w:snapToGrid w:val="0"/>
                <w:color w:val="auto"/>
                <w:kern w:val="0"/>
                <w:sz w:val="24"/>
                <w:szCs w:val="24"/>
                <w:highlight w:val="none"/>
              </w:rPr>
              <w:t>×（1－n）</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59" w:hRule="atLeast"/>
          <w:jc w:val="center"/>
        </w:trPr>
        <w:tc>
          <w:tcPr>
            <w:tcW w:w="1404" w:type="dxa"/>
            <w:gridSpan w:val="2"/>
            <w:tcBorders>
              <w:top w:val="single" w:color="auto" w:sz="4" w:space="0"/>
              <w:left w:val="single" w:color="auto" w:sz="4" w:space="0"/>
              <w:bottom w:val="single" w:color="auto" w:sz="4" w:space="0"/>
              <w:right w:val="single" w:color="auto" w:sz="4" w:space="0"/>
            </w:tcBorders>
            <w:noWrap w:val="0"/>
            <w:vAlign w:val="center"/>
          </w:tcPr>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投标报价</w:t>
            </w:r>
          </w:p>
          <w:p>
            <w:pPr>
              <w:pStyle w:val="36"/>
              <w:pageBreakBefore w:val="0"/>
              <w:kinsoku/>
              <w:wordWrap w:val="0"/>
              <w:overflowPunct/>
              <w:autoSpaceDE/>
              <w:autoSpaceDN/>
              <w:bidi w:val="0"/>
              <w:adjustRightInd w:val="0"/>
              <w:snapToGrid w:val="0"/>
              <w:spacing w:line="360" w:lineRule="auto"/>
              <w:jc w:val="center"/>
              <w:rPr>
                <w:rFonts w:hint="eastAsia" w:ascii="宋体" w:hAnsi="宋体" w:eastAsia="宋体" w:cs="宋体"/>
                <w:snapToGrid w:val="0"/>
                <w:color w:val="auto"/>
                <w:kern w:val="0"/>
                <w:sz w:val="24"/>
                <w:szCs w:val="24"/>
                <w:highlight w:val="none"/>
                <w:lang w:val="en-US" w:eastAsia="zh-CN" w:bidi="ar"/>
              </w:rPr>
            </w:pPr>
            <w:r>
              <w:rPr>
                <w:rFonts w:hint="eastAsia" w:ascii="宋体" w:hAnsi="宋体" w:eastAsia="宋体" w:cs="宋体"/>
                <w:color w:val="auto"/>
                <w:kern w:val="0"/>
                <w:sz w:val="24"/>
                <w:szCs w:val="24"/>
                <w:highlight w:val="none"/>
              </w:rPr>
              <w:t>得分N</w:t>
            </w:r>
          </w:p>
        </w:tc>
        <w:tc>
          <w:tcPr>
            <w:tcW w:w="8080" w:type="dxa"/>
            <w:gridSpan w:val="2"/>
            <w:tcBorders>
              <w:top w:val="single" w:color="auto" w:sz="4" w:space="0"/>
              <w:left w:val="nil"/>
              <w:bottom w:val="single" w:color="auto" w:sz="4" w:space="0"/>
              <w:right w:val="single" w:color="auto" w:sz="4" w:space="0"/>
            </w:tcBorders>
            <w:noWrap w:val="0"/>
            <w:vAlign w:val="center"/>
          </w:tcPr>
          <w:p>
            <w:pPr>
              <w:widowControl w:val="0"/>
              <w:wordWrap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采用内插法计算某投标人的投标报价得分N，即当投标人的投标总价等于评标基准价时得100分，每高于评标基准价一个百分点扣1分, 每低于评标基准价一个百分点扣0.5分，扣完为止。公式如下：</w:t>
            </w:r>
          </w:p>
          <w:p>
            <w:pPr>
              <w:widowControl w:val="0"/>
              <w:wordWrap w:val="0"/>
              <w:adjustRightInd w:val="0"/>
              <w:snapToGrid w:val="0"/>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N＝100－（| Di－D| ÷D）×100×E</w:t>
            </w:r>
          </w:p>
          <w:p>
            <w:pPr>
              <w:pageBreakBefore w:val="0"/>
              <w:kinsoku/>
              <w:wordWrap w:val="0"/>
              <w:overflowPunct/>
              <w:autoSpaceDE/>
              <w:autoSpaceDN/>
              <w:bidi w:val="0"/>
              <w:adjustRightInd w:val="0"/>
              <w:snapToGrid w:val="0"/>
              <w:jc w:val="left"/>
              <w:rPr>
                <w:rFonts w:hint="eastAsia" w:ascii="宋体" w:hAnsi="宋体" w:eastAsia="宋体" w:cs="宋体"/>
                <w:snapToGrid w:val="0"/>
                <w:color w:val="auto"/>
                <w:kern w:val="0"/>
                <w:sz w:val="24"/>
                <w:szCs w:val="24"/>
                <w:highlight w:val="none"/>
              </w:rPr>
            </w:pPr>
            <w:r>
              <w:rPr>
                <w:rFonts w:hint="eastAsia" w:ascii="宋体" w:hAnsi="宋体" w:eastAsia="宋体" w:cs="宋体"/>
                <w:color w:val="auto"/>
                <w:kern w:val="0"/>
                <w:sz w:val="24"/>
                <w:szCs w:val="24"/>
                <w:highlight w:val="none"/>
              </w:rPr>
              <w:t>式中：D为评标基准价；Di为某投标人的投标总价；E为扣分因子，当Di＞D时，E＝1 ；当Di＜D时，E＝0.5。</w:t>
            </w:r>
          </w:p>
        </w:tc>
      </w:tr>
    </w:tbl>
    <w:p>
      <w:pPr>
        <w:snapToGrid w:val="0"/>
        <w:spacing w:line="440" w:lineRule="exact"/>
        <w:rPr>
          <w:rStyle w:val="20"/>
          <w:rFonts w:hint="eastAsia" w:ascii="宋体" w:hAnsi="宋体" w:eastAsia="宋体" w:cs="宋体"/>
          <w:b/>
          <w:bCs/>
          <w:color w:val="auto"/>
          <w:kern w:val="0"/>
          <w:highlight w:val="none"/>
        </w:rPr>
      </w:pP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15.5.2 </w:t>
      </w:r>
      <w:r>
        <w:rPr>
          <w:rStyle w:val="20"/>
          <w:rFonts w:hint="eastAsia" w:ascii="宋体" w:hAnsi="宋体" w:eastAsia="宋体" w:cs="宋体"/>
          <w:color w:val="auto"/>
          <w:kern w:val="0"/>
          <w:highlight w:val="none"/>
        </w:rPr>
        <w:t>否决投标说明</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详细评审阶段否决投标的全部条件，在本章第四节“否决投标条件”第4条中集中列示。投标人有其中所列任何一种情形的，由评标委员会否决其投标。经详细评审后，有效投标人数量不足3个时，招标人应依法重新组织招标。</w:t>
      </w:r>
    </w:p>
    <w:p>
      <w:pPr>
        <w:snapToGrid w:val="0"/>
        <w:spacing w:line="440" w:lineRule="exact"/>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注：投标人在详细评审阶段根据评分方法提供的佐证材料，其合法性、有效性和准确性不符合要求的，有关量化因素（或评分因素）的折算、调整（或评分）按相应量化标准（或评分标准）处理，但不否决投标。</w:t>
      </w:r>
    </w:p>
    <w:p>
      <w:pPr>
        <w:pStyle w:val="28"/>
        <w:jc w:val="both"/>
        <w:rPr>
          <w:rStyle w:val="20"/>
          <w:rFonts w:hint="eastAsia" w:ascii="宋体" w:hAnsi="宋体" w:eastAsia="宋体" w:cs="宋体"/>
          <w:color w:val="auto"/>
          <w:highlight w:val="none"/>
        </w:rPr>
      </w:pPr>
    </w:p>
    <w:p>
      <w:pPr>
        <w:snapToGrid w:val="0"/>
        <w:spacing w:line="360" w:lineRule="auto"/>
        <w:ind w:firstLine="482" w:firstLineChars="200"/>
        <w:rPr>
          <w:rStyle w:val="20"/>
          <w:rFonts w:hint="eastAsia" w:ascii="宋体" w:hAnsi="宋体" w:eastAsia="宋体" w:cs="宋体"/>
          <w:b/>
          <w:bCs/>
          <w:color w:val="auto"/>
          <w:highlight w:val="none"/>
        </w:rPr>
      </w:pPr>
      <w:r>
        <w:rPr>
          <w:rStyle w:val="20"/>
          <w:rFonts w:hint="eastAsia" w:ascii="宋体" w:hAnsi="宋体" w:eastAsia="宋体" w:cs="宋体"/>
          <w:b/>
          <w:bCs/>
          <w:color w:val="auto"/>
          <w:highlight w:val="none"/>
        </w:rPr>
        <w:t>16．</w:t>
      </w:r>
      <w:r>
        <w:rPr>
          <w:rStyle w:val="20"/>
          <w:rFonts w:hint="eastAsia" w:hAnsi="宋体" w:cs="宋体"/>
          <w:b/>
          <w:bCs/>
          <w:color w:val="auto"/>
          <w:highlight w:val="none"/>
          <w:lang w:val="en-US" w:eastAsia="zh-CN"/>
        </w:rPr>
        <w:t>评</w:t>
      </w:r>
      <w:r>
        <w:rPr>
          <w:rStyle w:val="20"/>
          <w:rFonts w:hint="eastAsia" w:ascii="宋体" w:hAnsi="宋体" w:eastAsia="宋体" w:cs="宋体"/>
          <w:b/>
          <w:bCs/>
          <w:color w:val="auto"/>
          <w:highlight w:val="none"/>
        </w:rPr>
        <w:t>标结果公示</w:t>
      </w:r>
    </w:p>
    <w:p>
      <w:pPr>
        <w:snapToGrid w:val="0"/>
        <w:spacing w:line="360" w:lineRule="auto"/>
        <w:ind w:firstLine="480" w:firstLineChars="200"/>
        <w:rPr>
          <w:rStyle w:val="20"/>
          <w:rFonts w:hint="eastAsia" w:ascii="宋体" w:hAnsi="宋体" w:eastAsia="宋体" w:cs="宋体"/>
          <w:b w:val="0"/>
          <w:bCs w:val="0"/>
          <w:color w:val="auto"/>
          <w:kern w:val="0"/>
          <w:highlight w:val="none"/>
        </w:rPr>
        <w:sectPr>
          <w:endnotePr>
            <w:numFmt w:val="decimal"/>
          </w:endnotePr>
          <w:pgSz w:w="11906" w:h="16838"/>
          <w:pgMar w:top="1168" w:right="1417" w:bottom="1398" w:left="1417" w:header="850" w:footer="992" w:gutter="0"/>
          <w:cols w:space="720" w:num="1"/>
          <w:docGrid w:linePitch="327" w:charSpace="0"/>
        </w:sectPr>
      </w:pPr>
      <w:r>
        <w:rPr>
          <w:rStyle w:val="20"/>
          <w:rFonts w:hint="eastAsia" w:ascii="宋体" w:hAnsi="宋体" w:eastAsia="宋体" w:cs="宋体"/>
          <w:b w:val="0"/>
          <w:bCs w:val="0"/>
          <w:color w:val="auto"/>
          <w:highlight w:val="none"/>
        </w:rPr>
        <w:t>16.1 评标委员会按照投标人评审综合总得分由高到低的原则,向招标人推荐已明确的定标候选人数量（不标明排序）。评标委员会推荐定标候选人后，招标人应于评标会结束后3日内将定标候选人和评标情况在广东省招标投标监管网和韶关市公共资源交易中心建设工程交易系统上公示，公示时间不少于3日。公示主要内容包括：（1）定标候选人名称、投标报价、业绩奖项、质量、工期、拟派驻招标项目管理机构人员信息等；（2）定标候选人按照招标文件要求承诺的项目负责人姓名及相关证书名称和编号；（3）响应招标文件要求的资格能力条件；（4）提出异议的渠道和方式；（5）评标专家代码（评标专家姓名可用代码进行标示，如专家一、专家二等）及其对应的具体评标意见（含对否决投标人相关意见等）以及评标报告；（6）投标文件；（7）招标文件确认公示的其他内容。</w:t>
      </w:r>
    </w:p>
    <w:p>
      <w:pPr>
        <w:tabs>
          <w:tab w:val="left" w:pos="885"/>
        </w:tabs>
        <w:snapToGrid w:val="0"/>
        <w:spacing w:line="440" w:lineRule="exact"/>
        <w:jc w:val="center"/>
        <w:outlineLvl w:val="1"/>
        <w:rPr>
          <w:rStyle w:val="20"/>
          <w:rFonts w:hint="eastAsia" w:ascii="宋体" w:hAnsi="宋体" w:eastAsia="宋体" w:cs="宋体"/>
          <w:b/>
          <w:bCs/>
          <w:color w:val="auto"/>
          <w:highlight w:val="none"/>
        </w:rPr>
      </w:pPr>
      <w:bookmarkStart w:id="58" w:name="_Toc611"/>
      <w:bookmarkStart w:id="59" w:name="_Toc14558"/>
      <w:bookmarkStart w:id="60" w:name="_Toc21572"/>
      <w:bookmarkStart w:id="61" w:name="_Toc19086"/>
      <w:bookmarkStart w:id="62" w:name="_Toc26670"/>
      <w:bookmarkStart w:id="63" w:name="_Toc32101"/>
      <w:bookmarkStart w:id="64" w:name="_Toc14995"/>
      <w:bookmarkStart w:id="65" w:name="_Toc9616"/>
      <w:bookmarkStart w:id="66" w:name="_Toc1623"/>
      <w:bookmarkStart w:id="67" w:name="_Toc11724"/>
      <w:r>
        <w:rPr>
          <w:rStyle w:val="20"/>
          <w:rFonts w:hint="eastAsia" w:ascii="宋体" w:hAnsi="宋体" w:eastAsia="宋体" w:cs="宋体"/>
          <w:b/>
          <w:bCs/>
          <w:color w:val="auto"/>
          <w:highlight w:val="none"/>
        </w:rPr>
        <w:t>第四节 否决投标条件</w:t>
      </w:r>
      <w:bookmarkEnd w:id="58"/>
      <w:bookmarkEnd w:id="59"/>
      <w:bookmarkEnd w:id="60"/>
      <w:bookmarkEnd w:id="61"/>
      <w:bookmarkEnd w:id="62"/>
      <w:bookmarkEnd w:id="63"/>
      <w:bookmarkEnd w:id="64"/>
      <w:bookmarkEnd w:id="65"/>
      <w:bookmarkEnd w:id="66"/>
      <w:bookmarkEnd w:id="67"/>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本节所集中列示的否决投标条件，是本章第三节“投标人须知正文”的组成部分，是对本章第三节所规定的否决投标条件的总结和补充。</w:t>
      </w:r>
      <w:r>
        <w:rPr>
          <w:rStyle w:val="20"/>
          <w:rFonts w:hint="eastAsia" w:ascii="宋体" w:hAnsi="宋体" w:eastAsia="宋体" w:cs="宋体"/>
          <w:b/>
          <w:bCs/>
          <w:color w:val="auto"/>
          <w:kern w:val="0"/>
          <w:highlight w:val="none"/>
        </w:rPr>
        <w:t>投标人未有列入本节情形的，评标时一律不得否决其投标。</w:t>
      </w:r>
      <w:r>
        <w:rPr>
          <w:rStyle w:val="20"/>
          <w:rFonts w:hint="eastAsia" w:ascii="宋体" w:hAnsi="宋体" w:eastAsia="宋体" w:cs="宋体"/>
          <w:color w:val="auto"/>
          <w:kern w:val="0"/>
          <w:highlight w:val="none"/>
        </w:rPr>
        <w:t>本节所称“规定”均指招标文件的规定。</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1．资格评审环节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投标人有下列情形之一的，评标委员会应否决其投标。被否决的投标人，不进入形式评审环节。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（1）有本章第三节第</w:t>
      </w: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条“禁止投标条款”规定的任何一种情形；</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（2）投标人资质不符合规定的；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名称与营业执照、资质证书、安全生产许可证上的企业名称相互不一致的；其资质证书、安全生产许可证不是由住房城乡建设主管部门颁发的；营业执照、资质证书、安全生产许可证被吊销、暂扣或不在有效期内的；</w:t>
      </w:r>
    </w:p>
    <w:p>
      <w:pPr>
        <w:snapToGrid w:val="0"/>
        <w:spacing w:line="440" w:lineRule="exact"/>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已经工商变更，但其企业资质证书、安全生产许可证的企业名称未完成变更的，不得否决其投标；投标人营业执照、资质证书、安全生产许可证之间登记的信息不一致，应当允许投标人澄清，不得直接否决其投标。</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（4）拟派项目经理、项目技术负责人、专职安全员的条件不符合规定的；拟派专职安全员数量不符合规定的；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项目经理简历表》中拟派项目经理与《开标一览表》不一致的；一级建造师的电子注册证书不是国家住建部颁发的；二级建造师的电子注册证书不是广东省住建厅颁发的；建造师的注册单位与投标人不一致的；项目管理班子组成人员的各类证书、证件、证明不在有效期内的（建造师注册证书不在使用有效期内的）；擅自修改、遗漏《项目经理任职声明》实质性内容的；</w:t>
      </w:r>
    </w:p>
    <w:p>
      <w:pPr>
        <w:snapToGrid w:val="0"/>
        <w:spacing w:line="360" w:lineRule="auto"/>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注：投标人已经工商变更，但其员工执业资格注册证书的注册单位名称未完成变更的，不得否决其投标。</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（6）招标文件规定不接受联合体投标，但以联合体投标的；</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联合体投标，未提交《联合体协议书》的；擅自修改、遗漏《联合体协议书》实质性内容的；联合体成员的数量、资质不符合规定的；联合体成员同时以自己名义单独投标或者参加其他联合体投标的；（本次招标不适用）</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（8）投标人为外省建筑企业，但未提供“进粤企业和人员诚信信息登记平台”企业</w:t>
      </w:r>
      <w:r>
        <w:rPr>
          <w:rFonts w:hint="eastAsia" w:ascii="Times New Roman"/>
          <w:snapToGrid w:val="0"/>
          <w:color w:val="auto"/>
          <w:kern w:val="0"/>
          <w:highlight w:val="none"/>
        </w:rPr>
        <w:t>和拟派人员</w:t>
      </w:r>
      <w:r>
        <w:rPr>
          <w:rStyle w:val="20"/>
          <w:rFonts w:hint="eastAsia" w:ascii="宋体" w:hAnsi="宋体" w:eastAsia="宋体" w:cs="宋体"/>
          <w:color w:val="auto"/>
          <w:kern w:val="0"/>
          <w:highlight w:val="none"/>
        </w:rPr>
        <w:t>信息情况打印页</w:t>
      </w:r>
      <w:r>
        <w:rPr>
          <w:rFonts w:hint="eastAsia" w:ascii="宋体" w:hAnsi="宋体" w:eastAsia="宋体" w:cs="宋体"/>
          <w:snapToGrid w:val="0"/>
          <w:color w:val="auto"/>
          <w:kern w:val="0"/>
          <w:highlight w:val="none"/>
        </w:rPr>
        <w:t>或网页截图</w:t>
      </w:r>
      <w:r>
        <w:rPr>
          <w:rStyle w:val="20"/>
          <w:rFonts w:hint="eastAsia" w:ascii="宋体" w:hAnsi="宋体" w:eastAsia="宋体" w:cs="宋体"/>
          <w:color w:val="auto"/>
          <w:kern w:val="0"/>
          <w:highlight w:val="none"/>
        </w:rPr>
        <w:t>的。</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2．形式评审环节</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投标人有下列情形之一的，评标委员会应否决其投标。被否决的投标人，不进入响应性评审环节。</w:t>
      </w:r>
    </w:p>
    <w:p>
      <w:pPr>
        <w:wordWrap w:val="0"/>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strike w:val="0"/>
          <w:color w:val="auto"/>
          <w:highlight w:val="none"/>
        </w:rPr>
        <w:t>各分册</w:t>
      </w:r>
      <w:r>
        <w:rPr>
          <w:rFonts w:hint="eastAsia" w:hAnsi="宋体" w:cs="宋体"/>
          <w:strike w:val="0"/>
          <w:color w:val="auto"/>
          <w:highlight w:val="none"/>
          <w:lang w:eastAsia="zh-CN"/>
        </w:rPr>
        <w:t>未按</w:t>
      </w:r>
      <w:r>
        <w:rPr>
          <w:rFonts w:hint="eastAsia" w:ascii="宋体" w:hAnsi="宋体" w:eastAsia="宋体" w:cs="宋体"/>
          <w:strike w:val="0"/>
          <w:color w:val="auto"/>
          <w:highlight w:val="none"/>
        </w:rPr>
        <w:t>招标文件规定加盖电子印章</w:t>
      </w:r>
      <w:r>
        <w:rPr>
          <w:rFonts w:hint="eastAsia" w:ascii="宋体" w:hAnsi="宋体" w:eastAsia="宋体" w:cs="宋体"/>
          <w:color w:val="auto"/>
          <w:highlight w:val="none"/>
        </w:rPr>
        <w:t>；</w:t>
      </w:r>
    </w:p>
    <w:p>
      <w:pPr>
        <w:wordWrap w:val="0"/>
        <w:adjustRightInd w:val="0"/>
        <w:snapToGrid w:val="0"/>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（2）本章第三节第</w:t>
      </w:r>
      <w:r>
        <w:rPr>
          <w:rFonts w:hint="eastAsia" w:ascii="宋体" w:hAnsi="宋体" w:eastAsia="宋体" w:cs="宋体"/>
          <w:b/>
          <w:bCs/>
          <w:color w:val="auto"/>
          <w:highlight w:val="none"/>
        </w:rPr>
        <w:t>10.2.2</w:t>
      </w:r>
      <w:r>
        <w:rPr>
          <w:rFonts w:hint="eastAsia" w:ascii="宋体" w:hAnsi="宋体" w:eastAsia="宋体" w:cs="宋体"/>
          <w:color w:val="auto"/>
          <w:highlight w:val="none"/>
        </w:rPr>
        <w:t>目、第</w:t>
      </w:r>
      <w:r>
        <w:rPr>
          <w:rFonts w:hint="eastAsia" w:ascii="宋体" w:hAnsi="宋体" w:eastAsia="宋体" w:cs="宋体"/>
          <w:b/>
          <w:bCs/>
          <w:color w:val="auto"/>
          <w:highlight w:val="none"/>
        </w:rPr>
        <w:t>10.3.2</w:t>
      </w:r>
      <w:r>
        <w:rPr>
          <w:rFonts w:hint="eastAsia" w:ascii="宋体" w:hAnsi="宋体" w:eastAsia="宋体" w:cs="宋体"/>
          <w:color w:val="auto"/>
          <w:highlight w:val="none"/>
        </w:rPr>
        <w:t>目、第</w:t>
      </w:r>
      <w:r>
        <w:rPr>
          <w:rFonts w:hint="eastAsia" w:ascii="宋体" w:hAnsi="宋体" w:eastAsia="宋体" w:cs="宋体"/>
          <w:b/>
          <w:bCs/>
          <w:color w:val="auto"/>
          <w:highlight w:val="none"/>
        </w:rPr>
        <w:t>10.4.3</w:t>
      </w:r>
      <w:r>
        <w:rPr>
          <w:rFonts w:hint="eastAsia" w:ascii="宋体" w:hAnsi="宋体" w:eastAsia="宋体" w:cs="宋体"/>
          <w:color w:val="auto"/>
          <w:highlight w:val="none"/>
        </w:rPr>
        <w:t>目中规定的“所有投标人均应提供”的组成内容（包括该组成内容的所附资料）中，任何一项有缺漏的；</w:t>
      </w:r>
    </w:p>
    <w:p>
      <w:pPr>
        <w:spacing w:line="360" w:lineRule="auto"/>
        <w:ind w:firstLine="422" w:firstLineChars="176"/>
        <w:rPr>
          <w:rFonts w:hint="eastAsia" w:ascii="宋体" w:hAnsi="宋体" w:eastAsia="宋体" w:cs="宋体"/>
          <w:color w:val="auto"/>
          <w:highlight w:val="none"/>
        </w:rPr>
      </w:pPr>
      <w:r>
        <w:rPr>
          <w:rFonts w:hint="eastAsia" w:ascii="宋体" w:hAnsi="宋体" w:eastAsia="宋体" w:cs="宋体"/>
          <w:snapToGrid w:val="0"/>
          <w:color w:val="auto"/>
          <w:kern w:val="0"/>
          <w:highlight w:val="none"/>
        </w:rPr>
        <w:t>（3）</w:t>
      </w:r>
      <w:r>
        <w:rPr>
          <w:rFonts w:hint="eastAsia" w:ascii="宋体" w:hAnsi="宋体" w:eastAsia="宋体" w:cs="宋体"/>
          <w:color w:val="auto"/>
          <w:highlight w:val="none"/>
        </w:rPr>
        <w:t>关键字迹模糊、无法辨认，且该种过错将导致评标委员会无法判断投标文件是否响应招标文件实质性要求的；有涂改、行间插字或删除，但未加盖单位章或由投标人的法定代表人或其委托代理人签字确认的；</w:t>
      </w:r>
    </w:p>
    <w:p>
      <w:pPr>
        <w:spacing w:line="360" w:lineRule="auto"/>
        <w:ind w:firstLine="422" w:firstLineChars="176"/>
        <w:rPr>
          <w:rFonts w:hint="eastAsia" w:ascii="宋体" w:hAnsi="宋体" w:eastAsia="宋体" w:cs="宋体"/>
          <w:color w:val="auto"/>
          <w:highlight w:val="none"/>
        </w:rPr>
      </w:pPr>
      <w:r>
        <w:rPr>
          <w:rFonts w:hint="eastAsia" w:ascii="宋体" w:hAnsi="宋体" w:eastAsia="宋体" w:cs="宋体"/>
          <w:color w:val="auto"/>
          <w:highlight w:val="none"/>
        </w:rPr>
        <w:t>（4）投标文件未按规定签字、盖章的。</w:t>
      </w:r>
    </w:p>
    <w:p>
      <w:pPr>
        <w:snapToGrid w:val="0"/>
        <w:spacing w:line="360" w:lineRule="auto"/>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3．响应性评审环节</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投标人有下列情形之一的，评标委员会应否决其投标。被否决的投标人，不进入详细评审阶段。</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（1）承诺的投标有效期短于规定的；质量标准低于规定的；工期超出规定的；擅自修改、遗漏《投标函》《各项承诺一览表》实质性内容的；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（2）编制《投标总价》的造价工程师，其注册证书不是</w:t>
      </w:r>
      <w:r>
        <w:rPr>
          <w:rFonts w:hint="eastAsia" w:ascii="宋体" w:hAnsi="宋体" w:eastAsia="宋体" w:cs="宋体"/>
          <w:b/>
          <w:bCs/>
          <w:snapToGrid w:val="0"/>
          <w:color w:val="auto"/>
          <w:kern w:val="0"/>
          <w:szCs w:val="18"/>
          <w:highlight w:val="none"/>
        </w:rPr>
        <w:t>住建部门</w:t>
      </w:r>
      <w:r>
        <w:rPr>
          <w:rStyle w:val="20"/>
          <w:rFonts w:hint="eastAsia" w:ascii="宋体" w:hAnsi="宋体" w:eastAsia="宋体" w:cs="宋体"/>
          <w:color w:val="auto"/>
          <w:kern w:val="0"/>
          <w:highlight w:val="none"/>
        </w:rPr>
        <w:t>颁发的；其注册单位与投标人（或造价咨询人）不一致的；其注册证书不在有效期内的。</w:t>
      </w:r>
    </w:p>
    <w:p>
      <w:pPr>
        <w:snapToGrid w:val="0"/>
        <w:spacing w:line="440" w:lineRule="exact"/>
        <w:ind w:firstLine="480"/>
        <w:rPr>
          <w:rStyle w:val="20"/>
          <w:rFonts w:hint="eastAsia" w:ascii="宋体" w:hAnsi="宋体" w:eastAsia="宋体" w:cs="宋体"/>
          <w:strike/>
          <w:dstrike w:val="0"/>
          <w:color w:val="auto"/>
          <w:kern w:val="0"/>
          <w:highlight w:val="none"/>
        </w:rPr>
      </w:pPr>
      <w:r>
        <w:rPr>
          <w:rStyle w:val="20"/>
          <w:rFonts w:hint="eastAsia" w:ascii="宋体" w:hAnsi="宋体" w:eastAsia="宋体" w:cs="宋体"/>
          <w:b/>
          <w:bCs/>
          <w:color w:val="auto"/>
          <w:kern w:val="0"/>
          <w:highlight w:val="none"/>
        </w:rPr>
        <w:t>注：投标人（或造价咨询人）已经工商变更，但其员工的执业资格注册证书的注册单位名称未完成变更的，不得否决其投标。</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（3）投标人委托造价咨询单位编制《投标总价》，但未在《投标总价》</w:t>
      </w:r>
      <w:r>
        <w:rPr>
          <w:rFonts w:hint="eastAsia" w:ascii="宋体" w:hAnsi="宋体" w:eastAsia="宋体" w:cs="宋体"/>
          <w:snapToGrid w:val="0"/>
          <w:color w:val="auto"/>
          <w:kern w:val="0"/>
          <w:highlight w:val="none"/>
        </w:rPr>
        <w:t>封面（即</w:t>
      </w:r>
      <w:r>
        <w:rPr>
          <w:rFonts w:hint="eastAsia" w:hAnsi="宋体" w:cs="宋体"/>
          <w:snapToGrid w:val="0"/>
          <w:color w:val="auto"/>
          <w:kern w:val="0"/>
          <w:highlight w:val="none"/>
          <w:lang w:val="en-US" w:eastAsia="zh-CN"/>
        </w:rPr>
        <w:t>表B.3.1</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加盖造价咨询人公章的；</w:t>
      </w:r>
      <w:r>
        <w:rPr>
          <w:rFonts w:hint="eastAsia" w:ascii="宋体" w:hAnsi="宋体" w:eastAsia="宋体" w:cs="宋体"/>
          <w:snapToGrid w:val="0"/>
          <w:color w:val="auto"/>
          <w:kern w:val="0"/>
          <w:highlight w:val="none"/>
        </w:rPr>
        <w:t>未提供造价咨询人的营业执照彩色扫描件的</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（4）出现两个或两个以上投标总价的（同一个投标总价大、小写不一致的除外）；投标总价超出</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的；</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少于规定的；暂列金额、暂估价未按照招标工程量清单统一报价的；投标总价下浮率超过15%，又未提供相应书面说明和佐证材料或提供的书面说明和佐证材料不能令人信服，被评标委员会认定以低于成本报价竞标的；擅自修改、增减招标工程量清单项目（包括措施项目）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（5）在施工组织设计评审中，评标委员会认定质量、进度保障措施与国家和省市现行有关规范、规定、标准有重大偏差，</w:t>
      </w:r>
      <w:r>
        <w:rPr>
          <w:rStyle w:val="20"/>
          <w:rFonts w:hint="eastAsia" w:ascii="宋体" w:hAnsi="宋体" w:eastAsia="宋体" w:cs="宋体"/>
          <w:b/>
          <w:bCs/>
          <w:color w:val="auto"/>
          <w:kern w:val="0"/>
          <w:highlight w:val="none"/>
        </w:rPr>
        <w:t>且该种过错将导致工程质量、进度管理目标无法实现的</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4．其他</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在任何评标环节（或阶段），投标人有下列情形之一的，评标委员会应否决其投标。被否决的投标人，不进入下一环节（或阶段）。</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（19）不按评标委员会要求澄清、说明或补正的；</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（20）有下列情形之一，被评标委员会认定属于串通投标的：</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①不同投标人的投标文件两处以上（含两处）错、漏一致；</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②不同投标人的投标总价相近且各分项报价、综合单价分析表内容混乱不能相互对应、乱调乱压或乱抬的，而在询标时没有合理的解释或者不能提供计算依据和报价依据；</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③不同投标人的投标各项报价存在异常一致或者呈规律性变化；</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④不同投标人的投标文件由同一单位或者同一个人编制；</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⑤不同投标人的投标文件中投标资料（包括电子资料）相互混装或项目班子成员出现同一人；</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⑥不同投标人的投标文件由同一电脑编制</w:t>
      </w:r>
      <w:r>
        <w:rPr>
          <w:rFonts w:hint="eastAsia" w:ascii="宋体" w:hAnsi="宋体" w:eastAsia="宋体" w:cs="宋体"/>
          <w:snapToGrid w:val="0"/>
          <w:color w:val="auto"/>
          <w:kern w:val="0"/>
          <w:highlight w:val="none"/>
        </w:rPr>
        <w:t>或同一台附属设备打印</w:t>
      </w:r>
      <w:r>
        <w:rPr>
          <w:rStyle w:val="20"/>
          <w:rFonts w:hint="eastAsia" w:ascii="宋体" w:hAnsi="宋体" w:eastAsia="宋体" w:cs="宋体"/>
          <w:color w:val="auto"/>
          <w:kern w:val="0"/>
          <w:highlight w:val="none"/>
        </w:rPr>
        <w:t>，或投标报价用同一个预算编制软件密码锁制作或出自同一电子文档；</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⑦不同投标人的投标保证由同一企业或同一账户资金缴纳；</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⑧不同投标人委托同一个人或注册在同一家企业的注册人员或同一家企业为其投标提供投标咨询、商务报价、技术咨询（招标工程本身要求采用专有技术的除外）等服务。</w:t>
      </w:r>
      <w:bookmarkStart w:id="68" w:name="_Toc31483"/>
    </w:p>
    <w:p>
      <w:pPr>
        <w:pStyle w:val="7"/>
        <w:rPr>
          <w:rStyle w:val="20"/>
          <w:rFonts w:hint="eastAsia" w:ascii="宋体" w:hAnsi="宋体" w:eastAsia="宋体" w:cs="宋体"/>
          <w:color w:val="auto"/>
          <w:kern w:val="0"/>
          <w:highlight w:val="none"/>
        </w:rPr>
      </w:pPr>
    </w:p>
    <w:p>
      <w:pPr>
        <w:rPr>
          <w:rFonts w:hint="eastAsia"/>
          <w:color w:val="auto"/>
          <w:highlight w:val="none"/>
        </w:rPr>
      </w:pPr>
    </w:p>
    <w:p>
      <w:pPr>
        <w:rPr>
          <w:rStyle w:val="20"/>
          <w:rFonts w:hint="eastAsia" w:ascii="Times New Roman" w:hAnsi="宋体" w:eastAsia="宋体" w:cs="Times New Roman"/>
          <w:b/>
          <w:bCs/>
          <w:color w:val="auto"/>
          <w:highlight w:val="none"/>
        </w:rPr>
      </w:pPr>
      <w:r>
        <w:rPr>
          <w:rStyle w:val="20"/>
          <w:rFonts w:hint="eastAsia" w:ascii="Times New Roman" w:hAnsi="宋体" w:eastAsia="宋体" w:cs="Times New Roman"/>
          <w:b/>
          <w:bCs/>
          <w:color w:val="auto"/>
          <w:highlight w:val="none"/>
        </w:rPr>
        <w:br w:type="page"/>
      </w:r>
    </w:p>
    <w:p>
      <w:pPr>
        <w:tabs>
          <w:tab w:val="left" w:pos="885"/>
        </w:tabs>
        <w:snapToGrid w:val="0"/>
        <w:jc w:val="center"/>
        <w:outlineLvl w:val="1"/>
        <w:rPr>
          <w:rStyle w:val="20"/>
          <w:rFonts w:hint="default" w:ascii="Times New Roman" w:hAnsi="宋体" w:eastAsia="宋体" w:cs="Times New Roman"/>
          <w:b/>
          <w:bCs/>
          <w:color w:val="auto"/>
          <w:highlight w:val="none"/>
          <w:lang w:val="en-US"/>
        </w:rPr>
      </w:pPr>
      <w:bookmarkStart w:id="69" w:name="_Toc3979"/>
      <w:r>
        <w:rPr>
          <w:rStyle w:val="20"/>
          <w:rFonts w:hint="eastAsia" w:ascii="Times New Roman" w:hAnsi="宋体" w:eastAsia="宋体" w:cs="Times New Roman"/>
          <w:b/>
          <w:bCs/>
          <w:color w:val="auto"/>
          <w:highlight w:val="none"/>
        </w:rPr>
        <w:t>第</w:t>
      </w:r>
      <w:r>
        <w:rPr>
          <w:rStyle w:val="20"/>
          <w:rFonts w:hint="eastAsia" w:ascii="Times New Roman" w:hAnsi="宋体" w:eastAsia="宋体" w:cs="Times New Roman"/>
          <w:b/>
          <w:bCs/>
          <w:color w:val="auto"/>
          <w:highlight w:val="none"/>
          <w:lang w:val="en-US" w:eastAsia="zh-CN"/>
        </w:rPr>
        <w:t>五</w:t>
      </w:r>
      <w:r>
        <w:rPr>
          <w:rStyle w:val="20"/>
          <w:rFonts w:hint="eastAsia" w:ascii="Times New Roman" w:hAnsi="宋体" w:eastAsia="宋体" w:cs="Times New Roman"/>
          <w:b/>
          <w:bCs/>
          <w:color w:val="auto"/>
          <w:highlight w:val="none"/>
        </w:rPr>
        <w:t>节 定标</w:t>
      </w:r>
      <w:r>
        <w:rPr>
          <w:rStyle w:val="20"/>
          <w:rFonts w:hint="eastAsia" w:ascii="Times New Roman" w:hAnsi="宋体" w:eastAsia="宋体" w:cs="Times New Roman"/>
          <w:b/>
          <w:bCs/>
          <w:color w:val="auto"/>
          <w:highlight w:val="none"/>
          <w:lang w:eastAsia="zh-CN"/>
        </w:rPr>
        <w:t>规定</w:t>
      </w:r>
      <w:r>
        <w:rPr>
          <w:rStyle w:val="20"/>
          <w:rFonts w:hint="eastAsia" w:ascii="Times New Roman" w:hAnsi="宋体" w:eastAsia="宋体" w:cs="Times New Roman"/>
          <w:b/>
          <w:bCs/>
          <w:color w:val="auto"/>
          <w:highlight w:val="none"/>
          <w:lang w:val="en-US" w:eastAsia="zh-CN"/>
        </w:rPr>
        <w:t>及细则</w:t>
      </w:r>
      <w:bookmarkEnd w:id="68"/>
      <w:bookmarkEnd w:id="69"/>
    </w:p>
    <w:p>
      <w:pPr>
        <w:ind w:firstLine="482" w:firstLineChars="200"/>
        <w:rPr>
          <w:rStyle w:val="20"/>
          <w:rFonts w:hint="eastAsia" w:ascii="宋体" w:hAnsi="宋体" w:eastAsia="宋体" w:cs="宋体"/>
          <w:b/>
          <w:bCs/>
          <w:color w:val="auto"/>
          <w:kern w:val="0"/>
          <w:sz w:val="24"/>
          <w:szCs w:val="24"/>
          <w:highlight w:val="none"/>
        </w:rPr>
      </w:pPr>
      <w:r>
        <w:rPr>
          <w:rStyle w:val="20"/>
          <w:rFonts w:hint="eastAsia" w:hAnsi="宋体" w:eastAsia="宋体" w:cs="宋体"/>
          <w:b/>
          <w:bCs/>
          <w:color w:val="auto"/>
          <w:kern w:val="0"/>
          <w:sz w:val="24"/>
          <w:szCs w:val="24"/>
          <w:highlight w:val="none"/>
          <w:lang w:val="en-US" w:eastAsia="zh-CN"/>
        </w:rPr>
        <w:t>1.</w:t>
      </w:r>
      <w:r>
        <w:rPr>
          <w:rStyle w:val="20"/>
          <w:rFonts w:hint="eastAsia" w:ascii="宋体" w:hAnsi="宋体" w:eastAsia="宋体" w:cs="宋体"/>
          <w:b/>
          <w:bCs/>
          <w:color w:val="auto"/>
          <w:kern w:val="0"/>
          <w:sz w:val="24"/>
          <w:szCs w:val="24"/>
          <w:highlight w:val="none"/>
          <w:lang w:eastAsia="zh-CN"/>
        </w:rPr>
        <w:t>确定</w:t>
      </w:r>
      <w:r>
        <w:rPr>
          <w:rStyle w:val="20"/>
          <w:rFonts w:hint="eastAsia" w:ascii="宋体" w:hAnsi="宋体" w:eastAsia="宋体" w:cs="宋体"/>
          <w:b/>
          <w:bCs/>
          <w:color w:val="auto"/>
          <w:kern w:val="0"/>
          <w:sz w:val="24"/>
          <w:szCs w:val="24"/>
          <w:highlight w:val="none"/>
        </w:rPr>
        <w:t>定标时间</w:t>
      </w:r>
    </w:p>
    <w:p>
      <w:pPr>
        <w:ind w:firstLine="480" w:firstLineChars="200"/>
        <w:rPr>
          <w:rStyle w:val="20"/>
          <w:rFonts w:hint="eastAsia" w:ascii="宋体" w:hAnsi="宋体" w:eastAsia="宋体" w:cs="宋体"/>
          <w:color w:val="auto"/>
          <w:kern w:val="0"/>
          <w:sz w:val="24"/>
          <w:szCs w:val="24"/>
          <w:highlight w:val="none"/>
        </w:rPr>
      </w:pPr>
      <w:r>
        <w:rPr>
          <w:rStyle w:val="20"/>
          <w:rFonts w:hint="eastAsia" w:ascii="宋体" w:hAnsi="宋体" w:eastAsia="宋体" w:cs="宋体"/>
          <w:color w:val="auto"/>
          <w:kern w:val="0"/>
          <w:sz w:val="24"/>
          <w:szCs w:val="24"/>
          <w:highlight w:val="none"/>
        </w:rPr>
        <w:t>招标人</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自</w:t>
      </w:r>
      <w:r>
        <w:rPr>
          <w:rStyle w:val="20"/>
          <w:rFonts w:hint="eastAsia" w:ascii="宋体" w:hAnsi="宋体" w:eastAsia="宋体" w:cs="宋体"/>
          <w:color w:val="auto"/>
          <w:kern w:val="0"/>
          <w:sz w:val="24"/>
          <w:szCs w:val="24"/>
          <w:highlight w:val="none"/>
          <w:lang w:val="en-US" w:eastAsia="zh-CN"/>
        </w:rPr>
        <w:t>定标候选人</w:t>
      </w:r>
      <w:r>
        <w:rPr>
          <w:rStyle w:val="20"/>
          <w:rFonts w:hint="eastAsia" w:ascii="宋体" w:hAnsi="宋体" w:eastAsia="宋体" w:cs="宋体"/>
          <w:color w:val="auto"/>
          <w:kern w:val="0"/>
          <w:sz w:val="24"/>
          <w:szCs w:val="24"/>
          <w:highlight w:val="none"/>
        </w:rPr>
        <w:t>公示期满后</w:t>
      </w:r>
      <w:r>
        <w:rPr>
          <w:rStyle w:val="20"/>
          <w:rFonts w:hint="eastAsia" w:ascii="宋体" w:hAnsi="宋体" w:eastAsia="宋体" w:cs="宋体"/>
          <w:color w:val="auto"/>
          <w:kern w:val="0"/>
          <w:sz w:val="24"/>
          <w:szCs w:val="24"/>
          <w:highlight w:val="none"/>
          <w:lang w:val="en-US" w:eastAsia="zh-CN"/>
        </w:rPr>
        <w:t>5</w:t>
      </w:r>
      <w:r>
        <w:rPr>
          <w:rStyle w:val="20"/>
          <w:rFonts w:hint="eastAsia" w:ascii="宋体" w:hAnsi="宋体" w:eastAsia="宋体" w:cs="宋体"/>
          <w:color w:val="auto"/>
          <w:kern w:val="0"/>
          <w:sz w:val="24"/>
          <w:szCs w:val="24"/>
          <w:highlight w:val="none"/>
        </w:rPr>
        <w:t>个工作日内进入公共资源交易平台（与评标阶段公共资源交易平台相同）进行定标。定标会议全过程录音录像。招标人需要延期定标的，</w:t>
      </w:r>
      <w:r>
        <w:rPr>
          <w:rStyle w:val="20"/>
          <w:rFonts w:hint="eastAsia" w:ascii="宋体" w:hAnsi="宋体" w:eastAsia="宋体" w:cs="宋体"/>
          <w:color w:val="auto"/>
          <w:kern w:val="0"/>
          <w:sz w:val="24"/>
          <w:szCs w:val="24"/>
          <w:highlight w:val="none"/>
          <w:lang w:eastAsia="zh-CN"/>
        </w:rPr>
        <w:t>应</w:t>
      </w:r>
      <w:r>
        <w:rPr>
          <w:rStyle w:val="20"/>
          <w:rFonts w:hint="eastAsia" w:ascii="宋体" w:hAnsi="宋体" w:eastAsia="宋体" w:cs="宋体"/>
          <w:color w:val="auto"/>
          <w:kern w:val="0"/>
          <w:sz w:val="24"/>
          <w:szCs w:val="24"/>
          <w:highlight w:val="none"/>
        </w:rPr>
        <w:t>通过公共资源交易平台公布延期原因和定标时间。</w:t>
      </w:r>
    </w:p>
    <w:p>
      <w:pPr>
        <w:ind w:firstLine="482" w:firstLineChars="200"/>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2</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定标委员会</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hAnsi="宋体" w:eastAsia="宋体" w:cs="宋体"/>
          <w:color w:val="auto"/>
          <w:kern w:val="0"/>
          <w:sz w:val="24"/>
          <w:szCs w:val="24"/>
          <w:highlight w:val="none"/>
          <w:lang w:val="en-US" w:eastAsia="zh-CN"/>
        </w:rPr>
        <w:t>2.1</w:t>
      </w:r>
      <w:r>
        <w:rPr>
          <w:rStyle w:val="20"/>
          <w:rFonts w:hint="eastAsia" w:ascii="宋体" w:hAnsi="宋体" w:eastAsia="宋体" w:cs="宋体"/>
          <w:color w:val="auto"/>
          <w:kern w:val="0"/>
          <w:sz w:val="24"/>
          <w:szCs w:val="24"/>
          <w:highlight w:val="none"/>
          <w:lang w:val="en-US" w:eastAsia="zh-CN"/>
        </w:rPr>
        <w:t>招标人负责组建定标委员会，由项目业主的法定代表人或者主要负责人担任定标委员会组长。定标委员会的组成方式和人员由招标人按相关规定自行确定。招标项目对技术、商务等有特别要求的可从广东省综合评标评审专家库抽取专家(外部人员）补足，成员数量为7人及以上单数，成员数量应在招标文件中明确。专家人数原则上不超过2人。定标委员会成员数量在本投标人须知前附表中约定。</w:t>
      </w:r>
    </w:p>
    <w:p>
      <w:pPr>
        <w:ind w:firstLine="480" w:firstLineChars="200"/>
        <w:rPr>
          <w:rFonts w:hint="eastAsia"/>
          <w:color w:val="auto"/>
          <w:sz w:val="24"/>
          <w:szCs w:val="24"/>
          <w:highlight w:val="none"/>
          <w:lang w:val="en-US" w:eastAsia="zh-CN"/>
        </w:rPr>
      </w:pPr>
      <w:r>
        <w:rPr>
          <w:rFonts w:hint="eastAsia"/>
          <w:color w:val="auto"/>
          <w:sz w:val="24"/>
          <w:szCs w:val="24"/>
          <w:highlight w:val="none"/>
          <w:lang w:val="en-US" w:eastAsia="zh-CN"/>
        </w:rPr>
        <w:t>2.2定标委员会应当根据招标文件规定的定标方法和细则，对定标候选人进行系统地评审和比较。招标文件中没有规定的定标方法和细则不得作为定标的依据。定标委员会成员应依照招标文件规定的定标方法和细则，独立完成对定标候选人的评审，并对定标结果签字确认。定标委员会应依照招标文件规定的定标方法和细则，对各定标委员会成员的定标结果进行汇总。</w:t>
      </w:r>
    </w:p>
    <w:p>
      <w:pPr>
        <w:ind w:firstLine="480" w:firstLineChars="200"/>
        <w:rPr>
          <w:rFonts w:hint="eastAsia"/>
          <w:color w:val="auto"/>
          <w:sz w:val="24"/>
          <w:szCs w:val="24"/>
          <w:highlight w:val="none"/>
          <w:lang w:val="en-US" w:eastAsia="zh-CN"/>
        </w:rPr>
      </w:pPr>
      <w:r>
        <w:rPr>
          <w:rStyle w:val="20"/>
          <w:rFonts w:hint="eastAsia" w:hAnsi="宋体" w:eastAsia="宋体" w:cs="宋体"/>
          <w:color w:val="auto"/>
          <w:kern w:val="0"/>
          <w:sz w:val="24"/>
          <w:szCs w:val="24"/>
          <w:highlight w:val="none"/>
          <w:lang w:val="en-US" w:eastAsia="zh-CN"/>
        </w:rPr>
        <w:t>2</w:t>
      </w:r>
      <w:r>
        <w:rPr>
          <w:rStyle w:val="20"/>
          <w:rFonts w:hint="eastAsia" w:ascii="宋体" w:hAnsi="宋体" w:eastAsia="宋体" w:cs="宋体"/>
          <w:color w:val="auto"/>
          <w:kern w:val="0"/>
          <w:sz w:val="24"/>
          <w:szCs w:val="24"/>
          <w:highlight w:val="none"/>
        </w:rPr>
        <w:t>.</w:t>
      </w:r>
      <w:r>
        <w:rPr>
          <w:rStyle w:val="20"/>
          <w:rFonts w:hint="eastAsia" w:hAnsi="宋体" w:eastAsia="宋体" w:cs="宋体"/>
          <w:color w:val="auto"/>
          <w:kern w:val="0"/>
          <w:sz w:val="24"/>
          <w:szCs w:val="24"/>
          <w:highlight w:val="none"/>
          <w:lang w:val="en-US" w:eastAsia="zh-CN"/>
        </w:rPr>
        <w:t>3</w:t>
      </w:r>
      <w:r>
        <w:rPr>
          <w:rStyle w:val="20"/>
          <w:rFonts w:hint="eastAsia" w:ascii="宋体" w:hAnsi="宋体" w:eastAsia="宋体" w:cs="宋体"/>
          <w:color w:val="auto"/>
          <w:kern w:val="0"/>
          <w:sz w:val="24"/>
          <w:szCs w:val="24"/>
          <w:highlight w:val="none"/>
          <w:lang w:val="en-US" w:eastAsia="zh-CN"/>
        </w:rPr>
        <w:t>定标委员会成员应客观、公正履职，在未公示中标结果前，对定标过程和结果严格保密，对所提出的定标意见承担个人责任。定标委员会成员与定标候选人有利害关系的，应回避。定标委员会成员不得征询招标人确定中标人意向；不得私下与任何定标候选人或者其他利害关系人接触。</w:t>
      </w:r>
    </w:p>
    <w:p>
      <w:pPr>
        <w:ind w:firstLine="482" w:firstLineChars="200"/>
        <w:rPr>
          <w:rStyle w:val="20"/>
          <w:rFonts w:hint="eastAsia" w:ascii="宋体"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3</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val="en-US" w:eastAsia="zh-CN"/>
        </w:rPr>
        <w:t>组建招标监督小组</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招标人应组建招标监督小组，招标监督小组原则上由不少于3人组成，人员可由招标人直接委派，也可以从招标人的上级主管单位、项目业主单位、使用单位等补充委派，并确定一名组长负责统筹监督工作。同一人不得同时担任定标委员会成员和招标监督小组成员中的两个角色。招标监督小组对招标投标活动全过程进行监督，及时指出、制止违反程序及纪律的行为，但不得就评标、定标涉及的实质内容发表意见或者参与定标委员会的讨论。相关人员存在违反程序及纪律的行为被指出后仍拒绝纠正的、发现招标投标活动存在其他违反相关规定行为的，招标监督小组应如实记录并及时报告招标人单位主要负责人、行政监督部门。</w:t>
      </w:r>
    </w:p>
    <w:p>
      <w:pPr>
        <w:ind w:firstLine="482" w:firstLineChars="200"/>
        <w:jc w:val="left"/>
        <w:rPr>
          <w:rStyle w:val="20"/>
          <w:rFonts w:hint="eastAsia" w:ascii="宋体" w:hAnsi="宋体" w:eastAsia="宋体" w:cs="宋体"/>
          <w:b/>
          <w:bCs/>
          <w:color w:val="auto"/>
          <w:kern w:val="0"/>
          <w:sz w:val="24"/>
          <w:szCs w:val="24"/>
          <w:highlight w:val="none"/>
          <w:lang w:eastAsia="zh-CN"/>
        </w:rPr>
      </w:pPr>
      <w:r>
        <w:rPr>
          <w:rStyle w:val="20"/>
          <w:rFonts w:hint="eastAsia" w:hAnsi="宋体" w:eastAsia="宋体" w:cs="宋体"/>
          <w:b/>
          <w:bCs/>
          <w:color w:val="auto"/>
          <w:kern w:val="0"/>
          <w:sz w:val="24"/>
          <w:szCs w:val="24"/>
          <w:highlight w:val="none"/>
          <w:lang w:val="en-US" w:eastAsia="zh-CN"/>
        </w:rPr>
        <w:t>4</w:t>
      </w:r>
      <w:r>
        <w:rPr>
          <w:rStyle w:val="20"/>
          <w:rFonts w:hint="eastAsia" w:ascii="宋体" w:hAnsi="宋体" w:eastAsia="宋体" w:cs="宋体"/>
          <w:b/>
          <w:bCs/>
          <w:color w:val="auto"/>
          <w:kern w:val="0"/>
          <w:sz w:val="24"/>
          <w:szCs w:val="24"/>
          <w:highlight w:val="none"/>
        </w:rPr>
        <w:t>.</w:t>
      </w:r>
      <w:r>
        <w:rPr>
          <w:rStyle w:val="20"/>
          <w:rFonts w:hint="eastAsia" w:ascii="宋体" w:hAnsi="宋体" w:eastAsia="宋体" w:cs="宋体"/>
          <w:b/>
          <w:bCs/>
          <w:color w:val="auto"/>
          <w:kern w:val="0"/>
          <w:sz w:val="24"/>
          <w:szCs w:val="24"/>
          <w:highlight w:val="none"/>
          <w:lang w:eastAsia="zh-CN"/>
        </w:rPr>
        <w:t>定标办法</w:t>
      </w:r>
    </w:p>
    <w:p>
      <w:pPr>
        <w:ind w:firstLine="480" w:firstLineChars="200"/>
        <w:rPr>
          <w:rStyle w:val="20"/>
          <w:rFonts w:hint="eastAsia" w:ascii="宋体" w:hAnsi="宋体" w:eastAsia="宋体" w:cs="宋体"/>
          <w:color w:val="auto"/>
          <w:kern w:val="0"/>
          <w:sz w:val="24"/>
          <w:szCs w:val="24"/>
          <w:highlight w:val="none"/>
          <w:lang w:val="en-US" w:eastAsia="zh-CN"/>
        </w:rPr>
      </w:pPr>
      <w:r>
        <w:rPr>
          <w:rStyle w:val="20"/>
          <w:rFonts w:hint="eastAsia" w:ascii="宋体" w:hAnsi="宋体" w:eastAsia="宋体" w:cs="宋体"/>
          <w:color w:val="auto"/>
          <w:kern w:val="0"/>
          <w:sz w:val="24"/>
          <w:szCs w:val="24"/>
          <w:highlight w:val="none"/>
          <w:lang w:val="en-US" w:eastAsia="zh-CN"/>
        </w:rPr>
        <w:t>定标办法由招标人按本</w:t>
      </w:r>
      <w:r>
        <w:rPr>
          <w:rStyle w:val="20"/>
          <w:rFonts w:hint="eastAsia" w:hAnsi="宋体" w:cs="宋体"/>
          <w:color w:val="auto"/>
          <w:kern w:val="0"/>
          <w:sz w:val="24"/>
          <w:szCs w:val="24"/>
          <w:highlight w:val="none"/>
          <w:lang w:val="en-US" w:eastAsia="zh-CN"/>
        </w:rPr>
        <w:t>章第一节</w:t>
      </w:r>
      <w:r>
        <w:rPr>
          <w:rStyle w:val="20"/>
          <w:rFonts w:hint="eastAsia" w:ascii="宋体" w:hAnsi="宋体" w:eastAsia="宋体" w:cs="宋体"/>
          <w:color w:val="auto"/>
          <w:kern w:val="0"/>
          <w:sz w:val="24"/>
          <w:szCs w:val="24"/>
          <w:highlight w:val="none"/>
          <w:lang w:val="en-US" w:eastAsia="zh-CN"/>
        </w:rPr>
        <w:t>投标人须知前附表的规定确定（只能选定其中一种定标办法）。</w:t>
      </w:r>
    </w:p>
    <w:p>
      <w:pPr>
        <w:ind w:firstLine="482" w:firstLineChars="200"/>
        <w:rPr>
          <w:rFonts w:hint="eastAsia"/>
          <w:color w:val="auto"/>
          <w:sz w:val="24"/>
          <w:szCs w:val="24"/>
          <w:highlight w:val="none"/>
        </w:rPr>
      </w:pPr>
      <w:bookmarkStart w:id="70" w:name="OLE_LINK3"/>
      <w:r>
        <w:rPr>
          <w:rFonts w:hint="eastAsia"/>
          <w:b/>
          <w:bCs/>
          <w:color w:val="auto"/>
          <w:sz w:val="24"/>
          <w:szCs w:val="24"/>
          <w:highlight w:val="none"/>
          <w:lang w:val="en-US" w:eastAsia="zh-CN"/>
        </w:rPr>
        <w:t>本项目</w:t>
      </w:r>
      <w:bookmarkEnd w:id="70"/>
      <w:r>
        <w:rPr>
          <w:rStyle w:val="20"/>
          <w:rFonts w:hint="eastAsia" w:ascii="宋体" w:hAnsi="宋体" w:eastAsia="宋体" w:cs="宋体"/>
          <w:b/>
          <w:bCs/>
          <w:color w:val="auto"/>
          <w:kern w:val="0"/>
          <w:sz w:val="24"/>
          <w:szCs w:val="24"/>
          <w:highlight w:val="none"/>
          <w:lang w:val="en-US" w:eastAsia="zh-CN"/>
        </w:rPr>
        <w:t>定标办法</w:t>
      </w:r>
      <w:r>
        <w:rPr>
          <w:rFonts w:hint="eastAsia"/>
          <w:b/>
          <w:bCs/>
          <w:color w:val="auto"/>
          <w:sz w:val="24"/>
          <w:szCs w:val="24"/>
          <w:highlight w:val="none"/>
          <w:lang w:val="en-US" w:eastAsia="zh-CN"/>
        </w:rPr>
        <w:t>采用票决数量法定标。</w:t>
      </w:r>
    </w:p>
    <w:p>
      <w:pPr>
        <w:ind w:firstLine="482" w:firstLineChars="200"/>
        <w:rPr>
          <w:rStyle w:val="20"/>
          <w:rFonts w:hint="eastAsia" w:hAnsi="宋体" w:eastAsia="宋体" w:cs="宋体"/>
          <w:b/>
          <w:bCs/>
          <w:color w:val="auto"/>
          <w:kern w:val="0"/>
          <w:sz w:val="24"/>
          <w:szCs w:val="24"/>
          <w:highlight w:val="none"/>
          <w:lang w:val="en-US" w:eastAsia="zh-CN"/>
        </w:rPr>
      </w:pPr>
      <w:r>
        <w:rPr>
          <w:rStyle w:val="20"/>
          <w:rFonts w:hint="eastAsia" w:hAnsi="宋体" w:eastAsia="宋体" w:cs="宋体"/>
          <w:b/>
          <w:bCs/>
          <w:color w:val="auto"/>
          <w:kern w:val="0"/>
          <w:sz w:val="24"/>
          <w:szCs w:val="24"/>
          <w:highlight w:val="none"/>
          <w:lang w:val="en-US" w:eastAsia="zh-CN"/>
        </w:rPr>
        <w:t>5.定标细则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eastAsia="zh-CN"/>
        </w:rPr>
      </w:pPr>
      <w:r>
        <w:rPr>
          <w:rFonts w:hint="eastAsia" w:ascii="宋体" w:hAnsi="宋体" w:eastAsia="宋体" w:cs="宋体"/>
          <w:b/>
          <w:bCs/>
          <w:color w:val="auto"/>
          <w:spacing w:val="0"/>
          <w:position w:val="0"/>
          <w:sz w:val="24"/>
          <w:szCs w:val="24"/>
          <w:highlight w:val="none"/>
          <w:u w:val="none" w:color="auto"/>
          <w:lang w:val="en-US" w:eastAsia="zh-CN"/>
        </w:rPr>
        <w:t>5.1票决数量法程序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i w:val="0"/>
          <w:snapToGrid/>
          <w:color w:val="auto"/>
          <w:sz w:val="24"/>
          <w:szCs w:val="24"/>
          <w:highlight w:val="none"/>
          <w:u w:val="none"/>
          <w:shd w:val="clear" w:color="auto" w:fill="FFFFFF"/>
          <w:lang w:eastAsia="zh-CN"/>
        </w:rPr>
        <w:t>定标委员会根据定标因素对定标候选人进行评审比较后，每名定标委员会成员</w:t>
      </w:r>
      <w:r>
        <w:rPr>
          <w:rFonts w:hint="eastAsia" w:ascii="宋体" w:hAnsi="宋体" w:eastAsia="宋体" w:cs="宋体"/>
          <w:color w:val="auto"/>
          <w:sz w:val="24"/>
          <w:szCs w:val="24"/>
          <w:highlight w:val="none"/>
          <w:u w:val="none"/>
          <w:lang w:val="en-US" w:eastAsia="zh-CN"/>
        </w:rPr>
        <w:t>有且仅有投出1票的权利，1票只能投1名定标候选人，</w:t>
      </w:r>
      <w:r>
        <w:rPr>
          <w:rFonts w:hint="eastAsia" w:ascii="宋体" w:hAnsi="宋体" w:eastAsia="宋体" w:cs="宋体"/>
          <w:b w:val="0"/>
          <w:i w:val="0"/>
          <w:snapToGrid/>
          <w:color w:val="auto"/>
          <w:sz w:val="24"/>
          <w:szCs w:val="24"/>
          <w:highlight w:val="none"/>
          <w:u w:val="none"/>
          <w:shd w:val="clear" w:color="auto" w:fill="FFFFFF"/>
          <w:lang w:eastAsia="zh-CN"/>
        </w:rPr>
        <w:t>进行票决排名确定排序的中标候选人。即各定标委员会成员对定标候选人进行投票，按得票高低推荐排序的前三名中标候选人。</w:t>
      </w:r>
      <w:r>
        <w:rPr>
          <w:rFonts w:hint="eastAsia" w:ascii="宋体" w:hAnsi="宋体" w:eastAsia="宋体" w:cs="宋体"/>
          <w:color w:val="auto"/>
          <w:sz w:val="24"/>
          <w:szCs w:val="24"/>
          <w:highlight w:val="none"/>
          <w:u w:val="none"/>
          <w:lang w:val="en-US" w:eastAsia="zh-CN"/>
        </w:rPr>
        <w:t>若第一轮投票中前三名中标候选人有</w:t>
      </w:r>
      <w:r>
        <w:rPr>
          <w:rFonts w:hint="eastAsia" w:ascii="宋体" w:hAnsi="宋体" w:eastAsia="宋体" w:cs="宋体"/>
          <w:color w:val="auto"/>
          <w:sz w:val="24"/>
          <w:szCs w:val="24"/>
          <w:highlight w:val="none"/>
          <w:u w:val="none"/>
          <w:shd w:val="clear" w:color="auto" w:fill="FFFFFF"/>
          <w:lang w:val="en-US" w:eastAsia="zh-CN"/>
        </w:rPr>
        <w:t>得票相同且影响中标候选人排序确定的，由定标委员会对总票数相同的单位进行再次票决确定排序,</w:t>
      </w:r>
      <w:r>
        <w:rPr>
          <w:rFonts w:hint="eastAsia" w:ascii="宋体" w:hAnsi="宋体" w:eastAsia="宋体" w:cs="宋体"/>
          <w:color w:val="auto"/>
          <w:sz w:val="24"/>
          <w:szCs w:val="24"/>
          <w:highlight w:val="none"/>
          <w:u w:val="none"/>
          <w:lang w:val="en-US" w:eastAsia="zh-CN"/>
        </w:rPr>
        <w:t>直至决出排序的前三名中标候选人。若定标候选人中没有符合评审要求的三名中标候选人，则宣告本次招标失败。</w:t>
      </w:r>
      <w:r>
        <w:rPr>
          <w:rFonts w:hint="eastAsia" w:ascii="宋体" w:hAnsi="宋体" w:eastAsia="宋体" w:cs="宋体"/>
          <w:b w:val="0"/>
          <w:i w:val="0"/>
          <w:snapToGrid/>
          <w:color w:val="auto"/>
          <w:sz w:val="24"/>
          <w:szCs w:val="24"/>
          <w:highlight w:val="none"/>
          <w:u w:val="none"/>
          <w:shd w:val="clear" w:color="auto" w:fill="FFFFFF"/>
          <w:lang w:eastAsia="zh-CN"/>
        </w:rPr>
        <w:t>票决采用记名方式并注明投票理由。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5.1.1.</w:t>
      </w:r>
      <w:r>
        <w:rPr>
          <w:rFonts w:hint="eastAsia" w:ascii="宋体" w:hAnsi="宋体" w:eastAsia="宋体" w:cs="宋体"/>
          <w:b/>
          <w:bCs/>
          <w:color w:val="auto"/>
          <w:sz w:val="24"/>
          <w:szCs w:val="24"/>
          <w:highlight w:val="none"/>
          <w:u w:val="none"/>
          <w:shd w:val="clear" w:color="auto" w:fill="FFFFFF"/>
        </w:rPr>
        <w:t>项目情况介绍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招标人代表介绍项目的概况及招标要求，以及定标方法与定标工作规则，不得发表具有倾向性的言论。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5.1.2.</w:t>
      </w:r>
      <w:r>
        <w:rPr>
          <w:rFonts w:hint="eastAsia" w:ascii="宋体" w:hAnsi="宋体" w:eastAsia="宋体" w:cs="宋体"/>
          <w:b/>
          <w:bCs/>
          <w:color w:val="auto"/>
          <w:sz w:val="24"/>
          <w:szCs w:val="24"/>
          <w:highlight w:val="none"/>
          <w:u w:val="none"/>
          <w:shd w:val="clear" w:color="auto" w:fill="FFFFFF"/>
        </w:rPr>
        <w:t>审阅定标资料</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定标委员会成员对各定标候选人的投标文件进行审阅，审阅内容主要是定标工作规则所规定的定标因素，</w:t>
      </w:r>
      <w:r>
        <w:rPr>
          <w:rFonts w:hint="eastAsia" w:ascii="宋体" w:hAnsi="宋体" w:eastAsia="宋体" w:cs="宋体"/>
          <w:b w:val="0"/>
          <w:bCs w:val="0"/>
          <w:color w:val="auto"/>
          <w:spacing w:val="0"/>
          <w:position w:val="0"/>
          <w:sz w:val="24"/>
          <w:szCs w:val="24"/>
          <w:highlight w:val="none"/>
          <w:u w:val="none" w:color="auto"/>
          <w:lang w:val="en-US" w:eastAsia="zh-CN"/>
        </w:rPr>
        <w:t>聚焦于项目需求与候选人能力的匹配度</w:t>
      </w:r>
      <w:r>
        <w:rPr>
          <w:rFonts w:hint="eastAsia" w:ascii="宋体" w:hAnsi="宋体" w:eastAsia="宋体" w:cs="宋体"/>
          <w:color w:val="auto"/>
          <w:sz w:val="24"/>
          <w:szCs w:val="24"/>
          <w:highlight w:val="none"/>
          <w:u w:val="none"/>
          <w:shd w:val="clear" w:color="auto" w:fill="FFFFFF"/>
          <w:lang w:eastAsia="zh-CN"/>
        </w:rPr>
        <w:t>。</w:t>
      </w:r>
    </w:p>
    <w:p>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firstLine="482" w:firstLine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5.1.3.</w:t>
      </w:r>
      <w:r>
        <w:rPr>
          <w:rFonts w:hint="eastAsia" w:ascii="宋体" w:hAnsi="宋体" w:eastAsia="宋体" w:cs="宋体"/>
          <w:b/>
          <w:bCs/>
          <w:color w:val="auto"/>
          <w:sz w:val="24"/>
          <w:szCs w:val="24"/>
          <w:highlight w:val="none"/>
          <w:u w:val="none"/>
          <w:shd w:val="clear" w:color="auto" w:fill="FFFFFF"/>
        </w:rPr>
        <w:t>疑问澄清</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color w:val="auto"/>
          <w:sz w:val="24"/>
          <w:szCs w:val="24"/>
          <w:highlight w:val="none"/>
          <w:u w:val="none"/>
          <w:shd w:val="clear" w:color="auto" w:fill="FFFFFF"/>
        </w:rPr>
        <w:t>讨论过程中，若成员对投标文件内容或项目细节存在疑问，可向招标人代表提出。招标人应现场作出答复，答复内容不得改变招标文件和投标文件的实质性内容，不得明示或暗示中标人。问答过程需形成书面记录，并由提问人与答复人签字确认。</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5.1.4.投票，收票，点票和汇总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eastAsia="zh-CN"/>
        </w:rPr>
        <w:t>定标委员会成员按照票决定标法程序，根据公平、公正、择优原则，独立完成票决后，统一由定标工作人员收集、清点，并对票数进行汇总排名。得票相同且影响中标候选人排序确定的，可由定标委员会对总票数相同的单位进行再次票决确定排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bCs/>
          <w:color w:val="auto"/>
          <w:kern w:val="0"/>
          <w:sz w:val="24"/>
          <w:szCs w:val="24"/>
          <w:highlight w:val="none"/>
          <w:u w:val="none"/>
          <w:shd w:val="clear" w:color="auto" w:fill="FFFFFF"/>
          <w:lang w:val="en-US" w:eastAsia="zh-CN" w:bidi="ar-SA"/>
        </w:rPr>
        <w:t>5.1.5.公布结果和出具定标报告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color w:val="auto"/>
          <w:sz w:val="24"/>
          <w:szCs w:val="24"/>
          <w:highlight w:val="none"/>
          <w:lang w:eastAsia="zh-CN"/>
        </w:rPr>
        <w:t>点票工作完成后，定标委员会组长汇总定标结果，编制定标报告，确定中标候选人，全体成员签名。</w:t>
      </w:r>
    </w:p>
    <w:p>
      <w:pPr>
        <w:pStyle w:val="15"/>
        <w:keepNext w:val="0"/>
        <w:keepLines w:val="0"/>
        <w:pageBreakBefore w:val="0"/>
        <w:numPr>
          <w:ilvl w:val="0"/>
          <w:numId w:val="0"/>
        </w:numPr>
        <w:shd w:val="clear" w:color="auto" w:fill="FFFFFF"/>
        <w:kinsoku/>
        <w:wordWrap/>
        <w:overflowPunct/>
        <w:topLinePunct w:val="0"/>
        <w:autoSpaceDE/>
        <w:autoSpaceDN/>
        <w:bidi w:val="0"/>
        <w:adjustRightInd/>
        <w:snapToGrid/>
        <w:spacing w:before="0" w:beforeLines="0" w:beforeAutospacing="0" w:after="0" w:afterLines="0" w:afterAutospacing="0" w:line="360" w:lineRule="exact"/>
        <w:ind w:leftChars="200"/>
        <w:jc w:val="both"/>
        <w:textAlignment w:val="auto"/>
        <w:outlineLvl w:val="9"/>
        <w:rPr>
          <w:rFonts w:hint="eastAsia" w:ascii="宋体" w:hAnsi="宋体" w:eastAsia="宋体" w:cs="宋体"/>
          <w:b/>
          <w:bCs/>
          <w:color w:val="auto"/>
          <w:sz w:val="24"/>
          <w:szCs w:val="24"/>
          <w:highlight w:val="none"/>
          <w:u w:val="none"/>
          <w:shd w:val="clear" w:color="auto" w:fill="FFFFFF"/>
        </w:rPr>
      </w:pPr>
      <w:r>
        <w:rPr>
          <w:rFonts w:hint="eastAsia" w:ascii="宋体" w:hAnsi="宋体" w:eastAsia="宋体" w:cs="宋体"/>
          <w:b/>
          <w:bCs/>
          <w:color w:val="auto"/>
          <w:spacing w:val="0"/>
          <w:position w:val="0"/>
          <w:sz w:val="24"/>
          <w:szCs w:val="24"/>
          <w:highlight w:val="none"/>
          <w:u w:val="none" w:color="auto"/>
          <w:lang w:val="en-US" w:eastAsia="zh-CN"/>
        </w:rPr>
        <w:t>5.1.6.</w:t>
      </w:r>
      <w:r>
        <w:rPr>
          <w:rFonts w:hint="eastAsia" w:ascii="宋体" w:hAnsi="宋体" w:eastAsia="宋体" w:cs="宋体"/>
          <w:b/>
          <w:bCs/>
          <w:color w:val="auto"/>
          <w:sz w:val="24"/>
          <w:szCs w:val="24"/>
          <w:highlight w:val="none"/>
          <w:u w:val="none"/>
          <w:shd w:val="clear" w:color="auto" w:fill="FFFFFF"/>
        </w:rPr>
        <w:t>全程监督</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招标监督小组对集体议定的全过程进行监督，确保程序合规、讨论充分、记录完整，结论形成过程公正、透明。</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spacing w:val="0"/>
          <w:position w:val="0"/>
          <w:sz w:val="24"/>
          <w:szCs w:val="24"/>
          <w:highlight w:val="none"/>
          <w:u w:val="none" w:color="auto"/>
          <w:lang w:val="en-US" w:eastAsia="zh-CN"/>
        </w:rPr>
      </w:pPr>
      <w:r>
        <w:rPr>
          <w:rFonts w:hint="eastAsia" w:ascii="宋体" w:hAnsi="宋体" w:eastAsia="宋体" w:cs="宋体"/>
          <w:b/>
          <w:bCs/>
          <w:color w:val="auto"/>
          <w:spacing w:val="0"/>
          <w:position w:val="0"/>
          <w:sz w:val="24"/>
          <w:szCs w:val="24"/>
          <w:highlight w:val="none"/>
          <w:u w:val="none" w:color="auto"/>
          <w:lang w:val="en-US" w:eastAsia="zh-CN"/>
        </w:rPr>
        <w:t>5.2定标因素</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i/>
          <w:iCs/>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在同等条件下，择优的定标因素和相对标准有以下几个方面：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1</w:t>
      </w:r>
      <w:r>
        <w:rPr>
          <w:rFonts w:hint="eastAsia" w:ascii="宋体" w:hAnsi="宋体" w:eastAsia="宋体" w:cs="宋体"/>
          <w:b w:val="0"/>
          <w:bCs w:val="0"/>
          <w:color w:val="auto"/>
          <w:spacing w:val="0"/>
          <w:position w:val="0"/>
          <w:sz w:val="24"/>
          <w:szCs w:val="24"/>
          <w:highlight w:val="none"/>
          <w:u w:val="none" w:color="auto"/>
          <w:lang w:val="en-US" w:eastAsia="zh-CN"/>
        </w:rPr>
        <w:t>）企业信誉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相对标准：企业信誉评价好的定标候选人优于企业信誉评价一般的定标候选人。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2</w:t>
      </w:r>
      <w:r>
        <w:rPr>
          <w:rFonts w:hint="eastAsia" w:ascii="宋体" w:hAnsi="宋体" w:eastAsia="宋体" w:cs="宋体"/>
          <w:b w:val="0"/>
          <w:bCs w:val="0"/>
          <w:color w:val="auto"/>
          <w:spacing w:val="0"/>
          <w:position w:val="0"/>
          <w:sz w:val="24"/>
          <w:szCs w:val="24"/>
          <w:highlight w:val="none"/>
          <w:u w:val="none" w:color="auto"/>
          <w:lang w:val="en-US" w:eastAsia="zh-CN"/>
        </w:rPr>
        <w:t>）农民工工资保障情况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spacing w:val="0"/>
          <w:position w:val="0"/>
          <w:sz w:val="24"/>
          <w:szCs w:val="24"/>
          <w:highlight w:val="none"/>
          <w:u w:val="none" w:color="auto"/>
          <w:lang w:val="en-US" w:eastAsia="zh-CN"/>
        </w:rPr>
        <w:t>相对标准：农民工工资保障情况好的定标候选人优于农民工工资保障情况差的定标候选人（结合</w:t>
      </w:r>
      <w:r>
        <w:rPr>
          <w:rFonts w:hint="eastAsia" w:ascii="宋体" w:hAnsi="宋体" w:eastAsia="宋体" w:cs="宋体"/>
          <w:b w:val="0"/>
          <w:bCs w:val="0"/>
          <w:color w:val="auto"/>
          <w:kern w:val="0"/>
          <w:sz w:val="24"/>
          <w:szCs w:val="24"/>
          <w:highlight w:val="none"/>
          <w:u w:val="none"/>
          <w:shd w:val="clear" w:color="auto" w:fill="FFFFFF"/>
          <w:lang w:val="en-US" w:eastAsia="zh-CN" w:bidi="ar-SA"/>
        </w:rPr>
        <w:t>定标候选人提交的证明材料和招标人查询的材料进行评审）。</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3</w:t>
      </w:r>
      <w:r>
        <w:rPr>
          <w:rFonts w:hint="eastAsia" w:ascii="宋体" w:hAnsi="宋体" w:eastAsia="宋体" w:cs="宋体"/>
          <w:b w:val="0"/>
          <w:bCs w:val="0"/>
          <w:color w:val="auto"/>
          <w:spacing w:val="0"/>
          <w:position w:val="0"/>
          <w:sz w:val="24"/>
          <w:szCs w:val="24"/>
          <w:highlight w:val="none"/>
          <w:u w:val="none" w:color="auto"/>
          <w:lang w:val="en-US" w:eastAsia="zh-CN"/>
        </w:rPr>
        <w:t>）拟派团队管理能力与水平（履约能力）</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相对标准：拟派团队管理能力与水平（履约能力）强的定标候选人优于拟派团队管理能力与水平（履约能力）一般的定标候选人。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w:t>
      </w:r>
      <w:r>
        <w:rPr>
          <w:rFonts w:hint="eastAsia" w:hAnsi="宋体" w:cs="宋体"/>
          <w:b w:val="0"/>
          <w:bCs w:val="0"/>
          <w:color w:val="auto"/>
          <w:spacing w:val="0"/>
          <w:position w:val="0"/>
          <w:sz w:val="24"/>
          <w:szCs w:val="24"/>
          <w:highlight w:val="none"/>
          <w:u w:val="none" w:color="auto"/>
          <w:lang w:val="en-US" w:eastAsia="zh-CN"/>
        </w:rPr>
        <w:t>4</w:t>
      </w:r>
      <w:r>
        <w:rPr>
          <w:rFonts w:hint="eastAsia" w:ascii="宋体" w:hAnsi="宋体" w:eastAsia="宋体" w:cs="宋体"/>
          <w:b w:val="0"/>
          <w:bCs w:val="0"/>
          <w:color w:val="auto"/>
          <w:spacing w:val="0"/>
          <w:position w:val="0"/>
          <w:sz w:val="24"/>
          <w:szCs w:val="24"/>
          <w:highlight w:val="none"/>
          <w:u w:val="none" w:color="auto"/>
          <w:lang w:val="en-US" w:eastAsia="zh-CN"/>
        </w:rPr>
        <w:t>）评标报告</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spacing w:val="0"/>
          <w:position w:val="0"/>
          <w:sz w:val="24"/>
          <w:szCs w:val="24"/>
          <w:highlight w:val="none"/>
          <w:u w:val="none" w:color="auto"/>
          <w:lang w:val="en-US" w:eastAsia="zh-CN"/>
        </w:rPr>
      </w:pPr>
      <w:r>
        <w:rPr>
          <w:rFonts w:hint="eastAsia" w:ascii="宋体" w:hAnsi="宋体" w:eastAsia="宋体" w:cs="宋体"/>
          <w:b w:val="0"/>
          <w:bCs w:val="0"/>
          <w:color w:val="auto"/>
          <w:spacing w:val="0"/>
          <w:position w:val="0"/>
          <w:sz w:val="24"/>
          <w:szCs w:val="24"/>
          <w:highlight w:val="none"/>
          <w:u w:val="none" w:color="auto"/>
          <w:lang w:val="en-US" w:eastAsia="zh-CN"/>
        </w:rPr>
        <w:t>相对标准：评标委员会评审意见为具有优势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低</w:t>
      </w:r>
      <w:r>
        <w:rPr>
          <w:rFonts w:hint="eastAsia" w:ascii="宋体" w:hAnsi="宋体" w:eastAsia="宋体" w:cs="宋体"/>
          <w:b w:val="0"/>
          <w:bCs w:val="0"/>
          <w:color w:val="auto"/>
          <w:spacing w:val="0"/>
          <w:position w:val="0"/>
          <w:sz w:val="24"/>
          <w:szCs w:val="24"/>
          <w:highlight w:val="none"/>
          <w:u w:val="none" w:color="auto"/>
          <w:lang w:val="en-US" w:eastAsia="zh-CN"/>
        </w:rPr>
        <w:t>的定标候选人优于评标委员会评审意见为没有优势</w:t>
      </w:r>
      <w:r>
        <w:rPr>
          <w:rFonts w:hint="eastAsia" w:ascii="宋体" w:hAnsi="宋体" w:eastAsia="宋体" w:cs="宋体"/>
          <w:color w:val="auto"/>
          <w:sz w:val="24"/>
          <w:szCs w:val="24"/>
          <w:highlight w:val="none"/>
        </w:rPr>
        <w:t>风险</w:t>
      </w:r>
      <w:r>
        <w:rPr>
          <w:rFonts w:hint="eastAsia" w:ascii="宋体" w:hAnsi="宋体" w:eastAsia="宋体" w:cs="宋体"/>
          <w:color w:val="auto"/>
          <w:sz w:val="24"/>
          <w:szCs w:val="24"/>
          <w:highlight w:val="none"/>
          <w:lang w:val="en-US" w:eastAsia="zh-CN"/>
        </w:rPr>
        <w:t>高</w:t>
      </w:r>
      <w:r>
        <w:rPr>
          <w:rFonts w:hint="eastAsia" w:ascii="宋体" w:hAnsi="宋体" w:eastAsia="宋体" w:cs="宋体"/>
          <w:b w:val="0"/>
          <w:bCs w:val="0"/>
          <w:color w:val="auto"/>
          <w:spacing w:val="0"/>
          <w:position w:val="0"/>
          <w:sz w:val="24"/>
          <w:szCs w:val="24"/>
          <w:highlight w:val="none"/>
          <w:u w:val="none" w:color="auto"/>
          <w:lang w:val="en-US" w:eastAsia="zh-CN"/>
        </w:rPr>
        <w:t>的</w:t>
      </w:r>
      <w:r>
        <w:rPr>
          <w:rFonts w:hint="eastAsia" w:ascii="宋体" w:hAnsi="宋体" w:eastAsia="宋体" w:cs="宋体"/>
          <w:color w:val="auto"/>
          <w:sz w:val="24"/>
          <w:szCs w:val="24"/>
          <w:highlight w:val="none"/>
        </w:rPr>
        <w:t>定标候选人</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综合考虑评标委员会的评审意见，对各定标候选人</w:t>
      </w:r>
      <w:r>
        <w:rPr>
          <w:rFonts w:hint="eastAsia" w:ascii="宋体" w:hAnsi="宋体" w:eastAsia="宋体" w:cs="宋体"/>
          <w:color w:val="auto"/>
          <w:sz w:val="24"/>
          <w:szCs w:val="24"/>
          <w:highlight w:val="none"/>
        </w:rPr>
        <w:t>的优势、风险等评审情况</w:t>
      </w:r>
      <w:r>
        <w:rPr>
          <w:rFonts w:hint="eastAsia" w:ascii="宋体" w:hAnsi="宋体" w:eastAsia="宋体" w:cs="宋体"/>
          <w:b w:val="0"/>
          <w:bCs w:val="0"/>
          <w:color w:val="auto"/>
          <w:spacing w:val="0"/>
          <w:position w:val="0"/>
          <w:sz w:val="24"/>
          <w:szCs w:val="24"/>
          <w:highlight w:val="none"/>
          <w:u w:val="none" w:color="auto"/>
          <w:lang w:val="en-US" w:eastAsia="zh-CN"/>
        </w:rPr>
        <w:t>进行评审比较</w:t>
      </w:r>
      <w:r>
        <w:rPr>
          <w:rFonts w:hint="eastAsia" w:ascii="宋体" w:hAnsi="宋体" w:eastAsia="宋体" w:cs="宋体"/>
          <w:color w:val="auto"/>
          <w:sz w:val="24"/>
          <w:szCs w:val="24"/>
          <w:highlight w:val="none"/>
          <w:lang w:eastAsia="zh-CN"/>
        </w:rPr>
        <w:t>）</w:t>
      </w:r>
      <w:r>
        <w:rPr>
          <w:rFonts w:hint="eastAsia" w:ascii="宋体" w:hAnsi="宋体" w:eastAsia="宋体" w:cs="宋体"/>
          <w:b w:val="0"/>
          <w:bCs w:val="0"/>
          <w:color w:val="auto"/>
          <w:spacing w:val="0"/>
          <w:position w:val="0"/>
          <w:sz w:val="24"/>
          <w:szCs w:val="24"/>
          <w:highlight w:val="none"/>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6.定标结果公示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lang w:val="en-US" w:eastAsia="zh-CN"/>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定标委员会完成定标</w:t>
      </w:r>
      <w:r>
        <w:rPr>
          <w:rStyle w:val="20"/>
          <w:rFonts w:hint="eastAsia" w:ascii="宋体" w:hAnsi="宋体" w:eastAsia="宋体" w:cs="宋体"/>
          <w:b w:val="0"/>
          <w:bCs w:val="0"/>
          <w:color w:val="auto"/>
          <w:kern w:val="0"/>
          <w:sz w:val="24"/>
          <w:szCs w:val="24"/>
          <w:highlight w:val="none"/>
          <w:lang w:val="en-US" w:eastAsia="zh-CN"/>
        </w:rPr>
        <w:t>后</w:t>
      </w:r>
      <w:r>
        <w:rPr>
          <w:rStyle w:val="20"/>
          <w:rFonts w:hint="eastAsia" w:ascii="宋体" w:hAnsi="宋体" w:eastAsia="宋体" w:cs="宋体"/>
          <w:color w:val="auto"/>
          <w:kern w:val="0"/>
          <w:sz w:val="24"/>
          <w:szCs w:val="24"/>
          <w:highlight w:val="none"/>
          <w:lang w:val="en-US" w:eastAsia="zh-CN"/>
        </w:rPr>
        <w:t>，招标人应于定标会结束后3日内将中标候选人和定标情况在广东省招标投标监管网和</w:t>
      </w:r>
      <w:r>
        <w:rPr>
          <w:rStyle w:val="20"/>
          <w:rFonts w:hint="eastAsia" w:hAnsi="宋体" w:cs="宋体"/>
          <w:color w:val="auto"/>
          <w:kern w:val="0"/>
          <w:sz w:val="24"/>
          <w:szCs w:val="24"/>
          <w:highlight w:val="none"/>
          <w:lang w:val="en-US" w:eastAsia="zh-CN"/>
        </w:rPr>
        <w:t>全国公共资源交易平台（广东省·韶关市）</w:t>
      </w:r>
      <w:r>
        <w:rPr>
          <w:rStyle w:val="20"/>
          <w:rFonts w:hint="eastAsia" w:ascii="宋体" w:hAnsi="宋体" w:eastAsia="宋体" w:cs="宋体"/>
          <w:color w:val="auto"/>
          <w:kern w:val="0"/>
          <w:sz w:val="24"/>
          <w:szCs w:val="24"/>
          <w:highlight w:val="none"/>
          <w:lang w:val="en-US" w:eastAsia="zh-CN"/>
        </w:rPr>
        <w:t>上公示，公示时间不少于3日。公示主要内容包括：公示主要内容包括：定标报告（定标成员信息除外）、中标人名单、中标价和拟投入本项目的项目负责人、技术负责人及各专业负责人（如有）等内容。</w:t>
      </w:r>
    </w:p>
    <w:p>
      <w:pPr>
        <w:rPr>
          <w:rFonts w:hint="eastAsia"/>
          <w:color w:val="auto"/>
          <w:sz w:val="24"/>
          <w:szCs w:val="24"/>
          <w:highlight w:val="none"/>
          <w:lang w:val="en-US" w:eastAsia="zh-CN"/>
        </w:rPr>
      </w:pPr>
    </w:p>
    <w:p>
      <w:pPr>
        <w:rPr>
          <w:rStyle w:val="20"/>
          <w:rFonts w:hint="eastAsia" w:ascii="Times New Roman" w:hAnsi="宋体" w:eastAsia="宋体" w:cs="Times New Roman"/>
          <w:b/>
          <w:bCs/>
          <w:color w:val="auto"/>
          <w:sz w:val="24"/>
          <w:szCs w:val="24"/>
          <w:highlight w:val="none"/>
        </w:rPr>
      </w:pPr>
      <w:bookmarkStart w:id="71" w:name="_Toc209"/>
      <w:r>
        <w:rPr>
          <w:rStyle w:val="20"/>
          <w:rFonts w:hint="eastAsia" w:ascii="Times New Roman" w:hAnsi="宋体" w:eastAsia="宋体" w:cs="Times New Roman"/>
          <w:b/>
          <w:bCs/>
          <w:color w:val="auto"/>
          <w:sz w:val="24"/>
          <w:szCs w:val="24"/>
          <w:highlight w:val="none"/>
        </w:rPr>
        <w:br w:type="page"/>
      </w:r>
    </w:p>
    <w:p>
      <w:pPr>
        <w:tabs>
          <w:tab w:val="left" w:pos="885"/>
        </w:tabs>
        <w:snapToGrid w:val="0"/>
        <w:jc w:val="center"/>
        <w:outlineLvl w:val="1"/>
        <w:rPr>
          <w:rStyle w:val="20"/>
          <w:rFonts w:hint="eastAsia" w:ascii="Times New Roman" w:hAnsi="宋体" w:eastAsia="宋体" w:cs="Times New Roman"/>
          <w:b/>
          <w:bCs/>
          <w:color w:val="auto"/>
          <w:sz w:val="24"/>
          <w:szCs w:val="24"/>
          <w:highlight w:val="none"/>
          <w:lang w:val="en-US" w:eastAsia="zh-CN"/>
        </w:rPr>
      </w:pPr>
      <w:bookmarkStart w:id="72" w:name="_Toc10952"/>
      <w:r>
        <w:rPr>
          <w:rStyle w:val="20"/>
          <w:rFonts w:hint="eastAsia" w:ascii="Times New Roman" w:hAnsi="宋体" w:eastAsia="宋体" w:cs="Times New Roman"/>
          <w:b/>
          <w:bCs/>
          <w:color w:val="auto"/>
          <w:sz w:val="24"/>
          <w:szCs w:val="24"/>
          <w:highlight w:val="none"/>
        </w:rPr>
        <w:t>第</w:t>
      </w:r>
      <w:r>
        <w:rPr>
          <w:rStyle w:val="20"/>
          <w:rFonts w:hint="eastAsia" w:ascii="Times New Roman" w:hAnsi="宋体" w:eastAsia="宋体" w:cs="Times New Roman"/>
          <w:b/>
          <w:bCs/>
          <w:color w:val="auto"/>
          <w:sz w:val="24"/>
          <w:szCs w:val="24"/>
          <w:highlight w:val="none"/>
          <w:lang w:val="en-US" w:eastAsia="zh-CN"/>
        </w:rPr>
        <w:t>六</w:t>
      </w:r>
      <w:r>
        <w:rPr>
          <w:rStyle w:val="20"/>
          <w:rFonts w:hint="eastAsia" w:ascii="Times New Roman" w:hAnsi="宋体" w:eastAsia="宋体" w:cs="Times New Roman"/>
          <w:b/>
          <w:bCs/>
          <w:color w:val="auto"/>
          <w:sz w:val="24"/>
          <w:szCs w:val="24"/>
          <w:highlight w:val="none"/>
        </w:rPr>
        <w:t>节 中标人确认</w:t>
      </w:r>
      <w:bookmarkEnd w:id="71"/>
      <w:bookmarkEnd w:id="72"/>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bCs/>
          <w:color w:val="auto"/>
          <w:kern w:val="0"/>
          <w:sz w:val="24"/>
          <w:szCs w:val="24"/>
          <w:highlight w:val="none"/>
          <w:u w:val="none"/>
          <w:shd w:val="clear" w:color="auto" w:fill="FFFFFF"/>
          <w:lang w:val="en-US" w:eastAsia="zh-CN" w:bidi="ar-SA"/>
        </w:rPr>
      </w:pPr>
      <w:r>
        <w:rPr>
          <w:rFonts w:hint="eastAsia" w:ascii="宋体" w:hAnsi="宋体" w:eastAsia="宋体" w:cs="宋体"/>
          <w:b/>
          <w:bCs/>
          <w:color w:val="auto"/>
          <w:kern w:val="0"/>
          <w:sz w:val="24"/>
          <w:szCs w:val="24"/>
          <w:highlight w:val="none"/>
          <w:u w:val="none"/>
          <w:shd w:val="clear" w:color="auto" w:fill="FFFFFF"/>
          <w:lang w:val="en-US" w:eastAsia="zh-CN" w:bidi="ar-SA"/>
        </w:rPr>
        <w:t>1.中标人确定</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1.1 中标人确定。中标结果公示期满无异议的，招标人确认排名第一的中标候选人为中标人，中标人的投标报价即为中标价。</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1.2 中标人确定后，招标人应当于7日内在线完成加盖招标人单位电子签章的中标通知书并发放到中标人及各相关单位。招标人最迟应当在投标有效期届满30日前发出中标通知书，否则，应当按照本投标人须知投标有效期的规定延长投标有效期。</w:t>
      </w:r>
      <w:r>
        <w:rPr>
          <w:rFonts w:hint="eastAsia" w:ascii="宋体" w:hAnsi="宋体" w:eastAsia="宋体" w:cs="宋体"/>
          <w:snapToGrid w:val="0"/>
          <w:color w:val="auto"/>
          <w:kern w:val="0"/>
          <w:sz w:val="24"/>
          <w:szCs w:val="24"/>
          <w:highlight w:val="none"/>
        </w:rPr>
        <w:t>在中标通知书发出后5个工作日内，韶关市公共资源交易中心将投标保证金（或银行保函）退还给中标候选人以外的投标人。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1.3 招标人应当自中标通知书发出之日起15日内，通过广东省招标投标监管网和公共资源交易平台发布中标结果公示。 招标人应当自确定中标人之日起15日内，在线向有关招标管理部门提交招标投标情况的书面报告。</w:t>
      </w:r>
    </w:p>
    <w:p>
      <w:pPr>
        <w:keepNext w:val="0"/>
        <w:keepLines w:val="0"/>
        <w:pageBreakBefore w:val="0"/>
        <w:widowControl w:val="0"/>
        <w:shd w:val="clear" w:color="auto" w:fill="auto"/>
        <w:kinsoku/>
        <w:wordWrap/>
        <w:overflowPunct/>
        <w:topLinePunct w:val="0"/>
        <w:autoSpaceDE/>
        <w:autoSpaceDN/>
        <w:bidi w:val="0"/>
        <w:adjustRightInd/>
        <w:snapToGrid/>
        <w:spacing w:line="400" w:lineRule="exact"/>
        <w:ind w:left="0" w:leftChars="0" w:right="0" w:rightChars="0" w:firstLine="482" w:firstLineChars="200"/>
        <w:jc w:val="both"/>
        <w:textAlignment w:val="auto"/>
        <w:outlineLvl w:val="9"/>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lang w:val="en-US"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异议和投诉</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2.1 投标人或者其他利害关系人对招标项目的评标和中标结果有异议的，应当在定标候选人和中标候选人公示期间按规定线上向招标人提出，逾期提出的不予受理。招标人自收到异议之日起3日内作出答复；作出答复前，应当暂停招标投标活动。经招标人书面答复，异议人仍不满意的，可在法律规定的时限内向行政监督部门提出书面投诉。异议（投诉）提出、处理的具体办法和要求，按照《韶关市工程建设项目招标投标活动异议和投诉处理办法》（韶发改〔2021〕44号）执行。</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2.2在定标候选人和中标候选人公示期间有关评标结果的异议成立的，招标人原则上应当组织原评标委员会和原定标委员会对有关的问题予以纠正，问题纠正后再公示定标候选人和中标候选人。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2.3投标人或其他利害关系人认为招标投标活动不符合法律、行政法规规定的，可以自知道或者应当知道之日起10日内按规定线上向有关招标管理部门投诉。投诉应当有明确的请求和必要的证明材料。招标管理部门应当自收到投诉之日起30个工作日内作出书面处理决定。</w:t>
      </w:r>
    </w:p>
    <w:p>
      <w:pPr>
        <w:pStyle w:val="15"/>
        <w:keepNext w:val="0"/>
        <w:keepLines w:val="0"/>
        <w:pageBreakBefore w:val="0"/>
        <w:widowControl w:val="0"/>
        <w:shd w:val="clear" w:color="auto" w:fill="auto"/>
        <w:kinsoku/>
        <w:wordWrap/>
        <w:overflowPunct/>
        <w:topLinePunct w:val="0"/>
        <w:bidi w:val="0"/>
        <w:adjustRightInd/>
        <w:snapToGrid/>
        <w:spacing w:before="0" w:beforeLines="0" w:after="0" w:afterLines="0" w:line="340" w:lineRule="exact"/>
        <w:ind w:left="0" w:leftChars="0" w:firstLine="482" w:firstLineChars="200"/>
        <w:jc w:val="both"/>
        <w:textAlignment w:val="auto"/>
        <w:outlineLvl w:val="9"/>
        <w:rPr>
          <w:rFonts w:hint="eastAsia" w:ascii="宋体" w:hAnsi="宋体" w:eastAsia="宋体" w:cs="宋体"/>
          <w:b/>
          <w:bCs/>
          <w:i/>
          <w:color w:val="auto"/>
          <w:sz w:val="24"/>
          <w:szCs w:val="24"/>
          <w:highlight w:val="none"/>
        </w:rPr>
      </w:pPr>
      <w:bookmarkStart w:id="73" w:name="_Toc236550039"/>
      <w:r>
        <w:rPr>
          <w:rStyle w:val="18"/>
          <w:rFonts w:hint="eastAsia" w:ascii="宋体" w:hAnsi="宋体" w:eastAsia="宋体" w:cs="宋体"/>
          <w:b/>
          <w:bCs/>
          <w:i w:val="0"/>
          <w:color w:val="auto"/>
          <w:sz w:val="24"/>
          <w:szCs w:val="24"/>
          <w:highlight w:val="none"/>
          <w:lang w:val="en-US" w:eastAsia="zh-CN"/>
        </w:rPr>
        <w:t>3</w:t>
      </w:r>
      <w:r>
        <w:rPr>
          <w:rStyle w:val="18"/>
          <w:rFonts w:hint="eastAsia" w:ascii="宋体" w:hAnsi="宋体" w:eastAsia="宋体" w:cs="宋体"/>
          <w:b/>
          <w:bCs/>
          <w:i w:val="0"/>
          <w:color w:val="auto"/>
          <w:sz w:val="24"/>
          <w:szCs w:val="24"/>
          <w:highlight w:val="none"/>
        </w:rPr>
        <w:t>．废除授标</w:t>
      </w:r>
      <w:bookmarkEnd w:id="73"/>
      <w:r>
        <w:rPr>
          <w:rStyle w:val="18"/>
          <w:rFonts w:hint="eastAsia" w:ascii="宋体" w:hAnsi="宋体" w:eastAsia="宋体" w:cs="宋体"/>
          <w:b/>
          <w:bCs/>
          <w:i w:val="0"/>
          <w:color w:val="auto"/>
          <w:sz w:val="24"/>
          <w:szCs w:val="24"/>
          <w:highlight w:val="none"/>
        </w:rPr>
        <w:t>及授标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3.1评定标完成后，中标候选人有下列情形之一的，招标人应按规定取消中标候选人资格或废除授标：</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（1）以他人名义投标或者以其他方式弄虚作假骗取中标的；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（2）与其他投标人串通投标或以行贿的手段谋取中标的；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（3）不是从本投标企业基本账户提交投标担保或以虚假方式提交投标保证金保函（保单）的；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（4）中标人于投标有效期终止之前撤回投标文件，或者排名第一的中标候选人放弃中标资格的；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（5）因中标人过错而未能按照规定与招标人签订工程总承包合同或中标人因不可抗力提出不能履行合同的；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（6）因中标人过错而未能按照招标文件要求向招标人提交履约担保的；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（7）中标单位拟派的项目负责人从投标截止时间起在其他建设工程担任项目负责人；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（8）中标人被有关部门查实存在影响中标结果的违法行为，不符合中标条件的；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（9）中标人在参加本项目投标时有本企业投标承诺书所列被依法限制或暂停承揽业务或停业的处罚的；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（10）招标文件明确规定可以废除授标的其他情形。</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3.2 排名第一的中标候选人被取消中标候选人资格或废除授标，招标人可以按照定标委员会提出的中标候选人名单排序按规定依次确定其他中标候选人为中标人，并按规定实行中标结果公示；也可以按规定重新组织招标或报原项目审批、核准部门重新审批、核准招标方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3.3 招标人有下列情形之一的，应依法承担相应的责任：</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（1）无正当理由不发出中标通知书的；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（2）招标人不按照规定确定中标人的；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（3）中标通知书发出后无正当理由改变中标结果的；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宋体" w:hAnsi="宋体" w:eastAsia="宋体" w:cs="宋体"/>
          <w:b w:val="0"/>
          <w:bCs w:val="0"/>
          <w:color w:val="auto"/>
          <w:kern w:val="0"/>
          <w:sz w:val="24"/>
          <w:szCs w:val="24"/>
          <w:highlight w:val="none"/>
          <w:u w:val="none"/>
          <w:shd w:val="clear" w:color="auto" w:fill="FFFFFF"/>
          <w:lang w:val="en-US" w:eastAsia="zh-CN" w:bidi="ar-SA"/>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（4）无正当理由不与中标人签订工程总承包合同的；</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Style w:val="20"/>
          <w:rFonts w:hint="eastAsia" w:ascii="宋体" w:hAnsi="宋体" w:eastAsia="宋体" w:cs="宋体"/>
          <w:color w:val="auto"/>
          <w:kern w:val="0"/>
          <w:sz w:val="24"/>
          <w:szCs w:val="24"/>
          <w:highlight w:val="none"/>
        </w:rPr>
      </w:pPr>
      <w:r>
        <w:rPr>
          <w:rFonts w:hint="eastAsia" w:ascii="宋体" w:hAnsi="宋体" w:eastAsia="宋体" w:cs="宋体"/>
          <w:b w:val="0"/>
          <w:bCs w:val="0"/>
          <w:color w:val="auto"/>
          <w:kern w:val="0"/>
          <w:sz w:val="24"/>
          <w:szCs w:val="24"/>
          <w:highlight w:val="none"/>
          <w:u w:val="none"/>
          <w:shd w:val="clear" w:color="auto" w:fill="FFFFFF"/>
          <w:lang w:val="en-US" w:eastAsia="zh-CN" w:bidi="ar-SA"/>
        </w:rPr>
        <w:t>（5）在签订工程总承包合同时向中标人提出附加条件或者更改合同实质性内容的。</w:t>
      </w:r>
    </w:p>
    <w:p>
      <w:pPr>
        <w:rPr>
          <w:rFonts w:hint="eastAsia"/>
          <w:color w:val="auto"/>
          <w:highlight w:val="none"/>
        </w:rPr>
        <w:sectPr>
          <w:endnotePr>
            <w:numFmt w:val="decimal"/>
          </w:endnotePr>
          <w:pgSz w:w="11906" w:h="16838"/>
          <w:pgMar w:top="1247" w:right="1304" w:bottom="1247" w:left="1304" w:header="850" w:footer="544" w:gutter="0"/>
          <w:cols w:space="720" w:num="1"/>
          <w:rtlGutter w:val="0"/>
          <w:docGrid w:linePitch="327" w:charSpace="0"/>
        </w:sectPr>
      </w:pPr>
    </w:p>
    <w:p>
      <w:pPr>
        <w:snapToGrid w:val="0"/>
        <w:spacing w:line="440" w:lineRule="exact"/>
        <w:ind w:firstLine="480"/>
        <w:jc w:val="center"/>
        <w:outlineLvl w:val="0"/>
        <w:rPr>
          <w:rStyle w:val="20"/>
          <w:rFonts w:hint="eastAsia" w:ascii="宋体" w:hAnsi="宋体" w:eastAsia="宋体" w:cs="宋体"/>
          <w:b/>
          <w:bCs/>
          <w:color w:val="auto"/>
          <w:kern w:val="0"/>
          <w:highlight w:val="none"/>
        </w:rPr>
      </w:pPr>
      <w:bookmarkStart w:id="74" w:name="_Toc28709"/>
      <w:bookmarkStart w:id="75" w:name="_Toc21527"/>
      <w:bookmarkStart w:id="76" w:name="_Toc2386"/>
      <w:bookmarkStart w:id="77" w:name="_Toc4077"/>
      <w:bookmarkStart w:id="78" w:name="_Toc28953"/>
      <w:bookmarkStart w:id="79" w:name="_Toc27143"/>
      <w:bookmarkStart w:id="80" w:name="_Toc30480"/>
      <w:bookmarkStart w:id="81" w:name="_Toc28787"/>
      <w:bookmarkStart w:id="82" w:name="_Toc6867"/>
      <w:bookmarkStart w:id="83" w:name="_Toc3347"/>
      <w:r>
        <w:rPr>
          <w:rStyle w:val="20"/>
          <w:rFonts w:hint="eastAsia" w:ascii="宋体" w:hAnsi="宋体" w:eastAsia="宋体" w:cs="宋体"/>
          <w:b/>
          <w:bCs/>
          <w:color w:val="auto"/>
          <w:kern w:val="0"/>
          <w:highlight w:val="none"/>
        </w:rPr>
        <w:t>第二章 中标人须知</w:t>
      </w:r>
      <w:bookmarkEnd w:id="74"/>
      <w:bookmarkEnd w:id="75"/>
      <w:bookmarkEnd w:id="76"/>
      <w:bookmarkEnd w:id="77"/>
      <w:bookmarkEnd w:id="78"/>
      <w:bookmarkEnd w:id="79"/>
      <w:bookmarkEnd w:id="80"/>
      <w:bookmarkEnd w:id="81"/>
      <w:bookmarkEnd w:id="82"/>
      <w:bookmarkEnd w:id="83"/>
    </w:p>
    <w:p>
      <w:pPr>
        <w:snapToGrid w:val="0"/>
        <w:spacing w:line="440" w:lineRule="exact"/>
        <w:ind w:firstLine="562"/>
        <w:outlineLvl w:val="1"/>
        <w:rPr>
          <w:rStyle w:val="20"/>
          <w:rFonts w:hint="eastAsia" w:ascii="宋体" w:hAnsi="宋体" w:eastAsia="宋体" w:cs="宋体"/>
          <w:color w:val="auto"/>
          <w:kern w:val="0"/>
          <w:highlight w:val="none"/>
        </w:rPr>
      </w:pPr>
      <w:bookmarkStart w:id="84" w:name="_Toc29237"/>
      <w:bookmarkStart w:id="85" w:name="_Toc61"/>
      <w:bookmarkStart w:id="86" w:name="_Toc19147"/>
      <w:bookmarkStart w:id="87" w:name="_Toc4987"/>
      <w:bookmarkStart w:id="88" w:name="_Toc16222"/>
      <w:bookmarkStart w:id="89" w:name="_Toc14325"/>
      <w:bookmarkStart w:id="90" w:name="_Toc17046"/>
      <w:bookmarkStart w:id="91" w:name="_Toc19623"/>
      <w:bookmarkStart w:id="92" w:name="_Toc22972"/>
      <w:bookmarkStart w:id="93" w:name="_Toc6149"/>
      <w:r>
        <w:rPr>
          <w:rStyle w:val="20"/>
          <w:rFonts w:hint="eastAsia" w:ascii="宋体" w:hAnsi="宋体" w:eastAsia="宋体" w:cs="宋体"/>
          <w:b/>
          <w:bCs/>
          <w:color w:val="auto"/>
          <w:kern w:val="0"/>
          <w:highlight w:val="none"/>
        </w:rPr>
        <w:t>1．中标通知书</w:t>
      </w:r>
      <w:bookmarkEnd w:id="84"/>
      <w:bookmarkEnd w:id="85"/>
      <w:bookmarkEnd w:id="86"/>
      <w:bookmarkEnd w:id="87"/>
      <w:bookmarkEnd w:id="88"/>
      <w:bookmarkEnd w:id="89"/>
      <w:bookmarkEnd w:id="90"/>
      <w:bookmarkEnd w:id="91"/>
      <w:bookmarkEnd w:id="92"/>
      <w:bookmarkEnd w:id="93"/>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招标人确定第一中标候选人为中标人，并在中标人确定之日起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pPr>
        <w:snapToGrid w:val="0"/>
        <w:spacing w:line="440" w:lineRule="exact"/>
        <w:ind w:firstLine="562"/>
        <w:rPr>
          <w:rStyle w:val="20"/>
          <w:rFonts w:hint="eastAsia" w:ascii="宋体" w:hAnsi="宋体" w:eastAsia="宋体" w:cs="宋体"/>
          <w:color w:val="auto"/>
          <w:kern w:val="0"/>
          <w:highlight w:val="none"/>
        </w:rPr>
      </w:pPr>
    </w:p>
    <w:p>
      <w:pPr>
        <w:snapToGrid w:val="0"/>
        <w:spacing w:line="440" w:lineRule="exact"/>
        <w:ind w:firstLine="562"/>
        <w:outlineLvl w:val="1"/>
        <w:rPr>
          <w:rStyle w:val="20"/>
          <w:rFonts w:hint="eastAsia" w:ascii="宋体" w:hAnsi="宋体" w:eastAsia="宋体" w:cs="宋体"/>
          <w:color w:val="auto"/>
          <w:kern w:val="0"/>
          <w:highlight w:val="none"/>
        </w:rPr>
      </w:pPr>
      <w:bookmarkStart w:id="94" w:name="_Toc18834"/>
      <w:bookmarkStart w:id="95" w:name="_Toc9149"/>
      <w:bookmarkStart w:id="96" w:name="_Toc7495"/>
      <w:bookmarkStart w:id="97" w:name="_Toc9352"/>
      <w:bookmarkStart w:id="98" w:name="_Toc250"/>
      <w:bookmarkStart w:id="99" w:name="_Toc10346"/>
      <w:bookmarkStart w:id="100" w:name="_Toc32016"/>
      <w:bookmarkStart w:id="101" w:name="_Toc26333"/>
      <w:bookmarkStart w:id="102" w:name="_Toc11550"/>
      <w:bookmarkStart w:id="103" w:name="_Toc13183"/>
      <w:r>
        <w:rPr>
          <w:rStyle w:val="20"/>
          <w:rFonts w:hint="eastAsia" w:ascii="宋体" w:hAnsi="宋体" w:eastAsia="宋体" w:cs="宋体"/>
          <w:b/>
          <w:bCs/>
          <w:color w:val="auto"/>
          <w:kern w:val="0"/>
          <w:highlight w:val="none"/>
        </w:rPr>
        <w:t>2．中标结果公示</w:t>
      </w:r>
      <w:bookmarkEnd w:id="94"/>
      <w:bookmarkEnd w:id="95"/>
      <w:bookmarkEnd w:id="96"/>
      <w:bookmarkEnd w:id="97"/>
      <w:bookmarkEnd w:id="98"/>
      <w:bookmarkEnd w:id="99"/>
      <w:bookmarkEnd w:id="100"/>
      <w:bookmarkEnd w:id="101"/>
      <w:bookmarkEnd w:id="102"/>
      <w:bookmarkEnd w:id="103"/>
    </w:p>
    <w:p>
      <w:pPr>
        <w:snapToGrid w:val="0"/>
        <w:spacing w:line="440" w:lineRule="exact"/>
        <w:ind w:firstLine="562"/>
        <w:rPr>
          <w:rStyle w:val="20"/>
          <w:rFonts w:hint="eastAsia" w:hAnsi="宋体"/>
          <w:color w:val="auto"/>
          <w:kern w:val="0"/>
          <w:highlight w:val="none"/>
        </w:rPr>
      </w:pPr>
      <w:r>
        <w:rPr>
          <w:rStyle w:val="20"/>
          <w:rFonts w:hint="eastAsia" w:ascii="宋体" w:hAnsi="宋体" w:eastAsia="宋体" w:cs="宋体"/>
          <w:color w:val="auto"/>
          <w:kern w:val="0"/>
          <w:highlight w:val="none"/>
        </w:rPr>
        <w:t>中标通知书发出后15日内，招标人应将中标结果</w:t>
      </w:r>
      <w:r>
        <w:rPr>
          <w:rFonts w:hint="eastAsia" w:ascii="宋体" w:hAnsi="宋体" w:eastAsia="宋体" w:cs="宋体"/>
          <w:snapToGrid w:val="0"/>
          <w:color w:val="auto"/>
          <w:kern w:val="0"/>
          <w:highlight w:val="none"/>
        </w:rPr>
        <w:t>在广东省招标投标监管网（http://zbtb.gd.gov.cn）、全国公共资源交易平台（广东省·韶关市）（https://ygp.gdzwfw.gov.cn/ggzy-portal/#/440200/index）进行公示。</w:t>
      </w:r>
    </w:p>
    <w:p>
      <w:pPr>
        <w:snapToGrid w:val="0"/>
        <w:spacing w:line="440" w:lineRule="exact"/>
        <w:ind w:firstLine="562"/>
        <w:rPr>
          <w:rStyle w:val="20"/>
          <w:rFonts w:hint="eastAsia" w:ascii="宋体" w:hAnsi="宋体" w:eastAsia="宋体" w:cs="宋体"/>
          <w:color w:val="auto"/>
          <w:kern w:val="0"/>
          <w:highlight w:val="none"/>
        </w:rPr>
      </w:pPr>
    </w:p>
    <w:p>
      <w:pPr>
        <w:snapToGrid w:val="0"/>
        <w:spacing w:line="440" w:lineRule="exact"/>
        <w:ind w:firstLine="562"/>
        <w:outlineLvl w:val="1"/>
        <w:rPr>
          <w:rStyle w:val="20"/>
          <w:rFonts w:hint="eastAsia" w:ascii="宋体" w:hAnsi="宋体" w:eastAsia="宋体" w:cs="宋体"/>
          <w:color w:val="auto"/>
          <w:kern w:val="0"/>
          <w:highlight w:val="none"/>
        </w:rPr>
      </w:pPr>
      <w:bookmarkStart w:id="104" w:name="_Toc18175"/>
      <w:bookmarkStart w:id="105" w:name="_Toc23213"/>
      <w:bookmarkStart w:id="106" w:name="_Toc11324"/>
      <w:bookmarkStart w:id="107" w:name="_Toc4720"/>
      <w:bookmarkStart w:id="108" w:name="_Toc8887"/>
      <w:bookmarkStart w:id="109" w:name="_Toc3103"/>
      <w:bookmarkStart w:id="110" w:name="_Toc25322"/>
      <w:bookmarkStart w:id="111" w:name="_Toc7791"/>
      <w:bookmarkStart w:id="112" w:name="_Toc5175"/>
      <w:bookmarkStart w:id="113" w:name="_Toc2148"/>
      <w:r>
        <w:rPr>
          <w:rStyle w:val="20"/>
          <w:rFonts w:hint="eastAsia" w:ascii="宋体" w:hAnsi="宋体" w:eastAsia="宋体" w:cs="宋体"/>
          <w:b/>
          <w:bCs/>
          <w:color w:val="auto"/>
          <w:kern w:val="0"/>
          <w:highlight w:val="none"/>
        </w:rPr>
        <w:t>3．履约保证</w:t>
      </w:r>
      <w:bookmarkEnd w:id="104"/>
      <w:bookmarkEnd w:id="105"/>
      <w:bookmarkEnd w:id="106"/>
      <w:bookmarkEnd w:id="107"/>
      <w:bookmarkEnd w:id="108"/>
      <w:bookmarkEnd w:id="109"/>
      <w:bookmarkEnd w:id="110"/>
      <w:bookmarkEnd w:id="111"/>
      <w:bookmarkEnd w:id="112"/>
      <w:bookmarkEnd w:id="113"/>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3.1</w:t>
      </w:r>
      <w:r>
        <w:rPr>
          <w:rStyle w:val="20"/>
          <w:rFonts w:hint="eastAsia" w:ascii="宋体" w:hAnsi="宋体" w:eastAsia="宋体" w:cs="宋体"/>
          <w:color w:val="auto"/>
          <w:kern w:val="0"/>
          <w:highlight w:val="none"/>
        </w:rPr>
        <w:t xml:space="preserve"> 中标人须在领取中标通知书之日起</w:t>
      </w:r>
      <w:r>
        <w:rPr>
          <w:rStyle w:val="20"/>
          <w:rFonts w:hint="eastAsia" w:ascii="宋体" w:hAnsi="宋体" w:eastAsia="宋体" w:cs="宋体"/>
          <w:color w:val="auto"/>
          <w:kern w:val="0"/>
          <w:highlight w:val="none"/>
          <w:u w:val="single"/>
        </w:rPr>
        <w:t>10</w:t>
      </w:r>
      <w:r>
        <w:rPr>
          <w:rStyle w:val="20"/>
          <w:rFonts w:hint="eastAsia" w:ascii="宋体" w:hAnsi="宋体" w:eastAsia="宋体" w:cs="宋体"/>
          <w:color w:val="auto"/>
          <w:kern w:val="0"/>
          <w:highlight w:val="none"/>
        </w:rPr>
        <w:t>个工作日内、</w:t>
      </w:r>
      <w:r>
        <w:rPr>
          <w:rFonts w:hint="eastAsia" w:ascii="宋体" w:hAnsi="宋体" w:eastAsia="宋体" w:cs="宋体"/>
          <w:snapToGrid w:val="0"/>
          <w:color w:val="auto"/>
          <w:kern w:val="0"/>
          <w:highlight w:val="none"/>
        </w:rPr>
        <w:t>签订合同前</w:t>
      </w:r>
      <w:r>
        <w:rPr>
          <w:rStyle w:val="20"/>
          <w:rFonts w:hint="eastAsia" w:ascii="宋体" w:hAnsi="宋体" w:eastAsia="宋体" w:cs="宋体"/>
          <w:color w:val="auto"/>
          <w:kern w:val="0"/>
          <w:highlight w:val="none"/>
        </w:rPr>
        <w:t>向招标人提交金额为中标价</w:t>
      </w:r>
      <w:r>
        <w:rPr>
          <w:rStyle w:val="20"/>
          <w:rFonts w:hint="eastAsia" w:ascii="宋体" w:hAnsi="宋体" w:eastAsia="宋体" w:cs="宋体"/>
          <w:color w:val="auto"/>
          <w:kern w:val="0"/>
          <w:highlight w:val="none"/>
          <w:u w:val="single"/>
        </w:rPr>
        <w:t>5%</w:t>
      </w:r>
      <w:r>
        <w:rPr>
          <w:rStyle w:val="20"/>
          <w:rFonts w:hint="eastAsia" w:ascii="宋体" w:hAnsi="宋体" w:eastAsia="宋体" w:cs="宋体"/>
          <w:color w:val="auto"/>
          <w:kern w:val="0"/>
          <w:highlight w:val="none"/>
        </w:rPr>
        <w:t>的履约保证。</w:t>
      </w:r>
    </w:p>
    <w:p>
      <w:pPr>
        <w:snapToGrid w:val="0"/>
        <w:spacing w:line="440" w:lineRule="exact"/>
        <w:ind w:firstLine="562"/>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w:t>
      </w:r>
      <w:r>
        <w:rPr>
          <w:rStyle w:val="20"/>
          <w:rFonts w:hint="eastAsia" w:ascii="宋体" w:hAnsi="宋体" w:eastAsia="宋体" w:cs="宋体"/>
          <w:color w:val="auto"/>
          <w:kern w:val="0"/>
          <w:highlight w:val="none"/>
        </w:rPr>
        <w:t xml:space="preserve"> 履约保证的形式包括履约保证金、履约保证担保、履约保证保险三种，由中标人自主选择。</w:t>
      </w:r>
    </w:p>
    <w:p>
      <w:pPr>
        <w:wordWrap w:val="0"/>
        <w:adjustRightInd w:val="0"/>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（1）采用履约保证金的，中标人须从其法人开户银行的账号将履约保证金划至招标人账户，并详细注明工程名称及用途。</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（2）采用履约保证担保</w:t>
      </w:r>
      <w:r>
        <w:rPr>
          <w:rFonts w:hint="eastAsia" w:ascii="宋体" w:hAnsi="宋体" w:eastAsia="宋体" w:cs="宋体"/>
          <w:color w:val="auto"/>
          <w:highlight w:val="none"/>
        </w:rPr>
        <w:t>（</w:t>
      </w:r>
      <w:r>
        <w:rPr>
          <w:rFonts w:hint="eastAsia" w:ascii="宋体" w:hAnsi="宋体" w:eastAsia="宋体" w:cs="宋体"/>
          <w:b/>
          <w:color w:val="auto"/>
          <w:highlight w:val="none"/>
        </w:rPr>
        <w:t>保证保函类型为见索即付独立保函</w:t>
      </w:r>
      <w:r>
        <w:rPr>
          <w:rFonts w:hint="eastAsia" w:ascii="宋体" w:hAnsi="宋体" w:eastAsia="宋体" w:cs="宋体"/>
          <w:color w:val="auto"/>
          <w:highlight w:val="none"/>
        </w:rPr>
        <w:t>，</w:t>
      </w:r>
      <w:r>
        <w:rPr>
          <w:rFonts w:hint="eastAsia" w:ascii="宋体" w:hAnsi="宋体" w:eastAsia="宋体" w:cs="宋体"/>
          <w:b/>
          <w:color w:val="auto"/>
          <w:highlight w:val="none"/>
        </w:rPr>
        <w:t>保函格式详见本招标文件附件二格式，必须按招标人提供的格式开具保函</w:t>
      </w:r>
      <w:r>
        <w:rPr>
          <w:rFonts w:hint="eastAsia" w:ascii="宋体" w:hAnsi="宋体" w:eastAsia="宋体" w:cs="宋体"/>
          <w:color w:val="auto"/>
          <w:highlight w:val="none"/>
        </w:rPr>
        <w:t>）</w:t>
      </w:r>
      <w:r>
        <w:rPr>
          <w:rStyle w:val="20"/>
          <w:rFonts w:hint="eastAsia" w:ascii="宋体" w:hAnsi="宋体" w:eastAsia="宋体" w:cs="宋体"/>
          <w:color w:val="auto"/>
          <w:kern w:val="0"/>
          <w:highlight w:val="none"/>
        </w:rPr>
        <w:t>或履约保证保险的，中标人应提交有效的</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银行保函或保险合同（或保险单）原件，</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银行保函或保险合同（或保险单）的有效期应当自合同生效之日起至项目通过竣工验收之日后28天止。如果中标人无法获得具体截止日期，</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银行保函或保险合同（或保险单）中应当有“变更项目竣工日期的，保证期间按照变更后的竣工日期做相应调整”或类似约定的条款。</w:t>
      </w:r>
    </w:p>
    <w:p>
      <w:pPr>
        <w:wordWrap w:val="0"/>
        <w:adjustRightInd w:val="0"/>
        <w:snapToGrid w:val="0"/>
        <w:spacing w:line="40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备注：</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银行保函或保险合同过期之后，中标人须重新开具</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银行保函或保险合同或办理续期手续，过期当月未重新开具</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银行保函或保险合同的或办理续期手续的，招标人有权按履约保证金金额</w:t>
      </w:r>
      <w:r>
        <w:rPr>
          <w:rStyle w:val="20"/>
          <w:rFonts w:hint="eastAsia" w:ascii="宋体" w:hAnsi="宋体" w:eastAsia="宋体" w:cs="宋体"/>
          <w:color w:val="auto"/>
          <w:kern w:val="0"/>
          <w:highlight w:val="none"/>
          <w:lang w:val="en-US" w:eastAsia="zh-CN"/>
        </w:rPr>
        <w:t>在</w:t>
      </w:r>
      <w:r>
        <w:rPr>
          <w:rStyle w:val="20"/>
          <w:rFonts w:hint="eastAsia" w:ascii="宋体" w:hAnsi="宋体" w:eastAsia="宋体" w:cs="宋体"/>
          <w:color w:val="auto"/>
          <w:kern w:val="0"/>
          <w:highlight w:val="none"/>
        </w:rPr>
        <w:t>进度款（工人</w:t>
      </w:r>
      <w:r>
        <w:rPr>
          <w:rFonts w:hint="eastAsia" w:ascii="宋体" w:hAnsi="宋体" w:eastAsia="宋体" w:cs="宋体"/>
          <w:snapToGrid w:val="0"/>
          <w:color w:val="auto"/>
          <w:kern w:val="0"/>
          <w:highlight w:val="none"/>
        </w:rPr>
        <w:t>工资除外）</w:t>
      </w:r>
      <w:r>
        <w:rPr>
          <w:rFonts w:hint="eastAsia" w:ascii="宋体" w:hAnsi="宋体" w:eastAsia="宋体" w:cs="宋体"/>
          <w:snapToGrid w:val="0"/>
          <w:color w:val="auto"/>
          <w:kern w:val="0"/>
          <w:highlight w:val="none"/>
          <w:lang w:val="en-US" w:eastAsia="zh-CN"/>
        </w:rPr>
        <w:t>中扣留相应金额</w:t>
      </w:r>
      <w:r>
        <w:rPr>
          <w:rFonts w:hint="eastAsia" w:ascii="宋体" w:hAnsi="宋体" w:eastAsia="宋体" w:cs="宋体"/>
          <w:snapToGrid w:val="0"/>
          <w:color w:val="auto"/>
          <w:kern w:val="0"/>
          <w:highlight w:val="none"/>
        </w:rPr>
        <w:t>作为履约保证金，直</w:t>
      </w:r>
      <w:r>
        <w:rPr>
          <w:rFonts w:hint="eastAsia" w:ascii="宋体" w:hAnsi="宋体" w:eastAsia="宋体" w:cs="宋体"/>
          <w:color w:val="auto"/>
          <w:highlight w:val="none"/>
          <w:shd w:val="clear" w:color="auto" w:fill="FFFFFF"/>
        </w:rPr>
        <w:t>至中标人提交新的</w:t>
      </w:r>
      <w:r>
        <w:rPr>
          <w:rFonts w:hint="eastAsia" w:ascii="宋体" w:hAnsi="宋体" w:eastAsia="宋体" w:cs="宋体"/>
          <w:snapToGrid w:val="0"/>
          <w:color w:val="auto"/>
          <w:kern w:val="0"/>
          <w:highlight w:val="none"/>
        </w:rPr>
        <w:t>商业保函、</w:t>
      </w:r>
      <w:r>
        <w:rPr>
          <w:rStyle w:val="20"/>
          <w:rFonts w:hint="eastAsia" w:ascii="宋体" w:hAnsi="宋体" w:eastAsia="宋体" w:cs="宋体"/>
          <w:color w:val="auto"/>
          <w:kern w:val="0"/>
          <w:highlight w:val="none"/>
        </w:rPr>
        <w:t>银行保函、保险合同</w:t>
      </w:r>
      <w:r>
        <w:rPr>
          <w:rFonts w:hint="eastAsia" w:ascii="宋体" w:hAnsi="宋体" w:eastAsia="宋体" w:cs="宋体"/>
          <w:color w:val="auto"/>
          <w:highlight w:val="none"/>
          <w:shd w:val="clear" w:color="auto" w:fill="FFFFFF"/>
        </w:rPr>
        <w:t>或达到履约保证金退还条件。</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3.3</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中标人在领取中标通知书之日起10个工作日内仍未提交履约保证的，招标人发出第一次提醒函；在领取中标通知书之日起15个工作日内仍未提交的，招标人发出第二次提醒函；在领取中标通知书之日起20个工作日内仍未提交的，视其放弃中标。并由招标人</w:t>
      </w:r>
      <w:r>
        <w:rPr>
          <w:rFonts w:hint="eastAsia" w:ascii="宋体" w:hAnsi="宋体" w:eastAsia="宋体" w:cs="宋体"/>
          <w:snapToGrid w:val="0"/>
          <w:color w:val="auto"/>
          <w:kern w:val="0"/>
          <w:highlight w:val="none"/>
          <w:lang w:val="en-US" w:eastAsia="zh-CN"/>
        </w:rPr>
        <w:t>上报</w:t>
      </w:r>
      <w:r>
        <w:rPr>
          <w:rFonts w:hint="eastAsia" w:ascii="宋体" w:hAnsi="宋体" w:eastAsia="宋体" w:cs="宋体"/>
          <w:snapToGrid w:val="0"/>
          <w:color w:val="auto"/>
          <w:kern w:val="0"/>
          <w:highlight w:val="none"/>
        </w:rPr>
        <w:t>建设行政管理部门。如采用商业保函、银行保函或保险合同方式缴纳履约保证金，在保函或保险合同到期前一个月，中标人须主动办理续期手续或提交新的商业保函、银行保函或保险合同。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3.4</w:t>
      </w:r>
      <w:r>
        <w:rPr>
          <w:rStyle w:val="20"/>
          <w:rFonts w:hint="eastAsia" w:ascii="宋体" w:hAnsi="宋体" w:eastAsia="宋体" w:cs="宋体"/>
          <w:color w:val="auto"/>
          <w:kern w:val="0"/>
          <w:highlight w:val="none"/>
        </w:rPr>
        <w:t xml:space="preserve"> 在工程实施过程中，如果承包人（即招标阶段的中标人，下同）由于自身的资金、技术、质量、非不可抗力等原因给发包人（即招标阶段的招标人，下同）造成经济损失，扣除相应履约保证。</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3.5</w:t>
      </w:r>
      <w:r>
        <w:rPr>
          <w:rStyle w:val="20"/>
          <w:rFonts w:hint="eastAsia" w:ascii="宋体" w:hAnsi="宋体" w:eastAsia="宋体" w:cs="宋体"/>
          <w:color w:val="auto"/>
          <w:kern w:val="0"/>
          <w:highlight w:val="none"/>
        </w:rPr>
        <w:t xml:space="preserve"> 项目通过竣工验收之日后28天内，发包人将履约保证退还给承包人</w:t>
      </w:r>
      <w:r>
        <w:rPr>
          <w:rFonts w:hint="eastAsia" w:hAnsi="宋体"/>
          <w:bCs/>
          <w:color w:val="auto"/>
          <w:kern w:val="0"/>
          <w:highlight w:val="none"/>
        </w:rPr>
        <w:t>（不计息）</w:t>
      </w:r>
      <w:r>
        <w:rPr>
          <w:rStyle w:val="20"/>
          <w:rFonts w:hint="eastAsia" w:ascii="宋体" w:hAnsi="宋体" w:eastAsia="宋体" w:cs="宋体"/>
          <w:color w:val="auto"/>
          <w:kern w:val="0"/>
          <w:highlight w:val="none"/>
        </w:rPr>
        <w:t>。</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14" w:name="_Toc26477"/>
      <w:bookmarkStart w:id="115" w:name="_Toc31219"/>
      <w:bookmarkStart w:id="116" w:name="_Toc15062"/>
      <w:bookmarkStart w:id="117" w:name="_Toc24211"/>
      <w:bookmarkStart w:id="118" w:name="_Toc27814"/>
      <w:bookmarkStart w:id="119" w:name="_Toc31886"/>
      <w:bookmarkStart w:id="120" w:name="_Toc23036"/>
      <w:bookmarkStart w:id="121" w:name="_Toc17066"/>
      <w:bookmarkStart w:id="122" w:name="_Toc967"/>
      <w:bookmarkStart w:id="123" w:name="_Toc8187"/>
      <w:r>
        <w:rPr>
          <w:rStyle w:val="20"/>
          <w:rFonts w:hint="eastAsia" w:ascii="宋体" w:hAnsi="宋体" w:eastAsia="宋体" w:cs="宋体"/>
          <w:b/>
          <w:bCs/>
          <w:color w:val="auto"/>
          <w:kern w:val="0"/>
          <w:highlight w:val="none"/>
        </w:rPr>
        <w:t>4．合同订立</w:t>
      </w:r>
      <w:bookmarkEnd w:id="114"/>
      <w:bookmarkEnd w:id="115"/>
      <w:bookmarkEnd w:id="116"/>
      <w:bookmarkEnd w:id="117"/>
      <w:bookmarkEnd w:id="118"/>
      <w:bookmarkEnd w:id="119"/>
      <w:bookmarkEnd w:id="120"/>
      <w:bookmarkEnd w:id="121"/>
      <w:bookmarkEnd w:id="122"/>
      <w:bookmarkEnd w:id="12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4.1</w:t>
      </w:r>
      <w:r>
        <w:rPr>
          <w:rStyle w:val="20"/>
          <w:rFonts w:hint="eastAsia" w:ascii="宋体" w:hAnsi="宋体" w:eastAsia="宋体" w:cs="宋体"/>
          <w:color w:val="auto"/>
          <w:kern w:val="0"/>
          <w:highlight w:val="none"/>
        </w:rPr>
        <w:t xml:space="preserve"> 招标人应当自中标通知书发出之日起</w:t>
      </w:r>
      <w:r>
        <w:rPr>
          <w:rStyle w:val="20"/>
          <w:rFonts w:hint="eastAsia" w:ascii="宋体" w:hAnsi="宋体" w:eastAsia="宋体" w:cs="宋体"/>
          <w:color w:val="auto"/>
          <w:kern w:val="0"/>
          <w:highlight w:val="none"/>
          <w:u w:val="single"/>
        </w:rPr>
        <w:t>30</w:t>
      </w:r>
      <w:r>
        <w:rPr>
          <w:rStyle w:val="20"/>
          <w:rFonts w:hint="eastAsia" w:ascii="宋体" w:hAnsi="宋体" w:eastAsia="宋体" w:cs="宋体"/>
          <w:color w:val="auto"/>
          <w:kern w:val="0"/>
          <w:highlight w:val="none"/>
        </w:rPr>
        <w:t>日内，按照招标文件、中标人的投标文件与中标人订立书面合同。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w:t>
      </w:r>
      <w:r>
        <w:rPr>
          <w:rStyle w:val="20"/>
          <w:rFonts w:hint="eastAsia" w:ascii="宋体" w:hAnsi="宋体" w:eastAsia="宋体" w:cs="宋体"/>
          <w:color w:val="auto"/>
          <w:kern w:val="0"/>
          <w:highlight w:val="none"/>
        </w:rPr>
        <w:t xml:space="preserve"> 不正常报价的梳理和确认</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4.2.1</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b/>
          <w:bCs/>
          <w:color w:val="auto"/>
          <w:kern w:val="0"/>
          <w:highlight w:val="none"/>
        </w:rPr>
        <w:t>合同订立期间</w:t>
      </w:r>
      <w:r>
        <w:rPr>
          <w:rFonts w:hint="eastAsia" w:ascii="宋体" w:hAnsi="宋体" w:eastAsia="宋体" w:cs="宋体"/>
          <w:b/>
          <w:bCs/>
          <w:snapToGrid w:val="0"/>
          <w:color w:val="auto"/>
          <w:kern w:val="0"/>
          <w:highlight w:val="none"/>
        </w:rPr>
        <w:t>或在合同履行过程中</w:t>
      </w:r>
      <w:r>
        <w:rPr>
          <w:rStyle w:val="20"/>
          <w:rFonts w:hint="eastAsia" w:ascii="宋体" w:hAnsi="宋体" w:eastAsia="宋体" w:cs="宋体"/>
          <w:b/>
          <w:bCs/>
          <w:color w:val="auto"/>
          <w:kern w:val="0"/>
          <w:highlight w:val="none"/>
        </w:rPr>
        <w:t>，</w:t>
      </w:r>
      <w:r>
        <w:rPr>
          <w:rFonts w:hint="eastAsia" w:ascii="宋体" w:hAnsi="宋体" w:eastAsia="宋体" w:cs="宋体"/>
          <w:b/>
          <w:bCs/>
          <w:snapToGrid w:val="0"/>
          <w:color w:val="auto"/>
          <w:kern w:val="0"/>
          <w:highlight w:val="none"/>
        </w:rPr>
        <w:t>在不改变中标人的投标总价的前提下，</w:t>
      </w:r>
      <w:r>
        <w:rPr>
          <w:rStyle w:val="20"/>
          <w:rFonts w:hint="eastAsia" w:ascii="宋体" w:hAnsi="宋体" w:eastAsia="宋体" w:cs="宋体"/>
          <w:b/>
          <w:bCs/>
          <w:color w:val="auto"/>
          <w:kern w:val="0"/>
          <w:highlight w:val="none"/>
        </w:rPr>
        <w:t>招标人应对中标人的投标报价进行全面分析和整理，从而发现并提取其中可能存在的算术性错误、错漏项、不平衡报价等不正常报价，并修正其中的算术性错误。</w:t>
      </w:r>
      <w:r>
        <w:rPr>
          <w:rStyle w:val="20"/>
          <w:rFonts w:hint="eastAsia" w:ascii="宋体" w:hAnsi="宋体" w:eastAsia="宋体" w:cs="宋体"/>
          <w:color w:val="auto"/>
          <w:kern w:val="0"/>
          <w:highlight w:val="none"/>
        </w:rPr>
        <w:t>招标人不具备以上能力的，可授权编制本工程</w:t>
      </w:r>
      <w:r>
        <w:rPr>
          <w:rStyle w:val="20"/>
          <w:rFonts w:hint="eastAsia" w:hAnsi="宋体" w:cs="宋体"/>
          <w:color w:val="auto"/>
          <w:kern w:val="0"/>
          <w:highlight w:val="none"/>
          <w:lang w:eastAsia="zh-CN"/>
        </w:rPr>
        <w:t>最高投标限价</w:t>
      </w:r>
      <w:r>
        <w:rPr>
          <w:rStyle w:val="20"/>
          <w:rFonts w:hint="eastAsia" w:ascii="宋体" w:hAnsi="宋体" w:eastAsia="宋体" w:cs="宋体"/>
          <w:color w:val="auto"/>
          <w:kern w:val="0"/>
          <w:highlight w:val="none"/>
        </w:rPr>
        <w:t>的造价咨询单位实施</w:t>
      </w:r>
      <w:r>
        <w:rPr>
          <w:rFonts w:hint="eastAsia" w:ascii="宋体" w:hAnsi="宋体" w:eastAsia="宋体" w:cs="宋体"/>
          <w:snapToGrid w:val="0"/>
          <w:color w:val="auto"/>
          <w:kern w:val="0"/>
          <w:highlight w:val="none"/>
        </w:rPr>
        <w:t>或招标人委托的本工程造价咨询服务单位实施</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4.2.2</w:t>
      </w:r>
      <w:r>
        <w:rPr>
          <w:rStyle w:val="20"/>
          <w:rFonts w:hint="eastAsia" w:ascii="宋体" w:hAnsi="宋体" w:eastAsia="宋体" w:cs="宋体"/>
          <w:color w:val="auto"/>
          <w:kern w:val="0"/>
          <w:highlight w:val="none"/>
        </w:rPr>
        <w:t xml:space="preserve"> 算术性错误的分析和修正。投标报价汇总表中，投标总价与各分项费用之和不一致的，以投标总价为准修正分项费用；投标报价汇总表的各分项费用与对应分项表中的费用不一致的，以投标报价汇总表中的分项费用为准修正对应分项表中的费用；各分项表中总价金额与依据单价计算出的结果不一致的，以总价为准修正单价。</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4.2.3</w:t>
      </w:r>
      <w:r>
        <w:rPr>
          <w:rStyle w:val="20"/>
          <w:rFonts w:hint="eastAsia" w:ascii="宋体" w:hAnsi="宋体" w:eastAsia="宋体" w:cs="宋体"/>
          <w:color w:val="auto"/>
          <w:kern w:val="0"/>
          <w:highlight w:val="none"/>
        </w:rPr>
        <w:t xml:space="preserve"> 错漏项的认定。中标人已标价工程量清单中，任一清单项目未填报价格或价格为零的，视为错漏项。</w:t>
      </w:r>
    </w:p>
    <w:p>
      <w:pPr>
        <w:snapToGrid w:val="0"/>
        <w:spacing w:line="440" w:lineRule="exact"/>
        <w:ind w:firstLine="482" w:firstLineChars="200"/>
        <w:rPr>
          <w:rStyle w:val="20"/>
          <w:rFonts w:hint="eastAsia" w:ascii="宋体" w:hAnsi="宋体" w:eastAsia="宋体" w:cs="宋体"/>
          <w:color w:val="auto"/>
          <w:kern w:val="0"/>
          <w:highlight w:val="none"/>
          <w:u w:val="single"/>
        </w:rPr>
      </w:pPr>
      <w:r>
        <w:rPr>
          <w:rStyle w:val="20"/>
          <w:rFonts w:hint="eastAsia" w:ascii="宋体" w:hAnsi="宋体" w:eastAsia="宋体" w:cs="宋体"/>
          <w:b/>
          <w:bCs/>
          <w:color w:val="auto"/>
          <w:kern w:val="0"/>
          <w:highlight w:val="none"/>
        </w:rPr>
        <w:t>4.2.4</w:t>
      </w:r>
      <w:r>
        <w:rPr>
          <w:rStyle w:val="20"/>
          <w:rFonts w:hint="eastAsia" w:ascii="宋体" w:hAnsi="宋体" w:eastAsia="宋体" w:cs="宋体"/>
          <w:color w:val="auto"/>
          <w:kern w:val="0"/>
          <w:highlight w:val="none"/>
        </w:rPr>
        <w:t xml:space="preserve"> 不平衡报价的认定。经修正算术性错误后的中标人已标价工程量清单中，</w:t>
      </w:r>
      <w:r>
        <w:rPr>
          <w:rStyle w:val="20"/>
          <w:rFonts w:hint="eastAsia" w:ascii="宋体" w:hAnsi="宋体" w:eastAsia="宋体" w:cs="宋体"/>
          <w:color w:val="auto"/>
          <w:kern w:val="0"/>
          <w:highlight w:val="none"/>
          <w:u w:val="single"/>
        </w:rPr>
        <w:t>分部分项工程量清单项目的投标综合单价与</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分部分项工程量清单项目的综合单价相差</w:t>
      </w:r>
      <w:r>
        <w:rPr>
          <w:rStyle w:val="20"/>
          <w:rFonts w:hint="eastAsia" w:hAnsi="宋体" w:cs="宋体"/>
          <w:color w:val="auto"/>
          <w:kern w:val="0"/>
          <w:highlight w:val="none"/>
          <w:u w:val="single"/>
          <w:lang w:val="en-US" w:eastAsia="zh-CN"/>
        </w:rPr>
        <w:t>15</w:t>
      </w:r>
      <w:r>
        <w:rPr>
          <w:rStyle w:val="20"/>
          <w:rFonts w:hint="eastAsia" w:ascii="宋体" w:hAnsi="宋体" w:eastAsia="宋体" w:cs="宋体"/>
          <w:color w:val="auto"/>
          <w:kern w:val="0"/>
          <w:highlight w:val="none"/>
          <w:u w:val="single"/>
        </w:rPr>
        <w:t>％（不含</w:t>
      </w:r>
      <w:r>
        <w:rPr>
          <w:rStyle w:val="20"/>
          <w:rFonts w:hint="eastAsia" w:hAnsi="宋体" w:cs="宋体"/>
          <w:color w:val="auto"/>
          <w:kern w:val="0"/>
          <w:highlight w:val="none"/>
          <w:u w:val="single"/>
          <w:lang w:val="en-US" w:eastAsia="zh-CN"/>
        </w:rPr>
        <w:t>15</w:t>
      </w:r>
      <w:r>
        <w:rPr>
          <w:rStyle w:val="20"/>
          <w:rFonts w:hint="eastAsia" w:ascii="宋体" w:hAnsi="宋体" w:eastAsia="宋体" w:cs="宋体"/>
          <w:color w:val="auto"/>
          <w:kern w:val="0"/>
          <w:highlight w:val="none"/>
          <w:u w:val="single"/>
        </w:rPr>
        <w:t>％）以上的</w:t>
      </w:r>
      <w:r>
        <w:rPr>
          <w:rStyle w:val="20"/>
          <w:rFonts w:hint="eastAsia" w:ascii="宋体" w:hAnsi="宋体" w:eastAsia="宋体" w:cs="宋体"/>
          <w:color w:val="auto"/>
          <w:kern w:val="0"/>
          <w:highlight w:val="none"/>
        </w:rPr>
        <w:t>清单项目，视为不平衡报价项目。</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4.2.5</w:t>
      </w:r>
      <w:r>
        <w:rPr>
          <w:rStyle w:val="20"/>
          <w:rFonts w:hint="eastAsia" w:ascii="宋体" w:hAnsi="宋体" w:eastAsia="宋体" w:cs="宋体"/>
          <w:color w:val="auto"/>
          <w:kern w:val="0"/>
          <w:highlight w:val="none"/>
        </w:rPr>
        <w:t xml:space="preserve"> 招标人或其授权的造价咨询单位应就发现的以上所有不正常报价分类整理、汇总，形成《不正常报价清单》，并交中标人复核和确认。经招标人和中标人共同签字、盖章确认的《不正常报价清单》，构成施工合同的组成部分。</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4.2.6</w:t>
      </w:r>
      <w:r>
        <w:rPr>
          <w:rStyle w:val="20"/>
          <w:rFonts w:hint="eastAsia" w:ascii="宋体" w:hAnsi="宋体" w:eastAsia="宋体" w:cs="宋体"/>
          <w:color w:val="auto"/>
          <w:kern w:val="0"/>
          <w:highlight w:val="none"/>
        </w:rPr>
        <w:t xml:space="preserve"> </w:t>
      </w:r>
      <w:r>
        <w:rPr>
          <w:rStyle w:val="20"/>
          <w:rFonts w:hint="eastAsia" w:ascii="宋体" w:hAnsi="宋体" w:eastAsia="宋体" w:cs="宋体"/>
          <w:b/>
          <w:bCs/>
          <w:color w:val="auto"/>
          <w:kern w:val="0"/>
          <w:highlight w:val="none"/>
        </w:rPr>
        <w:t>合同履行过程中，被认定为错漏项的清单项目，结算时按照第三章“拟签订合同的主要条款”第2.6条规定处理。</w:t>
      </w:r>
    </w:p>
    <w:p>
      <w:pPr>
        <w:snapToGrid w:val="0"/>
        <w:spacing w:line="440" w:lineRule="exact"/>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4.2.7 合同履行过程中，合同约定的调整因素（如工程量偏差、工程变更、项目特征不符、招标工程量清单缺项等）出现时，被认定为不平衡报价的清单项目以及采用被认定为不平衡报价的清单项目的价格作为取价（或参照取价）依据的变更、新增项目，按照第三章“拟签订合同的主要条款”第2.3条的有关规定调整合同价款。</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4.3 </w:t>
      </w:r>
      <w:r>
        <w:rPr>
          <w:rStyle w:val="20"/>
          <w:rFonts w:hint="eastAsia" w:ascii="宋体" w:hAnsi="宋体" w:eastAsia="宋体" w:cs="宋体"/>
          <w:color w:val="auto"/>
          <w:kern w:val="0"/>
          <w:highlight w:val="none"/>
        </w:rPr>
        <w:t>本工程合同计价方式为：</w:t>
      </w:r>
      <w:r>
        <w:rPr>
          <w:rStyle w:val="20"/>
          <w:rFonts w:hint="eastAsia" w:ascii="宋体" w:hAnsi="宋体" w:eastAsia="宋体" w:cs="宋体"/>
          <w:color w:val="auto"/>
          <w:kern w:val="0"/>
          <w:highlight w:val="none"/>
          <w:u w:val="single"/>
        </w:rPr>
        <w:t xml:space="preserve"> 单价 </w:t>
      </w:r>
      <w:r>
        <w:rPr>
          <w:rStyle w:val="20"/>
          <w:rFonts w:hint="eastAsia" w:ascii="宋体" w:hAnsi="宋体" w:eastAsia="宋体" w:cs="宋体"/>
          <w:color w:val="auto"/>
          <w:kern w:val="0"/>
          <w:highlight w:val="none"/>
        </w:rPr>
        <w:t>合同。</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4.4</w:t>
      </w:r>
      <w:r>
        <w:rPr>
          <w:rStyle w:val="20"/>
          <w:rFonts w:hint="eastAsia" w:ascii="宋体" w:hAnsi="宋体" w:eastAsia="宋体" w:cs="宋体"/>
          <w:color w:val="auto"/>
          <w:kern w:val="0"/>
          <w:highlight w:val="none"/>
        </w:rPr>
        <w:t xml:space="preserve"> 合同的标的、质量、履行期限条款和合同的价款、单价、比例条款等主要条款，应当与招标文件、中标人的投标文件的内容一致。中标人在签订合同时不得向招标人提出附加条件。</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4.5</w:t>
      </w:r>
      <w:r>
        <w:rPr>
          <w:rStyle w:val="20"/>
          <w:rFonts w:hint="eastAsia" w:ascii="宋体" w:hAnsi="宋体" w:eastAsia="宋体" w:cs="宋体"/>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4.6</w:t>
      </w:r>
      <w:r>
        <w:rPr>
          <w:rStyle w:val="20"/>
          <w:rFonts w:hint="eastAsia" w:ascii="宋体" w:hAnsi="宋体" w:eastAsia="宋体" w:cs="宋体"/>
          <w:color w:val="auto"/>
          <w:kern w:val="0"/>
          <w:highlight w:val="none"/>
        </w:rPr>
        <w:t xml:space="preserve"> 在书面合同订立之日起2个工作日内，由中标人将合同上传至交易平台，并发起退还投标保证的申请。韶关市公共资源交易中心在收到申请之日起3工作日内，将投标保证金退还给中标人和其他中标候选人。</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24" w:name="_Toc20690"/>
      <w:bookmarkStart w:id="125" w:name="_Toc2054"/>
      <w:bookmarkStart w:id="126" w:name="_Toc19819"/>
      <w:bookmarkStart w:id="127" w:name="_Toc12295"/>
      <w:bookmarkStart w:id="128" w:name="_Toc24531"/>
      <w:bookmarkStart w:id="129" w:name="_Toc4278"/>
      <w:bookmarkStart w:id="130" w:name="_Toc25158"/>
      <w:bookmarkStart w:id="131" w:name="_Toc26892"/>
      <w:bookmarkStart w:id="132" w:name="_Toc31754"/>
      <w:bookmarkStart w:id="133" w:name="_Toc22104"/>
      <w:r>
        <w:rPr>
          <w:rStyle w:val="20"/>
          <w:rFonts w:hint="eastAsia" w:ascii="宋体" w:hAnsi="宋体" w:eastAsia="宋体" w:cs="宋体"/>
          <w:b/>
          <w:bCs/>
          <w:color w:val="auto"/>
          <w:kern w:val="0"/>
          <w:highlight w:val="none"/>
        </w:rPr>
        <w:t>5．放弃中标的处理</w:t>
      </w:r>
      <w:bookmarkEnd w:id="124"/>
      <w:bookmarkEnd w:id="125"/>
      <w:bookmarkEnd w:id="126"/>
      <w:bookmarkEnd w:id="127"/>
      <w:bookmarkEnd w:id="128"/>
      <w:bookmarkEnd w:id="129"/>
      <w:bookmarkEnd w:id="130"/>
      <w:bookmarkEnd w:id="131"/>
      <w:bookmarkEnd w:id="132"/>
      <w:bookmarkEnd w:id="13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5.1</w:t>
      </w:r>
      <w:r>
        <w:rPr>
          <w:rStyle w:val="20"/>
          <w:rFonts w:hint="eastAsia" w:ascii="宋体" w:hAnsi="宋体" w:eastAsia="宋体" w:cs="宋体"/>
          <w:color w:val="auto"/>
          <w:kern w:val="0"/>
          <w:highlight w:val="none"/>
        </w:rPr>
        <w:t xml:space="preserve"> 中标人</w:t>
      </w:r>
      <w:r>
        <w:rPr>
          <w:rStyle w:val="20"/>
          <w:rFonts w:hint="eastAsia" w:ascii="宋体" w:hAnsi="宋体" w:eastAsia="宋体" w:cs="宋体"/>
          <w:color w:val="auto"/>
          <w:highlight w:val="none"/>
        </w:rPr>
        <w:t>无正当理由放弃中标的，</w:t>
      </w:r>
      <w:r>
        <w:rPr>
          <w:rStyle w:val="20"/>
          <w:rFonts w:hint="eastAsia" w:ascii="宋体" w:hAnsi="宋体" w:eastAsia="宋体" w:cs="宋体"/>
          <w:color w:val="auto"/>
          <w:kern w:val="0"/>
          <w:highlight w:val="none"/>
        </w:rPr>
        <w:t>取消其中标资格，其投标保证不予退还，给招标人造成的损失超过投标保证金额的，弃标人还应当对超过部分予以赔偿。招标人可按照评标委员会提出的中标候选人名单排序依次确定其他中标候选人为中标人，如果招标人认为其他中标候选人的条件明显不利于招标人的，也可以重新招标。因此种情况造成招标人重新招标的，招标人可不接受该弃标人再次投标。同时，招标人应将该弃标人的失信行为向行政监督部门报告。</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5.2</w:t>
      </w:r>
      <w:r>
        <w:rPr>
          <w:rStyle w:val="20"/>
          <w:rFonts w:hint="eastAsia" w:ascii="宋体" w:hAnsi="宋体" w:eastAsia="宋体" w:cs="宋体"/>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34" w:name="_Toc18619"/>
      <w:bookmarkStart w:id="135" w:name="_Toc21715"/>
      <w:bookmarkStart w:id="136" w:name="_Toc12428"/>
      <w:bookmarkStart w:id="137" w:name="_Toc3602"/>
      <w:bookmarkStart w:id="138" w:name="_Toc12999"/>
      <w:bookmarkStart w:id="139" w:name="_Toc11030"/>
      <w:bookmarkStart w:id="140" w:name="_Toc28692"/>
      <w:bookmarkStart w:id="141" w:name="_Toc15709"/>
      <w:bookmarkStart w:id="142" w:name="_Toc14969"/>
      <w:bookmarkStart w:id="143" w:name="_Toc15171"/>
      <w:r>
        <w:rPr>
          <w:rStyle w:val="20"/>
          <w:rFonts w:hint="eastAsia" w:ascii="宋体" w:hAnsi="宋体" w:eastAsia="宋体" w:cs="宋体"/>
          <w:b/>
          <w:bCs/>
          <w:color w:val="auto"/>
          <w:kern w:val="0"/>
          <w:highlight w:val="none"/>
        </w:rPr>
        <w:t>6．专业工程分包</w:t>
      </w:r>
      <w:bookmarkEnd w:id="134"/>
      <w:bookmarkEnd w:id="135"/>
      <w:bookmarkEnd w:id="136"/>
      <w:bookmarkEnd w:id="137"/>
      <w:bookmarkEnd w:id="138"/>
      <w:bookmarkEnd w:id="139"/>
      <w:bookmarkEnd w:id="140"/>
      <w:bookmarkEnd w:id="141"/>
      <w:bookmarkEnd w:id="142"/>
      <w:bookmarkEnd w:id="143"/>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合同范围内的工程未经发包人同意一律不得分包，一经发现，取消承包人的承包资格，由此引起的一切经济损失和法律责任由承包人自行承担。若有专业工程必须分包的，发包人不另行支付总包服务费；其分包合同由总包人与分包人双方签订，发包人不参与总包人与分包人之间的结算，该部分工程的造价仍按总包人与发包人签订的合同的有关条款进行结算。</w:t>
      </w:r>
    </w:p>
    <w:p>
      <w:pPr>
        <w:pStyle w:val="22"/>
        <w:rPr>
          <w:rStyle w:val="20"/>
          <w:rFonts w:hint="eastAsia" w:ascii="宋体" w:hAnsi="宋体" w:eastAsia="宋体" w:cs="宋体"/>
          <w:color w:val="auto"/>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44" w:name="_Toc22763"/>
      <w:bookmarkStart w:id="145" w:name="_Toc8150"/>
      <w:bookmarkStart w:id="146" w:name="_Toc2852"/>
      <w:bookmarkStart w:id="147" w:name="_Toc10173"/>
      <w:bookmarkStart w:id="148" w:name="_Toc1245"/>
      <w:bookmarkStart w:id="149" w:name="_Toc29817"/>
      <w:bookmarkStart w:id="150" w:name="_Toc1156"/>
      <w:bookmarkStart w:id="151" w:name="_Toc14827"/>
      <w:bookmarkStart w:id="152" w:name="_Toc23953"/>
      <w:bookmarkStart w:id="153" w:name="_Toc1606"/>
      <w:r>
        <w:rPr>
          <w:rStyle w:val="20"/>
          <w:rFonts w:hint="eastAsia" w:ascii="宋体" w:hAnsi="宋体" w:eastAsia="宋体" w:cs="宋体"/>
          <w:b/>
          <w:bCs/>
          <w:color w:val="auto"/>
          <w:kern w:val="0"/>
          <w:highlight w:val="none"/>
        </w:rPr>
        <w:t>7．工人工资支付专用账户</w:t>
      </w:r>
      <w:bookmarkEnd w:id="144"/>
      <w:bookmarkEnd w:id="145"/>
      <w:bookmarkEnd w:id="146"/>
      <w:bookmarkEnd w:id="147"/>
      <w:bookmarkEnd w:id="148"/>
      <w:bookmarkEnd w:id="149"/>
      <w:bookmarkEnd w:id="150"/>
      <w:bookmarkEnd w:id="151"/>
      <w:bookmarkEnd w:id="152"/>
      <w:bookmarkEnd w:id="15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7.1</w:t>
      </w:r>
      <w:r>
        <w:rPr>
          <w:rStyle w:val="20"/>
          <w:rFonts w:hint="eastAsia" w:ascii="宋体" w:hAnsi="宋体" w:eastAsia="宋体" w:cs="宋体"/>
          <w:color w:val="auto"/>
          <w:kern w:val="0"/>
          <w:highlight w:val="none"/>
        </w:rPr>
        <w:t xml:space="preserve"> 发、承包双方订立合同时，应就承包人设立工人工资支付专用账户（以下简称“工资专户”）、工程进度款中工人工资款的比例、工资款拨付的期限等事项作出明确约定。发包人按照合同约定，按月将工程款中的工资款项单独足额拨付到承包人的工资专户，并对承包人工人工资支付情况进行监督，及时协调解决工人工资发放中存在的问题。</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7.2</w:t>
      </w:r>
      <w:r>
        <w:rPr>
          <w:rStyle w:val="20"/>
          <w:rFonts w:hint="eastAsia" w:ascii="宋体" w:hAnsi="宋体" w:eastAsia="宋体" w:cs="宋体"/>
          <w:color w:val="auto"/>
          <w:kern w:val="0"/>
          <w:highlight w:val="none"/>
        </w:rPr>
        <w:t xml:space="preserve"> 承包人必须在项目开工前，在项目所在地银行设立工资专户，并在作业工人进场前按照相关规定完成实名管理登记及作业工人工资卡开办。承包人应在工资专户开立后2个工作日内，将开户银行及其账号、开户协议等资料提交给发包人。</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7.3</w:t>
      </w:r>
      <w:r>
        <w:rPr>
          <w:rStyle w:val="20"/>
          <w:rFonts w:hint="eastAsia" w:ascii="宋体" w:hAnsi="宋体" w:eastAsia="宋体" w:cs="宋体"/>
          <w:color w:val="auto"/>
          <w:kern w:val="0"/>
          <w:highlight w:val="none"/>
        </w:rPr>
        <w:t xml:space="preserve"> 施工总承包企业依法将专业工程分包的，应在分包合同中就分包人设立工资专户、工程进度款中工人工资款的比例、工资款拨付的期限等事项作出明确约定。总包人按照分包合同约定，按月将工程款中的工资款项单独足额拨付到分包人的工资专户，并对分包人工人工资支付情况进行监督，及时协调解决工人工资发放中存在的问题。</w:t>
      </w:r>
    </w:p>
    <w:p>
      <w:pPr>
        <w:snapToGrid w:val="0"/>
        <w:spacing w:line="440" w:lineRule="exact"/>
        <w:ind w:firstLine="482" w:firstLineChars="200"/>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54" w:name="_Toc23983"/>
      <w:bookmarkStart w:id="155" w:name="_Toc22061"/>
      <w:bookmarkStart w:id="156" w:name="_Toc22751"/>
      <w:bookmarkStart w:id="157" w:name="_Toc28934"/>
      <w:bookmarkStart w:id="158" w:name="_Toc6230"/>
      <w:bookmarkStart w:id="159" w:name="_Toc23850"/>
      <w:bookmarkStart w:id="160" w:name="_Toc3512"/>
      <w:bookmarkStart w:id="161" w:name="_Toc27857"/>
      <w:bookmarkStart w:id="162" w:name="_Toc15708"/>
      <w:bookmarkStart w:id="163" w:name="_Toc26359"/>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．工期进度</w:t>
      </w:r>
      <w:bookmarkEnd w:id="154"/>
      <w:bookmarkEnd w:id="155"/>
      <w:bookmarkEnd w:id="156"/>
      <w:bookmarkEnd w:id="157"/>
      <w:bookmarkEnd w:id="158"/>
      <w:bookmarkEnd w:id="159"/>
      <w:bookmarkEnd w:id="160"/>
      <w:bookmarkEnd w:id="161"/>
      <w:bookmarkEnd w:id="162"/>
      <w:bookmarkEnd w:id="16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.1</w:t>
      </w:r>
      <w:r>
        <w:rPr>
          <w:rStyle w:val="20"/>
          <w:rFonts w:hint="eastAsia" w:hAnsi="宋体" w:eastAsia="宋体" w:cs="宋体"/>
          <w:b/>
          <w:bCs/>
          <w:color w:val="auto"/>
          <w:kern w:val="0"/>
          <w:highlight w:val="none"/>
          <w:lang w:val="en-US" w:eastAsia="zh-CN"/>
        </w:rPr>
        <w:t xml:space="preserve"> </w:t>
      </w:r>
      <w:r>
        <w:rPr>
          <w:rStyle w:val="20"/>
          <w:rFonts w:hint="eastAsia" w:hAnsi="宋体"/>
          <w:color w:val="auto"/>
          <w:kern w:val="0"/>
          <w:highlight w:val="none"/>
          <w:lang w:eastAsia="zh-CN"/>
        </w:rPr>
        <w:t>本招标项目施工招标工期为90个日历天</w:t>
      </w:r>
      <w:r>
        <w:rPr>
          <w:rStyle w:val="20"/>
          <w:rFonts w:hint="eastAsia" w:ascii="宋体" w:hAnsi="宋体" w:eastAsia="宋体" w:cs="宋体"/>
          <w:color w:val="auto"/>
          <w:kern w:val="0"/>
          <w:highlight w:val="none"/>
        </w:rPr>
        <w:t>，承包人必须在招标工期内完成本工程招标范围内的全部内容。</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施工工期从承包人收到监理单位签发的开工令之日起计，至竣工验收合格之日止。</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8</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由于承包人原因造成工期延误的，承包人须在逾期第壹天起每天按合同价的</w:t>
      </w:r>
      <w:r>
        <w:rPr>
          <w:rStyle w:val="20"/>
          <w:rFonts w:hint="eastAsia" w:ascii="宋体" w:hAnsi="宋体" w:eastAsia="宋体" w:cs="宋体"/>
          <w:color w:val="auto"/>
          <w:kern w:val="0"/>
          <w:highlight w:val="none"/>
          <w:u w:val="single"/>
        </w:rPr>
        <w:t>3‰</w:t>
      </w:r>
      <w:r>
        <w:rPr>
          <w:rStyle w:val="20"/>
          <w:rFonts w:hint="eastAsia" w:ascii="宋体" w:hAnsi="宋体" w:eastAsia="宋体" w:cs="宋体"/>
          <w:color w:val="auto"/>
          <w:kern w:val="0"/>
          <w:highlight w:val="none"/>
        </w:rPr>
        <w:t>向招标人返纳逾期竣工违约金。逾期竣工违约金的最高限额为合同价款的</w:t>
      </w:r>
      <w:r>
        <w:rPr>
          <w:rStyle w:val="20"/>
          <w:rFonts w:hint="eastAsia" w:ascii="宋体" w:hAnsi="宋体" w:eastAsia="宋体" w:cs="宋体"/>
          <w:color w:val="auto"/>
          <w:kern w:val="0"/>
          <w:highlight w:val="none"/>
          <w:u w:val="single"/>
        </w:rPr>
        <w:t>10%</w:t>
      </w:r>
      <w:r>
        <w:rPr>
          <w:rStyle w:val="20"/>
          <w:rFonts w:hint="eastAsia" w:ascii="宋体" w:hAnsi="宋体" w:eastAsia="宋体" w:cs="宋体"/>
          <w:color w:val="auto"/>
          <w:kern w:val="0"/>
          <w:highlight w:val="none"/>
        </w:rPr>
        <w:t>。</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64" w:name="_Toc15947"/>
      <w:bookmarkStart w:id="165" w:name="_Toc27918"/>
      <w:bookmarkStart w:id="166" w:name="_Toc7123"/>
      <w:bookmarkStart w:id="167" w:name="_Toc22031"/>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168" w:name="_Toc19723"/>
      <w:bookmarkStart w:id="169" w:name="_Toc12031"/>
      <w:bookmarkStart w:id="170" w:name="_Toc29054"/>
      <w:bookmarkStart w:id="171" w:name="_Toc14751"/>
      <w:bookmarkStart w:id="172" w:name="_Toc12045"/>
      <w:bookmarkStart w:id="173" w:name="_Toc20265"/>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．项目管理机构</w:t>
      </w:r>
      <w:bookmarkEnd w:id="164"/>
      <w:bookmarkEnd w:id="165"/>
      <w:bookmarkEnd w:id="166"/>
      <w:bookmarkEnd w:id="167"/>
      <w:bookmarkEnd w:id="168"/>
      <w:bookmarkEnd w:id="169"/>
      <w:bookmarkEnd w:id="170"/>
      <w:bookmarkEnd w:id="171"/>
      <w:bookmarkEnd w:id="172"/>
      <w:bookmarkEnd w:id="173"/>
    </w:p>
    <w:p>
      <w:pPr>
        <w:snapToGrid w:val="0"/>
        <w:spacing w:line="420" w:lineRule="exact"/>
        <w:ind w:firstLine="482" w:firstLineChars="20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承包人派驻的项目管理班子成员必须为其投标文件确定的人员，否则发包人有权终止合同。</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hAnsi="宋体" w:cs="宋体"/>
          <w:b/>
          <w:bCs/>
          <w:color w:val="auto"/>
          <w:kern w:val="0"/>
          <w:highlight w:val="none"/>
          <w:lang w:val="en-US" w:eastAsia="zh-CN"/>
        </w:rPr>
        <w:t>9</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项目管理班子成员不得擅自变更。其中，项目经理若有《广东省住房和城乡建设厅关于建设工程项目招标中标后监督检查的办法》（粤建市〔2009〕8号，以下简称“《办法》”）第九条所述除外情形之一确需变更的，承包人应填写《建设工程项目管理班子变更情况报告表》（《办法》附件4）并附上相关证明资料，经发包人和建设行政主管部门审核同意方可变更，且更换后的项目经理应与承包人的投标文件所确定的原项目经理的主要条件一致；项目管理班子其他成员若有《办法》第九条所述除外情形之一确需变更的，承包人应填写《建设工程项目管理班子变更情况报告表》并附上相关证明资料，经发包人审核同意方可变更。</w:t>
      </w:r>
    </w:p>
    <w:p>
      <w:pPr>
        <w:wordWrap w:val="0"/>
        <w:adjustRightInd w:val="0"/>
        <w:snapToGrid w:val="0"/>
        <w:spacing w:line="440" w:lineRule="exact"/>
        <w:ind w:firstLine="480"/>
        <w:rPr>
          <w:rFonts w:hint="eastAsia" w:ascii="宋体" w:hAnsi="宋体" w:eastAsia="宋体" w:cs="宋体"/>
          <w:b/>
          <w:bCs/>
          <w:snapToGrid w:val="0"/>
          <w:color w:val="auto"/>
          <w:kern w:val="0"/>
          <w:highlight w:val="none"/>
        </w:rPr>
      </w:pPr>
      <w:bookmarkStart w:id="174" w:name="_Toc24202"/>
      <w:bookmarkStart w:id="175" w:name="_Toc31322"/>
      <w:bookmarkStart w:id="176" w:name="_Toc1774"/>
      <w:bookmarkStart w:id="177" w:name="_Toc31494"/>
      <w:r>
        <w:rPr>
          <w:rFonts w:hint="eastAsia" w:hAnsi="宋体" w:cs="宋体"/>
          <w:b/>
          <w:color w:val="auto"/>
          <w:highlight w:val="none"/>
          <w:lang w:val="en-US" w:eastAsia="zh-CN"/>
        </w:rPr>
        <w:t>9</w:t>
      </w:r>
      <w:r>
        <w:rPr>
          <w:rFonts w:hint="eastAsia" w:ascii="宋体" w:hAnsi="宋体" w:eastAsia="宋体" w:cs="宋体"/>
          <w:b/>
          <w:color w:val="auto"/>
          <w:highlight w:val="none"/>
        </w:rPr>
        <w:t>.3</w:t>
      </w:r>
      <w:r>
        <w:rPr>
          <w:rFonts w:hint="eastAsia" w:ascii="宋体" w:hAnsi="宋体" w:eastAsia="宋体" w:cs="宋体"/>
          <w:b/>
          <w:bCs/>
          <w:snapToGrid w:val="0"/>
          <w:color w:val="auto"/>
          <w:kern w:val="0"/>
          <w:highlight w:val="none"/>
        </w:rPr>
        <w:t>根据项目实施进度情况，招标人有权要求承包人增派项目管理人员，以满足项目的现场管理工作要求。</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p>
    <w:p>
      <w:pPr>
        <w:snapToGrid w:val="0"/>
        <w:spacing w:line="440" w:lineRule="exact"/>
        <w:ind w:firstLine="482" w:firstLineChars="200"/>
        <w:outlineLvl w:val="1"/>
        <w:rPr>
          <w:rStyle w:val="20"/>
          <w:rFonts w:hint="eastAsia" w:ascii="宋体" w:hAnsi="宋体" w:eastAsia="宋体" w:cs="宋体"/>
          <w:strike/>
          <w:color w:val="auto"/>
          <w:kern w:val="0"/>
          <w:highlight w:val="none"/>
        </w:rPr>
      </w:pPr>
      <w:bookmarkStart w:id="178" w:name="_Toc26575"/>
      <w:bookmarkStart w:id="179" w:name="_Toc31233"/>
      <w:bookmarkStart w:id="180" w:name="_Toc27544"/>
      <w:bookmarkStart w:id="181" w:name="_Toc30131"/>
      <w:bookmarkStart w:id="182" w:name="_Toc18255"/>
      <w:bookmarkStart w:id="183" w:name="_Toc21185"/>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．现场管理</w:t>
      </w:r>
      <w:bookmarkEnd w:id="174"/>
      <w:bookmarkEnd w:id="175"/>
      <w:bookmarkEnd w:id="176"/>
      <w:bookmarkEnd w:id="177"/>
      <w:bookmarkEnd w:id="178"/>
      <w:bookmarkEnd w:id="179"/>
      <w:bookmarkEnd w:id="180"/>
      <w:bookmarkEnd w:id="181"/>
      <w:bookmarkEnd w:id="182"/>
      <w:bookmarkEnd w:id="183"/>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承包人在施工期间应严格遵守国家、广东省、韶关市</w:t>
      </w:r>
      <w:r>
        <w:rPr>
          <w:rFonts w:hint="eastAsia" w:ascii="宋体" w:hAnsi="宋体" w:eastAsia="宋体" w:cs="宋体"/>
          <w:snapToGrid w:val="0"/>
          <w:color w:val="auto"/>
          <w:kern w:val="0"/>
          <w:highlight w:val="none"/>
        </w:rPr>
        <w:t>、南雄市</w:t>
      </w:r>
      <w:r>
        <w:rPr>
          <w:rStyle w:val="20"/>
          <w:rFonts w:hint="eastAsia" w:ascii="宋体" w:hAnsi="宋体" w:eastAsia="宋体" w:cs="宋体"/>
          <w:color w:val="auto"/>
          <w:kern w:val="0"/>
          <w:highlight w:val="none"/>
        </w:rPr>
        <w:t>有关绿色施工、文明施工、噪音扬尘、消防爆破、环境卫生、渣土清运、防火和治安保卫等方面的规定，并建立相应规章制度和保障措施。否则由此造成的经济损失和法律责任，均由承包人承担。</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承包人应按安全施工有关规定，采取严格、科学的安全防护措施，确保施工和人员（包括第三者）的安全，承担由于自身安全防护措施不力所造成的安全事故责任和发生的费用。</w:t>
      </w:r>
    </w:p>
    <w:p>
      <w:pPr>
        <w:snapToGrid w:val="0"/>
        <w:spacing w:line="440" w:lineRule="exact"/>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0</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为保证施工现场的环境卫生，承包人在本工程施工过程中，所有的车辆必须按发包人规定的行车路线行驶。</w:t>
      </w:r>
    </w:p>
    <w:p>
      <w:pPr>
        <w:snapToGrid w:val="0"/>
        <w:spacing w:line="440" w:lineRule="exact"/>
        <w:ind w:firstLine="482" w:firstLineChars="200"/>
        <w:rPr>
          <w:rStyle w:val="20"/>
          <w:rFonts w:hint="eastAsia" w:ascii="宋体" w:hAnsi="宋体" w:eastAsia="宋体" w:cs="宋体"/>
          <w:color w:val="auto"/>
          <w:kern w:val="0"/>
          <w:highlight w:val="none"/>
        </w:rPr>
      </w:pPr>
      <w:r>
        <w:rPr>
          <w:rFonts w:hint="eastAsia" w:ascii="宋体" w:hAnsi="宋体" w:eastAsia="宋体" w:cs="宋体"/>
          <w:b/>
          <w:bCs/>
          <w:snapToGrid w:val="0"/>
          <w:color w:val="auto"/>
          <w:highlight w:val="none"/>
        </w:rPr>
        <w:t>1</w:t>
      </w:r>
      <w:r>
        <w:rPr>
          <w:rFonts w:hint="eastAsia" w:hAnsi="宋体" w:cs="宋体"/>
          <w:b/>
          <w:bCs/>
          <w:snapToGrid w:val="0"/>
          <w:color w:val="auto"/>
          <w:highlight w:val="none"/>
          <w:lang w:val="en-US" w:eastAsia="zh-CN"/>
        </w:rPr>
        <w:t>0</w:t>
      </w:r>
      <w:r>
        <w:rPr>
          <w:rFonts w:hint="eastAsia" w:ascii="宋体" w:hAnsi="宋体" w:eastAsia="宋体" w:cs="宋体"/>
          <w:b/>
          <w:bCs/>
          <w:snapToGrid w:val="0"/>
          <w:color w:val="auto"/>
          <w:highlight w:val="none"/>
        </w:rPr>
        <w:t xml:space="preserve">.4 </w:t>
      </w:r>
      <w:r>
        <w:rPr>
          <w:rStyle w:val="20"/>
          <w:rFonts w:hint="eastAsia" w:ascii="宋体" w:hAnsi="宋体" w:eastAsia="宋体" w:cs="宋体"/>
          <w:color w:val="auto"/>
          <w:kern w:val="0"/>
          <w:highlight w:val="none"/>
        </w:rPr>
        <w:t>承包人必须做好施工场地地下地上管线和邻近建筑物、构筑物（包括文物保护建筑）、名树名木（如有）的保护工作。</w:t>
      </w:r>
    </w:p>
    <w:p>
      <w:pPr>
        <w:snapToGrid w:val="0"/>
        <w:spacing w:line="440" w:lineRule="exact"/>
        <w:ind w:firstLine="482" w:firstLineChars="200"/>
        <w:rPr>
          <w:rStyle w:val="20"/>
          <w:rFonts w:hint="eastAsia" w:ascii="宋体" w:hAnsi="宋体" w:eastAsia="宋体" w:cs="宋体"/>
          <w:b/>
          <w:bCs/>
          <w:color w:val="auto"/>
          <w:kern w:val="0"/>
          <w:highlight w:val="none"/>
        </w:rPr>
      </w:pPr>
      <w:r>
        <w:rPr>
          <w:rFonts w:hint="eastAsia" w:ascii="宋体" w:hAnsi="宋体" w:eastAsia="宋体" w:cs="宋体"/>
          <w:b/>
          <w:bCs/>
          <w:snapToGrid w:val="0"/>
          <w:color w:val="auto"/>
          <w:highlight w:val="none"/>
        </w:rPr>
        <w:t>1</w:t>
      </w:r>
      <w:r>
        <w:rPr>
          <w:rFonts w:hint="eastAsia" w:hAnsi="宋体" w:cs="宋体"/>
          <w:b/>
          <w:bCs/>
          <w:snapToGrid w:val="0"/>
          <w:color w:val="auto"/>
          <w:highlight w:val="none"/>
          <w:lang w:val="en-US" w:eastAsia="zh-CN"/>
        </w:rPr>
        <w:t>0</w:t>
      </w:r>
      <w:r>
        <w:rPr>
          <w:rFonts w:hint="eastAsia" w:ascii="宋体" w:hAnsi="宋体" w:eastAsia="宋体" w:cs="宋体"/>
          <w:b/>
          <w:bCs/>
          <w:snapToGrid w:val="0"/>
          <w:color w:val="auto"/>
          <w:highlight w:val="none"/>
        </w:rPr>
        <w:t>.5</w:t>
      </w:r>
      <w:r>
        <w:rPr>
          <w:rFonts w:hint="eastAsia" w:ascii="宋体" w:hAnsi="宋体" w:eastAsia="宋体" w:cs="宋体"/>
          <w:snapToGrid w:val="0"/>
          <w:color w:val="auto"/>
          <w:highlight w:val="none"/>
        </w:rPr>
        <w:t>承包人应根据施工任务做好工期分析工作，按工期节点要求进行人料机的安排，及时根据计划的实施情况调整人料机的投入。承包人作为总承包单位，应合理安排施工工作，统筹各专业单位（如有）的工作界面，不得影响施工进度。承包人应根据工作面的变化情况及工程进度要求，合理增配人员及施工机械设备。</w:t>
      </w:r>
    </w:p>
    <w:p>
      <w:pPr>
        <w:snapToGrid w:val="0"/>
        <w:spacing w:line="440" w:lineRule="exact"/>
        <w:ind w:firstLine="482" w:firstLineChars="200"/>
        <w:outlineLvl w:val="1"/>
        <w:rPr>
          <w:rStyle w:val="20"/>
          <w:rFonts w:hint="eastAsia" w:ascii="宋体" w:hAnsi="宋体" w:eastAsia="宋体" w:cs="宋体"/>
          <w:b/>
          <w:bCs/>
          <w:color w:val="auto"/>
          <w:kern w:val="0"/>
          <w:highlight w:val="none"/>
        </w:rPr>
      </w:pPr>
      <w:bookmarkStart w:id="184" w:name="_Toc28373"/>
      <w:bookmarkStart w:id="185" w:name="_Toc10137"/>
      <w:bookmarkStart w:id="186" w:name="_Toc13977"/>
      <w:bookmarkStart w:id="187" w:name="_Toc5587"/>
    </w:p>
    <w:p>
      <w:pPr>
        <w:snapToGrid w:val="0"/>
        <w:spacing w:line="440" w:lineRule="exact"/>
        <w:ind w:firstLine="482" w:firstLineChars="200"/>
        <w:outlineLvl w:val="1"/>
        <w:rPr>
          <w:rStyle w:val="20"/>
          <w:rFonts w:hint="eastAsia" w:ascii="宋体" w:hAnsi="宋体" w:eastAsia="宋体" w:cs="宋体"/>
          <w:strike/>
          <w:color w:val="auto"/>
          <w:kern w:val="0"/>
          <w:highlight w:val="none"/>
        </w:rPr>
      </w:pPr>
      <w:bookmarkStart w:id="188" w:name="_Toc21045"/>
      <w:bookmarkStart w:id="189" w:name="_Toc19388"/>
      <w:bookmarkStart w:id="190" w:name="_Toc30626"/>
      <w:bookmarkStart w:id="191" w:name="_Toc1127"/>
      <w:bookmarkStart w:id="192" w:name="_Toc13615"/>
      <w:bookmarkStart w:id="193" w:name="_Toc9669"/>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1</w:t>
      </w:r>
      <w:r>
        <w:rPr>
          <w:rStyle w:val="20"/>
          <w:rFonts w:hint="eastAsia" w:ascii="宋体" w:hAnsi="宋体" w:eastAsia="宋体" w:cs="宋体"/>
          <w:b/>
          <w:bCs/>
          <w:color w:val="auto"/>
          <w:kern w:val="0"/>
          <w:highlight w:val="none"/>
        </w:rPr>
        <w:t>．监督实施</w:t>
      </w:r>
      <w:bookmarkEnd w:id="184"/>
      <w:bookmarkEnd w:id="185"/>
      <w:bookmarkEnd w:id="186"/>
      <w:bookmarkEnd w:id="187"/>
      <w:bookmarkEnd w:id="188"/>
      <w:bookmarkEnd w:id="189"/>
      <w:bookmarkEnd w:id="190"/>
      <w:bookmarkEnd w:id="191"/>
      <w:bookmarkEnd w:id="192"/>
      <w:bookmarkEnd w:id="19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须服从发包人对工程质量、进度、成本的全方位监督，施工中的年度计划、季度计划、月度计划、施工方案等应报送监理单位审批和发包人备案。施工中的质量保证措施等资料均应及时报送监理单位和发包人备案。</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b/>
          <w:bCs/>
          <w:color w:val="auto"/>
          <w:kern w:val="0"/>
          <w:highlight w:val="none"/>
        </w:rPr>
      </w:pPr>
      <w:bookmarkStart w:id="194" w:name="_Toc22328"/>
      <w:bookmarkStart w:id="195" w:name="_Toc2517"/>
      <w:bookmarkStart w:id="196" w:name="_Toc4112"/>
      <w:bookmarkStart w:id="197" w:name="_Toc27169"/>
      <w:bookmarkStart w:id="198" w:name="_Toc6033"/>
      <w:bookmarkStart w:id="199" w:name="_Toc16603"/>
      <w:bookmarkStart w:id="200" w:name="_Toc8125"/>
      <w:bookmarkStart w:id="201" w:name="_Toc22360"/>
      <w:bookmarkStart w:id="202" w:name="_Toc17856"/>
      <w:bookmarkStart w:id="203" w:name="_Toc18946"/>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2</w:t>
      </w:r>
      <w:r>
        <w:rPr>
          <w:rStyle w:val="20"/>
          <w:rFonts w:hint="eastAsia" w:ascii="宋体" w:hAnsi="宋体" w:eastAsia="宋体" w:cs="宋体"/>
          <w:b/>
          <w:bCs/>
          <w:color w:val="auto"/>
          <w:kern w:val="0"/>
          <w:highlight w:val="none"/>
        </w:rPr>
        <w:t>．主材的采购和使用</w:t>
      </w:r>
      <w:bookmarkEnd w:id="194"/>
      <w:bookmarkEnd w:id="195"/>
      <w:bookmarkEnd w:id="196"/>
      <w:bookmarkEnd w:id="197"/>
      <w:bookmarkEnd w:id="198"/>
      <w:bookmarkEnd w:id="199"/>
      <w:bookmarkEnd w:id="200"/>
      <w:bookmarkEnd w:id="201"/>
      <w:bookmarkEnd w:id="202"/>
      <w:bookmarkEnd w:id="20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招标人有权拒绝承包人提供的不合格或不符合绿色施工要求的材料，并要求承包人立即进行更换。承包人应按发包人确认后的主要材料的规格、颜色要求采购。如果变更规格或颜色，必须经发包人同意后，报有关审核部门重新核定单价后方可采购，并相应调整合同价款。主要材料必须先提供样板给发包人确定其规格、颜色、等级等，发包人同意后方可使用。</w:t>
      </w:r>
    </w:p>
    <w:p>
      <w:pPr>
        <w:snapToGrid w:val="0"/>
        <w:spacing w:line="440" w:lineRule="exact"/>
        <w:ind w:firstLine="560"/>
        <w:outlineLvl w:val="1"/>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color w:val="auto"/>
          <w:kern w:val="0"/>
          <w:highlight w:val="none"/>
        </w:rPr>
      </w:pPr>
      <w:bookmarkStart w:id="204" w:name="_Toc18024"/>
      <w:bookmarkStart w:id="205" w:name="_Toc25303"/>
      <w:bookmarkStart w:id="206" w:name="_Toc10735"/>
      <w:bookmarkStart w:id="207" w:name="_Toc5668"/>
      <w:bookmarkStart w:id="208" w:name="_Toc20767"/>
      <w:bookmarkStart w:id="209" w:name="_Toc4734"/>
      <w:bookmarkStart w:id="210" w:name="_Toc21291"/>
      <w:bookmarkStart w:id="211" w:name="_Toc23190"/>
      <w:bookmarkStart w:id="212" w:name="_Toc31975"/>
      <w:bookmarkStart w:id="213" w:name="_Toc3671"/>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3</w:t>
      </w:r>
      <w:r>
        <w:rPr>
          <w:rStyle w:val="20"/>
          <w:rFonts w:hint="eastAsia" w:ascii="宋体" w:hAnsi="宋体" w:eastAsia="宋体" w:cs="宋体"/>
          <w:b/>
          <w:bCs/>
          <w:color w:val="auto"/>
          <w:kern w:val="0"/>
          <w:highlight w:val="none"/>
        </w:rPr>
        <w:t>．竣工资料移交</w:t>
      </w:r>
      <w:bookmarkEnd w:id="204"/>
      <w:bookmarkEnd w:id="205"/>
      <w:bookmarkEnd w:id="206"/>
      <w:bookmarkEnd w:id="207"/>
      <w:bookmarkEnd w:id="208"/>
      <w:bookmarkEnd w:id="209"/>
      <w:bookmarkEnd w:id="210"/>
      <w:bookmarkEnd w:id="211"/>
      <w:bookmarkEnd w:id="212"/>
      <w:bookmarkEnd w:id="21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工程竣工验收时，承包人应向监理单位和发包人提供符合国家档案部门备案要求的，编制成册的竣工图及有关的技术档案资料（含纸质、声像及电子等形式的档案）一式</w:t>
      </w:r>
      <w:r>
        <w:rPr>
          <w:rStyle w:val="20"/>
          <w:rFonts w:hint="eastAsia" w:ascii="宋体" w:hAnsi="宋体" w:eastAsia="宋体" w:cs="宋体"/>
          <w:color w:val="auto"/>
          <w:kern w:val="0"/>
          <w:highlight w:val="none"/>
          <w:u w:val="single"/>
        </w:rPr>
        <w:t>捌</w:t>
      </w:r>
      <w:r>
        <w:rPr>
          <w:rStyle w:val="20"/>
          <w:rFonts w:hint="eastAsia" w:ascii="宋体" w:hAnsi="宋体" w:eastAsia="宋体" w:cs="宋体"/>
          <w:color w:val="auto"/>
          <w:kern w:val="0"/>
          <w:highlight w:val="none"/>
        </w:rPr>
        <w:t>份，制作费用由承包人承担。</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color w:val="auto"/>
          <w:kern w:val="0"/>
          <w:highlight w:val="none"/>
        </w:rPr>
      </w:pPr>
      <w:bookmarkStart w:id="214" w:name="_Toc17031"/>
      <w:bookmarkStart w:id="215" w:name="_Toc11059"/>
      <w:bookmarkStart w:id="216" w:name="_Toc5007"/>
      <w:bookmarkStart w:id="217" w:name="_Toc8610"/>
      <w:bookmarkStart w:id="218" w:name="_Toc14315"/>
      <w:bookmarkStart w:id="219" w:name="_Toc28419"/>
      <w:bookmarkStart w:id="220" w:name="_Toc6814"/>
      <w:bookmarkStart w:id="221" w:name="_Toc30391"/>
      <w:bookmarkStart w:id="222" w:name="_Toc880"/>
      <w:bookmarkStart w:id="223" w:name="_Toc2569"/>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．质量保证</w:t>
      </w:r>
      <w:bookmarkEnd w:id="214"/>
      <w:bookmarkEnd w:id="215"/>
      <w:bookmarkEnd w:id="216"/>
      <w:bookmarkEnd w:id="217"/>
      <w:bookmarkEnd w:id="218"/>
      <w:bookmarkEnd w:id="219"/>
      <w:bookmarkEnd w:id="220"/>
      <w:bookmarkEnd w:id="221"/>
      <w:bookmarkEnd w:id="222"/>
      <w:bookmarkEnd w:id="223"/>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.1</w:t>
      </w:r>
      <w:r>
        <w:rPr>
          <w:rStyle w:val="20"/>
          <w:rFonts w:hint="eastAsia" w:ascii="宋体" w:hAnsi="宋体" w:eastAsia="宋体" w:cs="宋体"/>
          <w:color w:val="auto"/>
          <w:kern w:val="0"/>
          <w:highlight w:val="none"/>
        </w:rPr>
        <w:t xml:space="preserve"> 本工程缺陷责任期为</w:t>
      </w:r>
      <w:r>
        <w:rPr>
          <w:rStyle w:val="20"/>
          <w:rFonts w:hint="eastAsia" w:ascii="宋体" w:hAnsi="宋体" w:eastAsia="宋体" w:cs="宋体"/>
          <w:color w:val="auto"/>
          <w:kern w:val="0"/>
          <w:highlight w:val="none"/>
          <w:u w:val="single"/>
        </w:rPr>
        <w:t>2</w:t>
      </w:r>
      <w:r>
        <w:rPr>
          <w:rStyle w:val="20"/>
          <w:rFonts w:hint="eastAsia" w:ascii="宋体" w:hAnsi="宋体" w:eastAsia="宋体" w:cs="宋体"/>
          <w:color w:val="auto"/>
          <w:kern w:val="0"/>
          <w:highlight w:val="none"/>
        </w:rPr>
        <w:t>年（自通过竣工验收之日起计），在此期间预留金额为结算价</w:t>
      </w:r>
      <w:r>
        <w:rPr>
          <w:rStyle w:val="20"/>
          <w:rFonts w:hint="eastAsia" w:ascii="宋体" w:hAnsi="宋体" w:eastAsia="宋体" w:cs="宋体"/>
          <w:color w:val="auto"/>
          <w:kern w:val="0"/>
          <w:highlight w:val="none"/>
          <w:u w:val="single"/>
        </w:rPr>
        <w:t xml:space="preserve">3% </w:t>
      </w:r>
      <w:r>
        <w:rPr>
          <w:rStyle w:val="20"/>
          <w:rFonts w:hint="eastAsia" w:ascii="宋体" w:hAnsi="宋体" w:eastAsia="宋体" w:cs="宋体"/>
          <w:color w:val="auto"/>
          <w:kern w:val="0"/>
          <w:highlight w:val="none"/>
        </w:rPr>
        <w:t>的质量保证。</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.2</w:t>
      </w:r>
      <w:r>
        <w:rPr>
          <w:rStyle w:val="20"/>
          <w:rFonts w:hint="eastAsia" w:ascii="宋体" w:hAnsi="宋体" w:eastAsia="宋体" w:cs="宋体"/>
          <w:color w:val="auto"/>
          <w:kern w:val="0"/>
          <w:highlight w:val="none"/>
        </w:rPr>
        <w:t xml:space="preserve"> 质量保证的形式包括质量保证金、质量保证担保、质量保证保险三种，由承包人自主选择。</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（1）采用质量保证金形式的，在结清审定总造价时一次性扣留相应金额作为质量保证金。</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w:t>
      </w:r>
      <w:r>
        <w:rPr>
          <w:rFonts w:hint="eastAsia" w:ascii="Times New Roman" w:hAnsi="Times New Roman" w:cs="Times New Roman"/>
          <w:b w:val="0"/>
          <w:bCs/>
          <w:caps w:val="0"/>
          <w:smallCaps w:val="0"/>
          <w:snapToGrid w:val="0"/>
          <w:color w:val="auto"/>
          <w:spacing w:val="0"/>
          <w:kern w:val="0"/>
          <w:highlight w:val="none"/>
          <w:lang w:val="en-US" w:eastAsia="zh-CN"/>
        </w:rPr>
        <w:t>采用质量保证担保或质量保证保险的，承包人应在竣工验收时向发包人提交有效的银行保函或保险合同（或保险单）原件，银行保函或保险合同（或保险单）的有效期不得短于缺陷责任期</w:t>
      </w:r>
      <w:r>
        <w:rPr>
          <w:rFonts w:hint="eastAsia" w:ascii="Times New Roman"/>
          <w:bCs/>
          <w:snapToGrid w:val="0"/>
          <w:color w:val="auto"/>
          <w:kern w:val="0"/>
          <w:highlight w:val="none"/>
        </w:rPr>
        <w:t>。</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.3</w:t>
      </w:r>
      <w:r>
        <w:rPr>
          <w:rStyle w:val="20"/>
          <w:rFonts w:hint="eastAsia" w:ascii="宋体" w:hAnsi="宋体" w:eastAsia="宋体" w:cs="宋体"/>
          <w:color w:val="auto"/>
          <w:kern w:val="0"/>
          <w:highlight w:val="none"/>
        </w:rPr>
        <w:t xml:space="preserve"> 缺陷责任期内，由承包人原因造成的缺陷，承包人应负责维修，并承担鉴定及维修费用。如果承包人不维修也不承担费用，发包人可按合同约定从质量保证中扣除，维修费用超出保证金额的，发包人可按合同约定向承包人进行索赔。承包人维修并承担相应费用后，不免除对工程的损失赔偿责任。</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由他人原因造成的缺陷，发包人负责组织维修，承包人不承担费用，且发包人不得从质量保证中扣除费用。</w:t>
      </w:r>
    </w:p>
    <w:p>
      <w:pPr>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4</w:t>
      </w:r>
      <w:r>
        <w:rPr>
          <w:rStyle w:val="20"/>
          <w:rFonts w:hint="eastAsia" w:ascii="宋体" w:hAnsi="宋体" w:eastAsia="宋体" w:cs="宋体"/>
          <w:b/>
          <w:bCs/>
          <w:color w:val="auto"/>
          <w:kern w:val="0"/>
          <w:highlight w:val="none"/>
        </w:rPr>
        <w:t>.4</w:t>
      </w:r>
      <w:r>
        <w:rPr>
          <w:rStyle w:val="20"/>
          <w:rFonts w:hint="eastAsia" w:ascii="宋体" w:hAnsi="宋体" w:eastAsia="宋体" w:cs="宋体"/>
          <w:color w:val="auto"/>
          <w:kern w:val="0"/>
          <w:highlight w:val="none"/>
        </w:rPr>
        <w:t xml:space="preserve"> 缺陷责任期内，承包人应认真履行合同约定的责任。缺陷责任期到期后，承包人向发包人申请退还质量保证，发包人应按照《建设工程质量保证金管理办法》有关规定将质量保证退还给承包人。</w:t>
      </w:r>
    </w:p>
    <w:p>
      <w:pPr>
        <w:snapToGrid w:val="0"/>
        <w:spacing w:line="440" w:lineRule="exact"/>
        <w:ind w:firstLine="560"/>
        <w:rPr>
          <w:rStyle w:val="20"/>
          <w:rFonts w:hint="eastAsia" w:ascii="宋体" w:hAnsi="宋体" w:eastAsia="宋体" w:cs="宋体"/>
          <w:b/>
          <w:bCs/>
          <w:color w:val="auto"/>
          <w:kern w:val="0"/>
          <w:highlight w:val="none"/>
        </w:rPr>
      </w:pPr>
    </w:p>
    <w:p>
      <w:pPr>
        <w:snapToGrid w:val="0"/>
        <w:spacing w:line="440" w:lineRule="exact"/>
        <w:ind w:firstLine="560"/>
        <w:outlineLvl w:val="1"/>
        <w:rPr>
          <w:rStyle w:val="20"/>
          <w:rFonts w:hint="eastAsia" w:ascii="宋体" w:hAnsi="宋体" w:eastAsia="宋体" w:cs="宋体"/>
          <w:strike/>
          <w:color w:val="auto"/>
          <w:kern w:val="0"/>
          <w:highlight w:val="none"/>
        </w:rPr>
      </w:pPr>
      <w:bookmarkStart w:id="224" w:name="_Toc21606"/>
      <w:bookmarkStart w:id="225" w:name="_Toc16210"/>
      <w:bookmarkStart w:id="226" w:name="_Toc16614"/>
      <w:bookmarkStart w:id="227" w:name="_Toc32287"/>
      <w:bookmarkStart w:id="228" w:name="_Toc4991"/>
      <w:bookmarkStart w:id="229" w:name="_Toc5467"/>
      <w:bookmarkStart w:id="230" w:name="_Toc29331"/>
      <w:bookmarkStart w:id="231" w:name="_Toc20836"/>
      <w:bookmarkStart w:id="232" w:name="_Toc24271"/>
      <w:bookmarkStart w:id="233" w:name="_Toc29337"/>
      <w:r>
        <w:rPr>
          <w:rStyle w:val="20"/>
          <w:rFonts w:hint="eastAsia" w:ascii="宋体" w:hAnsi="宋体" w:eastAsia="宋体" w:cs="宋体"/>
          <w:b/>
          <w:bCs/>
          <w:color w:val="auto"/>
          <w:kern w:val="0"/>
          <w:highlight w:val="none"/>
        </w:rPr>
        <w:t>1</w:t>
      </w:r>
      <w:r>
        <w:rPr>
          <w:rStyle w:val="20"/>
          <w:rFonts w:hint="eastAsia" w:hAnsi="宋体" w:cs="宋体"/>
          <w:b/>
          <w:bCs/>
          <w:color w:val="auto"/>
          <w:kern w:val="0"/>
          <w:highlight w:val="none"/>
          <w:lang w:val="en-US" w:eastAsia="zh-CN"/>
        </w:rPr>
        <w:t>5</w:t>
      </w:r>
      <w:r>
        <w:rPr>
          <w:rStyle w:val="20"/>
          <w:rFonts w:hint="eastAsia" w:ascii="宋体" w:hAnsi="宋体" w:eastAsia="宋体" w:cs="宋体"/>
          <w:b/>
          <w:bCs/>
          <w:color w:val="auto"/>
          <w:kern w:val="0"/>
          <w:highlight w:val="none"/>
        </w:rPr>
        <w:t>．不良行为处理</w:t>
      </w:r>
      <w:bookmarkEnd w:id="224"/>
      <w:bookmarkEnd w:id="225"/>
      <w:bookmarkEnd w:id="226"/>
      <w:bookmarkEnd w:id="227"/>
      <w:bookmarkEnd w:id="228"/>
      <w:bookmarkEnd w:id="229"/>
      <w:bookmarkEnd w:id="230"/>
      <w:bookmarkEnd w:id="231"/>
      <w:bookmarkEnd w:id="232"/>
      <w:bookmarkEnd w:id="233"/>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承包人及其有关人员有下列行为之一的，发包人应及时向建设行政主管部门报告。除按照有关法律、法规进行处罚。</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（1）转包、违法分包或违反投标承诺分包工程的；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（2）非原参加投标中标的项目经理负责组织施工或在实施过程中擅自更换项目经理的、项目的其他主要管理人员与中标文件确定的人员不相符的；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（3）投标文件确定的大型机械设备没有进入施工现场的；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（4）与建设单位、监理单位串通，签认虚假工程量或工程造价的；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（5）项目经理施工现场管理不到位的；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（6）项目经理在非本人资格证书注册单位从事工程项目施工管理的；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（7）项目经理同时承担超过一项工程项目的；</w:t>
      </w:r>
    </w:p>
    <w:p>
      <w:pPr>
        <w:pStyle w:val="37"/>
        <w:snapToGrid w:val="0"/>
        <w:spacing w:line="440" w:lineRule="exact"/>
        <w:ind w:firstLine="480" w:firstLineChars="20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（8）违反有关法律、法规、规章规定的其它行为。</w:t>
      </w:r>
    </w:p>
    <w:p>
      <w:pPr>
        <w:pStyle w:val="37"/>
        <w:snapToGrid w:val="0"/>
        <w:spacing w:line="440" w:lineRule="exact"/>
        <w:ind w:firstLine="482" w:firstLineChars="200"/>
        <w:jc w:val="left"/>
        <w:rPr>
          <w:rStyle w:val="20"/>
          <w:rFonts w:hint="eastAsia" w:ascii="宋体" w:hAnsi="宋体" w:eastAsia="宋体" w:cs="宋体"/>
          <w:b/>
          <w:bCs/>
          <w:color w:val="auto"/>
          <w:kern w:val="0"/>
          <w:highlight w:val="none"/>
        </w:rPr>
      </w:pPr>
    </w:p>
    <w:p>
      <w:pPr>
        <w:pStyle w:val="37"/>
        <w:snapToGrid w:val="0"/>
        <w:spacing w:line="440" w:lineRule="exact"/>
        <w:ind w:firstLine="482" w:firstLineChars="200"/>
        <w:jc w:val="left"/>
        <w:outlineLvl w:val="1"/>
        <w:rPr>
          <w:rStyle w:val="20"/>
          <w:rFonts w:hint="eastAsia" w:ascii="宋体" w:hAnsi="宋体" w:eastAsia="宋体" w:cs="宋体"/>
          <w:b/>
          <w:bCs/>
          <w:color w:val="auto"/>
          <w:kern w:val="0"/>
          <w:highlight w:val="none"/>
        </w:rPr>
      </w:pPr>
      <w:bookmarkStart w:id="234" w:name="_Toc25396"/>
      <w:bookmarkStart w:id="235" w:name="_Toc2048"/>
      <w:bookmarkStart w:id="236" w:name="_Toc8801"/>
      <w:bookmarkStart w:id="237" w:name="_Toc978"/>
      <w:bookmarkStart w:id="238" w:name="_Toc10238"/>
      <w:bookmarkStart w:id="239" w:name="_Toc10467"/>
      <w:bookmarkStart w:id="240" w:name="_Toc15747"/>
      <w:bookmarkStart w:id="241" w:name="_Toc21570"/>
      <w:bookmarkStart w:id="242" w:name="_Toc25724"/>
      <w:bookmarkStart w:id="243" w:name="_Toc8814"/>
      <w:r>
        <w:rPr>
          <w:rStyle w:val="20"/>
          <w:rFonts w:hint="eastAsia" w:ascii="宋体" w:hAnsi="宋体" w:eastAsia="宋体" w:cs="宋体"/>
          <w:b/>
          <w:bCs/>
          <w:color w:val="auto"/>
          <w:kern w:val="0"/>
          <w:highlight w:val="none"/>
        </w:rPr>
        <w:t>1</w:t>
      </w:r>
      <w:r>
        <w:rPr>
          <w:rStyle w:val="20"/>
          <w:rFonts w:hint="eastAsia" w:ascii="宋体" w:hAnsi="宋体" w:cs="宋体"/>
          <w:b/>
          <w:bCs/>
          <w:color w:val="auto"/>
          <w:kern w:val="0"/>
          <w:highlight w:val="none"/>
          <w:lang w:val="en-US" w:eastAsia="zh-CN"/>
        </w:rPr>
        <w:t>6</w:t>
      </w:r>
      <w:r>
        <w:rPr>
          <w:rStyle w:val="20"/>
          <w:rFonts w:hint="eastAsia" w:ascii="宋体" w:hAnsi="宋体" w:eastAsia="宋体" w:cs="宋体"/>
          <w:b/>
          <w:bCs/>
          <w:color w:val="auto"/>
          <w:kern w:val="0"/>
          <w:highlight w:val="none"/>
        </w:rPr>
        <w:t>．信用评价条款内容</w:t>
      </w:r>
      <w:bookmarkEnd w:id="234"/>
      <w:bookmarkEnd w:id="235"/>
      <w:bookmarkEnd w:id="236"/>
      <w:bookmarkEnd w:id="237"/>
      <w:bookmarkEnd w:id="238"/>
      <w:bookmarkEnd w:id="239"/>
      <w:bookmarkEnd w:id="240"/>
      <w:bookmarkEnd w:id="241"/>
      <w:bookmarkEnd w:id="242"/>
      <w:bookmarkEnd w:id="243"/>
    </w:p>
    <w:p>
      <w:pPr>
        <w:pStyle w:val="39"/>
        <w:snapToGrid w:val="0"/>
        <w:spacing w:line="440" w:lineRule="exact"/>
        <w:ind w:firstLine="56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由招标人决定是否对施工单位的履约情况进行信用评价。若进行信用评价，评价条款由招标人自拟，条款内容可参考人员到位情况、服务配合程度、服务成果质量、项目后期服务及信用评价结果的运用等。</w:t>
      </w:r>
    </w:p>
    <w:p>
      <w:pPr>
        <w:pStyle w:val="39"/>
        <w:ind w:firstLine="560"/>
        <w:rPr>
          <w:rStyle w:val="20"/>
          <w:rFonts w:hint="eastAsia" w:ascii="宋体" w:hAnsi="宋体" w:eastAsia="宋体" w:cs="宋体"/>
          <w:b/>
          <w:bCs/>
          <w:color w:val="auto"/>
          <w:highlight w:val="none"/>
        </w:rPr>
      </w:pPr>
    </w:p>
    <w:p>
      <w:pPr>
        <w:pStyle w:val="24"/>
        <w:snapToGrid w:val="0"/>
        <w:ind w:firstLine="482" w:firstLineChars="200"/>
        <w:jc w:val="both"/>
        <w:outlineLvl w:val="1"/>
        <w:rPr>
          <w:rStyle w:val="20"/>
          <w:rFonts w:hint="eastAsia" w:ascii="宋体" w:hAnsi="宋体" w:eastAsia="宋体" w:cs="宋体"/>
          <w:color w:val="auto"/>
          <w:highlight w:val="none"/>
        </w:rPr>
      </w:pPr>
      <w:bookmarkStart w:id="244" w:name="_Toc17033"/>
      <w:bookmarkStart w:id="245" w:name="_Toc2774"/>
      <w:bookmarkStart w:id="246" w:name="_Toc16813"/>
      <w:bookmarkStart w:id="247" w:name="_Toc4965"/>
      <w:bookmarkStart w:id="248" w:name="_Toc20918"/>
      <w:bookmarkStart w:id="249" w:name="_Toc26751"/>
      <w:bookmarkStart w:id="250" w:name="_Toc13500"/>
      <w:bookmarkStart w:id="251" w:name="_Toc3840"/>
      <w:bookmarkStart w:id="252" w:name="_Toc9486"/>
      <w:bookmarkStart w:id="253" w:name="_Toc5020"/>
      <w:r>
        <w:rPr>
          <w:rStyle w:val="20"/>
          <w:rFonts w:hint="eastAsia" w:ascii="宋体" w:hAnsi="宋体" w:eastAsia="宋体" w:cs="宋体"/>
          <w:b/>
          <w:bCs/>
          <w:color w:val="auto"/>
          <w:highlight w:val="none"/>
        </w:rPr>
        <w:t>1</w:t>
      </w:r>
      <w:r>
        <w:rPr>
          <w:rStyle w:val="20"/>
          <w:rFonts w:hint="eastAsia" w:hAnsi="宋体" w:cs="宋体"/>
          <w:b/>
          <w:bCs/>
          <w:color w:val="auto"/>
          <w:highlight w:val="none"/>
          <w:lang w:val="en-US" w:eastAsia="zh-CN"/>
        </w:rPr>
        <w:t>7</w:t>
      </w:r>
      <w:r>
        <w:rPr>
          <w:rStyle w:val="20"/>
          <w:rFonts w:hint="eastAsia" w:ascii="宋体" w:hAnsi="宋体" w:eastAsia="宋体" w:cs="宋体"/>
          <w:b/>
          <w:bCs/>
          <w:color w:val="auto"/>
          <w:highlight w:val="none"/>
        </w:rPr>
        <w:t>．其他事项</w:t>
      </w:r>
      <w:bookmarkEnd w:id="244"/>
      <w:bookmarkEnd w:id="245"/>
      <w:bookmarkEnd w:id="246"/>
      <w:bookmarkEnd w:id="247"/>
      <w:bookmarkEnd w:id="248"/>
      <w:bookmarkEnd w:id="249"/>
      <w:bookmarkEnd w:id="250"/>
      <w:bookmarkEnd w:id="251"/>
      <w:bookmarkEnd w:id="252"/>
      <w:bookmarkEnd w:id="253"/>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.1 </w:t>
      </w:r>
      <w:r>
        <w:rPr>
          <w:rFonts w:hint="eastAsia" w:ascii="宋体" w:hAnsi="宋体" w:eastAsia="宋体" w:cs="宋体"/>
          <w:color w:val="auto"/>
          <w:highlight w:val="none"/>
        </w:rPr>
        <w:t>承包人按照市住建局有关规定安装视频监控系统，并支付相关的费用，相关费用已包含在合同价中。</w:t>
      </w:r>
    </w:p>
    <w:p>
      <w:pPr>
        <w:ind w:firstLine="422" w:firstLineChars="175"/>
        <w:rPr>
          <w:rFonts w:hint="eastAsia"/>
          <w:color w:val="auto"/>
          <w:highlight w:val="none"/>
        </w:rPr>
      </w:pPr>
      <w:r>
        <w:rPr>
          <w:rFonts w:hint="eastAsia" w:hAnsi="宋体"/>
          <w:b/>
          <w:bCs/>
          <w:snapToGrid w:val="0"/>
          <w:color w:val="auto"/>
          <w:kern w:val="0"/>
          <w:highlight w:val="none"/>
        </w:rPr>
        <w:t>开工一个月内必须按相关规定和要求安装视频监控系统，并接入相关部门监控系统，如未按时安装视频监控系统，发包人有权在措施费中扣除相关费用。</w:t>
      </w:r>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.2 </w:t>
      </w:r>
      <w:r>
        <w:rPr>
          <w:rFonts w:hint="eastAsia" w:ascii="宋体" w:hAnsi="宋体" w:eastAsia="宋体" w:cs="宋体"/>
          <w:snapToGrid w:val="0"/>
          <w:color w:val="auto"/>
          <w:kern w:val="0"/>
          <w:highlight w:val="none"/>
        </w:rPr>
        <w:t>由于发包人原因导致工期延迟的，承包人仅可以获得顺延工期的补偿，不予任何费用补偿。</w:t>
      </w:r>
    </w:p>
    <w:p>
      <w:pPr>
        <w:ind w:firstLine="422" w:firstLineChars="175"/>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.3 </w:t>
      </w:r>
      <w:r>
        <w:rPr>
          <w:rFonts w:hint="eastAsia" w:ascii="宋体" w:hAnsi="宋体" w:eastAsia="宋体" w:cs="宋体"/>
          <w:color w:val="auto"/>
          <w:highlight w:val="none"/>
        </w:rPr>
        <w:t>白蚁防治方案应报发包人、监理工程师审核，按有关规定和标准做好白蚁防治工作。</w:t>
      </w:r>
    </w:p>
    <w:p>
      <w:pPr>
        <w:ind w:firstLine="422" w:firstLineChars="175"/>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.4 </w:t>
      </w:r>
      <w:r>
        <w:rPr>
          <w:rFonts w:hint="eastAsia" w:ascii="宋体" w:hAnsi="宋体" w:eastAsia="宋体" w:cs="宋体"/>
          <w:snapToGrid w:val="0"/>
          <w:color w:val="auto"/>
          <w:kern w:val="0"/>
          <w:highlight w:val="none"/>
        </w:rPr>
        <w:t>招标文件中涉及的合同实质性内容以及拟签合同的主要条款内容、中标须知、相关附件、格式内容等为中标后拟签合同实质性内容，在订立合同时不得擅自进行更改。</w:t>
      </w:r>
    </w:p>
    <w:p>
      <w:pPr>
        <w:pStyle w:val="40"/>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 xml:space="preserve">.5 </w:t>
      </w:r>
      <w:r>
        <w:rPr>
          <w:rFonts w:hint="eastAsia" w:ascii="宋体" w:hAnsi="宋体" w:eastAsia="宋体" w:cs="宋体"/>
          <w:color w:val="auto"/>
          <w:highlight w:val="none"/>
        </w:rPr>
        <w:t>工程完工后，为了本项目整体竣工验收的需要，承包人必须在发包人的统筹安排下，与为本项目其他工程服务的单位进行协同配合，做好竣工验收的各项工作，交付的工程必须符合各专业工程管养单位的相关要求。</w:t>
      </w:r>
    </w:p>
    <w:p>
      <w:pPr>
        <w:pStyle w:val="40"/>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.6</w:t>
      </w:r>
      <w:r>
        <w:rPr>
          <w:rFonts w:hint="eastAsia" w:ascii="宋体" w:hAnsi="宋体" w:eastAsia="宋体" w:cs="宋体"/>
          <w:color w:val="auto"/>
          <w:highlight w:val="none"/>
        </w:rPr>
        <w:t>中标人应做好周边设施（含燃气、供电、供水、排水、排污、人行道、路灯等）的成品保护，如因中标人原因导致上述设施发生损坏，中标人无条件按招标人规定的期限内修复，否则按招标文件和合同相关约定扣除违约金。</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.7</w:t>
      </w:r>
      <w:r>
        <w:rPr>
          <w:rFonts w:hint="eastAsia" w:ascii="宋体" w:hAnsi="宋体" w:eastAsia="宋体" w:cs="宋体"/>
          <w:color w:val="auto"/>
          <w:highlight w:val="none"/>
        </w:rPr>
        <w:t xml:space="preserve"> 在质量缺陷保修期内，承包人必须在接到保修通知之日起7天内无条件派人先行保修，发生涉及结构安全、严重影响使用功能的质量缺陷或给排水、供电、燃气、通信及路灯等特殊工程的紧急抢修事故的，承包人接到保修通知后，必须立即到达现场实施保修。质量保修完成后，由发包人组织承包人和监理人，配合项目使用（管养）单位验收。涉及结构安全的，发包人将报当地相关行政主管部门备案，同时承包人应将其产生的原因、补救措施、完成保修情况以书面形式提交发包人。</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w:t>
      </w:r>
      <w:r>
        <w:rPr>
          <w:rFonts w:hint="eastAsia" w:ascii="宋体" w:hAnsi="宋体" w:eastAsia="宋体" w:cs="宋体"/>
          <w:color w:val="auto"/>
          <w:highlight w:val="none"/>
        </w:rPr>
        <w:t>在工程质量缺陷保修期内，承包人的违约责任</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.8.1</w:t>
      </w:r>
      <w:r>
        <w:rPr>
          <w:rFonts w:hint="eastAsia" w:ascii="宋体" w:hAnsi="宋体" w:eastAsia="宋体" w:cs="宋体"/>
          <w:color w:val="auto"/>
          <w:highlight w:val="none"/>
        </w:rPr>
        <w:t>在保修期内发生质量缺陷或紧急抢修事故的时，如发包人无法联系到承包人，或联系到承包人但承包人不能及时履行保修义务时，无论缺陷责任是否属于承包人，承包人必须承担由此产生的一切保修费用、相关损失及违约责任。</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.8.2</w:t>
      </w:r>
      <w:r>
        <w:rPr>
          <w:rFonts w:hint="eastAsia" w:ascii="宋体" w:hAnsi="宋体" w:eastAsia="宋体" w:cs="宋体"/>
          <w:color w:val="auto"/>
          <w:highlight w:val="none"/>
        </w:rPr>
        <w:t>若承包人未及时到达现场实施保修，发包人有权直接委托其他单位或管养单位代承包人组织实施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.8.3</w:t>
      </w:r>
      <w:r>
        <w:rPr>
          <w:rFonts w:hint="eastAsia" w:ascii="宋体" w:hAnsi="宋体" w:eastAsia="宋体" w:cs="宋体"/>
          <w:color w:val="auto"/>
          <w:highlight w:val="none"/>
        </w:rPr>
        <w:t>若承包人及时到达现场，但认为自行无法按时完成保修义务，可与发包人协商，直接委托管养单位或发包人确认的其他单位实施保修。若承包人未及时与发包人完成协商事宜，又未能在规定时限内完成保修的，发包人有权通知管养单位或其他单位进行保修，承包人必须承担由此发生的一切保修费用及相关损失。发包人将在缺陷质量保修金中扣除保修费，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.8.4</w:t>
      </w:r>
      <w:r>
        <w:rPr>
          <w:rFonts w:hint="eastAsia" w:ascii="宋体" w:hAnsi="宋体" w:eastAsia="宋体" w:cs="宋体"/>
          <w:color w:val="auto"/>
          <w:highlight w:val="none"/>
        </w:rPr>
        <w:t>若承包人及时到达现场，并与发包人完成协商，同意直接委托管养单位或发包人确认的其他单位实施保修。承包人在收到支付工程保修费用的通知7天内，应将保修费用支付给代其实施保修的单位。如在规定时间内未支付有关费用的，发包人可直接从工程质量缺陷保修金中扣除该保修费用，并支付给保修单位，并处承包人保修费用30%的违约金，如缺陷质量保修金余额不足，发包人将向承包人索赔。发包人还将承包人不履行保修义务的不良行为报送相关行政主管部门。</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.8.5</w:t>
      </w:r>
      <w:r>
        <w:rPr>
          <w:rFonts w:hint="eastAsia" w:ascii="宋体" w:hAnsi="宋体" w:eastAsia="宋体" w:cs="宋体"/>
          <w:color w:val="auto"/>
          <w:highlight w:val="none"/>
        </w:rPr>
        <w:t>若承包人按照发包人的要求及时履行了保修义务，并能提供证据说明质量缺陷非乙方的责任，保修费用及相关损失由缺陷责任方承担。</w:t>
      </w:r>
    </w:p>
    <w:p>
      <w:pPr>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.8.6</w:t>
      </w:r>
      <w:r>
        <w:rPr>
          <w:rFonts w:hint="eastAsia" w:ascii="宋体" w:hAnsi="宋体" w:eastAsia="宋体" w:cs="宋体"/>
          <w:color w:val="auto"/>
          <w:highlight w:val="none"/>
        </w:rPr>
        <w:t>对于涉及结构安全的工程质量问题，无论何时，在所有人、使用人或者第三方向当地建设行政主管部门报告并通知承包人后，承包人应立即采取安全防范措施，同时发包人将委托原设计单位或者具有相应资质等级的设计单位提出保修方案后，承包人应立即实施保修。承包人立即实施了有效的防范措施和保修的，保修费用、人身和财产损害赔偿，由经过法定程序确认的缺陷责任方承担。承包人拖延安全防范措施或者拖延保修，所造成的一切人身、财产损害责任和赔偿均由承包人承担，同时发包人将提请相关行政主管部门按相关法律、法规对承包人予以处罚。</w:t>
      </w:r>
    </w:p>
    <w:p>
      <w:pPr>
        <w:pStyle w:val="4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1</w:t>
      </w:r>
      <w:r>
        <w:rPr>
          <w:rFonts w:hint="eastAsia" w:hAnsi="宋体" w:cs="宋体"/>
          <w:b/>
          <w:color w:val="auto"/>
          <w:highlight w:val="none"/>
          <w:shd w:val="clear" w:color="auto" w:fill="FFFFFF"/>
          <w:lang w:val="en-US" w:eastAsia="zh-CN"/>
        </w:rPr>
        <w:t>7</w:t>
      </w:r>
      <w:r>
        <w:rPr>
          <w:rFonts w:hint="eastAsia" w:ascii="宋体" w:hAnsi="宋体" w:eastAsia="宋体" w:cs="宋体"/>
          <w:b/>
          <w:color w:val="auto"/>
          <w:highlight w:val="none"/>
          <w:shd w:val="clear" w:color="auto" w:fill="FFFFFF"/>
        </w:rPr>
        <w:t>.9危险性较大的分部分项工程安全管理约定</w:t>
      </w:r>
    </w:p>
    <w:p>
      <w:pPr>
        <w:pStyle w:val="40"/>
        <w:wordWrap w:val="0"/>
        <w:adjustRightInd w:val="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中标人对危险性较大的工程必须按《危险性较大的分部分项工程安全管理规定》（中华人民共和国住房和城乡建设部令第37号）的规定编制专项施工方案。同时，中标人必须按照《危险性较大的分部分项工程安全管理规定》的规定和经审批的专项施工方案履行安全职责，严格执行国家、地方政府有关施工安全管理方面的法律、法规及规章制度，同时严格执行招标人制订的本项目安全生产管理方面的规章制度、安全检查程序及施工安全管理要求，以及监理人有关安全工作的指令。</w:t>
      </w:r>
    </w:p>
    <w:p>
      <w:pPr>
        <w:pStyle w:val="40"/>
        <w:wordWrap w:val="0"/>
        <w:adjustRightInd w:val="0"/>
        <w:snapToGrid w:val="0"/>
        <w:ind w:firstLine="48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中标人应根据《危险性较大的分部分项工程安全管理规定》（住房城乡建设部令第37号）、《住房城乡建设部办公厅关于实施&lt;危险性较大的分部分项工程安全管理规定&gt;有关问题的通知》（建办质〔2018〕31号）、《广东省住房和城乡建设厅关于房屋市政工程危险性较大的分部分项工程安全管理的实施细则的通知》(粤建规范〔2019〕2号) 和《广东省安全生产委员会办公室 广东省住房和城乡建设厅关于&lt;严格落实危险性较大的分部分项工程“六不施工”要求的通知&gt;》（粤安办〔2020〕151 号）等有关危险性较大的分部分项工程的法规规定通知，履行建设工程安全生产管理职责。</w:t>
      </w:r>
    </w:p>
    <w:p>
      <w:pPr>
        <w:pStyle w:val="40"/>
        <w:adjustRightInd w:val="0"/>
        <w:snapToGrid w:val="0"/>
        <w:ind w:firstLine="482" w:firstLineChars="200"/>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highlight w:val="none"/>
        </w:rPr>
        <w:t>1</w:t>
      </w:r>
      <w:r>
        <w:rPr>
          <w:rFonts w:hint="eastAsia" w:hAnsi="宋体" w:cs="宋体"/>
          <w:b/>
          <w:snapToGrid w:val="0"/>
          <w:color w:val="auto"/>
          <w:kern w:val="0"/>
          <w:highlight w:val="none"/>
          <w:lang w:val="en-US" w:eastAsia="zh-CN"/>
        </w:rPr>
        <w:t>7</w:t>
      </w:r>
      <w:r>
        <w:rPr>
          <w:rFonts w:hint="eastAsia" w:ascii="宋体" w:hAnsi="宋体" w:eastAsia="宋体" w:cs="宋体"/>
          <w:b/>
          <w:snapToGrid w:val="0"/>
          <w:color w:val="auto"/>
          <w:kern w:val="0"/>
          <w:highlight w:val="none"/>
        </w:rPr>
        <w:t>.10中标人应按《关于印发&lt;南雄市安全生产责任保险实施方案（2020-2021）年&gt;的通知》文件办理安全生产责任保险。</w:t>
      </w:r>
    </w:p>
    <w:p>
      <w:pPr>
        <w:pStyle w:val="40"/>
        <w:wordWrap w:val="0"/>
        <w:adjustRightInd w:val="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.11</w:t>
      </w:r>
      <w:r>
        <w:rPr>
          <w:rFonts w:hint="eastAsia" w:ascii="宋体" w:hAnsi="宋体" w:eastAsia="宋体" w:cs="宋体"/>
          <w:color w:val="auto"/>
          <w:highlight w:val="none"/>
          <w:shd w:val="clear" w:color="auto" w:fill="FFFFFF"/>
        </w:rPr>
        <w:t>中标人须按韶关市、南雄市关于建筑渣土管理和扬尘治理等有关规定执行，中标人应在施工现场建立洗车和临时排水系统等确保外运车辆（土方运输车辆应符合韶关市和南雄市的相关规定）不带泥上路，投标人在投标报价时综合考虑在报价内，招标人不另行支付该部分费用。</w:t>
      </w:r>
    </w:p>
    <w:p>
      <w:pPr>
        <w:pStyle w:val="4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.12</w:t>
      </w:r>
      <w:r>
        <w:rPr>
          <w:rFonts w:hint="eastAsia" w:ascii="宋体" w:hAnsi="宋体" w:eastAsia="宋体" w:cs="宋体"/>
          <w:color w:val="auto"/>
          <w:highlight w:val="none"/>
          <w:shd w:val="clear" w:color="auto" w:fill="FFFFFF"/>
        </w:rPr>
        <w:t>中标人应已详细了解本项目的前期工作（包括征地拆迁），同时也应已勘察施工现场、周围环境、地形、地貌、水文、交通等情况。中标人投标报价应已充分考虑在施工中由于招标人原因造成停工或工期延误等因素所产生的相关费用，招标人不予另计费；中标人不得以不完全了解项目的前期工作（包括征地拆迁）及现场情况为理由，提出因外界因素造成停工或工期延误的额外付款要求；对此类要求，招标人不作任何考虑及答复。</w:t>
      </w:r>
    </w:p>
    <w:p>
      <w:pPr>
        <w:pStyle w:val="40"/>
        <w:snapToGrid w:val="0"/>
        <w:ind w:firstLine="480" w:firstLineChars="200"/>
        <w:rPr>
          <w:rFonts w:hint="eastAsia" w:ascii="宋体" w:hAnsi="宋体" w:eastAsia="宋体" w:cs="宋体"/>
          <w:strike/>
          <w:color w:val="auto"/>
          <w:highlight w:val="none"/>
          <w:shd w:val="clear" w:color="auto" w:fill="FFFFFF"/>
        </w:rPr>
      </w:pPr>
      <w:r>
        <w:rPr>
          <w:rFonts w:hint="eastAsia" w:ascii="宋体" w:hAnsi="宋体" w:eastAsia="宋体" w:cs="宋体"/>
          <w:color w:val="auto"/>
          <w:highlight w:val="none"/>
          <w:shd w:val="clear" w:color="auto" w:fill="FFFFFF"/>
        </w:rPr>
        <w:t>如因招标人原因（自然灾害等不可抗力因素除外），工程不能按期开工，或开工后全部停滞，工期按相关规定予以顺延。停工发生后，若可复工时，中标人应在收到招标人发出的复工通知书后3日内开始复工。</w:t>
      </w:r>
    </w:p>
    <w:p>
      <w:pPr>
        <w:pStyle w:val="40"/>
        <w:wordWrap w:val="0"/>
        <w:adjustRightInd w:val="0"/>
        <w:snapToGrid w:val="0"/>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snapToGrid w:val="0"/>
          <w:color w:val="auto"/>
          <w:kern w:val="0"/>
          <w:highlight w:val="none"/>
        </w:rPr>
        <w:t>1</w:t>
      </w:r>
      <w:r>
        <w:rPr>
          <w:rFonts w:hint="eastAsia" w:hAnsi="宋体" w:cs="宋体"/>
          <w:b/>
          <w:bCs/>
          <w:snapToGrid w:val="0"/>
          <w:color w:val="auto"/>
          <w:kern w:val="0"/>
          <w:highlight w:val="none"/>
          <w:lang w:val="en-US" w:eastAsia="zh-CN"/>
        </w:rPr>
        <w:t>7</w:t>
      </w:r>
      <w:r>
        <w:rPr>
          <w:rFonts w:hint="eastAsia" w:ascii="宋体" w:hAnsi="宋体" w:eastAsia="宋体" w:cs="宋体"/>
          <w:b/>
          <w:bCs/>
          <w:snapToGrid w:val="0"/>
          <w:color w:val="auto"/>
          <w:kern w:val="0"/>
          <w:highlight w:val="none"/>
        </w:rPr>
        <w:t>.13</w:t>
      </w:r>
      <w:r>
        <w:rPr>
          <w:rFonts w:hint="eastAsia" w:ascii="宋体" w:hAnsi="宋体" w:eastAsia="宋体" w:cs="宋体"/>
          <w:color w:val="auto"/>
          <w:highlight w:val="none"/>
          <w:shd w:val="clear" w:color="auto" w:fill="FFFFFF"/>
        </w:rPr>
        <w:t>承包人应充分考虑施工对接情况，为本项目的其他参建单位提供工作便利、配合及服务，并有针对性地组织施工；承包人与为本项目的其他参建单位就协调、配合、服务等不能达成一致的，由监理工程师协调，并遵照监理工程师指令执行；承包人应负责统筹安排本项目范围内的各项工程的协调与配合，确保工程建设有序进行。承包人由此增加的费用应认为已包括在承包人的投标报价之中，发包人不另行支付。</w:t>
      </w:r>
    </w:p>
    <w:p>
      <w:pPr>
        <w:pStyle w:val="40"/>
        <w:snapToGrid w:val="0"/>
        <w:spacing w:line="440" w:lineRule="exact"/>
        <w:ind w:firstLine="482" w:firstLineChars="200"/>
        <w:rPr>
          <w:rFonts w:hint="eastAsia" w:ascii="宋体" w:hAnsi="宋体" w:eastAsia="宋体" w:cs="宋体"/>
          <w:b/>
          <w:bCs/>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 工人工资</w:t>
      </w:r>
    </w:p>
    <w:p>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left"/>
        <w:rPr>
          <w:rStyle w:val="20"/>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.1</w:t>
      </w:r>
      <w:r>
        <w:rPr>
          <w:rStyle w:val="20"/>
          <w:rFonts w:hint="eastAsia" w:ascii="宋体" w:hAnsi="宋体" w:eastAsia="宋体" w:cs="宋体"/>
          <w:b w:val="0"/>
          <w:bCs w:val="0"/>
          <w:color w:val="auto"/>
          <w:kern w:val="0"/>
          <w:sz w:val="24"/>
          <w:szCs w:val="24"/>
          <w:highlight w:val="none"/>
          <w:lang w:val="en-US" w:eastAsia="zh-CN" w:bidi="ar-SA"/>
        </w:rPr>
        <w:t>依据人力资源社会保障部等十部门印发的《工程建设领域农民工工资专用账户管理暂行办法》（韶人社规【2023】2号）文件规定，中标人中标后，须到银行设立工人工资支付专用账户，用于支付工人工资。发包人支付工程款时，将按工程款（不含工人工资）和工人工资两部分分开支付，工人工资支付至专用账户。中标人应建立劳动用工管理台账，并按月将工人工资支付明细表等资料报发包人备案。备案内容包括但不限于以下内容（以相关部门的要求为准）：（1）工资发放表、付款凭证（有总包单位项目负责人签名或盖章确认）；（2）施工许可证（或开工报告）、工程项目总承包、专业分包、劳务分包合同；（3）建设单位支付工程款凭证；（4）花名册及身份证复印件；（5）劳动合同：（6）委托书（写明委托代发工资情况）；（7）缴纳保证金的凭证；（8）总包企业或承包企业设立工资专用账户的凭证；（9）维权信息告示牌情况。</w:t>
      </w:r>
    </w:p>
    <w:p>
      <w:pPr>
        <w:pStyle w:val="41"/>
        <w:spacing w:line="440" w:lineRule="exact"/>
        <w:ind w:firstLine="470" w:firstLineChars="0"/>
        <w:rPr>
          <w:rFonts w:hint="eastAsia" w:ascii="宋体" w:hAnsi="宋体" w:eastAsia="宋体" w:cs="宋体"/>
          <w:bCs/>
          <w:color w:val="auto"/>
          <w:sz w:val="24"/>
          <w:szCs w:val="24"/>
          <w:highlight w:val="none"/>
          <w:lang w:bidi="ar"/>
        </w:rPr>
      </w:pPr>
      <w:r>
        <w:rPr>
          <w:rStyle w:val="20"/>
          <w:rFonts w:hint="eastAsia" w:ascii="宋体" w:hAnsi="宋体" w:eastAsia="宋体" w:cs="宋体"/>
          <w:b w:val="0"/>
          <w:bCs w:val="0"/>
          <w:color w:val="auto"/>
          <w:kern w:val="0"/>
          <w:sz w:val="24"/>
          <w:szCs w:val="24"/>
          <w:highlight w:val="none"/>
          <w:lang w:val="en-US" w:eastAsia="zh-CN" w:bidi="ar-SA"/>
        </w:rPr>
        <w:t>根据转发《广东省人力资源和社会保障厅 广东省住房和城乡建设厅 广东省交通运输厅 广东省水利厅 关于建设工程领域农民工工资支付保证金管理办法》的通知(韶人社[2020]3号)文件规定，中标人中标后，应在30个日历天内按承包合同工程造价5%的比例（不超过300万元）一次性将工人工资保证金存入银行专用存款账户。逾期未交纳的，招标人将扣留与本项目工人工资保证金等额的工程款（工人工资除外），直至中标人按《韶关市建设领域施工企业工人工资支付保证金管理办法》相关文件要求缴纳工人工资保证金。在中标人未按要求缴纳工人工资保证金期间，招标人扣留的工程款将作为工人工资保证金的预备资金，招标人有权将该部分资金用于处理该项目工人工资拖欠等情况的问题</w:t>
      </w:r>
      <w:r>
        <w:rPr>
          <w:rFonts w:hint="eastAsia" w:ascii="宋体" w:hAnsi="宋体" w:eastAsia="宋体" w:cs="宋体"/>
          <w:bCs/>
          <w:color w:val="auto"/>
          <w:sz w:val="24"/>
          <w:szCs w:val="24"/>
          <w:highlight w:val="none"/>
          <w:lang w:bidi="ar"/>
        </w:rPr>
        <w:t>。</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.2</w:t>
      </w:r>
      <w:r>
        <w:rPr>
          <w:rFonts w:hint="eastAsia" w:ascii="宋体" w:hAnsi="宋体" w:eastAsia="宋体" w:cs="宋体"/>
          <w:color w:val="auto"/>
          <w:highlight w:val="none"/>
          <w:shd w:val="clear" w:color="auto" w:fill="FFFFFF"/>
        </w:rPr>
        <w:t>用人单位应当在用工之日起15日内为每一位工人办理个人银行账户。</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.3</w:t>
      </w:r>
      <w:r>
        <w:rPr>
          <w:rFonts w:hint="eastAsia" w:ascii="宋体" w:hAnsi="宋体" w:eastAsia="宋体" w:cs="宋体"/>
          <w:color w:val="auto"/>
          <w:highlight w:val="none"/>
          <w:shd w:val="clear" w:color="auto" w:fill="FFFFFF"/>
        </w:rPr>
        <w:t>用人单位应当指定专人负责建设项目施工现场台账管理，真实、准确记录工人名册、劳务合同、劳动合同、工程进度、工时台账、劳务承包款和工人工资支付等信息，并保存两年以上备查。</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.4</w:t>
      </w:r>
      <w:r>
        <w:rPr>
          <w:rFonts w:hint="eastAsia" w:ascii="宋体" w:hAnsi="宋体" w:eastAsia="宋体" w:cs="宋体"/>
          <w:color w:val="auto"/>
          <w:highlight w:val="none"/>
          <w:shd w:val="clear" w:color="auto" w:fill="FFFFFF"/>
        </w:rPr>
        <w:t>用人单位应当按照“及时支付，按实结算”的原则，在规定日期前通过银行工人工资支付专用账户将工人工资直接支付到工人的个人银行账户，并按月将工人工资支付明细表报施工总承包单位和建设单位备案。</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.5</w:t>
      </w:r>
      <w:r>
        <w:rPr>
          <w:rFonts w:hint="eastAsia" w:ascii="宋体" w:hAnsi="宋体" w:eastAsia="宋体" w:cs="宋体"/>
          <w:color w:val="auto"/>
          <w:highlight w:val="none"/>
          <w:shd w:val="clear" w:color="auto" w:fill="FFFFFF"/>
        </w:rPr>
        <w:t>用人单位未建立、保存用工管理台账，或者伪造相关台账的，按照《广东省劳动保障监察条例》第五十条的规定，由人力资源社会保障部门责令改正，并可处以二千元以上二万元以下的人民币罚款。</w:t>
      </w:r>
    </w:p>
    <w:p>
      <w:pPr>
        <w:pStyle w:val="40"/>
        <w:snapToGrid w:val="0"/>
        <w:spacing w:line="440" w:lineRule="exact"/>
        <w:ind w:firstLine="482" w:firstLineChars="200"/>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.14</w:t>
      </w:r>
      <w:r>
        <w:rPr>
          <w:rStyle w:val="20"/>
          <w:rFonts w:hint="eastAsia" w:ascii="宋体" w:hAnsi="宋体" w:eastAsia="宋体" w:cs="宋体"/>
          <w:b/>
          <w:bCs/>
          <w:color w:val="auto"/>
          <w:highlight w:val="none"/>
        </w:rPr>
        <w:t>.6</w:t>
      </w:r>
      <w:r>
        <w:rPr>
          <w:rFonts w:hint="eastAsia" w:ascii="宋体" w:hAnsi="宋体" w:eastAsia="宋体" w:cs="宋体"/>
          <w:color w:val="auto"/>
          <w:highlight w:val="none"/>
          <w:shd w:val="clear" w:color="auto" w:fill="FFFFFF"/>
        </w:rPr>
        <w:t>承包人必须按相关规定做好用工实名制管理，建立考勤机制，并实施实名信息化管理。</w:t>
      </w:r>
    </w:p>
    <w:p>
      <w:pPr>
        <w:wordWrap w:val="0"/>
        <w:adjustRightInd w:val="0"/>
        <w:snapToGrid w:val="0"/>
        <w:ind w:firstLine="482" w:firstLineChars="200"/>
        <w:jc w:val="left"/>
        <w:rPr>
          <w:rFonts w:hint="eastAsia" w:ascii="宋体" w:hAnsi="宋体" w:eastAsia="宋体" w:cs="宋体"/>
          <w:color w:val="auto"/>
          <w:highlight w:val="none"/>
          <w:shd w:val="clear" w:color="auto" w:fill="FFFFFF"/>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.15</w:t>
      </w:r>
      <w:r>
        <w:rPr>
          <w:rFonts w:hint="eastAsia" w:ascii="宋体" w:hAnsi="宋体" w:eastAsia="宋体" w:cs="宋体"/>
          <w:color w:val="auto"/>
          <w:highlight w:val="none"/>
          <w:shd w:val="clear" w:color="auto" w:fill="FFFFFF"/>
        </w:rPr>
        <w:t>中标单位必须在中标通知书发出之日起一个月内内完成现场临时设施（施工用水用电、围蔽、板房、洗车和临时排水系统、相关公示牌等）施工，因中标人原因导致逾期的，逾期第壹天起每天按2000元作违约处理。</w:t>
      </w:r>
    </w:p>
    <w:p>
      <w:pPr>
        <w:pStyle w:val="40"/>
        <w:adjustRightInd w:val="0"/>
        <w:snapToGrid w:val="0"/>
        <w:ind w:firstLine="482" w:firstLineChars="200"/>
        <w:rPr>
          <w:rFonts w:hint="eastAsia" w:ascii="宋体" w:hAnsi="宋体" w:eastAsia="宋体" w:cs="宋体"/>
          <w:b/>
          <w:color w:val="auto"/>
          <w:highlight w:val="none"/>
          <w:u w:val="double"/>
        </w:rPr>
      </w:pP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7</w:t>
      </w:r>
      <w:r>
        <w:rPr>
          <w:rFonts w:hint="eastAsia" w:ascii="宋体" w:hAnsi="宋体" w:eastAsia="宋体" w:cs="宋体"/>
          <w:b/>
          <w:bCs/>
          <w:color w:val="auto"/>
          <w:highlight w:val="none"/>
          <w:shd w:val="clear" w:color="auto" w:fill="FFFFFF"/>
        </w:rPr>
        <w:t>.1</w:t>
      </w:r>
      <w:r>
        <w:rPr>
          <w:rFonts w:hint="eastAsia" w:hAnsi="宋体" w:cs="宋体"/>
          <w:b/>
          <w:bCs/>
          <w:color w:val="auto"/>
          <w:highlight w:val="none"/>
          <w:shd w:val="clear" w:color="auto" w:fill="FFFFFF"/>
          <w:lang w:val="en-US" w:eastAsia="zh-CN"/>
        </w:rPr>
        <w:t>6</w:t>
      </w:r>
      <w:r>
        <w:rPr>
          <w:rFonts w:hint="eastAsia" w:ascii="宋体" w:hAnsi="宋体" w:eastAsia="宋体" w:cs="宋体"/>
          <w:b/>
          <w:color w:val="auto"/>
          <w:highlight w:val="none"/>
          <w:u w:val="double"/>
        </w:rPr>
        <w:t>招标人可根据政府有关项目工作计划或本项目资金安排情况或相关政策变化或项目实际实施情况，对本项目建设内容和规模进行调整，投标人中标后不得因此调整向招标人提出额外的费用补偿或索赔，必须按调整后的规模及内容完成工程的施工及结算。</w:t>
      </w:r>
    </w:p>
    <w:p>
      <w:pPr>
        <w:keepNext w:val="0"/>
        <w:keepLines w:val="0"/>
        <w:pageBreakBefore w:val="0"/>
        <w:widowControl w:val="0"/>
        <w:kinsoku/>
        <w:wordWrap w:val="0"/>
        <w:overflowPunct/>
        <w:topLinePunct w:val="0"/>
        <w:autoSpaceDE/>
        <w:autoSpaceDN/>
        <w:bidi w:val="0"/>
        <w:adjustRightInd/>
        <w:snapToGrid/>
        <w:spacing w:line="420" w:lineRule="exact"/>
        <w:ind w:firstLine="482" w:firstLineChars="200"/>
        <w:jc w:val="left"/>
        <w:rPr>
          <w:rFonts w:hint="eastAsia" w:ascii="宋体" w:hAnsi="宋体" w:eastAsia="宋体" w:cs="宋体"/>
          <w:b/>
          <w:bCs/>
          <w:strike/>
          <w:dstrike w:val="0"/>
          <w:color w:val="auto"/>
          <w:sz w:val="24"/>
          <w:szCs w:val="24"/>
          <w:highlight w:val="none"/>
        </w:rPr>
      </w:pPr>
    </w:p>
    <w:p>
      <w:pPr>
        <w:pStyle w:val="40"/>
        <w:adjustRightInd w:val="0"/>
        <w:snapToGrid w:val="0"/>
        <w:ind w:firstLine="482" w:firstLineChars="200"/>
        <w:rPr>
          <w:rFonts w:hint="eastAsia" w:ascii="宋体" w:hAnsi="宋体" w:eastAsia="宋体" w:cs="宋体"/>
          <w:b/>
          <w:color w:val="auto"/>
          <w:highlight w:val="none"/>
          <w:u w:val="double"/>
        </w:rPr>
      </w:pPr>
    </w:p>
    <w:p>
      <w:pPr>
        <w:pStyle w:val="23"/>
        <w:tabs>
          <w:tab w:val="left" w:pos="885"/>
        </w:tabs>
        <w:snapToGrid w:val="0"/>
        <w:jc w:val="both"/>
        <w:rPr>
          <w:rStyle w:val="20"/>
          <w:rFonts w:hint="eastAsia" w:ascii="宋体" w:hAnsi="宋体" w:eastAsia="宋体" w:cs="宋体"/>
          <w:b/>
          <w:bCs/>
          <w:color w:val="auto"/>
          <w:sz w:val="24"/>
          <w:szCs w:val="24"/>
          <w:highlight w:val="none"/>
        </w:rPr>
      </w:pPr>
    </w:p>
    <w:p>
      <w:pPr>
        <w:pStyle w:val="23"/>
        <w:tabs>
          <w:tab w:val="left" w:pos="885"/>
        </w:tabs>
        <w:snapToGrid w:val="0"/>
        <w:ind w:left="885" w:hanging="885"/>
        <w:jc w:val="center"/>
        <w:outlineLvl w:val="0"/>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br w:type="page"/>
      </w:r>
      <w:r>
        <w:rPr>
          <w:rStyle w:val="20"/>
          <w:rFonts w:hint="eastAsia" w:ascii="宋体" w:hAnsi="宋体" w:eastAsia="宋体" w:cs="宋体"/>
          <w:b/>
          <w:bCs/>
          <w:color w:val="auto"/>
          <w:sz w:val="24"/>
          <w:szCs w:val="24"/>
          <w:highlight w:val="none"/>
        </w:rPr>
        <w:t>　</w:t>
      </w:r>
      <w:bookmarkStart w:id="254" w:name="_Toc21448"/>
      <w:bookmarkStart w:id="255" w:name="_Toc15516"/>
      <w:bookmarkStart w:id="256" w:name="_Toc31277"/>
      <w:bookmarkStart w:id="257" w:name="_Toc25452"/>
      <w:bookmarkStart w:id="258" w:name="_Toc3494"/>
      <w:bookmarkStart w:id="259" w:name="_Toc17840"/>
      <w:bookmarkStart w:id="260" w:name="_Toc190"/>
      <w:bookmarkStart w:id="261" w:name="_Toc18225"/>
      <w:bookmarkStart w:id="262" w:name="_Toc4926"/>
      <w:bookmarkStart w:id="263" w:name="_Toc32600"/>
      <w:r>
        <w:rPr>
          <w:rStyle w:val="20"/>
          <w:rFonts w:hint="eastAsia" w:ascii="宋体" w:hAnsi="宋体" w:eastAsia="宋体" w:cs="宋体"/>
          <w:b/>
          <w:bCs/>
          <w:color w:val="auto"/>
          <w:sz w:val="24"/>
          <w:szCs w:val="24"/>
          <w:highlight w:val="none"/>
        </w:rPr>
        <w:t>第三章 拟签订合同的主要条款</w:t>
      </w:r>
      <w:bookmarkEnd w:id="254"/>
      <w:bookmarkEnd w:id="255"/>
      <w:bookmarkEnd w:id="256"/>
      <w:bookmarkEnd w:id="257"/>
      <w:bookmarkEnd w:id="258"/>
      <w:bookmarkEnd w:id="259"/>
      <w:bookmarkEnd w:id="260"/>
      <w:bookmarkEnd w:id="261"/>
      <w:bookmarkEnd w:id="262"/>
      <w:bookmarkEnd w:id="263"/>
    </w:p>
    <w:p>
      <w:pPr>
        <w:pStyle w:val="24"/>
        <w:snapToGrid w:val="0"/>
        <w:ind w:firstLine="480"/>
        <w:jc w:val="both"/>
        <w:rPr>
          <w:rStyle w:val="20"/>
          <w:rFonts w:hint="eastAsia" w:ascii="宋体" w:hAnsi="宋体" w:eastAsia="宋体" w:cs="宋体"/>
          <w:b/>
          <w:bCs/>
          <w:color w:val="auto"/>
          <w:highlight w:val="none"/>
        </w:rPr>
      </w:pPr>
    </w:p>
    <w:p>
      <w:pPr>
        <w:pStyle w:val="24"/>
        <w:snapToGrid w:val="0"/>
        <w:ind w:firstLine="482" w:firstLineChars="200"/>
        <w:jc w:val="both"/>
        <w:outlineLvl w:val="1"/>
        <w:rPr>
          <w:rStyle w:val="20"/>
          <w:rFonts w:hint="eastAsia" w:ascii="宋体" w:hAnsi="宋体" w:eastAsia="宋体" w:cs="宋体"/>
          <w:b/>
          <w:bCs/>
          <w:color w:val="auto"/>
          <w:highlight w:val="none"/>
        </w:rPr>
      </w:pPr>
      <w:bookmarkStart w:id="264" w:name="_Toc13267"/>
      <w:bookmarkStart w:id="265" w:name="_Toc9972"/>
      <w:bookmarkStart w:id="266" w:name="_Toc1621"/>
      <w:bookmarkStart w:id="267" w:name="_Toc19592"/>
      <w:bookmarkStart w:id="268" w:name="_Toc21517"/>
      <w:bookmarkStart w:id="269" w:name="_Toc17692"/>
      <w:bookmarkStart w:id="270" w:name="_Toc8693"/>
      <w:bookmarkStart w:id="271" w:name="_Toc16157"/>
      <w:bookmarkStart w:id="272" w:name="_Toc25780"/>
      <w:bookmarkStart w:id="273" w:name="_Toc9553"/>
      <w:r>
        <w:rPr>
          <w:rStyle w:val="20"/>
          <w:rFonts w:hint="eastAsia" w:ascii="宋体" w:hAnsi="宋体" w:eastAsia="宋体" w:cs="宋体"/>
          <w:b/>
          <w:bCs/>
          <w:color w:val="auto"/>
          <w:highlight w:val="none"/>
        </w:rPr>
        <w:t>1．工程承包方式</w:t>
      </w:r>
      <w:bookmarkEnd w:id="264"/>
      <w:bookmarkEnd w:id="265"/>
      <w:bookmarkEnd w:id="266"/>
      <w:bookmarkEnd w:id="267"/>
      <w:bookmarkEnd w:id="268"/>
      <w:bookmarkEnd w:id="269"/>
      <w:bookmarkEnd w:id="270"/>
      <w:bookmarkEnd w:id="271"/>
      <w:bookmarkEnd w:id="272"/>
      <w:bookmarkEnd w:id="273"/>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w:t>
      </w:r>
      <w:r>
        <w:rPr>
          <w:rStyle w:val="20"/>
          <w:rFonts w:hint="eastAsia" w:ascii="宋体" w:hAnsi="宋体" w:eastAsia="宋体" w:cs="宋体"/>
          <w:color w:val="auto"/>
          <w:kern w:val="0"/>
          <w:highlight w:val="none"/>
        </w:rPr>
        <w:t xml:space="preserve"> 承包人以中标价按包工包料、包质量、包安全包文明施工、包工期方式总承包施工，不允许转包和违法分包，如果确需分包须与发包人协商，在得到发包人和监理单位同意后报建设行政主管部门备案。</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1.1.1</w:t>
      </w:r>
      <w:r>
        <w:rPr>
          <w:rStyle w:val="20"/>
          <w:rFonts w:hint="eastAsia" w:ascii="宋体" w:hAnsi="宋体" w:eastAsia="宋体" w:cs="宋体"/>
          <w:color w:val="auto"/>
          <w:kern w:val="0"/>
          <w:highlight w:val="none"/>
        </w:rPr>
        <w:t xml:space="preserve"> 包工包料：材料符合招标文件要求</w:t>
      </w:r>
      <w:r>
        <w:rPr>
          <w:rFonts w:hint="eastAsia" w:ascii="宋体" w:hAnsi="宋体" w:eastAsia="宋体" w:cs="宋体"/>
          <w:snapToGrid w:val="0"/>
          <w:color w:val="auto"/>
          <w:kern w:val="0"/>
          <w:highlight w:val="none"/>
        </w:rPr>
        <w:t>及合同的相关约定</w:t>
      </w:r>
      <w:r>
        <w:rPr>
          <w:rStyle w:val="20"/>
          <w:rFonts w:hint="eastAsia" w:ascii="宋体" w:hAnsi="宋体" w:eastAsia="宋体" w:cs="宋体"/>
          <w:color w:val="auto"/>
          <w:kern w:val="0"/>
          <w:highlight w:val="none"/>
        </w:rPr>
        <w:t>并报验使用；办理用工保险。</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1.1.2</w:t>
      </w:r>
      <w:r>
        <w:rPr>
          <w:rStyle w:val="20"/>
          <w:rFonts w:hint="eastAsia" w:ascii="宋体" w:hAnsi="宋体" w:eastAsia="宋体" w:cs="宋体"/>
          <w:color w:val="auto"/>
          <w:kern w:val="0"/>
          <w:highlight w:val="none"/>
        </w:rPr>
        <w:t xml:space="preserve"> 包质量：符合招标文件要求</w:t>
      </w:r>
      <w:r>
        <w:rPr>
          <w:rFonts w:hint="eastAsia" w:ascii="宋体" w:hAnsi="宋体" w:eastAsia="宋体" w:cs="宋体"/>
          <w:color w:val="auto"/>
          <w:highlight w:val="none"/>
        </w:rPr>
        <w:t>及合同有关质量的相关约定</w:t>
      </w:r>
      <w:r>
        <w:rPr>
          <w:rStyle w:val="20"/>
          <w:rFonts w:hint="eastAsia" w:ascii="宋体" w:hAnsi="宋体" w:eastAsia="宋体" w:cs="宋体"/>
          <w:color w:val="auto"/>
          <w:kern w:val="0"/>
          <w:highlight w:val="none"/>
        </w:rPr>
        <w:t>。</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1.1.3</w:t>
      </w:r>
      <w:r>
        <w:rPr>
          <w:rStyle w:val="20"/>
          <w:rFonts w:hint="eastAsia" w:ascii="宋体" w:hAnsi="宋体" w:eastAsia="宋体" w:cs="宋体"/>
          <w:color w:val="auto"/>
          <w:kern w:val="0"/>
          <w:highlight w:val="none"/>
        </w:rPr>
        <w:t xml:space="preserve"> 包安全包文明施工：</w:t>
      </w:r>
      <w:r>
        <w:rPr>
          <w:rFonts w:hint="eastAsia" w:ascii="宋体" w:hAnsi="宋体" w:eastAsia="宋体" w:cs="宋体"/>
          <w:snapToGrid w:val="0"/>
          <w:color w:val="auto"/>
          <w:kern w:val="0"/>
          <w:highlight w:val="none"/>
        </w:rPr>
        <w:t>符合</w:t>
      </w:r>
      <w:r>
        <w:rPr>
          <w:rFonts w:hint="eastAsia" w:ascii="宋体" w:hAnsi="宋体" w:eastAsia="宋体" w:cs="宋体"/>
          <w:color w:val="auto"/>
          <w:szCs w:val="22"/>
          <w:highlight w:val="none"/>
        </w:rPr>
        <w:t>国家及省、市的相关规定及</w:t>
      </w:r>
      <w:r>
        <w:rPr>
          <w:rFonts w:hint="eastAsia" w:ascii="宋体" w:hAnsi="宋体" w:eastAsia="宋体" w:cs="宋体"/>
          <w:snapToGrid w:val="0"/>
          <w:color w:val="auto"/>
          <w:kern w:val="0"/>
          <w:highlight w:val="none"/>
        </w:rPr>
        <w:t>招标文件</w:t>
      </w:r>
      <w:r>
        <w:rPr>
          <w:rFonts w:hint="eastAsia" w:ascii="宋体" w:hAnsi="宋体" w:eastAsia="宋体" w:cs="宋体"/>
          <w:color w:val="auto"/>
          <w:szCs w:val="22"/>
          <w:highlight w:val="none"/>
        </w:rPr>
        <w:t>、合同的相关约定</w:t>
      </w:r>
      <w:r>
        <w:rPr>
          <w:rFonts w:hint="eastAsia" w:ascii="宋体" w:hAnsi="宋体" w:eastAsia="宋体" w:cs="宋体"/>
          <w:snapToGrid w:val="0"/>
          <w:color w:val="auto"/>
          <w:kern w:val="0"/>
          <w:highlight w:val="none"/>
        </w:rPr>
        <w:t>要求</w:t>
      </w:r>
      <w:r>
        <w:rPr>
          <w:rStyle w:val="20"/>
          <w:rFonts w:hint="eastAsia" w:ascii="宋体" w:hAnsi="宋体" w:eastAsia="宋体" w:cs="宋体"/>
          <w:color w:val="auto"/>
          <w:kern w:val="0"/>
          <w:highlight w:val="none"/>
        </w:rPr>
        <w:t>。</w:t>
      </w:r>
    </w:p>
    <w:p>
      <w:pPr>
        <w:snapToGrid w:val="0"/>
        <w:ind w:firstLine="56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 xml:space="preserve">1.1.4 </w:t>
      </w:r>
      <w:r>
        <w:rPr>
          <w:rStyle w:val="20"/>
          <w:rFonts w:hint="eastAsia" w:ascii="宋体" w:hAnsi="宋体" w:eastAsia="宋体" w:cs="宋体"/>
          <w:color w:val="auto"/>
          <w:kern w:val="0"/>
          <w:highlight w:val="none"/>
        </w:rPr>
        <w:t>包工期：本工程施工必须在招标工期内完成。</w:t>
      </w:r>
    </w:p>
    <w:p>
      <w:pPr>
        <w:snapToGrid w:val="0"/>
        <w:ind w:firstLine="560"/>
        <w:rPr>
          <w:rStyle w:val="20"/>
          <w:rFonts w:hint="eastAsia" w:ascii="宋体" w:hAnsi="宋体" w:eastAsia="宋体" w:cs="宋体"/>
          <w:color w:val="auto"/>
          <w:kern w:val="0"/>
          <w:highlight w:val="none"/>
        </w:rPr>
      </w:pPr>
    </w:p>
    <w:p>
      <w:pPr>
        <w:pStyle w:val="24"/>
        <w:snapToGrid w:val="0"/>
        <w:ind w:firstLine="480"/>
        <w:jc w:val="both"/>
        <w:outlineLvl w:val="1"/>
        <w:rPr>
          <w:rStyle w:val="20"/>
          <w:rFonts w:hint="eastAsia" w:ascii="宋体" w:hAnsi="宋体" w:eastAsia="宋体" w:cs="宋体"/>
          <w:b/>
          <w:bCs/>
          <w:color w:val="auto"/>
          <w:highlight w:val="none"/>
        </w:rPr>
      </w:pPr>
      <w:bookmarkStart w:id="274" w:name="_Toc16753"/>
      <w:bookmarkStart w:id="275" w:name="_Toc27701"/>
      <w:bookmarkStart w:id="276" w:name="_Toc211"/>
      <w:bookmarkStart w:id="277" w:name="_Toc894"/>
      <w:bookmarkStart w:id="278" w:name="_Toc29526"/>
      <w:bookmarkStart w:id="279" w:name="_Toc18897"/>
      <w:bookmarkStart w:id="280" w:name="_Toc5609"/>
      <w:bookmarkStart w:id="281" w:name="_Toc32741"/>
      <w:bookmarkStart w:id="282" w:name="_Toc16445"/>
      <w:bookmarkStart w:id="283" w:name="_Toc23275"/>
      <w:r>
        <w:rPr>
          <w:rStyle w:val="20"/>
          <w:rFonts w:hint="eastAsia" w:ascii="宋体" w:hAnsi="宋体" w:eastAsia="宋体" w:cs="宋体"/>
          <w:b/>
          <w:bCs/>
          <w:color w:val="auto"/>
          <w:highlight w:val="none"/>
        </w:rPr>
        <w:t>2．工程结算原则</w:t>
      </w:r>
      <w:bookmarkEnd w:id="274"/>
      <w:bookmarkEnd w:id="275"/>
      <w:bookmarkEnd w:id="276"/>
      <w:bookmarkEnd w:id="277"/>
      <w:bookmarkEnd w:id="278"/>
      <w:bookmarkEnd w:id="279"/>
      <w:bookmarkEnd w:id="280"/>
      <w:bookmarkEnd w:id="281"/>
      <w:bookmarkEnd w:id="282"/>
      <w:bookmarkEnd w:id="283"/>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承包人的投标总价为中标价，即为签约合同价。</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招标工程量清单标明的工程量是投标人投标报价的共同基础，竣工结算的工程量按</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对工程计量的规定进行计量，必须以承包人完成合同工程应予计量的工程量确定。施工中进行工程计量，当发现招标工程量清单中出现缺项、工程量偏差、或因工程变更引起工程量增减时，应按承包人在履行合同义务中完成的工程量计算。因承包人原因造成的超出合同工程范围施工或返工的工程量，发包人不予计量。</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w:t>
      </w:r>
      <w:r>
        <w:rPr>
          <w:rStyle w:val="20"/>
          <w:rFonts w:hint="eastAsia" w:ascii="宋体" w:hAnsi="宋体" w:eastAsia="宋体" w:cs="宋体"/>
          <w:color w:val="auto"/>
          <w:kern w:val="0"/>
          <w:highlight w:val="none"/>
        </w:rPr>
        <w:t xml:space="preserve"> 施工合同履行期间，若出现下列情形的，发、承包双方应当按照以下规定调整合同价款：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w:t>
      </w:r>
      <w:r>
        <w:rPr>
          <w:rStyle w:val="20"/>
          <w:rFonts w:hint="eastAsia" w:ascii="宋体" w:hAnsi="宋体" w:eastAsia="宋体" w:cs="宋体"/>
          <w:color w:val="auto"/>
          <w:kern w:val="0"/>
          <w:highlight w:val="none"/>
        </w:rPr>
        <w:t xml:space="preserve"> 法律法规变化</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2.3.1.1</w:t>
      </w:r>
      <w:r>
        <w:rPr>
          <w:rStyle w:val="20"/>
          <w:rFonts w:hint="eastAsia" w:ascii="宋体" w:hAnsi="宋体" w:eastAsia="宋体" w:cs="宋体"/>
          <w:color w:val="auto"/>
          <w:kern w:val="0"/>
          <w:highlight w:val="none"/>
        </w:rPr>
        <w:t xml:space="preserve"> 基准日之后，因国家法律、法规、规章和政策发生变化引起工程造价增减变化时，发、承包双方应按照省级建设主管部门（或省级行业主管部门）或其授权的工程造价管理机构据此发布的最新规定调整合同价款。</w:t>
      </w:r>
    </w:p>
    <w:p>
      <w:pPr>
        <w:wordWrap w:val="0"/>
        <w:adjustRightInd w:val="0"/>
        <w:snapToGrid w:val="0"/>
        <w:ind w:firstLine="480"/>
        <w:rPr>
          <w:rStyle w:val="20"/>
          <w:rFonts w:hint="eastAsia" w:ascii="宋体" w:hAnsi="宋体" w:eastAsia="宋体" w:cs="宋体"/>
          <w:color w:val="auto"/>
          <w:kern w:val="0"/>
          <w:highlight w:val="none"/>
          <w:u w:val="single"/>
        </w:rPr>
      </w:pPr>
      <w:r>
        <w:rPr>
          <w:rFonts w:hint="eastAsia" w:ascii="宋体" w:hAnsi="宋体" w:eastAsia="宋体" w:cs="宋体"/>
          <w:b/>
          <w:bCs/>
          <w:snapToGrid w:val="0"/>
          <w:color w:val="auto"/>
          <w:kern w:val="0"/>
          <w:highlight w:val="none"/>
        </w:rPr>
        <w:t>注：本招标文件所称“基准日”，均指投标文件递交截止时间（见第一章第二节“重要事项时间地点一览表”）前28天。</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2.3.1.2</w:t>
      </w:r>
      <w:r>
        <w:rPr>
          <w:rStyle w:val="20"/>
          <w:rFonts w:hint="eastAsia" w:ascii="宋体" w:hAnsi="宋体" w:eastAsia="宋体" w:cs="宋体"/>
          <w:color w:val="auto"/>
          <w:kern w:val="0"/>
          <w:highlight w:val="none"/>
        </w:rPr>
        <w:t xml:space="preserve"> 因承包人原因导致工程延误，本章第</w:t>
      </w:r>
      <w:r>
        <w:rPr>
          <w:rStyle w:val="20"/>
          <w:rFonts w:hint="eastAsia" w:ascii="宋体" w:hAnsi="宋体" w:eastAsia="宋体" w:cs="宋体"/>
          <w:b/>
          <w:bCs/>
          <w:color w:val="auto"/>
          <w:kern w:val="0"/>
          <w:highlight w:val="none"/>
        </w:rPr>
        <w:t>2.3.1.1</w:t>
      </w:r>
      <w:r>
        <w:rPr>
          <w:rStyle w:val="20"/>
          <w:rFonts w:hint="eastAsia" w:ascii="宋体" w:hAnsi="宋体" w:eastAsia="宋体" w:cs="宋体"/>
          <w:color w:val="auto"/>
          <w:kern w:val="0"/>
          <w:highlight w:val="none"/>
        </w:rPr>
        <w:t>子目中的法定机构根据国家法律法规变化发布新规的时间在合同工程原定竣工时间之后的，合同价款调增的不予调整，合同价款调减的予以调整。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w:t>
      </w:r>
      <w:r>
        <w:rPr>
          <w:rStyle w:val="20"/>
          <w:rFonts w:hint="eastAsia" w:ascii="宋体" w:hAnsi="宋体" w:eastAsia="宋体" w:cs="宋体"/>
          <w:color w:val="auto"/>
          <w:kern w:val="0"/>
          <w:highlight w:val="none"/>
        </w:rPr>
        <w:t xml:space="preserve"> 工程量偏差或变化</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2.3.2.1</w:t>
      </w:r>
      <w:r>
        <w:rPr>
          <w:rStyle w:val="20"/>
          <w:rFonts w:hint="eastAsia" w:ascii="宋体" w:hAnsi="宋体" w:eastAsia="宋体" w:cs="宋体"/>
          <w:color w:val="auto"/>
          <w:kern w:val="0"/>
          <w:highlight w:val="none"/>
        </w:rPr>
        <w:t xml:space="preserve"> 合同履行期间，当应予计算的实际工程量与招标工程量清单出现偏差或因工程变更引起已标价工程量清单项目的工程数量发生变化时，工程量偏差或变化在15%以内（含15%）的，其综合单价不予调整；工程量偏差或变化超过15%的，按照以下规定调整：</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对于合理报价的清单项目，当工程量增加超过15%时，增加部分的工程量的综合单价以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b/>
          <w:color w:val="auto"/>
          <w:highlight w:val="none"/>
          <w:u w:val="single"/>
        </w:rPr>
        <w:t>该分部分项工程量清单项目原综合单价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为基价调低</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w:t>
      </w:r>
      <w:r>
        <w:rPr>
          <w:rFonts w:hint="eastAsia" w:ascii="宋体" w:hAnsi="宋体" w:eastAsia="宋体" w:cs="宋体"/>
          <w:color w:val="auto"/>
          <w:highlight w:val="none"/>
        </w:rPr>
        <w:t>；</w:t>
      </w:r>
      <w:r>
        <w:rPr>
          <w:rFonts w:hint="eastAsia" w:ascii="宋体" w:hAnsi="宋体" w:eastAsia="宋体" w:cs="宋体"/>
          <w:snapToGrid w:val="0"/>
          <w:color w:val="auto"/>
          <w:kern w:val="0"/>
          <w:highlight w:val="none"/>
        </w:rPr>
        <w:t>当工程量减少超过15%时，减少后剩余部分的工程量的综合单价以</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b/>
          <w:color w:val="auto"/>
          <w:highlight w:val="none"/>
          <w:u w:val="single"/>
        </w:rPr>
        <w:t>该分部分项工程量清单项目原综合单价</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为基价调高</w:t>
      </w:r>
      <w:r>
        <w:rPr>
          <w:rFonts w:hint="eastAsia" w:ascii="宋体" w:hAnsi="宋体" w:eastAsia="宋体" w:cs="宋体"/>
          <w:snapToGrid w:val="0"/>
          <w:color w:val="auto"/>
          <w:kern w:val="0"/>
          <w:highlight w:val="none"/>
          <w:u w:val="single"/>
        </w:rPr>
        <w:t xml:space="preserve"> 3 </w:t>
      </w:r>
      <w:r>
        <w:rPr>
          <w:rFonts w:hint="eastAsia" w:ascii="宋体" w:hAnsi="宋体" w:eastAsia="宋体" w:cs="宋体"/>
          <w:snapToGrid w:val="0"/>
          <w:color w:val="auto"/>
          <w:kern w:val="0"/>
          <w:highlight w:val="none"/>
        </w:rPr>
        <w:t>%。</w:t>
      </w:r>
    </w:p>
    <w:p>
      <w:pPr>
        <w:wordWrap w:val="0"/>
        <w:adjustRightInd w:val="0"/>
        <w:snapToGrid w:val="0"/>
        <w:ind w:firstLine="48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对于按照第二章“中标人须知”第4.2条被认定为不平衡报价的清单项目，其综合单价按照以下方法调整：</w:t>
      </w:r>
      <w:r>
        <w:rPr>
          <w:rFonts w:hint="eastAsia" w:ascii="宋体" w:hAnsi="宋体" w:eastAsia="宋体" w:cs="宋体"/>
          <w:snapToGrid w:val="0"/>
          <w:color w:val="auto"/>
          <w:kern w:val="0"/>
          <w:highlight w:val="none"/>
          <w:u w:val="single"/>
        </w:rPr>
        <w:t>以</w:t>
      </w:r>
      <w:r>
        <w:rPr>
          <w:rFonts w:hint="eastAsia" w:hAnsi="宋体" w:cs="宋体"/>
          <w:snapToGrid w:val="0"/>
          <w:color w:val="auto"/>
          <w:kern w:val="0"/>
          <w:highlight w:val="none"/>
          <w:u w:val="single"/>
          <w:lang w:eastAsia="zh-CN"/>
        </w:rPr>
        <w:t>最高投标限价</w:t>
      </w:r>
      <w:r>
        <w:rPr>
          <w:rFonts w:hint="eastAsia" w:ascii="宋体" w:hAnsi="宋体" w:eastAsia="宋体" w:cs="宋体"/>
          <w:snapToGrid w:val="0"/>
          <w:color w:val="auto"/>
          <w:kern w:val="0"/>
          <w:highlight w:val="none"/>
          <w:u w:val="single"/>
        </w:rPr>
        <w:t>中的《分部分项工程和单价措施项目清单与计价表》子目相对应综合单价×（1-中标下浮率）</w:t>
      </w:r>
      <w:r>
        <w:rPr>
          <w:rFonts w:hint="eastAsia" w:ascii="宋体" w:hAnsi="宋体" w:eastAsia="宋体" w:cs="宋体"/>
          <w:snapToGrid w:val="0"/>
          <w:color w:val="auto"/>
          <w:kern w:val="0"/>
          <w:highlight w:val="none"/>
        </w:rPr>
        <w:t>。</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2.3.2.2</w:t>
      </w:r>
      <w:r>
        <w:rPr>
          <w:rStyle w:val="20"/>
          <w:rFonts w:hint="eastAsia" w:ascii="宋体" w:hAnsi="宋体" w:eastAsia="宋体" w:cs="宋体"/>
          <w:color w:val="auto"/>
          <w:kern w:val="0"/>
          <w:highlight w:val="none"/>
        </w:rPr>
        <w:t xml:space="preserve"> 如果工程量出现本章第</w:t>
      </w:r>
      <w:r>
        <w:rPr>
          <w:rStyle w:val="20"/>
          <w:rFonts w:hint="eastAsia" w:ascii="宋体" w:hAnsi="宋体" w:eastAsia="宋体" w:cs="宋体"/>
          <w:b/>
          <w:bCs/>
          <w:color w:val="auto"/>
          <w:kern w:val="0"/>
          <w:highlight w:val="none"/>
        </w:rPr>
        <w:t>2.3.2.1</w:t>
      </w:r>
      <w:r>
        <w:rPr>
          <w:rStyle w:val="20"/>
          <w:rFonts w:hint="eastAsia" w:ascii="宋体" w:hAnsi="宋体" w:eastAsia="宋体" w:cs="宋体"/>
          <w:color w:val="auto"/>
          <w:kern w:val="0"/>
          <w:highlight w:val="none"/>
        </w:rPr>
        <w:t>子目的变化，且该变化引起相关措施项目相应发生变化时，按系数或单一总价方式计价的，工程量增加的措施项目费调增，工程量减少的措施项目费调减。</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w:t>
      </w:r>
      <w:r>
        <w:rPr>
          <w:rStyle w:val="20"/>
          <w:rFonts w:hint="eastAsia" w:ascii="宋体" w:hAnsi="宋体" w:eastAsia="宋体" w:cs="宋体"/>
          <w:color w:val="auto"/>
          <w:kern w:val="0"/>
          <w:highlight w:val="none"/>
        </w:rPr>
        <w:t xml:space="preserve"> 工程变更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 xml:space="preserve"> 合同履行期间，因工程变更引起已标价工程量清单项目发生变化时，按照以下规定调整：</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（1）已标价工程量清单中有适用于变更工程项目的，采用该项目的单价。</w:t>
      </w:r>
      <w:r>
        <w:rPr>
          <w:rStyle w:val="20"/>
          <w:rFonts w:hint="eastAsia" w:ascii="宋体" w:hAnsi="宋体" w:eastAsia="宋体" w:cs="宋体"/>
          <w:b/>
          <w:bCs/>
          <w:color w:val="auto"/>
          <w:kern w:val="0"/>
          <w:highlight w:val="none"/>
        </w:rPr>
        <w:t>但如果被采用的项目属于按照第二章“中标人须知”第4.2条被认定为不平衡报价的清单项目，变更工程项目的单价按照以下方法调整：</w:t>
      </w:r>
      <w:r>
        <w:rPr>
          <w:rStyle w:val="20"/>
          <w:rFonts w:hint="eastAsia" w:ascii="宋体" w:hAnsi="宋体" w:eastAsia="宋体" w:cs="宋体"/>
          <w:color w:val="auto"/>
          <w:kern w:val="0"/>
          <w:highlight w:val="none"/>
          <w:u w:val="single"/>
        </w:rPr>
        <w:t>以</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中的《分部分项工程和单价措施项目清单与计价表》子目相对应综合单价×（1-中标下浮率）。</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（2）已标价工程量清单中没有适用但有类似于变更工程项目的，可在合理范围内参照类似项目的单价。</w:t>
      </w:r>
      <w:r>
        <w:rPr>
          <w:rStyle w:val="20"/>
          <w:rFonts w:hint="eastAsia" w:ascii="宋体" w:hAnsi="宋体" w:eastAsia="宋体" w:cs="宋体"/>
          <w:b/>
          <w:bCs/>
          <w:color w:val="auto"/>
          <w:kern w:val="0"/>
          <w:highlight w:val="none"/>
        </w:rPr>
        <w:t>但如果被参考的类似项目属于按照第二章“中标人须知”第4.2条被认定为不平衡报价的清单项目，变更工程项目的单价按照以下方法调整：</w:t>
      </w:r>
      <w:r>
        <w:rPr>
          <w:rStyle w:val="20"/>
          <w:rFonts w:hint="eastAsia" w:ascii="宋体" w:hAnsi="宋体" w:eastAsia="宋体" w:cs="宋体"/>
          <w:color w:val="auto"/>
          <w:kern w:val="0"/>
          <w:highlight w:val="none"/>
          <w:u w:val="single"/>
        </w:rPr>
        <w:t>以</w:t>
      </w:r>
      <w:r>
        <w:rPr>
          <w:rStyle w:val="20"/>
          <w:rFonts w:hint="eastAsia" w:hAnsi="宋体" w:cs="宋体"/>
          <w:color w:val="auto"/>
          <w:kern w:val="0"/>
          <w:highlight w:val="none"/>
          <w:u w:val="single"/>
          <w:lang w:eastAsia="zh-CN"/>
        </w:rPr>
        <w:t>最高投标限价</w:t>
      </w:r>
      <w:r>
        <w:rPr>
          <w:rStyle w:val="20"/>
          <w:rFonts w:hint="eastAsia" w:ascii="宋体" w:hAnsi="宋体" w:eastAsia="宋体" w:cs="宋体"/>
          <w:color w:val="auto"/>
          <w:kern w:val="0"/>
          <w:highlight w:val="none"/>
          <w:u w:val="single"/>
        </w:rPr>
        <w:t>中的《分部分项工程和单价措施项目清单与计价表》子目相对应综合单价×（1-中标下浮率）。</w:t>
      </w:r>
    </w:p>
    <w:p>
      <w:pPr>
        <w:wordWrap w:val="0"/>
        <w:adjustRightInd w:val="0"/>
        <w:snapToGrid w:val="0"/>
        <w:ind w:firstLine="480" w:firstLineChars="200"/>
        <w:rPr>
          <w:rFonts w:hint="eastAsia" w:ascii="宋体" w:hAnsi="宋体" w:eastAsia="宋体" w:cs="宋体"/>
          <w:snapToGrid w:val="0"/>
          <w:color w:val="auto"/>
          <w:kern w:val="0"/>
          <w:highlight w:val="none"/>
        </w:rPr>
      </w:pPr>
      <w:r>
        <w:rPr>
          <w:rStyle w:val="20"/>
          <w:rFonts w:hint="eastAsia" w:ascii="宋体" w:hAnsi="宋体" w:eastAsia="宋体" w:cs="宋体"/>
          <w:color w:val="auto"/>
          <w:kern w:val="0"/>
          <w:highlight w:val="none"/>
        </w:rPr>
        <w:t>（3）已标价工程量清单中没有适用也没有类似于变更工程项目的，由承包人根据变更工程资料、计量规则、计价办法、施工当月项目所在地工程造价管理机构发布的价格信息和中标下浮率提出变更工程项目的单价，报发包人确认后调整。</w:t>
      </w:r>
      <w:r>
        <w:rPr>
          <w:rFonts w:hint="eastAsia" w:ascii="宋体" w:hAnsi="宋体" w:eastAsia="宋体" w:cs="宋体"/>
          <w:snapToGrid w:val="0"/>
          <w:color w:val="auto"/>
          <w:kern w:val="0"/>
          <w:highlight w:val="none"/>
        </w:rPr>
        <w:t>中标下浮率的计算公式如下：</w:t>
      </w:r>
    </w:p>
    <w:p>
      <w:pPr>
        <w:wordWrap w:val="0"/>
        <w:adjustRightInd w:val="0"/>
        <w:snapToGrid w:val="0"/>
        <w:jc w:val="center"/>
        <w:rPr>
          <w:rFonts w:hint="eastAsia" w:ascii="宋体" w:hAnsi="宋体" w:eastAsia="宋体" w:cs="宋体"/>
          <w:snapToGrid w:val="0"/>
          <w:color w:val="auto"/>
          <w:kern w:val="0"/>
          <w:highlight w:val="none"/>
          <w:u w:val="wave"/>
        </w:rPr>
      </w:pPr>
      <w:r>
        <w:rPr>
          <w:rFonts w:hint="eastAsia" w:ascii="宋体" w:hAnsi="宋体" w:eastAsia="宋体" w:cs="宋体"/>
          <w:snapToGrid w:val="0"/>
          <w:color w:val="auto"/>
          <w:kern w:val="0"/>
          <w:highlight w:val="none"/>
        </w:rPr>
        <w:t>中标下浮率＝（1－中标价÷</w:t>
      </w:r>
      <w:r>
        <w:rPr>
          <w:rFonts w:hint="eastAsia" w:hAnsi="宋体" w:cs="宋体"/>
          <w:snapToGrid w:val="0"/>
          <w:color w:val="auto"/>
          <w:kern w:val="0"/>
          <w:highlight w:val="none"/>
          <w:lang w:eastAsia="zh-CN"/>
        </w:rPr>
        <w:t>最高投标限价</w:t>
      </w:r>
      <w:r>
        <w:rPr>
          <w:rFonts w:hint="eastAsia" w:ascii="宋体" w:hAnsi="宋体" w:eastAsia="宋体" w:cs="宋体"/>
          <w:snapToGrid w:val="0"/>
          <w:color w:val="auto"/>
          <w:kern w:val="0"/>
          <w:highlight w:val="none"/>
        </w:rPr>
        <w:t>）×100%</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（4）已标价工程量清单中没有适用也没有类似于变更工程项目，且施工当月项目所在地工程造价管理机构发布的价格信息缺项的，</w:t>
      </w:r>
      <w:r>
        <w:rPr>
          <w:rFonts w:hint="eastAsia" w:ascii="宋体" w:hAnsi="宋体" w:eastAsia="宋体" w:cs="宋体"/>
          <w:snapToGrid w:val="0"/>
          <w:color w:val="auto"/>
          <w:kern w:val="0"/>
          <w:highlight w:val="none"/>
        </w:rPr>
        <w:t>由承包人根据变更工程资料、计量规则、计价办法和通过市场调查等取得有合法依据的市场价格提出变更工程项目的单价，报发包人确认后调整。</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 xml:space="preserve"> 工程变更引起施工方案改变并使措施项目发生变化时，承包人提出调整措施项目费的，应事先将拟实施的方案提交发包人确认，并应详细说明与原方案措施项目相比的变化情况。拟实施的方案经发、承包双方确认后执行，并按照本章下列规定调整措施项目费：</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应按照实际发生变化的措施项目计算。</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（2）采用单价计算的措施项目费，应按照实际发生变化的措施项目，按本章第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子目的规定确定单价。</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（3）按总价或系数计算的措施项目费，应按照实际发生变化的措施项目费调整并考虑中标下浮率因素，即调整金额＝按照实际变化调整后的金额×</w:t>
      </w:r>
      <w:r>
        <w:rPr>
          <w:rFonts w:hint="eastAsia" w:ascii="宋体" w:hAnsi="宋体" w:eastAsia="宋体" w:cs="宋体"/>
          <w:bCs/>
          <w:snapToGrid w:val="0"/>
          <w:color w:val="auto"/>
          <w:kern w:val="0"/>
          <w:szCs w:val="28"/>
          <w:highlight w:val="none"/>
        </w:rPr>
        <w:t>（1-</w:t>
      </w:r>
      <w:r>
        <w:rPr>
          <w:rFonts w:hint="eastAsia" w:ascii="宋体" w:hAnsi="宋体" w:eastAsia="宋体" w:cs="宋体"/>
          <w:snapToGrid w:val="0"/>
          <w:color w:val="auto"/>
          <w:kern w:val="0"/>
          <w:highlight w:val="none"/>
        </w:rPr>
        <w:t>中标下浮率）</w:t>
      </w:r>
      <w:r>
        <w:rPr>
          <w:rStyle w:val="20"/>
          <w:rFonts w:hint="eastAsia" w:ascii="宋体" w:hAnsi="宋体" w:eastAsia="宋体" w:cs="宋体"/>
          <w:color w:val="auto"/>
          <w:kern w:val="0"/>
          <w:highlight w:val="none"/>
        </w:rPr>
        <w:t>。</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如果承包人未事先将拟实施的方案提交发包人确认，视为工程变更不引起措施项目费的调整或承包人放弃调整措施项目费的权利。</w:t>
      </w:r>
    </w:p>
    <w:p>
      <w:pPr>
        <w:snapToGrid w:val="0"/>
        <w:ind w:firstLine="482" w:firstLineChars="200"/>
        <w:rPr>
          <w:rStyle w:val="20"/>
          <w:rFonts w:hint="eastAsia" w:ascii="宋体" w:hAnsi="宋体" w:eastAsia="宋体" w:cs="宋体"/>
          <w:color w:val="auto"/>
          <w:kern w:val="0"/>
          <w:sz w:val="44"/>
          <w:szCs w:val="44"/>
          <w:highlight w:val="none"/>
        </w:rPr>
      </w:pPr>
      <w:r>
        <w:rPr>
          <w:rStyle w:val="20"/>
          <w:rFonts w:hint="eastAsia" w:ascii="宋体" w:hAnsi="宋体" w:eastAsia="宋体" w:cs="宋体"/>
          <w:b/>
          <w:bCs/>
          <w:color w:val="auto"/>
          <w:kern w:val="0"/>
          <w:highlight w:val="none"/>
        </w:rPr>
        <w:t>2.3.3.3</w:t>
      </w:r>
      <w:r>
        <w:rPr>
          <w:rStyle w:val="20"/>
          <w:rFonts w:hint="eastAsia" w:ascii="宋体" w:hAnsi="宋体" w:eastAsia="宋体" w:cs="宋体"/>
          <w:color w:val="auto"/>
          <w:kern w:val="0"/>
          <w:highlight w:val="none"/>
        </w:rPr>
        <w:t xml:space="preserve"> 当因非承包人原因，发包人提出的工程变更删减了合同中的某项原定工作或工程，致使承包人发生的费用或（和）得到的收益不能被包括在其他已支付或应支付的项目中，也未被包含在任何替代的工作或工程中时，承包人有权提出并应得到合理的费用及利润补偿。</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2.3.4</w:t>
      </w:r>
      <w:r>
        <w:rPr>
          <w:rStyle w:val="20"/>
          <w:rFonts w:hint="eastAsia" w:ascii="宋体" w:hAnsi="宋体" w:eastAsia="宋体" w:cs="宋体"/>
          <w:color w:val="auto"/>
          <w:kern w:val="0"/>
          <w:highlight w:val="none"/>
        </w:rPr>
        <w:t xml:space="preserve"> 项目特征不符</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承包人应按照发包人提供的设计图纸实施合同工程，若在合同履行期间出现设计图纸（含设计变更）与招标工程量清单任一项目的特征描述不符，且该变化引起该项目工程造价增减变化的，应按照实际施工的项目特征，并按本章第</w:t>
      </w:r>
      <w:r>
        <w:rPr>
          <w:rStyle w:val="20"/>
          <w:rFonts w:hint="eastAsia" w:ascii="宋体" w:hAnsi="宋体" w:eastAsia="宋体" w:cs="宋体"/>
          <w:b/>
          <w:bCs/>
          <w:color w:val="auto"/>
          <w:kern w:val="0"/>
          <w:highlight w:val="none"/>
        </w:rPr>
        <w:t>2.3.3</w:t>
      </w:r>
      <w:r>
        <w:rPr>
          <w:rStyle w:val="20"/>
          <w:rFonts w:hint="eastAsia" w:ascii="宋体" w:hAnsi="宋体" w:eastAsia="宋体" w:cs="宋体"/>
          <w:color w:val="auto"/>
          <w:kern w:val="0"/>
          <w:highlight w:val="none"/>
        </w:rPr>
        <w:t>目相关条款的规定重新确定相应工程量清单项目的综合单价，并调整合同价款。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w:t>
      </w:r>
      <w:r>
        <w:rPr>
          <w:rStyle w:val="20"/>
          <w:rFonts w:hint="eastAsia" w:ascii="宋体" w:hAnsi="宋体" w:eastAsia="宋体" w:cs="宋体"/>
          <w:color w:val="auto"/>
          <w:kern w:val="0"/>
          <w:highlight w:val="none"/>
        </w:rPr>
        <w:t xml:space="preserve"> 招标工程量清单缺项</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2.3.5.1</w:t>
      </w:r>
      <w:r>
        <w:rPr>
          <w:rStyle w:val="20"/>
          <w:rFonts w:hint="eastAsia" w:ascii="宋体" w:hAnsi="宋体" w:eastAsia="宋体" w:cs="宋体"/>
          <w:color w:val="auto"/>
          <w:kern w:val="0"/>
          <w:highlight w:val="none"/>
        </w:rPr>
        <w:t xml:space="preserve"> 合同履行期间，由于招标工程量清单中缺项，新增分部分项工程清单项目，应按照本章第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子目的规定确定单价，并调整合同价款。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2.3.5.2</w:t>
      </w:r>
      <w:r>
        <w:rPr>
          <w:rStyle w:val="20"/>
          <w:rFonts w:hint="eastAsia" w:ascii="宋体" w:hAnsi="宋体" w:eastAsia="宋体" w:cs="宋体"/>
          <w:color w:val="auto"/>
          <w:kern w:val="0"/>
          <w:highlight w:val="none"/>
        </w:rPr>
        <w:t xml:space="preserve"> 新增分部分项工程清单项目后，引起措施项目发生变化的，应按照本章第</w:t>
      </w: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子目的规定，在承包人提交的实施方案被发包人批准后调整合同价款。</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2.3.5.3</w:t>
      </w:r>
      <w:r>
        <w:rPr>
          <w:rStyle w:val="20"/>
          <w:rFonts w:hint="eastAsia" w:ascii="宋体" w:hAnsi="宋体" w:eastAsia="宋体" w:cs="宋体"/>
          <w:color w:val="auto"/>
          <w:kern w:val="0"/>
          <w:highlight w:val="none"/>
        </w:rPr>
        <w:t xml:space="preserve"> 由于招标工程量清单中措施项目缺项，承包人应将新增措施项目实施方案提交发包人批准后，按照本章第</w:t>
      </w:r>
      <w:r>
        <w:rPr>
          <w:rStyle w:val="20"/>
          <w:rFonts w:hint="eastAsia" w:ascii="宋体" w:hAnsi="宋体" w:eastAsia="宋体" w:cs="宋体"/>
          <w:b/>
          <w:bCs/>
          <w:color w:val="auto"/>
          <w:kern w:val="0"/>
          <w:highlight w:val="none"/>
        </w:rPr>
        <w:t>2.3.3.1</w:t>
      </w:r>
      <w:r>
        <w:rPr>
          <w:rStyle w:val="20"/>
          <w:rFonts w:hint="eastAsia" w:ascii="宋体" w:hAnsi="宋体" w:eastAsia="宋体" w:cs="宋体"/>
          <w:color w:val="auto"/>
          <w:kern w:val="0"/>
          <w:highlight w:val="none"/>
        </w:rPr>
        <w:t>子目、第</w:t>
      </w:r>
      <w:r>
        <w:rPr>
          <w:rStyle w:val="20"/>
          <w:rFonts w:hint="eastAsia" w:ascii="宋体" w:hAnsi="宋体" w:eastAsia="宋体" w:cs="宋体"/>
          <w:b/>
          <w:bCs/>
          <w:color w:val="auto"/>
          <w:kern w:val="0"/>
          <w:highlight w:val="none"/>
        </w:rPr>
        <w:t>2.3.3.2</w:t>
      </w:r>
      <w:r>
        <w:rPr>
          <w:rStyle w:val="20"/>
          <w:rFonts w:hint="eastAsia" w:ascii="宋体" w:hAnsi="宋体" w:eastAsia="宋体" w:cs="宋体"/>
          <w:color w:val="auto"/>
          <w:kern w:val="0"/>
          <w:highlight w:val="none"/>
        </w:rPr>
        <w:t>子目的规定调整合同价款。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w:t>
      </w:r>
      <w:r>
        <w:rPr>
          <w:rStyle w:val="20"/>
          <w:rFonts w:hint="eastAsia" w:ascii="宋体" w:hAnsi="宋体" w:eastAsia="宋体" w:cs="宋体"/>
          <w:color w:val="auto"/>
          <w:kern w:val="0"/>
          <w:highlight w:val="none"/>
        </w:rPr>
        <w:t xml:space="preserve"> 物价变化</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2.3.6.1</w:t>
      </w:r>
      <w:r>
        <w:rPr>
          <w:rStyle w:val="20"/>
          <w:rFonts w:hint="eastAsia" w:ascii="宋体" w:hAnsi="宋体" w:eastAsia="宋体" w:cs="宋体"/>
          <w:color w:val="auto"/>
          <w:kern w:val="0"/>
          <w:highlight w:val="none"/>
        </w:rPr>
        <w:t xml:space="preserve"> 合同履行期间，项目所在地工程造价管理机构发布的动态人工调整系数发生变化时，如果承包人投标报价中人工费（以下简称“中标人工费”）等于或超过施工当月经动态调整后的定额人工费，该清单项目中标人工费不予调整；如果中标人工费低于施工当月经动态调整后的定额人工费，该清单项目中标人工费可以调整，相关费用按有关规定进行相应调整。结算人工费调整公式为：</w:t>
      </w:r>
    </w:p>
    <w:p>
      <w:pPr>
        <w:snapToGrid w:val="0"/>
        <w:ind w:firstLine="480" w:firstLineChars="20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结算人工费＝中标人工费×F</w:t>
      </w:r>
      <w:r>
        <w:rPr>
          <w:rStyle w:val="20"/>
          <w:rFonts w:hint="eastAsia" w:ascii="宋体" w:hAnsi="宋体" w:eastAsia="宋体" w:cs="宋体"/>
          <w:color w:val="auto"/>
          <w:kern w:val="0"/>
          <w:highlight w:val="none"/>
          <w:vertAlign w:val="subscript"/>
        </w:rPr>
        <w:t>1</w:t>
      </w:r>
    </w:p>
    <w:p>
      <w:pPr>
        <w:snapToGrid w:val="0"/>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式中，F</w:t>
      </w:r>
      <w:r>
        <w:rPr>
          <w:rStyle w:val="20"/>
          <w:rFonts w:hint="eastAsia" w:ascii="宋体" w:hAnsi="宋体" w:eastAsia="宋体" w:cs="宋体"/>
          <w:color w:val="auto"/>
          <w:kern w:val="0"/>
          <w:highlight w:val="none"/>
          <w:vertAlign w:val="subscript"/>
        </w:rPr>
        <w:t>1</w:t>
      </w:r>
      <w:r>
        <w:rPr>
          <w:rStyle w:val="20"/>
          <w:rFonts w:hint="eastAsia" w:ascii="宋体" w:hAnsi="宋体" w:eastAsia="宋体" w:cs="宋体"/>
          <w:color w:val="auto"/>
          <w:kern w:val="0"/>
          <w:highlight w:val="none"/>
        </w:rPr>
        <w:t>为施工当月项目所在地工程造价管理机构发布的动态人工调整系数。</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2.3.6.2</w:t>
      </w:r>
      <w:r>
        <w:rPr>
          <w:rStyle w:val="20"/>
          <w:rFonts w:hint="eastAsia" w:ascii="宋体" w:hAnsi="宋体" w:eastAsia="宋体" w:cs="宋体"/>
          <w:color w:val="auto"/>
          <w:kern w:val="0"/>
          <w:highlight w:val="none"/>
        </w:rPr>
        <w:t xml:space="preserve"> 本工程约定，材料、工程设备单价涨跌风险幅度值A为</w:t>
      </w:r>
      <w:r>
        <w:rPr>
          <w:rStyle w:val="20"/>
          <w:rFonts w:hint="eastAsia" w:ascii="宋体" w:hAnsi="宋体" w:eastAsia="宋体" w:cs="宋体"/>
          <w:color w:val="auto"/>
          <w:kern w:val="0"/>
          <w:highlight w:val="none"/>
          <w:u w:val="single"/>
        </w:rPr>
        <w:t xml:space="preserve"> 5% </w:t>
      </w:r>
      <w:r>
        <w:rPr>
          <w:rStyle w:val="20"/>
          <w:rFonts w:hint="eastAsia" w:ascii="宋体" w:hAnsi="宋体" w:eastAsia="宋体" w:cs="宋体"/>
          <w:color w:val="auto"/>
          <w:kern w:val="0"/>
          <w:highlight w:val="none"/>
        </w:rPr>
        <w:t>。合同履行期间，当《承包人提供主要材料和工程设备一览表》（详见招标工程量清单）中的材料、工程设备（</w:t>
      </w:r>
      <w:r>
        <w:rPr>
          <w:rFonts w:hint="eastAsia" w:ascii="宋体" w:hAnsi="宋体" w:eastAsia="宋体" w:cs="宋体"/>
          <w:snapToGrid w:val="0"/>
          <w:color w:val="auto"/>
          <w:kern w:val="0"/>
          <w:highlight w:val="none"/>
        </w:rPr>
        <w:t>指钢材、商品砼、水泥、砂、石等主要材料及工程设备</w:t>
      </w:r>
      <w:r>
        <w:rPr>
          <w:rStyle w:val="20"/>
          <w:rFonts w:hint="eastAsia" w:ascii="宋体" w:hAnsi="宋体" w:eastAsia="宋体" w:cs="宋体"/>
          <w:color w:val="auto"/>
          <w:kern w:val="0"/>
          <w:highlight w:val="none"/>
        </w:rPr>
        <w:t>）单价涨跌幅度等于或低于A值时，该材料、工程设备单价不予调整；超过A值时，其超过部分可以调整。相关费用按有关规定进行相应调整。</w:t>
      </w:r>
    </w:p>
    <w:p>
      <w:pPr>
        <w:wordWrap w:val="0"/>
        <w:adjustRightInd w:val="0"/>
        <w:snapToGrid w:val="0"/>
        <w:ind w:firstLine="482" w:firstLineChars="200"/>
        <w:rPr>
          <w:rFonts w:hint="eastAsia" w:ascii="宋体" w:hAnsi="宋体" w:eastAsia="宋体" w:cs="宋体"/>
          <w:strike/>
          <w:color w:val="auto"/>
          <w:sz w:val="14"/>
          <w:szCs w:val="14"/>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如果承包人投标报价中材料、工程设备单价（以下简称“中标单价”）低于基准日当月项目所在地工程造价管理机构发布的对应材料、工程设备单价（以下简称“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5" o:spt="75" type="#_x0000_t75" style="height:33.95pt;width:200.95pt;" o:ole="t" filled="f" stroked="f" coordsize="21600,21600">
            <v:path/>
            <v:fill on="f" focussize="0,0"/>
            <v:stroke on="f"/>
            <v:imagedata r:id="rId10" o:title=""/>
            <o:lock v:ext="edit" grouping="f" rotation="f" text="f" aspectratio="t"/>
            <w10:wrap type="none"/>
            <w10:anchorlock/>
          </v:shape>
          <o:OLEObject Type="Embed" ProgID="Equation.KSEE3" ShapeID="_x0000_i1025" DrawAspect="Content" ObjectID="_1468075725" r:id="rId9">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26" o:spt="75" type="#_x0000_t75" style="height:33.95pt;width:198.95pt;" o:ole="t" filled="f" stroked="f" coordsize="21600,21600">
            <v:path/>
            <v:fill on="f" focussize="0,0"/>
            <v:stroke on="f"/>
            <v:imagedata r:id="rId12" o:title=""/>
            <o:lock v:ext="edit" grouping="f" rotation="f" text="f" aspectratio="t"/>
            <w10:wrap type="none"/>
            <w10:anchorlock/>
          </v:shape>
          <o:OLEObject Type="Embed" ProgID="Equation.KSEE3" ShapeID="_x0000_i1026" DrawAspect="Content" ObjectID="_1468075726" r:id="rId11">
            <o:LockedField>false</o:LockedField>
          </o:OLEObject>
        </w:objec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．如果中标单价高于基准单价，该材料、工程设备的结算单价调整公式为：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7" o:spt="75" type="#_x0000_t75" style="height:33.95pt;width:198.95pt;" o:ole="t" filled="f" stroked="f" coordsize="21600,21600">
            <v:path/>
            <v:fill on="f" focussize="0,0"/>
            <v:stroke on="f"/>
            <v:imagedata r:id="rId14" o:title=""/>
            <o:lock v:ext="edit" grouping="f" rotation="f" text="f" aspectratio="t"/>
            <w10:wrap type="none"/>
            <w10:anchorlock/>
          </v:shape>
          <o:OLEObject Type="Embed" ProgID="Equation.KSEE3" ShapeID="_x0000_i1027" DrawAspect="Content" ObjectID="_1468075727" r:id="rId13">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28" o:spt="75" type="#_x0000_t75" style="height:33.95pt;width:200.95pt;" o:ole="t" filled="f" stroked="f" coordsize="21600,21600">
            <v:path/>
            <v:fill on="f" focussize="0,0"/>
            <v:stroke on="f"/>
            <v:imagedata r:id="rId16" o:title=""/>
            <o:lock v:ext="edit" grouping="f" rotation="f" text="f" aspectratio="t"/>
            <w10:wrap type="none"/>
            <w10:anchorlock/>
          </v:shape>
          <o:OLEObject Type="Embed" ProgID="Equation.KSEE3" ShapeID="_x0000_i1028" DrawAspect="Content" ObjectID="_1468075728" r:id="rId15">
            <o:LockedField>false</o:LockedField>
          </o:OLEObject>
        </w:objec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．如果中标单价等于基准单价，该材料、工程设备的结算单价调整公式为：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29" o:spt="75" type="#_x0000_t75" style="height:33.95pt;width:200.95pt;" o:ole="t" filled="f" stroked="f" coordsize="21600,21600">
            <v:path/>
            <v:fill on="f" focussize="0,0"/>
            <v:stroke on="f"/>
            <v:imagedata r:id="rId18" o:title=""/>
            <o:lock v:ext="edit" grouping="f" rotation="f" text="f" aspectratio="t"/>
            <w10:wrap type="none"/>
            <w10:anchorlock/>
          </v:shape>
          <o:OLEObject Type="Embed" ProgID="Equation.KSEE3" ShapeID="_x0000_i1029" DrawAspect="Content" ObjectID="_1468075729" r:id="rId17">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0" o:spt="75" type="#_x0000_t75" style="height:33.95pt;width:200.95pt;" o:ole="t" filled="f" o:preferrelative="t" stroked="f" coordsize="21600,21600">
            <v:path/>
            <v:fill on="f" focussize="0,0"/>
            <v:stroke on="f"/>
            <v:imagedata r:id="rId20" o:title=""/>
            <o:lock v:ext="edit" grouping="f" rotation="f" text="f" aspectratio="t"/>
            <w10:wrap type="none"/>
            <w10:anchorlock/>
          </v:shape>
          <o:OLEObject Type="Embed" ProgID="Equation.KSEE3" ShapeID="_x0000_i1030" DrawAspect="Content" ObjectID="_1468075730" r:id="rId19">
            <o:LockedField>false</o:LockedField>
          </o:OLEObject>
        </w:object>
      </w:r>
    </w:p>
    <w:p>
      <w:pPr>
        <w:wordWrap w:val="0"/>
        <w:adjustRightInd w:val="0"/>
        <w:snapToGrid w:val="0"/>
        <w:ind w:firstLine="480" w:firstLineChars="200"/>
        <w:rPr>
          <w:rFonts w:hint="eastAsia" w:ascii="宋体" w:hAnsi="宋体" w:eastAsia="宋体" w:cs="宋体"/>
          <w:snapToGrid w:val="0"/>
          <w:color w:val="auto"/>
          <w:kern w:val="0"/>
          <w:highlight w:val="none"/>
        </w:rPr>
      </w:pPr>
    </w:p>
    <w:p>
      <w:pPr>
        <w:wordWrap w:val="0"/>
        <w:adjustRightInd w:val="0"/>
        <w:snapToGrid w:val="0"/>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为施工当月项目所在地工程造价管理机构发布的材料、工程设备单价；A为合同约定的材料、工程设备单价涨跌风险幅度值。</w:t>
      </w:r>
    </w:p>
    <w:p>
      <w:pPr>
        <w:wordWrap w:val="0"/>
        <w:adjustRightInd w:val="0"/>
        <w:snapToGrid w:val="0"/>
        <w:ind w:firstLine="482" w:firstLineChars="200"/>
        <w:rPr>
          <w:rFonts w:hint="eastAsia" w:ascii="宋体" w:hAnsi="宋体" w:eastAsia="宋体" w:cs="宋体"/>
          <w:bCs/>
          <w:snapToGrid w:val="0"/>
          <w:color w:val="auto"/>
          <w:kern w:val="0"/>
          <w:szCs w:val="28"/>
          <w:highlight w:val="none"/>
        </w:rPr>
      </w:pPr>
      <w:r>
        <w:rPr>
          <w:rFonts w:hint="eastAsia" w:ascii="宋体" w:hAnsi="宋体" w:eastAsia="宋体" w:cs="宋体"/>
          <w:b/>
          <w:bCs/>
          <w:snapToGrid w:val="0"/>
          <w:color w:val="auto"/>
          <w:kern w:val="0"/>
          <w:highlight w:val="none"/>
        </w:rPr>
        <w:t>2.3.6.3</w:t>
      </w:r>
      <w:r>
        <w:rPr>
          <w:rFonts w:hint="eastAsia" w:ascii="宋体" w:hAnsi="宋体" w:eastAsia="宋体" w:cs="宋体"/>
          <w:snapToGrid w:val="0"/>
          <w:color w:val="auto"/>
          <w:kern w:val="0"/>
          <w:highlight w:val="none"/>
        </w:rPr>
        <w:t xml:space="preserve"> 合同履行期间，当《发包人提供材料和工程设备一览表》（详见招标工程量清单）中的材料、工程设备单价发生变化时，由发包人按照实际变化调整，并列入合同价款。</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2.3.6.4</w:t>
      </w:r>
      <w:r>
        <w:rPr>
          <w:rFonts w:hint="eastAsia" w:ascii="宋体" w:hAnsi="宋体" w:eastAsia="宋体" w:cs="宋体"/>
          <w:snapToGrid w:val="0"/>
          <w:color w:val="auto"/>
          <w:kern w:val="0"/>
          <w:highlight w:val="none"/>
        </w:rPr>
        <w:t xml:space="preserve"> 本招标项目约定，施工机具台班单价涨跌风险幅度值B为</w:t>
      </w:r>
      <w:r>
        <w:rPr>
          <w:rFonts w:hint="eastAsia" w:ascii="宋体" w:hAnsi="宋体" w:eastAsia="宋体" w:cs="宋体"/>
          <w:snapToGrid w:val="0"/>
          <w:color w:val="auto"/>
          <w:kern w:val="0"/>
          <w:highlight w:val="none"/>
          <w:u w:val="single"/>
        </w:rPr>
        <w:t xml:space="preserve"> 10% </w:t>
      </w:r>
      <w:r>
        <w:rPr>
          <w:rFonts w:hint="eastAsia" w:ascii="宋体" w:hAnsi="宋体" w:eastAsia="宋体" w:cs="宋体"/>
          <w:snapToGrid w:val="0"/>
          <w:color w:val="auto"/>
          <w:kern w:val="0"/>
          <w:highlight w:val="none"/>
        </w:rPr>
        <w:t>。合同履行期间，当施工机具台班单价涨跌幅度等于或低于B值时，该施工机具台班单价不予调整；超过B值时，其超过部分可以调整。相关费用按有关规定进行相应调整。</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a</w:t>
      </w:r>
      <w:r>
        <w:rPr>
          <w:rFonts w:hint="eastAsia" w:ascii="宋体" w:hAnsi="宋体" w:eastAsia="宋体" w:cs="宋体"/>
          <w:snapToGrid w:val="0"/>
          <w:color w:val="auto"/>
          <w:kern w:val="0"/>
          <w:highlight w:val="none"/>
        </w:rPr>
        <w:t>．如果承包人投标报价中施工机具台班单价（以下简称“中标单价”）低于基准日当月项目所在地工程造价管理机构发布的对应施工机具台班单价（以下简称“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1" o:spt="75" type="#_x0000_t75" style="height:33.95pt;width:200.95pt;" o:ole="t" filled="f" o:preferrelative="t" stroked="f" coordsize="21600,21600">
            <v:path/>
            <v:fill on="f" focussize="0,0"/>
            <v:stroke on="f"/>
            <v:imagedata r:id="rId22" o:title=""/>
            <o:lock v:ext="edit" grouping="f" rotation="f" text="f" aspectratio="t"/>
            <w10:wrap type="none"/>
            <w10:anchorlock/>
          </v:shape>
          <o:OLEObject Type="Embed" ProgID="Equation.KSEE3" ShapeID="_x0000_i1031" DrawAspect="Content" ObjectID="_1468075731" r:id="rId21">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2" o:spt="75" type="#_x0000_t75" style="height:33.95pt;width:198pt;" o:ole="t" filled="f" o:preferrelative="t" stroked="f" coordsize="21600,21600">
            <v:path/>
            <v:fill on="f" focussize="0,0"/>
            <v:stroke on="f"/>
            <v:imagedata r:id="rId24" o:title=""/>
            <o:lock v:ext="edit" grouping="f" rotation="f" text="f" aspectratio="t"/>
            <w10:wrap type="none"/>
            <w10:anchorlock/>
          </v:shape>
          <o:OLEObject Type="Embed" ProgID="Equation.KSEE3" ShapeID="_x0000_i1032" DrawAspect="Content" ObjectID="_1468075732" r:id="rId23">
            <o:LockedField>false</o:LockedField>
          </o:OLEObject>
        </w:object>
      </w:r>
    </w:p>
    <w:p>
      <w:pPr>
        <w:wordWrap w:val="0"/>
        <w:adjustRightInd w:val="0"/>
        <w:snapToGrid w:val="0"/>
        <w:spacing w:line="440" w:lineRule="exact"/>
        <w:ind w:firstLine="482" w:firstLineChars="200"/>
        <w:rPr>
          <w:rFonts w:hint="eastAsia" w:ascii="宋体" w:hAnsi="宋体" w:eastAsia="宋体" w:cs="宋体"/>
          <w:b/>
          <w:bCs/>
          <w:snapToGrid w:val="0"/>
          <w:color w:val="auto"/>
          <w:kern w:val="0"/>
          <w:highlight w:val="none"/>
        </w:rPr>
      </w:pPr>
    </w:p>
    <w:p>
      <w:pPr>
        <w:wordWrap w:val="0"/>
        <w:adjustRightInd w:val="0"/>
        <w:snapToGrid w:val="0"/>
        <w:spacing w:line="440" w:lineRule="exact"/>
        <w:ind w:firstLine="482" w:firstLineChars="200"/>
        <w:rPr>
          <w:rFonts w:hint="eastAsia" w:ascii="宋体" w:hAnsi="宋体" w:eastAsia="宋体" w:cs="宋体"/>
          <w:strike/>
          <w:color w:val="auto"/>
          <w:sz w:val="20"/>
          <w:highlight w:val="none"/>
        </w:rPr>
      </w:pPr>
      <w:r>
        <w:rPr>
          <w:rFonts w:hint="eastAsia" w:ascii="宋体" w:hAnsi="宋体" w:eastAsia="宋体" w:cs="宋体"/>
          <w:b/>
          <w:bCs/>
          <w:snapToGrid w:val="0"/>
          <w:color w:val="auto"/>
          <w:kern w:val="0"/>
          <w:highlight w:val="none"/>
        </w:rPr>
        <w:t>b</w:t>
      </w:r>
      <w:r>
        <w:rPr>
          <w:rFonts w:hint="eastAsia" w:ascii="宋体" w:hAnsi="宋体" w:eastAsia="宋体" w:cs="宋体"/>
          <w:snapToGrid w:val="0"/>
          <w:color w:val="auto"/>
          <w:kern w:val="0"/>
          <w:highlight w:val="none"/>
        </w:rPr>
        <w:t>．如果中标单价高于基准单价，该施工机具台班的结算单价调整公式为：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3" o:spt="75" type="#_x0000_t75" style="height:33.95pt;width:198pt;" o:ole="t" filled="f" o:preferrelative="t" stroked="f" coordsize="21600,21600">
            <v:path/>
            <v:fill on="f" focussize="0,0"/>
            <v:stroke on="f"/>
            <v:imagedata r:id="rId26" o:title=""/>
            <o:lock v:ext="edit" grouping="f" rotation="f" text="f" aspectratio="t"/>
            <w10:wrap type="none"/>
            <w10:anchorlock/>
          </v:shape>
          <o:OLEObject Type="Embed" ProgID="Equation.KSEE3" ShapeID="_x0000_i1033" DrawAspect="Content" ObjectID="_1468075733" r:id="rId25">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4" o:spt="75" type="#_x0000_t75" style="height:33.95pt;width:200.95pt;" o:ole="t" filled="f" o:preferrelative="t" stroked="f" coordsize="21600,21600">
            <v:path/>
            <v:fill on="f" focussize="0,0"/>
            <v:stroke on="f"/>
            <v:imagedata r:id="rId28" o:title=""/>
            <o:lock v:ext="edit" grouping="f" rotation="f" text="f" aspectratio="t"/>
            <w10:wrap type="none"/>
            <w10:anchorlock/>
          </v:shape>
          <o:OLEObject Type="Embed" ProgID="Equation.KSEE3" ShapeID="_x0000_i1034" DrawAspect="Content" ObjectID="_1468075734" r:id="rId27">
            <o:LockedField>false</o:LockedField>
          </o:OLEObject>
        </w:object>
      </w:r>
    </w:p>
    <w:p>
      <w:pPr>
        <w:spacing w:line="200" w:lineRule="exact"/>
        <w:rPr>
          <w:rFonts w:hint="eastAsia" w:ascii="宋体" w:hAnsi="宋体" w:eastAsia="宋体" w:cs="宋体"/>
          <w:color w:val="auto"/>
          <w:sz w:val="20"/>
          <w:highlight w:val="none"/>
        </w:rPr>
      </w:pPr>
    </w:p>
    <w:p>
      <w:pPr>
        <w:wordWrap w:val="0"/>
        <w:adjustRightInd w:val="0"/>
        <w:snapToGri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c</w:t>
      </w:r>
      <w:r>
        <w:rPr>
          <w:rFonts w:hint="eastAsia" w:ascii="宋体" w:hAnsi="宋体" w:eastAsia="宋体" w:cs="宋体"/>
          <w:snapToGrid w:val="0"/>
          <w:color w:val="auto"/>
          <w:kern w:val="0"/>
          <w:highlight w:val="none"/>
        </w:rPr>
        <w:t>．如果中标单价等于基准单价，该施工机具台班的结算单价调整公式为：</w:t>
      </w:r>
    </w:p>
    <w:p>
      <w:pPr>
        <w:wordWrap w:val="0"/>
        <w:adjustRightInd w:val="0"/>
        <w:snapToGri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涨价时，</w:t>
      </w:r>
      <w:r>
        <w:rPr>
          <w:rFonts w:hint="eastAsia" w:ascii="宋体" w:hAnsi="宋体" w:eastAsia="宋体" w:cs="宋体"/>
          <w:snapToGrid w:val="0"/>
          <w:color w:val="auto"/>
          <w:kern w:val="0"/>
          <w:position w:val="-30"/>
          <w:highlight w:val="none"/>
        </w:rPr>
        <w:object>
          <v:shape id="_x0000_i1035" o:spt="75" type="#_x0000_t75" style="height:33.95pt;width:200.95pt;" o:ole="t" filled="f" o:preferrelative="t" stroked="f" coordsize="21600,21600">
            <v:path/>
            <v:fill on="f" focussize="0,0"/>
            <v:stroke on="f"/>
            <v:imagedata r:id="rId30" o:title=""/>
            <o:lock v:ext="edit" grouping="f" rotation="f" text="f" aspectratio="t"/>
            <w10:wrap type="none"/>
            <w10:anchorlock/>
          </v:shape>
          <o:OLEObject Type="Embed" ProgID="Equation.KSEE3" ShapeID="_x0000_i1035" DrawAspect="Content" ObjectID="_1468075735" r:id="rId29">
            <o:LockedField>false</o:LockedField>
          </o:OLEObject>
        </w:object>
      </w:r>
    </w:p>
    <w:p>
      <w:pPr>
        <w:wordWrap w:val="0"/>
        <w:adjustRightInd w:val="0"/>
        <w:spacing w:before="360" w:beforeLines="150" w:after="240" w:afterLines="10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跌价时，</w:t>
      </w:r>
      <w:r>
        <w:rPr>
          <w:rFonts w:hint="eastAsia" w:ascii="宋体" w:hAnsi="宋体" w:eastAsia="宋体" w:cs="宋体"/>
          <w:snapToGrid w:val="0"/>
          <w:color w:val="auto"/>
          <w:kern w:val="0"/>
          <w:position w:val="-30"/>
          <w:highlight w:val="none"/>
        </w:rPr>
        <w:object>
          <v:shape id="_x0000_i1036" o:spt="75" type="#_x0000_t75" style="height:33.95pt;width:200.95pt;" o:ole="t" filled="f" o:preferrelative="t" stroked="f" coordsize="21600,21600">
            <v:path/>
            <v:fill on="f" focussize="0,0"/>
            <v:stroke on="f"/>
            <v:imagedata r:id="rId32" o:title=""/>
            <o:lock v:ext="edit" grouping="f" rotation="f" text="f" aspectratio="t"/>
            <w10:wrap type="none"/>
            <w10:anchorlock/>
          </v:shape>
          <o:OLEObject Type="Embed" ProgID="Equation.KSEE3" ShapeID="_x0000_i1036" DrawAspect="Content" ObjectID="_1468075736" r:id="rId31">
            <o:LockedField>false</o:LockedField>
          </o:OLEObject>
        </w:object>
      </w:r>
    </w:p>
    <w:p>
      <w:pPr>
        <w:wordWrap w:val="0"/>
        <w:adjustRightInd w:val="0"/>
        <w:snapToGrid w:val="0"/>
        <w:ind w:firstLine="480" w:firstLineChars="200"/>
        <w:rPr>
          <w:rFonts w:hint="eastAsia" w:ascii="宋体" w:hAnsi="宋体" w:eastAsia="宋体" w:cs="宋体"/>
          <w:bCs/>
          <w:snapToGrid w:val="0"/>
          <w:color w:val="auto"/>
          <w:kern w:val="0"/>
          <w:szCs w:val="28"/>
          <w:highlight w:val="none"/>
        </w:rPr>
      </w:pPr>
      <w:r>
        <w:rPr>
          <w:rFonts w:hint="eastAsia" w:ascii="宋体" w:hAnsi="宋体" w:eastAsia="宋体" w:cs="宋体"/>
          <w:snapToGrid w:val="0"/>
          <w:color w:val="auto"/>
          <w:kern w:val="0"/>
          <w:highlight w:val="none"/>
        </w:rPr>
        <w:t>以上公式中，</w:t>
      </w:r>
      <w:r>
        <w:rPr>
          <w:rFonts w:hint="eastAsia" w:ascii="宋体" w:hAnsi="宋体" w:eastAsia="宋体" w:cs="宋体"/>
          <w:bCs/>
          <w:snapToGrid w:val="0"/>
          <w:color w:val="auto"/>
          <w:kern w:val="0"/>
          <w:szCs w:val="28"/>
          <w:highlight w:val="none"/>
        </w:rPr>
        <w:t>F</w:t>
      </w:r>
      <w:r>
        <w:rPr>
          <w:rFonts w:hint="eastAsia" w:ascii="宋体" w:hAnsi="宋体" w:eastAsia="宋体" w:cs="宋体"/>
          <w:bCs/>
          <w:snapToGrid w:val="0"/>
          <w:color w:val="auto"/>
          <w:kern w:val="0"/>
          <w:szCs w:val="28"/>
          <w:highlight w:val="none"/>
          <w:vertAlign w:val="subscript"/>
        </w:rPr>
        <w:t>1</w:t>
      </w:r>
      <w:r>
        <w:rPr>
          <w:rFonts w:hint="eastAsia" w:ascii="宋体" w:hAnsi="宋体" w:eastAsia="宋体" w:cs="宋体"/>
          <w:bCs/>
          <w:snapToGrid w:val="0"/>
          <w:color w:val="auto"/>
          <w:kern w:val="0"/>
          <w:szCs w:val="28"/>
          <w:highlight w:val="none"/>
        </w:rPr>
        <w:t>为中标单价；F</w:t>
      </w:r>
      <w:r>
        <w:rPr>
          <w:rFonts w:hint="eastAsia" w:ascii="宋体" w:hAnsi="宋体" w:eastAsia="宋体" w:cs="宋体"/>
          <w:bCs/>
          <w:snapToGrid w:val="0"/>
          <w:color w:val="auto"/>
          <w:kern w:val="0"/>
          <w:szCs w:val="28"/>
          <w:highlight w:val="none"/>
          <w:vertAlign w:val="subscript"/>
        </w:rPr>
        <w:t>0</w:t>
      </w:r>
      <w:r>
        <w:rPr>
          <w:rFonts w:hint="eastAsia" w:ascii="宋体" w:hAnsi="宋体" w:eastAsia="宋体" w:cs="宋体"/>
          <w:bCs/>
          <w:snapToGrid w:val="0"/>
          <w:color w:val="auto"/>
          <w:kern w:val="0"/>
          <w:szCs w:val="28"/>
          <w:highlight w:val="none"/>
        </w:rPr>
        <w:t>为基准单价；F</w:t>
      </w:r>
      <w:r>
        <w:rPr>
          <w:rFonts w:hint="eastAsia" w:ascii="宋体" w:hAnsi="宋体" w:eastAsia="宋体" w:cs="宋体"/>
          <w:bCs/>
          <w:snapToGrid w:val="0"/>
          <w:color w:val="auto"/>
          <w:kern w:val="0"/>
          <w:szCs w:val="28"/>
          <w:highlight w:val="none"/>
          <w:vertAlign w:val="subscript"/>
        </w:rPr>
        <w:t>2</w:t>
      </w:r>
      <w:r>
        <w:rPr>
          <w:rFonts w:hint="eastAsia" w:ascii="宋体" w:hAnsi="宋体" w:eastAsia="宋体" w:cs="宋体"/>
          <w:bCs/>
          <w:snapToGrid w:val="0"/>
          <w:color w:val="auto"/>
          <w:kern w:val="0"/>
          <w:szCs w:val="28"/>
          <w:highlight w:val="none"/>
        </w:rPr>
        <w:t>为施工当月项目所在地工程造价管理机构发布的施工机具台班单价；B为合同约定的施工机具台班单价涨跌风险幅度值。</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w:t>
      </w:r>
      <w:r>
        <w:rPr>
          <w:rStyle w:val="20"/>
          <w:rFonts w:hint="eastAsia" w:ascii="宋体" w:hAnsi="宋体" w:eastAsia="宋体" w:cs="宋体"/>
          <w:color w:val="auto"/>
          <w:kern w:val="0"/>
          <w:highlight w:val="none"/>
        </w:rPr>
        <w:t xml:space="preserve"> </w:t>
      </w:r>
      <w:r>
        <w:rPr>
          <w:rStyle w:val="20"/>
          <w:rFonts w:hint="eastAsia" w:hAnsi="宋体" w:eastAsia="宋体" w:cs="宋体"/>
          <w:color w:val="auto"/>
          <w:kern w:val="0"/>
          <w:highlight w:val="none"/>
          <w:lang w:val="en-US" w:eastAsia="zh-CN"/>
        </w:rPr>
        <w:t xml:space="preserve"> </w:t>
      </w:r>
      <w:r>
        <w:rPr>
          <w:rStyle w:val="20"/>
          <w:rFonts w:hint="eastAsia" w:ascii="宋体" w:hAnsi="宋体" w:eastAsia="宋体" w:cs="宋体"/>
          <w:color w:val="auto"/>
          <w:kern w:val="0"/>
          <w:highlight w:val="none"/>
        </w:rPr>
        <w:t>暂估价和暂列金额</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2.3.7.1</w:t>
      </w:r>
      <w:r>
        <w:rPr>
          <w:rStyle w:val="20"/>
          <w:rFonts w:hint="eastAsia" w:ascii="宋体" w:hAnsi="宋体" w:eastAsia="宋体" w:cs="宋体"/>
          <w:color w:val="auto"/>
          <w:kern w:val="0"/>
          <w:highlight w:val="none"/>
        </w:rPr>
        <w:t xml:space="preserve"> 暂估价项目按第一章第三节“投标人须知正文”第</w:t>
      </w:r>
      <w:r>
        <w:rPr>
          <w:rStyle w:val="20"/>
          <w:rFonts w:hint="eastAsia" w:ascii="宋体" w:hAnsi="宋体" w:eastAsia="宋体" w:cs="宋体"/>
          <w:b/>
          <w:bCs/>
          <w:color w:val="auto"/>
          <w:kern w:val="0"/>
          <w:highlight w:val="none"/>
        </w:rPr>
        <w:t>8.5</w:t>
      </w:r>
      <w:r>
        <w:rPr>
          <w:rStyle w:val="20"/>
          <w:rFonts w:hint="eastAsia" w:ascii="宋体" w:hAnsi="宋体" w:eastAsia="宋体" w:cs="宋体"/>
          <w:color w:val="auto"/>
          <w:kern w:val="0"/>
          <w:highlight w:val="none"/>
        </w:rPr>
        <w:t>条的规定确定专业工程承包人（或材料供应商、工程设备供应商）后，将专业工程合同价款（或材料单价、工程设备单价）取代相应暂估价，并调整合同价款。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2.3.7.2</w:t>
      </w:r>
      <w:r>
        <w:rPr>
          <w:rStyle w:val="20"/>
          <w:rFonts w:hint="eastAsia" w:ascii="宋体" w:hAnsi="宋体" w:eastAsia="宋体" w:cs="宋体"/>
          <w:color w:val="auto"/>
          <w:kern w:val="0"/>
          <w:highlight w:val="none"/>
        </w:rPr>
        <w:t xml:space="preserve"> 暂列金额由发包人掌握和使用。暂列金额项目若有发生，按第一章第三节“投标人须知正文”第</w:t>
      </w:r>
      <w:r>
        <w:rPr>
          <w:rStyle w:val="20"/>
          <w:rFonts w:hint="eastAsia" w:ascii="宋体" w:hAnsi="宋体" w:eastAsia="宋体" w:cs="宋体"/>
          <w:b/>
          <w:bCs/>
          <w:color w:val="auto"/>
          <w:kern w:val="0"/>
          <w:highlight w:val="none"/>
        </w:rPr>
        <w:t>8.6</w:t>
      </w:r>
      <w:r>
        <w:rPr>
          <w:rStyle w:val="20"/>
          <w:rFonts w:hint="eastAsia" w:ascii="宋体" w:hAnsi="宋体" w:eastAsia="宋体" w:cs="宋体"/>
          <w:color w:val="auto"/>
          <w:kern w:val="0"/>
          <w:highlight w:val="none"/>
        </w:rPr>
        <w:t>条的规定确定材料供应商（或工程设备供应商、服务供应商）后，材料（或工程设备、服务）的合同价款从暂列金额中支付。暂列金额扣除已发生的暂列金额项目合同价款、已发生的合同约定调整因素出现时的调整价款、已发生的索赔以及现场签证确认等的费用后，余额（若有）归发包人所有。</w:t>
      </w:r>
    </w:p>
    <w:p>
      <w:pPr>
        <w:pStyle w:val="28"/>
        <w:ind w:firstLine="480"/>
        <w:jc w:val="lef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2.3.8 </w:t>
      </w:r>
      <w:r>
        <w:rPr>
          <w:rFonts w:hint="eastAsia" w:ascii="宋体" w:hAnsi="宋体" w:eastAsia="宋体" w:cs="宋体"/>
          <w:snapToGrid w:val="0"/>
          <w:color w:val="auto"/>
          <w:kern w:val="0"/>
          <w:szCs w:val="28"/>
          <w:highlight w:val="none"/>
        </w:rPr>
        <w:t>预算包干费：1.房屋建筑与装饰工程预算包干费按分部分项的人工费与施工机具费之和的7%计算，预算包干内容包括：施工雨水、污水的排除；因地形影响造成的场内料具二次运输；20米高以下的工程用水加压措施；施工材料堆放场地的整理；机电安装后的补洞(槽)工料费；工程成品保护费；施工中的临时停水停电；基础埋深2米以内挖土方的塌方；日间照明施工增加费；完工清场后的垃圾外运等。</w:t>
      </w:r>
      <w:r>
        <w:rPr>
          <w:rFonts w:hint="eastAsia" w:ascii="宋体" w:hAnsi="宋体" w:eastAsia="宋体" w:cs="宋体"/>
          <w:snapToGrid w:val="0"/>
          <w:color w:val="auto"/>
          <w:kern w:val="0"/>
          <w:szCs w:val="28"/>
          <w:highlight w:val="none"/>
          <w:lang w:val="en-US" w:eastAsia="zh-CN"/>
        </w:rPr>
        <w:t>2</w:t>
      </w:r>
      <w:r>
        <w:rPr>
          <w:rFonts w:hint="eastAsia" w:ascii="宋体" w:hAnsi="宋体" w:eastAsia="宋体" w:cs="宋体"/>
          <w:snapToGrid w:val="0"/>
          <w:color w:val="auto"/>
          <w:kern w:val="0"/>
          <w:szCs w:val="28"/>
          <w:highlight w:val="none"/>
        </w:rPr>
        <w:t>.</w:t>
      </w:r>
      <w:r>
        <w:rPr>
          <w:rFonts w:hint="eastAsia" w:ascii="宋体" w:hAnsi="宋体" w:cs="宋体"/>
          <w:snapToGrid w:val="0"/>
          <w:color w:val="auto"/>
          <w:kern w:val="0"/>
          <w:szCs w:val="28"/>
          <w:highlight w:val="none"/>
        </w:rPr>
        <w:t>市政工程预算包干费按分部分项的人工费与施工机具费之和的6%计算，预算包干包括：施工雨(污)水的排除、因地形影响造成的场内料具二次运输、施工材料堆放场地的整理、施工中的临时停水停电、基础埋深2m以内挖土方的塌方、日间照明施工增加费、完工清场后的垃圾外运、地上(地下)设施，建筑物的临时保护设施费和二次加工基地设施费、雨季施工增加费、己完工程及设备保护</w:t>
      </w:r>
      <w:r>
        <w:rPr>
          <w:rFonts w:hint="eastAsia" w:ascii="宋体" w:hAnsi="宋体" w:eastAsia="宋体" w:cs="宋体"/>
          <w:snapToGrid w:val="0"/>
          <w:color w:val="auto"/>
          <w:kern w:val="0"/>
          <w:szCs w:val="28"/>
          <w:highlight w:val="none"/>
        </w:rPr>
        <w:t>等。</w:t>
      </w:r>
      <w:r>
        <w:rPr>
          <w:rFonts w:hint="eastAsia" w:ascii="宋体" w:hAnsi="宋体" w:eastAsia="宋体" w:cs="宋体"/>
          <w:snapToGrid w:val="0"/>
          <w:color w:val="auto"/>
          <w:kern w:val="0"/>
          <w:szCs w:val="28"/>
          <w:highlight w:val="none"/>
          <w:lang w:val="en-US" w:eastAsia="zh-CN"/>
        </w:rPr>
        <w:t>3</w:t>
      </w:r>
      <w:r>
        <w:rPr>
          <w:rFonts w:hint="eastAsia" w:ascii="宋体" w:hAnsi="宋体" w:eastAsia="宋体" w:cs="宋体"/>
          <w:snapToGrid w:val="0"/>
          <w:color w:val="auto"/>
          <w:kern w:val="0"/>
          <w:szCs w:val="28"/>
          <w:highlight w:val="none"/>
        </w:rPr>
        <w:t>.安装</w:t>
      </w:r>
      <w:r>
        <w:rPr>
          <w:rFonts w:hint="eastAsia" w:ascii="宋体" w:hAnsi="宋体" w:cs="宋体"/>
          <w:snapToGrid w:val="0"/>
          <w:color w:val="auto"/>
          <w:kern w:val="0"/>
          <w:szCs w:val="28"/>
          <w:highlight w:val="none"/>
        </w:rPr>
        <w:t>工程预算包干费按分部分项的人工费与施工机具费之和的10%计算，预算包干内容包括：施工雨(污)水的排除、因地形影响造成的场内料具二次运输、20m高以下的工程用水加压措施、施工材料堆放场地的整理、机电安装后的补洞(槽)工料费、工程成品保护费、施工中的临时停水停电、基础埋深2m以内挖土方的塌方、日间照明施工增加费、完工清场后的垃圾</w:t>
      </w:r>
      <w:r>
        <w:rPr>
          <w:rFonts w:hint="eastAsia" w:ascii="宋体" w:hAnsi="宋体" w:eastAsia="宋体" w:cs="宋体"/>
          <w:snapToGrid w:val="0"/>
          <w:color w:val="auto"/>
          <w:kern w:val="0"/>
          <w:szCs w:val="28"/>
          <w:highlight w:val="none"/>
        </w:rPr>
        <w:t>外运等。</w:t>
      </w:r>
      <w:r>
        <w:rPr>
          <w:rFonts w:hint="eastAsia" w:ascii="宋体" w:hAnsi="宋体" w:eastAsia="宋体" w:cs="宋体"/>
          <w:snapToGrid w:val="0"/>
          <w:color w:val="auto"/>
          <w:kern w:val="0"/>
          <w:szCs w:val="28"/>
          <w:highlight w:val="none"/>
          <w:lang w:val="en-US" w:eastAsia="zh-CN"/>
        </w:rPr>
        <w:t>4</w:t>
      </w:r>
      <w:r>
        <w:rPr>
          <w:rFonts w:hint="eastAsia" w:ascii="宋体" w:hAnsi="宋体" w:eastAsia="宋体" w:cs="宋体"/>
          <w:snapToGrid w:val="0"/>
          <w:color w:val="auto"/>
          <w:kern w:val="0"/>
          <w:szCs w:val="28"/>
          <w:highlight w:val="none"/>
        </w:rPr>
        <w:t>.园林绿化工程预算包干费按分部分项的人工费与施工机具费之和的 6.00%计算，预算包干内容一般包括施工雨（污）水的排除；场内料具二次运输；树穴内的泥浆清除；工程用水加压措施；施工材料堆放场地的整理；工程成品的保护；施工中的临时停水停电；日间施工照明增加费；完工后的场地清理。对于以上预算包干内容，承包人不得提出额外付款或延长工期等要求。</w:t>
      </w:r>
      <w:r>
        <w:rPr>
          <w:rFonts w:hint="eastAsia" w:ascii="宋体" w:hAnsi="宋体" w:eastAsia="宋体" w:cs="宋体"/>
          <w:snapToGrid w:val="0"/>
          <w:color w:val="auto"/>
          <w:kern w:val="0"/>
          <w:highlight w:val="none"/>
        </w:rPr>
        <w:t>对此类要求，发包人不作任何考虑及答复</w:t>
      </w:r>
      <w:r>
        <w:rPr>
          <w:rFonts w:hint="eastAsia" w:ascii="宋体" w:hAnsi="宋体" w:eastAsia="宋体" w:cs="宋体"/>
          <w:snapToGrid w:val="0"/>
          <w:color w:val="auto"/>
          <w:kern w:val="0"/>
          <w:szCs w:val="28"/>
          <w:highlight w:val="none"/>
        </w:rPr>
        <w:t>。</w:t>
      </w:r>
    </w:p>
    <w:p>
      <w:pPr>
        <w:snapToGrid w:val="0"/>
        <w:ind w:firstLine="602" w:firstLineChars="25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2.3.9</w:t>
      </w:r>
      <w:r>
        <w:rPr>
          <w:rStyle w:val="20"/>
          <w:rFonts w:hint="eastAsia" w:ascii="宋体" w:hAnsi="宋体" w:eastAsia="宋体" w:cs="宋体"/>
          <w:color w:val="auto"/>
          <w:kern w:val="0"/>
          <w:highlight w:val="none"/>
        </w:rPr>
        <w:t xml:space="preserve"> 其余事项（如不可抗力、索赔、现场签证等）的调整原则按照</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有关规定执行。</w:t>
      </w:r>
    </w:p>
    <w:p>
      <w:pPr>
        <w:snapToGrid w:val="0"/>
        <w:ind w:firstLine="602" w:firstLineChars="25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 xml:space="preserve"> 凡将引起合同价款调增的事项，承包人必须于拟实施14天前，将详细的报价书（含拟实施</w:t>
      </w:r>
      <w:r>
        <w:rPr>
          <w:rStyle w:val="20"/>
          <w:rFonts w:hint="eastAsia" w:hAnsi="宋体" w:cs="宋体"/>
          <w:color w:val="auto"/>
          <w:kern w:val="0"/>
          <w:highlight w:val="none"/>
          <w:lang w:eastAsia="zh-CN"/>
        </w:rPr>
        <w:t>工程名称</w:t>
      </w:r>
      <w:r>
        <w:rPr>
          <w:rStyle w:val="20"/>
          <w:rFonts w:hint="eastAsia" w:ascii="宋体" w:hAnsi="宋体" w:eastAsia="宋体" w:cs="宋体"/>
          <w:color w:val="auto"/>
          <w:kern w:val="0"/>
          <w:highlight w:val="none"/>
        </w:rPr>
        <w:t>、变更部位、理由、预计造价等）报监理单位审核和发包人批准后方可实施。</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2.5</w:t>
      </w:r>
      <w:r>
        <w:rPr>
          <w:rStyle w:val="20"/>
          <w:rFonts w:hint="eastAsia" w:ascii="宋体" w:hAnsi="宋体" w:eastAsia="宋体" w:cs="宋体"/>
          <w:color w:val="auto"/>
          <w:kern w:val="0"/>
          <w:highlight w:val="none"/>
        </w:rPr>
        <w:t xml:space="preserve"> 承包人不得以不完全了解现场情况为理由，提出额外付款或延长工期等要求。对此类要求，发包人不作任何考虑及答复。</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2.6</w:t>
      </w:r>
      <w:r>
        <w:rPr>
          <w:rStyle w:val="20"/>
          <w:rFonts w:hint="eastAsia" w:ascii="宋体" w:hAnsi="宋体" w:eastAsia="宋体" w:cs="宋体"/>
          <w:color w:val="auto"/>
          <w:kern w:val="0"/>
          <w:highlight w:val="none"/>
        </w:rPr>
        <w:t xml:space="preserve"> 承包人已标价工程量清单中漏报、错报或少报的清单项目，其价格均视为已经包含在其它清单项目中，竣工结算时不得重新组价和调整。</w:t>
      </w:r>
    </w:p>
    <w:p>
      <w:pPr>
        <w:snapToGrid w:val="0"/>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2.7</w:t>
      </w:r>
      <w:r>
        <w:rPr>
          <w:rStyle w:val="20"/>
          <w:rFonts w:hint="eastAsia" w:ascii="宋体" w:hAnsi="宋体" w:eastAsia="宋体" w:cs="宋体"/>
          <w:color w:val="auto"/>
          <w:kern w:val="0"/>
          <w:highlight w:val="none"/>
        </w:rPr>
        <w:t xml:space="preserve"> 工程完工后，发、承包双方和受其委托具备相应资质的工程造价咨询单位必须按照</w:t>
      </w:r>
      <w:r>
        <w:rPr>
          <w:rFonts w:hint="eastAsia" w:ascii="宋体" w:hAnsi="宋体" w:eastAsia="宋体" w:cs="宋体"/>
          <w:color w:val="auto"/>
          <w:kern w:val="0"/>
          <w:highlight w:val="none"/>
        </w:rPr>
        <w:t>《建设工程工程量清单计价标准》（GB/T 50500-2024）</w:t>
      </w:r>
      <w:r>
        <w:rPr>
          <w:rStyle w:val="20"/>
          <w:rFonts w:hint="eastAsia" w:ascii="宋体" w:hAnsi="宋体" w:eastAsia="宋体" w:cs="宋体"/>
          <w:color w:val="auto"/>
          <w:kern w:val="0"/>
          <w:highlight w:val="none"/>
        </w:rPr>
        <w:t>和国家、省、市的有关规定办理竣工结算。</w:t>
      </w:r>
    </w:p>
    <w:p>
      <w:pPr>
        <w:wordWrap w:val="0"/>
        <w:adjustRightInd w:val="0"/>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2.8</w:t>
      </w:r>
      <w:r>
        <w:rPr>
          <w:rStyle w:val="20"/>
          <w:rFonts w:hint="eastAsia" w:ascii="宋体" w:hAnsi="宋体" w:eastAsia="宋体" w:cs="宋体"/>
          <w:color w:val="auto"/>
          <w:kern w:val="0"/>
          <w:highlight w:val="none"/>
        </w:rPr>
        <w:t xml:space="preserve"> 承包人已标价工程量清单中没有的材料（或工程设备），承包人在使用前必须将材料（或工程设备）样板、材料合格证明（或产品合格证书）、材料（或工程设备）检验报告提交给监理单位和发包人审核。发包人审定并确定价格后，承包人方可采购和使用。如果在交货验收和使用过程中发现货不对板，监理单位和发包人有权拒用，并要求承包人立即进行更换。更换后的材料（或工程设备）应再次进行检查和检验。由此增加的费用和（或）工期延误由承包人承担。</w:t>
      </w:r>
    </w:p>
    <w:p>
      <w:pPr>
        <w:wordWrap w:val="0"/>
        <w:adjustRightInd w:val="0"/>
        <w:snapToGrid w:val="0"/>
        <w:ind w:firstLine="482" w:firstLineChars="200"/>
        <w:rPr>
          <w:rFonts w:hint="eastAsia" w:ascii="宋体" w:hAnsi="宋体" w:eastAsia="宋体" w:cs="宋体"/>
          <w:b/>
          <w:snapToGrid w:val="0"/>
          <w:color w:val="auto"/>
          <w:kern w:val="0"/>
          <w:szCs w:val="28"/>
          <w:highlight w:val="none"/>
        </w:rPr>
      </w:pPr>
      <w:r>
        <w:rPr>
          <w:rFonts w:hint="eastAsia" w:ascii="宋体" w:hAnsi="宋体" w:eastAsia="宋体" w:cs="宋体"/>
          <w:b/>
          <w:bCs/>
          <w:snapToGrid w:val="0"/>
          <w:color w:val="auto"/>
          <w:kern w:val="0"/>
          <w:highlight w:val="none"/>
        </w:rPr>
        <w:t>2.9</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的结算原则：暂列金</w:t>
      </w:r>
      <w:r>
        <w:rPr>
          <w:rFonts w:hint="eastAsia" w:hAnsi="宋体" w:eastAsia="宋体" w:cs="宋体"/>
          <w:snapToGrid w:val="0"/>
          <w:color w:val="auto"/>
          <w:kern w:val="0"/>
          <w:highlight w:val="none"/>
          <w:lang w:val="en-US" w:eastAsia="zh-CN"/>
        </w:rPr>
        <w:t>额</w:t>
      </w:r>
      <w:r>
        <w:rPr>
          <w:rFonts w:hint="eastAsia" w:ascii="宋体" w:hAnsi="宋体" w:eastAsia="宋体" w:cs="宋体"/>
          <w:b/>
          <w:snapToGrid w:val="0"/>
          <w:color w:val="auto"/>
          <w:kern w:val="0"/>
          <w:highlight w:val="none"/>
        </w:rPr>
        <w:t>由发包人掌握使用。</w:t>
      </w:r>
      <w:r>
        <w:rPr>
          <w:rFonts w:hint="eastAsia" w:ascii="宋体" w:hAnsi="宋体" w:eastAsia="宋体" w:cs="宋体"/>
          <w:snapToGrid w:val="0"/>
          <w:color w:val="auto"/>
          <w:kern w:val="0"/>
          <w:highlight w:val="none"/>
        </w:rPr>
        <w:t>工程合同履行期间，由于发包人的要求（注：必须要有发包人的书面通知）导致发生设计变更或合同约定调整因素出现时的工程价款调整以及发生的索赔、现场签证等，其工程量按实调整，其造价调整按本章“2.工程结算原则”有关条款进行调整。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如有余额归发包人。暂列金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用于以下情形：（1）施工中可能发生的工程变更、合同约定调整因素出现时的工程价款调整以及发生的索赔、现场签证确认等的费用。（2）国家政策性人工价差调整；（3）当合同履行期间，因人工、材料、工程设备、机械台班价格波动影响合同价款时，引起工程所在地工程造价管理机构发布的价格信息中材料、工程设备价格（指钢材、商品砼、水泥、砂、石等主要材料及工程设备）变化超过5%或施工机械使用费变化超过10%时，招标人或中标人材料价格可调整5%以外的部分、施工机械使用费可调整10%以外的部分。（4）施工合同签订时尚未确定或者不可预见的所需材料、设备、服务的采购。（5）本章第</w:t>
      </w:r>
      <w:r>
        <w:rPr>
          <w:rStyle w:val="20"/>
          <w:rFonts w:hint="eastAsia" w:ascii="宋体" w:hAnsi="宋体" w:eastAsia="宋体" w:cs="宋体"/>
          <w:bCs/>
          <w:color w:val="auto"/>
          <w:kern w:val="0"/>
          <w:highlight w:val="none"/>
        </w:rPr>
        <w:t>2.3.7.2条规定的情形。</w:t>
      </w:r>
      <w:r>
        <w:rPr>
          <w:rFonts w:hint="eastAsia" w:ascii="宋体" w:hAnsi="宋体" w:eastAsia="宋体" w:cs="宋体"/>
          <w:snapToGrid w:val="0"/>
          <w:color w:val="auto"/>
          <w:kern w:val="0"/>
          <w:highlight w:val="none"/>
        </w:rPr>
        <w:t>结算时按实际发生根据本章“2.工程结算原则”有关条款进行结算。</w:t>
      </w:r>
      <w:r>
        <w:rPr>
          <w:rFonts w:hint="eastAsia" w:ascii="宋体" w:hAnsi="宋体" w:eastAsia="宋体" w:cs="宋体"/>
          <w:b/>
          <w:snapToGrid w:val="0"/>
          <w:color w:val="auto"/>
          <w:kern w:val="0"/>
          <w:szCs w:val="28"/>
          <w:highlight w:val="none"/>
        </w:rPr>
        <w:t>不发生时不计入结算总价。</w:t>
      </w:r>
    </w:p>
    <w:p>
      <w:pPr>
        <w:wordWrap w:val="0"/>
        <w:adjustRightInd w:val="0"/>
        <w:snapToGrid w:val="0"/>
        <w:ind w:firstLine="480" w:firstLineChars="200"/>
        <w:rPr>
          <w:rFonts w:hint="eastAsia"/>
          <w:color w:val="auto"/>
          <w:highlight w:val="none"/>
        </w:rPr>
      </w:pPr>
      <w:r>
        <w:rPr>
          <w:rStyle w:val="20"/>
          <w:rFonts w:hint="eastAsia" w:hAnsi="宋体"/>
          <w:color w:val="auto"/>
          <w:kern w:val="0"/>
          <w:highlight w:val="none"/>
        </w:rPr>
        <w:t>以上暂列金</w:t>
      </w:r>
      <w:r>
        <w:rPr>
          <w:rStyle w:val="20"/>
          <w:rFonts w:hint="eastAsia" w:hAnsi="宋体"/>
          <w:color w:val="auto"/>
          <w:kern w:val="0"/>
          <w:highlight w:val="none"/>
          <w:lang w:val="en-US" w:eastAsia="zh-CN"/>
        </w:rPr>
        <w:t>额</w:t>
      </w:r>
      <w:r>
        <w:rPr>
          <w:rStyle w:val="20"/>
          <w:rFonts w:hint="eastAsia" w:hAnsi="宋体"/>
          <w:color w:val="auto"/>
          <w:kern w:val="0"/>
          <w:highlight w:val="none"/>
        </w:rPr>
        <w:t>使用情形中，如属于南雄市人民政府办公室《关于加强市本级政府投资项目财政投资评审监督管理的实施意见》（雄府办函﹝2023﹞5号）规定的纳入工程变更范畴的，须按照南雄市人民政府办公室《关于加强市本级政府投资项目财政投资评审监督管理的实施意见》（雄府办函﹝2023﹞5号）</w:t>
      </w:r>
      <w:r>
        <w:rPr>
          <w:rFonts w:hint="eastAsia" w:hAnsi="宋体"/>
          <w:color w:val="auto"/>
          <w:highlight w:val="none"/>
        </w:rPr>
        <w:t>的规定执行。</w:t>
      </w:r>
    </w:p>
    <w:p>
      <w:pPr>
        <w:pStyle w:val="24"/>
        <w:snapToGrid w:val="0"/>
        <w:ind w:firstLine="480"/>
        <w:jc w:val="both"/>
        <w:outlineLvl w:val="1"/>
        <w:rPr>
          <w:rStyle w:val="20"/>
          <w:rFonts w:hint="eastAsia" w:ascii="宋体" w:hAnsi="宋体" w:eastAsia="宋体" w:cs="宋体"/>
          <w:b/>
          <w:bCs/>
          <w:color w:val="auto"/>
          <w:highlight w:val="none"/>
        </w:rPr>
      </w:pPr>
      <w:bookmarkStart w:id="284" w:name="_Toc23669"/>
      <w:bookmarkStart w:id="285" w:name="_Toc14683"/>
      <w:bookmarkStart w:id="286" w:name="_Toc10867"/>
      <w:bookmarkStart w:id="287" w:name="_Toc10938"/>
      <w:bookmarkStart w:id="288" w:name="_Toc3686"/>
      <w:bookmarkStart w:id="289" w:name="_Toc9441"/>
      <w:bookmarkStart w:id="290" w:name="_Toc11925"/>
      <w:bookmarkStart w:id="291" w:name="_Toc5071"/>
      <w:bookmarkStart w:id="292" w:name="_Toc15011"/>
      <w:bookmarkStart w:id="293" w:name="_Toc9554"/>
      <w:r>
        <w:rPr>
          <w:rStyle w:val="20"/>
          <w:rFonts w:hint="eastAsia" w:ascii="宋体" w:hAnsi="宋体" w:eastAsia="宋体" w:cs="宋体"/>
          <w:b/>
          <w:bCs/>
          <w:color w:val="auto"/>
          <w:highlight w:val="none"/>
        </w:rPr>
        <w:t>3. 工程付款办法</w:t>
      </w:r>
      <w:bookmarkEnd w:id="284"/>
      <w:bookmarkEnd w:id="285"/>
      <w:bookmarkEnd w:id="286"/>
      <w:bookmarkEnd w:id="287"/>
      <w:bookmarkEnd w:id="288"/>
      <w:bookmarkEnd w:id="289"/>
      <w:bookmarkEnd w:id="290"/>
      <w:bookmarkEnd w:id="291"/>
      <w:bookmarkEnd w:id="292"/>
      <w:bookmarkEnd w:id="293"/>
    </w:p>
    <w:p>
      <w:pPr>
        <w:ind w:firstLine="472" w:firstLineChars="196"/>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3.1</w:t>
      </w:r>
      <w:r>
        <w:rPr>
          <w:rStyle w:val="20"/>
          <w:rFonts w:hint="eastAsia" w:ascii="宋体" w:hAnsi="宋体" w:eastAsia="宋体" w:cs="宋体"/>
          <w:color w:val="auto"/>
          <w:kern w:val="1"/>
          <w:highlight w:val="none"/>
        </w:rPr>
        <w:t>本项目</w:t>
      </w:r>
      <w:r>
        <w:rPr>
          <w:rStyle w:val="20"/>
          <w:rFonts w:hint="eastAsia" w:ascii="宋体" w:hAnsi="宋体" w:eastAsia="宋体" w:cs="宋体"/>
          <w:color w:val="auto"/>
          <w:kern w:val="1"/>
          <w:highlight w:val="none"/>
          <w:u w:val="single"/>
        </w:rPr>
        <w:t>支付</w:t>
      </w:r>
      <w:r>
        <w:rPr>
          <w:rStyle w:val="20"/>
          <w:rFonts w:hint="eastAsia" w:ascii="宋体" w:hAnsi="宋体" w:eastAsia="宋体" w:cs="宋体"/>
          <w:color w:val="auto"/>
          <w:kern w:val="1"/>
          <w:highlight w:val="none"/>
        </w:rPr>
        <w:t>施工预付款。</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1"/>
          <w:highlight w:val="none"/>
        </w:rPr>
        <w:t xml:space="preserve">3.2 </w:t>
      </w:r>
      <w:r>
        <w:rPr>
          <w:rStyle w:val="20"/>
          <w:rFonts w:hint="eastAsia" w:ascii="宋体" w:hAnsi="宋体" w:eastAsia="宋体" w:cs="宋体"/>
          <w:color w:val="auto"/>
          <w:kern w:val="0"/>
          <w:highlight w:val="none"/>
        </w:rPr>
        <w:t>施工预付款必须专用于合同工程，并按以下原则支付和抵扣：</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3.2.1</w:t>
      </w:r>
      <w:r>
        <w:rPr>
          <w:rStyle w:val="20"/>
          <w:rFonts w:hint="eastAsia" w:ascii="宋体" w:hAnsi="宋体" w:eastAsia="宋体" w:cs="宋体"/>
          <w:color w:val="auto"/>
          <w:kern w:val="0"/>
          <w:highlight w:val="none"/>
        </w:rPr>
        <w:t xml:space="preserve"> 施工预付款支付比例为：按施工合同价</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snapToGrid w:val="0"/>
          <w:color w:val="auto"/>
          <w:kern w:val="0"/>
          <w:highlight w:val="none"/>
        </w:rPr>
        <w:t>除外）</w:t>
      </w:r>
      <w:r>
        <w:rPr>
          <w:rStyle w:val="20"/>
          <w:rFonts w:hint="eastAsia" w:ascii="宋体" w:hAnsi="宋体" w:eastAsia="宋体" w:cs="宋体"/>
          <w:color w:val="auto"/>
          <w:kern w:val="0"/>
          <w:highlight w:val="none"/>
        </w:rPr>
        <w:t>的</w:t>
      </w:r>
      <w:r>
        <w:rPr>
          <w:rStyle w:val="20"/>
          <w:rFonts w:hint="eastAsia" w:hAnsi="宋体" w:cs="宋体"/>
          <w:color w:val="auto"/>
          <w:kern w:val="0"/>
          <w:highlight w:val="none"/>
          <w:u w:val="single"/>
          <w:lang w:val="en-US" w:eastAsia="zh-CN"/>
        </w:rPr>
        <w:t>3</w:t>
      </w:r>
      <w:r>
        <w:rPr>
          <w:rStyle w:val="20"/>
          <w:rFonts w:hint="eastAsia" w:ascii="宋体" w:hAnsi="宋体" w:eastAsia="宋体" w:cs="宋体"/>
          <w:color w:val="auto"/>
          <w:kern w:val="0"/>
          <w:highlight w:val="none"/>
          <w:u w:val="single"/>
        </w:rPr>
        <w:t>0%</w:t>
      </w:r>
      <w:r>
        <w:rPr>
          <w:rStyle w:val="20"/>
          <w:rFonts w:hint="eastAsia" w:ascii="宋体" w:hAnsi="宋体" w:eastAsia="宋体" w:cs="宋体"/>
          <w:color w:val="auto"/>
          <w:kern w:val="0"/>
          <w:highlight w:val="none"/>
        </w:rPr>
        <w:t>支付。施工预付款中包含工人工资预付款，其中工人工资预付款比例为施工合同价（暂列金</w:t>
      </w:r>
      <w:r>
        <w:rPr>
          <w:rStyle w:val="20"/>
          <w:rFonts w:hint="eastAsia" w:ascii="宋体" w:hAnsi="宋体" w:eastAsia="宋体" w:cs="宋体"/>
          <w:color w:val="auto"/>
          <w:kern w:val="0"/>
          <w:highlight w:val="none"/>
          <w:lang w:val="en-US" w:eastAsia="zh-CN"/>
        </w:rPr>
        <w:t>额</w:t>
      </w:r>
      <w:r>
        <w:rPr>
          <w:rStyle w:val="20"/>
          <w:rFonts w:hint="eastAsia" w:ascii="宋体" w:hAnsi="宋体" w:eastAsia="宋体" w:cs="宋体"/>
          <w:color w:val="auto"/>
          <w:kern w:val="0"/>
          <w:highlight w:val="none"/>
        </w:rPr>
        <w:t>除外）的</w:t>
      </w:r>
      <w:r>
        <w:rPr>
          <w:rStyle w:val="20"/>
          <w:rFonts w:hint="eastAsia" w:hAnsi="宋体" w:cs="宋体"/>
          <w:color w:val="auto"/>
          <w:kern w:val="0"/>
          <w:highlight w:val="none"/>
          <w:lang w:val="en-US" w:eastAsia="zh-CN"/>
        </w:rPr>
        <w:t>5</w:t>
      </w:r>
      <w:r>
        <w:rPr>
          <w:rStyle w:val="20"/>
          <w:rFonts w:hint="eastAsia" w:ascii="宋体" w:hAnsi="宋体" w:eastAsia="宋体" w:cs="宋体"/>
          <w:color w:val="auto"/>
          <w:kern w:val="0"/>
          <w:highlight w:val="none"/>
        </w:rPr>
        <w:t>%。</w:t>
      </w:r>
    </w:p>
    <w:p>
      <w:pPr>
        <w:snapToGrid w:val="0"/>
        <w:ind w:firstLine="482" w:firstLineChars="20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3.2.2</w:t>
      </w:r>
      <w:r>
        <w:rPr>
          <w:rStyle w:val="20"/>
          <w:rFonts w:hint="eastAsia" w:ascii="宋体" w:hAnsi="宋体" w:eastAsia="宋体" w:cs="宋体"/>
          <w:color w:val="auto"/>
          <w:kern w:val="0"/>
          <w:highlight w:val="none"/>
        </w:rPr>
        <w:t xml:space="preserve"> 本项目</w:t>
      </w:r>
      <w:r>
        <w:rPr>
          <w:rStyle w:val="20"/>
          <w:rFonts w:hint="eastAsia" w:ascii="宋体" w:hAnsi="宋体" w:eastAsia="宋体" w:cs="宋体"/>
          <w:color w:val="auto"/>
          <w:kern w:val="0"/>
          <w:highlight w:val="none"/>
          <w:u w:val="single"/>
        </w:rPr>
        <w:t>要求</w:t>
      </w:r>
      <w:r>
        <w:rPr>
          <w:rStyle w:val="20"/>
          <w:rFonts w:hint="eastAsia" w:ascii="宋体" w:hAnsi="宋体" w:eastAsia="宋体" w:cs="宋体"/>
          <w:color w:val="auto"/>
          <w:kern w:val="0"/>
          <w:highlight w:val="none"/>
        </w:rPr>
        <w:t>承包人提供与预付款等额的预付款保函</w:t>
      </w:r>
      <w:r>
        <w:rPr>
          <w:rFonts w:hint="eastAsia" w:ascii="宋体" w:hAnsi="宋体" w:eastAsia="宋体" w:cs="宋体"/>
          <w:snapToGrid w:val="0"/>
          <w:color w:val="auto"/>
          <w:kern w:val="0"/>
          <w:highlight w:val="none"/>
        </w:rPr>
        <w:t>（预付款银行保函须按发包人提供的格式，详见附件一：预付款保函），</w:t>
      </w:r>
      <w:r>
        <w:rPr>
          <w:rFonts w:hint="eastAsia" w:ascii="宋体" w:hAnsi="宋体" w:eastAsia="宋体" w:cs="宋体"/>
          <w:b/>
          <w:snapToGrid w:val="0"/>
          <w:color w:val="auto"/>
          <w:kern w:val="0"/>
          <w:highlight w:val="none"/>
        </w:rPr>
        <w:t>且本工程预付款保函期限原则上不少于6个月，承包人的预付款保函有效期应保证在扣回预付款前有效，未扣回预付款但保函过期的，承包人应重新开具预付款保函。</w:t>
      </w:r>
    </w:p>
    <w:p>
      <w:pPr>
        <w:snapToGrid w:val="0"/>
        <w:ind w:firstLine="482" w:firstLineChars="200"/>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highlight w:val="none"/>
        </w:rPr>
        <w:t>3.2.3</w:t>
      </w:r>
      <w:r>
        <w:rPr>
          <w:rStyle w:val="20"/>
          <w:rFonts w:hint="eastAsia" w:ascii="宋体" w:hAnsi="宋体" w:eastAsia="宋体" w:cs="宋体"/>
          <w:color w:val="auto"/>
          <w:kern w:val="0"/>
          <w:highlight w:val="none"/>
        </w:rPr>
        <w:t xml:space="preserve"> 承包人应在签订合同后，</w:t>
      </w:r>
      <w:r>
        <w:rPr>
          <w:rFonts w:hint="eastAsia" w:ascii="宋体" w:hAnsi="宋体" w:eastAsia="宋体" w:cs="宋体"/>
          <w:bCs/>
          <w:snapToGrid w:val="0"/>
          <w:color w:val="auto"/>
          <w:highlight w:val="none"/>
        </w:rPr>
        <w:t>在提供符合要求的预付款保函及</w:t>
      </w:r>
      <w:r>
        <w:rPr>
          <w:rFonts w:hint="eastAsia" w:ascii="宋体" w:hAnsi="宋体" w:eastAsia="宋体" w:cs="宋体"/>
          <w:snapToGrid w:val="0"/>
          <w:color w:val="auto"/>
          <w:kern w:val="0"/>
          <w:highlight w:val="none"/>
        </w:rPr>
        <w:t>在具备施工条件的前提下，</w:t>
      </w:r>
      <w:r>
        <w:rPr>
          <w:rStyle w:val="20"/>
          <w:rFonts w:hint="eastAsia" w:ascii="宋体" w:hAnsi="宋体" w:eastAsia="宋体" w:cs="宋体"/>
          <w:color w:val="auto"/>
          <w:kern w:val="0"/>
          <w:highlight w:val="none"/>
        </w:rPr>
        <w:t>向发包人提交预付款支付申请。发包人应对在收到支付申请的7天内进行核实后</w:t>
      </w:r>
      <w:r>
        <w:rPr>
          <w:rFonts w:hint="eastAsia" w:ascii="宋体" w:hAnsi="宋体" w:eastAsia="宋体" w:cs="宋体"/>
          <w:snapToGrid w:val="0"/>
          <w:color w:val="auto"/>
          <w:kern w:val="0"/>
          <w:highlight w:val="none"/>
        </w:rPr>
        <w:t>，按程序向财政部门申请一次性支付预付款</w:t>
      </w:r>
      <w:r>
        <w:rPr>
          <w:rStyle w:val="20"/>
          <w:rFonts w:hint="eastAsia" w:ascii="宋体" w:hAnsi="宋体" w:eastAsia="宋体" w:cs="宋体"/>
          <w:color w:val="auto"/>
          <w:kern w:val="0"/>
          <w:highlight w:val="none"/>
        </w:rPr>
        <w:t>（</w:t>
      </w:r>
      <w:r>
        <w:rPr>
          <w:rStyle w:val="20"/>
          <w:rFonts w:hint="eastAsia" w:ascii="宋体" w:hAnsi="宋体" w:eastAsia="宋体" w:cs="宋体"/>
          <w:color w:val="auto"/>
          <w:kern w:val="0"/>
          <w:highlight w:val="none"/>
          <w:lang w:val="en-US" w:eastAsia="zh-CN"/>
        </w:rPr>
        <w:t>其中</w:t>
      </w:r>
      <w:r>
        <w:rPr>
          <w:rStyle w:val="20"/>
          <w:rFonts w:hint="eastAsia" w:ascii="宋体" w:hAnsi="宋体" w:eastAsia="宋体" w:cs="宋体"/>
          <w:color w:val="auto"/>
          <w:kern w:val="0"/>
          <w:highlight w:val="none"/>
        </w:rPr>
        <w:t>工人工资预付款单独支付至工人工资专用账户）。</w:t>
      </w:r>
      <w:r>
        <w:rPr>
          <w:rFonts w:hint="eastAsia" w:ascii="宋体" w:hAnsi="宋体" w:eastAsia="宋体" w:cs="宋体"/>
          <w:b/>
          <w:snapToGrid w:val="0"/>
          <w:color w:val="auto"/>
          <w:kern w:val="0"/>
          <w:highlight w:val="none"/>
        </w:rPr>
        <w:t>凡未签订合同、未提供预付款保函或不具备施工条件的工程，发包人不预付工程款</w:t>
      </w:r>
      <w:r>
        <w:rPr>
          <w:rStyle w:val="20"/>
          <w:rFonts w:hint="eastAsia" w:ascii="宋体" w:hAnsi="宋体" w:eastAsia="宋体" w:cs="宋体"/>
          <w:b/>
          <w:bCs/>
          <w:color w:val="auto"/>
          <w:kern w:val="0"/>
          <w:highlight w:val="none"/>
        </w:rPr>
        <w:t>。</w:t>
      </w:r>
    </w:p>
    <w:p>
      <w:pPr>
        <w:pStyle w:val="22"/>
        <w:spacing w:line="360" w:lineRule="auto"/>
        <w:ind w:firstLine="482" w:firstLineChars="200"/>
        <w:rPr>
          <w:rStyle w:val="20"/>
          <w:rFonts w:hint="eastAsia" w:ascii="宋体" w:hAnsi="宋体" w:eastAsia="宋体" w:cs="宋体"/>
          <w:color w:val="auto"/>
          <w:highlight w:val="none"/>
        </w:rPr>
      </w:pPr>
      <w:r>
        <w:rPr>
          <w:rStyle w:val="20"/>
          <w:rFonts w:hint="eastAsia" w:ascii="宋体" w:hAnsi="宋体" w:eastAsia="宋体" w:cs="宋体"/>
          <w:b/>
          <w:bCs/>
          <w:color w:val="auto"/>
          <w:highlight w:val="none"/>
        </w:rPr>
        <w:t>3.2.4</w:t>
      </w:r>
      <w:r>
        <w:rPr>
          <w:rStyle w:val="20"/>
          <w:rFonts w:hint="eastAsia" w:ascii="宋体" w:hAnsi="宋体" w:eastAsia="宋体" w:cs="宋体"/>
          <w:color w:val="auto"/>
          <w:highlight w:val="none"/>
        </w:rPr>
        <w:t xml:space="preserve"> 施工预付款应从每支付期应支付给承包人的工程进度款中扣回，</w:t>
      </w:r>
      <w:r>
        <w:rPr>
          <w:rFonts w:hint="eastAsia" w:ascii="宋体" w:hAnsi="宋体" w:eastAsia="宋体" w:cs="宋体"/>
          <w:bCs/>
          <w:snapToGrid w:val="0"/>
          <w:color w:val="auto"/>
          <w:highlight w:val="none"/>
        </w:rPr>
        <w:t>扣回比例为每支付期的工程进度款的50%，</w:t>
      </w:r>
      <w:r>
        <w:rPr>
          <w:rStyle w:val="20"/>
          <w:rFonts w:hint="eastAsia" w:ascii="宋体" w:hAnsi="宋体" w:eastAsia="宋体" w:cs="宋体"/>
          <w:color w:val="auto"/>
          <w:highlight w:val="none"/>
        </w:rPr>
        <w:t>直到扣回的金额达到合同约定的预付款金额为止。</w:t>
      </w:r>
    </w:p>
    <w:p>
      <w:pPr>
        <w:pStyle w:val="22"/>
        <w:spacing w:line="360" w:lineRule="auto"/>
        <w:ind w:firstLine="482" w:firstLineChars="200"/>
        <w:rPr>
          <w:rFonts w:hint="eastAsia" w:ascii="宋体" w:hAnsi="宋体" w:eastAsia="宋体" w:cs="宋体"/>
          <w:strike/>
          <w:snapToGrid w:val="0"/>
          <w:color w:val="auto"/>
          <w:highlight w:val="none"/>
        </w:rPr>
      </w:pPr>
      <w:r>
        <w:rPr>
          <w:rFonts w:hint="eastAsia" w:ascii="宋体" w:hAnsi="宋体" w:eastAsia="宋体" w:cs="宋体"/>
          <w:b/>
          <w:bCs/>
          <w:snapToGrid w:val="0"/>
          <w:color w:val="auto"/>
          <w:highlight w:val="none"/>
        </w:rPr>
        <w:t>3.3</w:t>
      </w:r>
      <w:r>
        <w:rPr>
          <w:rFonts w:hint="eastAsia" w:ascii="宋体" w:hAnsi="宋体" w:eastAsia="宋体" w:cs="宋体"/>
          <w:snapToGrid w:val="0"/>
          <w:color w:val="auto"/>
          <w:highlight w:val="none"/>
        </w:rPr>
        <w:t xml:space="preserve"> 施工过程中按月支付工程进度款：</w:t>
      </w:r>
    </w:p>
    <w:p>
      <w:pPr>
        <w:pStyle w:val="22"/>
        <w:spacing w:line="360" w:lineRule="auto"/>
        <w:ind w:firstLine="480" w:firstLineChars="200"/>
        <w:rPr>
          <w:rStyle w:val="20"/>
          <w:rFonts w:hint="eastAsia" w:ascii="宋体" w:hAnsi="宋体" w:eastAsia="宋体" w:cs="宋体"/>
          <w:strike/>
          <w:color w:val="auto"/>
          <w:highlight w:val="none"/>
        </w:rPr>
      </w:pPr>
      <w:r>
        <w:rPr>
          <w:rFonts w:hint="eastAsia" w:ascii="宋体" w:hAnsi="宋体" w:eastAsia="宋体" w:cs="宋体"/>
          <w:color w:val="auto"/>
          <w:highlight w:val="none"/>
        </w:rPr>
        <w:t>承包人每月按</w:t>
      </w:r>
      <w:r>
        <w:rPr>
          <w:rFonts w:hint="eastAsia" w:ascii="宋体" w:hAnsi="宋体" w:eastAsia="宋体" w:cs="宋体"/>
          <w:color w:val="auto"/>
          <w:szCs w:val="22"/>
          <w:highlight w:val="none"/>
        </w:rPr>
        <w:t>工程形象进度申</w:t>
      </w:r>
      <w:r>
        <w:rPr>
          <w:rFonts w:hint="eastAsia" w:ascii="宋体" w:hAnsi="宋体" w:eastAsia="宋体" w:cs="宋体"/>
          <w:color w:val="auto"/>
          <w:highlight w:val="none"/>
        </w:rPr>
        <w:t>报，截止日为当月26日，形象进度和</w:t>
      </w:r>
      <w:r>
        <w:rPr>
          <w:rFonts w:hint="eastAsia" w:ascii="宋体" w:hAnsi="宋体" w:eastAsia="宋体" w:cs="宋体"/>
          <w:snapToGrid w:val="0"/>
          <w:color w:val="auto"/>
          <w:highlight w:val="none"/>
        </w:rPr>
        <w:t>《工程付款申请书》</w:t>
      </w:r>
      <w:r>
        <w:rPr>
          <w:rFonts w:hint="eastAsia" w:ascii="宋体" w:hAnsi="宋体" w:eastAsia="宋体" w:cs="宋体"/>
          <w:color w:val="auto"/>
          <w:highlight w:val="none"/>
        </w:rPr>
        <w:t>由监理单位核实确认，经</w:t>
      </w:r>
      <w:r>
        <w:rPr>
          <w:rFonts w:hint="eastAsia" w:ascii="宋体" w:hAnsi="宋体" w:eastAsia="宋体" w:cs="宋体"/>
          <w:snapToGrid w:val="0"/>
          <w:color w:val="auto"/>
          <w:highlight w:val="none"/>
        </w:rPr>
        <w:t>造价咨询单位审核，</w:t>
      </w:r>
      <w:r>
        <w:rPr>
          <w:rFonts w:hint="eastAsia" w:ascii="宋体" w:hAnsi="宋体" w:eastAsia="宋体" w:cs="宋体"/>
          <w:color w:val="auto"/>
          <w:highlight w:val="none"/>
        </w:rPr>
        <w:t>再经发包人审核确认后于申报工程进度款的次月支付。</w:t>
      </w:r>
    </w:p>
    <w:p>
      <w:pPr>
        <w:pStyle w:val="22"/>
        <w:spacing w:line="360" w:lineRule="auto"/>
        <w:ind w:firstLine="482" w:firstLineChars="200"/>
        <w:rPr>
          <w:rFonts w:hint="eastAsia" w:ascii="宋体" w:hAnsi="宋体" w:eastAsia="宋体" w:cs="宋体"/>
          <w:color w:val="auto"/>
          <w:highlight w:val="none"/>
          <w:lang w:eastAsia="zh-CN"/>
        </w:rPr>
      </w:pPr>
      <w:r>
        <w:rPr>
          <w:rStyle w:val="20"/>
          <w:rFonts w:hint="eastAsia" w:ascii="宋体" w:hAnsi="宋体" w:eastAsia="宋体" w:cs="宋体"/>
          <w:b/>
          <w:bCs/>
          <w:color w:val="auto"/>
          <w:kern w:val="1"/>
          <w:highlight w:val="none"/>
        </w:rPr>
        <w:t xml:space="preserve">3.4 </w:t>
      </w:r>
      <w:r>
        <w:rPr>
          <w:rFonts w:hint="eastAsia" w:ascii="宋体" w:hAnsi="宋体" w:eastAsia="宋体" w:cs="宋体"/>
          <w:snapToGrid w:val="0"/>
          <w:color w:val="auto"/>
          <w:highlight w:val="none"/>
        </w:rPr>
        <w:t>每月的工程进度款按应付金额的80％支付，</w:t>
      </w:r>
      <w:r>
        <w:rPr>
          <w:rFonts w:hint="eastAsia" w:hAnsi="宋体" w:cs="宋体"/>
          <w:snapToGrid w:val="0"/>
          <w:color w:val="auto"/>
          <w:highlight w:val="none"/>
          <w:lang w:val="en-US" w:eastAsia="zh-CN"/>
        </w:rPr>
        <w:t>其中</w:t>
      </w:r>
      <w:r>
        <w:rPr>
          <w:rFonts w:hint="eastAsia" w:ascii="宋体" w:hAnsi="宋体" w:eastAsia="宋体" w:cs="宋体"/>
          <w:snapToGrid w:val="0"/>
          <w:color w:val="auto"/>
          <w:highlight w:val="none"/>
        </w:rPr>
        <w:t>工程进度款中的作业工人工资款</w:t>
      </w:r>
      <w:r>
        <w:rPr>
          <w:rFonts w:hint="eastAsia" w:hAnsi="宋体" w:cs="宋体"/>
          <w:snapToGrid w:val="0"/>
          <w:color w:val="auto"/>
          <w:highlight w:val="none"/>
          <w:lang w:val="en-US" w:eastAsia="zh-CN"/>
        </w:rPr>
        <w:t>全额支付</w:t>
      </w:r>
      <w:r>
        <w:rPr>
          <w:rFonts w:hint="eastAsia" w:ascii="宋体" w:hAnsi="宋体" w:eastAsia="宋体" w:cs="宋体"/>
          <w:snapToGrid w:val="0"/>
          <w:color w:val="auto"/>
          <w:highlight w:val="none"/>
        </w:rPr>
        <w:t>，具体工人工资拨付金额以该月实际审核确认的为准，由发包人将该月审核确认后的作业工人工资款项单独足额拨付到承包人的工资专户。</w:t>
      </w:r>
    </w:p>
    <w:p>
      <w:pPr>
        <w:ind w:firstLine="482" w:firstLineChars="200"/>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 xml:space="preserve">3.5 </w:t>
      </w:r>
      <w:r>
        <w:rPr>
          <w:rFonts w:hint="eastAsia" w:ascii="宋体" w:hAnsi="宋体" w:eastAsia="宋体" w:cs="宋体"/>
          <w:snapToGrid w:val="0"/>
          <w:color w:val="auto"/>
          <w:kern w:val="0"/>
          <w:highlight w:val="none"/>
        </w:rPr>
        <w:t>措施项目费中的“</w:t>
      </w:r>
      <w:r>
        <w:rPr>
          <w:rFonts w:hint="eastAsia" w:hAnsi="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”拨付按照《广东省建设工程计价依据（2018）》执行，按照</w:t>
      </w:r>
      <w:r>
        <w:rPr>
          <w:rFonts w:hint="eastAsia" w:ascii="宋体" w:hAnsi="宋体" w:eastAsia="宋体" w:cs="宋体"/>
          <w:color w:val="auto"/>
          <w:highlight w:val="none"/>
        </w:rPr>
        <w:t>韶关市住房和城乡建设管理局《关于明确建筑工程安全防护、文明施工措施费用具体管理办法的通知》韶市建字〔2015〕26号文的</w:t>
      </w:r>
      <w:r>
        <w:rPr>
          <w:rFonts w:hint="eastAsia" w:ascii="宋体" w:hAnsi="宋体" w:eastAsia="宋体" w:cs="宋体"/>
          <w:snapToGrid w:val="0"/>
          <w:color w:val="auto"/>
          <w:kern w:val="0"/>
          <w:highlight w:val="none"/>
        </w:rPr>
        <w:t>有关规定支付。发生一般事故及以上等级重大安全事故的，发包人可扣除承包人金额相当于所有“</w:t>
      </w:r>
      <w:r>
        <w:rPr>
          <w:rFonts w:hint="eastAsia" w:hAnsi="宋体" w:cs="宋体"/>
          <w:snapToGrid w:val="0"/>
          <w:color w:val="auto"/>
          <w:kern w:val="0"/>
          <w:highlight w:val="none"/>
          <w:lang w:eastAsia="zh-CN"/>
        </w:rPr>
        <w:t>安全生产措施费</w:t>
      </w:r>
      <w:r>
        <w:rPr>
          <w:rFonts w:hint="eastAsia" w:ascii="宋体" w:hAnsi="宋体" w:eastAsia="宋体" w:cs="宋体"/>
          <w:snapToGrid w:val="0"/>
          <w:color w:val="auto"/>
          <w:kern w:val="0"/>
          <w:highlight w:val="none"/>
        </w:rPr>
        <w:t>”的工程管理费。</w:t>
      </w:r>
    </w:p>
    <w:p>
      <w:pPr>
        <w:ind w:firstLine="482" w:firstLineChars="200"/>
        <w:rPr>
          <w:rStyle w:val="20"/>
          <w:rFonts w:hint="eastAsia" w:ascii="宋体" w:hAnsi="宋体" w:eastAsia="宋体" w:cs="宋体"/>
          <w:color w:val="auto"/>
          <w:kern w:val="1"/>
          <w:highlight w:val="none"/>
        </w:rPr>
      </w:pPr>
      <w:r>
        <w:rPr>
          <w:rStyle w:val="20"/>
          <w:rFonts w:hint="eastAsia" w:ascii="宋体" w:hAnsi="宋体" w:eastAsia="宋体" w:cs="宋体"/>
          <w:b/>
          <w:bCs/>
          <w:color w:val="auto"/>
          <w:kern w:val="1"/>
          <w:highlight w:val="none"/>
        </w:rPr>
        <w:t xml:space="preserve">3.6 </w:t>
      </w:r>
      <w:r>
        <w:rPr>
          <w:rStyle w:val="20"/>
          <w:rFonts w:hint="eastAsia" w:ascii="宋体" w:hAnsi="宋体" w:eastAsia="宋体" w:cs="宋体"/>
          <w:color w:val="auto"/>
          <w:kern w:val="0"/>
          <w:highlight w:val="none"/>
        </w:rPr>
        <w:t>变更工程造价必须经监理单位核实</w:t>
      </w:r>
      <w:r>
        <w:rPr>
          <w:rFonts w:hint="eastAsia" w:ascii="宋体" w:hAnsi="宋体" w:eastAsia="宋体" w:cs="宋体"/>
          <w:snapToGrid w:val="0"/>
          <w:color w:val="auto"/>
          <w:kern w:val="0"/>
          <w:highlight w:val="none"/>
        </w:rPr>
        <w:t>及造价咨询单位（如有造价单位）审核</w:t>
      </w:r>
      <w:r>
        <w:rPr>
          <w:rStyle w:val="20"/>
          <w:rFonts w:hint="eastAsia" w:ascii="宋体" w:hAnsi="宋体" w:eastAsia="宋体" w:cs="宋体"/>
          <w:color w:val="auto"/>
          <w:kern w:val="0"/>
          <w:highlight w:val="none"/>
        </w:rPr>
        <w:t>，并经发包人核定后方可支付。</w:t>
      </w:r>
    </w:p>
    <w:p>
      <w:pPr>
        <w:ind w:firstLine="482" w:firstLineChars="200"/>
        <w:rPr>
          <w:rFonts w:hint="eastAsia" w:ascii="宋体" w:hAnsi="宋体" w:eastAsia="宋体" w:cs="宋体"/>
          <w:snapToGrid w:val="0"/>
          <w:color w:val="auto"/>
          <w:kern w:val="0"/>
          <w:highlight w:val="none"/>
        </w:rPr>
      </w:pPr>
      <w:r>
        <w:rPr>
          <w:rStyle w:val="20"/>
          <w:rFonts w:hint="eastAsia" w:ascii="宋体" w:hAnsi="宋体" w:eastAsia="宋体" w:cs="宋体"/>
          <w:b/>
          <w:bCs/>
          <w:color w:val="auto"/>
          <w:kern w:val="1"/>
          <w:highlight w:val="none"/>
        </w:rPr>
        <w:t xml:space="preserve">3.7 </w:t>
      </w:r>
      <w:r>
        <w:rPr>
          <w:rFonts w:hint="eastAsia" w:ascii="宋体" w:hAnsi="宋体" w:eastAsia="宋体" w:cs="宋体"/>
          <w:snapToGrid w:val="0"/>
          <w:color w:val="auto"/>
          <w:kern w:val="0"/>
          <w:highlight w:val="none"/>
        </w:rPr>
        <w:t>结算审核完成后，于次月支付至审定总造价的97%，</w:t>
      </w:r>
      <w:r>
        <w:rPr>
          <w:rFonts w:hint="eastAsia" w:asciiTheme="minorEastAsia" w:hAnsiTheme="minorEastAsia" w:eastAsiaTheme="minorEastAsia" w:cstheme="minorEastAsia"/>
          <w:b w:val="0"/>
          <w:bCs/>
          <w:color w:val="auto"/>
          <w:sz w:val="24"/>
          <w:szCs w:val="24"/>
          <w:highlight w:val="none"/>
          <w:lang w:val="en-US" w:eastAsia="zh-CN"/>
        </w:rPr>
        <w:t>根据</w:t>
      </w:r>
      <w:r>
        <w:rPr>
          <w:rFonts w:asciiTheme="minorEastAsia" w:hAnsiTheme="minorEastAsia" w:eastAsiaTheme="minorEastAsia" w:cstheme="minorEastAsia"/>
          <w:b w:val="0"/>
          <w:bCs/>
          <w:color w:val="auto"/>
          <w:sz w:val="24"/>
          <w:szCs w:val="24"/>
          <w:highlight w:val="none"/>
        </w:rPr>
        <w:t>南雄市人民政府办公室《关于加强市本级政府投资项目财政投资评审监督管理的实施意见》</w:t>
      </w:r>
      <w:r>
        <w:rPr>
          <w:rFonts w:hint="eastAsia" w:asciiTheme="minorEastAsia" w:hAnsiTheme="minorEastAsia" w:eastAsiaTheme="minorEastAsia" w:cstheme="minorEastAsia"/>
          <w:b w:val="0"/>
          <w:bCs/>
          <w:color w:val="auto"/>
          <w:sz w:val="24"/>
          <w:szCs w:val="24"/>
          <w:highlight w:val="none"/>
          <w:lang w:eastAsia="zh-CN"/>
        </w:rPr>
        <w:t>（</w:t>
      </w:r>
      <w:r>
        <w:rPr>
          <w:rFonts w:asciiTheme="minorEastAsia" w:hAnsiTheme="minorEastAsia" w:eastAsiaTheme="minorEastAsia" w:cstheme="minorEastAsia"/>
          <w:b w:val="0"/>
          <w:bCs/>
          <w:color w:val="auto"/>
          <w:sz w:val="24"/>
          <w:szCs w:val="24"/>
          <w:highlight w:val="none"/>
        </w:rPr>
        <w:t>雄府办函[2023]5号</w:t>
      </w:r>
      <w:r>
        <w:rPr>
          <w:rFonts w:hint="eastAsia" w:asciiTheme="minorEastAsia" w:hAnsiTheme="minorEastAsia" w:eastAsiaTheme="minorEastAsia" w:cstheme="minorEastAsia"/>
          <w:b w:val="0"/>
          <w:bCs/>
          <w:color w:val="auto"/>
          <w:sz w:val="24"/>
          <w:szCs w:val="24"/>
          <w:highlight w:val="none"/>
          <w:lang w:eastAsia="zh-CN"/>
        </w:rPr>
        <w:t>）、《关于进一步加强政府投资项目财政投资评审监督管理的通知》的相关规定，</w:t>
      </w:r>
      <w:r>
        <w:rPr>
          <w:rFonts w:asciiTheme="minorEastAsia" w:hAnsiTheme="minorEastAsia" w:eastAsiaTheme="minorEastAsia" w:cstheme="minorEastAsia"/>
          <w:b w:val="0"/>
          <w:bCs/>
          <w:color w:val="auto"/>
          <w:sz w:val="24"/>
          <w:szCs w:val="24"/>
          <w:highlight w:val="none"/>
        </w:rPr>
        <w:t>项目工程费用</w:t>
      </w:r>
      <w:r>
        <w:rPr>
          <w:rFonts w:hint="eastAsia" w:asciiTheme="minorEastAsia" w:hAnsiTheme="minorEastAsia" w:eastAsiaTheme="minorEastAsia" w:cstheme="minorEastAsia"/>
          <w:b w:val="0"/>
          <w:bCs/>
          <w:color w:val="auto"/>
          <w:sz w:val="24"/>
          <w:szCs w:val="24"/>
          <w:highlight w:val="none"/>
          <w:lang w:eastAsia="zh-CN"/>
        </w:rPr>
        <w:t>结算后，项目工程结算金额若超出</w:t>
      </w:r>
      <w:r>
        <w:rPr>
          <w:rFonts w:hint="default" w:asciiTheme="minorEastAsia" w:hAnsiTheme="minorEastAsia" w:eastAsiaTheme="minorEastAsia" w:cstheme="minorEastAsia"/>
          <w:b w:val="0"/>
          <w:bCs/>
          <w:color w:val="auto"/>
          <w:sz w:val="24"/>
          <w:szCs w:val="24"/>
          <w:highlight w:val="none"/>
          <w:lang w:val="en-US"/>
        </w:rPr>
        <w:t>南雄市财政局投资评审中心</w:t>
      </w:r>
      <w:r>
        <w:rPr>
          <w:rFonts w:hint="eastAsia" w:asciiTheme="minorEastAsia" w:hAnsiTheme="minorEastAsia" w:eastAsiaTheme="minorEastAsia" w:cstheme="minorEastAsia"/>
          <w:b w:val="0"/>
          <w:bCs/>
          <w:color w:val="auto"/>
          <w:sz w:val="24"/>
          <w:szCs w:val="24"/>
          <w:highlight w:val="none"/>
          <w:lang w:val="en-US" w:eastAsia="zh-CN"/>
        </w:rPr>
        <w:t>复核的结算金额，承包人必须无条件在30日内按规定返还超付的工程款。</w:t>
      </w:r>
    </w:p>
    <w:p>
      <w:pPr>
        <w:ind w:firstLine="480" w:firstLineChars="200"/>
        <w:rPr>
          <w:rStyle w:val="20"/>
          <w:rFonts w:hint="eastAsia" w:ascii="宋体" w:hAnsi="宋体" w:eastAsia="宋体" w:cs="宋体"/>
          <w:color w:val="auto"/>
          <w:kern w:val="1"/>
          <w:highlight w:val="none"/>
        </w:rPr>
      </w:pPr>
      <w:r>
        <w:rPr>
          <w:rFonts w:hint="eastAsia" w:ascii="宋体" w:hAnsi="宋体" w:eastAsia="宋体" w:cs="宋体"/>
          <w:snapToGrid w:val="0"/>
          <w:color w:val="auto"/>
          <w:kern w:val="0"/>
          <w:highlight w:val="none"/>
        </w:rPr>
        <w:t>剩余3%转为质量保证金，从工程竣工验收合格之日起满</w:t>
      </w:r>
      <w:r>
        <w:rPr>
          <w:rFonts w:hint="eastAsia" w:ascii="宋体" w:hAnsi="宋体" w:eastAsia="宋体" w:cs="宋体"/>
          <w:snapToGrid w:val="0"/>
          <w:color w:val="auto"/>
          <w:kern w:val="0"/>
          <w:highlight w:val="none"/>
          <w:u w:val="single"/>
        </w:rPr>
        <w:t xml:space="preserve"> 2 </w:t>
      </w:r>
      <w:r>
        <w:rPr>
          <w:rFonts w:hint="eastAsia" w:ascii="宋体" w:hAnsi="宋体" w:eastAsia="宋体" w:cs="宋体"/>
          <w:snapToGrid w:val="0"/>
          <w:color w:val="auto"/>
          <w:kern w:val="0"/>
          <w:highlight w:val="none"/>
        </w:rPr>
        <w:t>年，若未发现质量问题，</w:t>
      </w:r>
      <w:r>
        <w:rPr>
          <w:rFonts w:hint="eastAsia" w:ascii="宋体" w:hAnsi="宋体" w:eastAsia="宋体" w:cs="宋体"/>
          <w:bCs/>
          <w:snapToGrid w:val="0"/>
          <w:color w:val="auto"/>
          <w:kern w:val="0"/>
          <w:highlight w:val="none"/>
        </w:rPr>
        <w:t>承包人向发包人申请退还质量保证（或保证金），发包人按照《建设工程质量保证金管理办法》及合同的有关规定和约定将质量保证（或保证金）</w:t>
      </w:r>
      <w:r>
        <w:rPr>
          <w:rFonts w:hint="eastAsia" w:ascii="宋体" w:hAnsi="宋体" w:eastAsia="宋体" w:cs="宋体"/>
          <w:bCs/>
          <w:color w:val="auto"/>
          <w:kern w:val="0"/>
          <w:highlight w:val="none"/>
        </w:rPr>
        <w:t>于次月</w:t>
      </w:r>
      <w:r>
        <w:rPr>
          <w:rFonts w:hint="eastAsia" w:ascii="宋体" w:hAnsi="宋体" w:eastAsia="宋体" w:cs="宋体"/>
          <w:bCs/>
          <w:snapToGrid w:val="0"/>
          <w:color w:val="auto"/>
          <w:kern w:val="0"/>
          <w:highlight w:val="none"/>
        </w:rPr>
        <w:t>退还给承包人</w:t>
      </w:r>
      <w:r>
        <w:rPr>
          <w:rFonts w:hint="eastAsia" w:ascii="宋体" w:hAnsi="宋体" w:eastAsia="宋体" w:cs="宋体"/>
          <w:bCs/>
          <w:color w:val="auto"/>
          <w:kern w:val="0"/>
          <w:highlight w:val="none"/>
        </w:rPr>
        <w:t>（不计息）</w:t>
      </w:r>
      <w:r>
        <w:rPr>
          <w:rFonts w:hint="eastAsia" w:ascii="宋体" w:hAnsi="宋体" w:eastAsia="宋体" w:cs="宋体"/>
          <w:snapToGrid w:val="0"/>
          <w:color w:val="auto"/>
          <w:kern w:val="0"/>
          <w:highlight w:val="none"/>
        </w:rPr>
        <w:t>。</w:t>
      </w:r>
    </w:p>
    <w:p>
      <w:pPr>
        <w:wordWrap w:val="0"/>
        <w:adjustRightInd w:val="0"/>
        <w:snapToGrid w:val="0"/>
        <w:ind w:firstLine="482" w:firstLineChars="200"/>
        <w:rPr>
          <w:rFonts w:hint="eastAsia" w:ascii="宋体" w:hAnsi="宋体" w:eastAsia="宋体" w:cs="宋体"/>
          <w:snapToGrid w:val="0"/>
          <w:color w:val="auto"/>
          <w:kern w:val="0"/>
          <w:highlight w:val="none"/>
        </w:rPr>
      </w:pPr>
      <w:r>
        <w:rPr>
          <w:rStyle w:val="20"/>
          <w:rFonts w:hint="eastAsia" w:ascii="宋体" w:hAnsi="宋体" w:eastAsia="宋体" w:cs="宋体"/>
          <w:b/>
          <w:bCs/>
          <w:color w:val="auto"/>
          <w:kern w:val="1"/>
          <w:highlight w:val="none"/>
        </w:rPr>
        <w:t>3.8</w:t>
      </w:r>
      <w:r>
        <w:rPr>
          <w:rFonts w:hint="eastAsia" w:ascii="宋体" w:hAnsi="宋体" w:eastAsia="宋体" w:cs="宋体"/>
          <w:snapToGrid w:val="0"/>
          <w:color w:val="auto"/>
          <w:kern w:val="0"/>
          <w:highlight w:val="none"/>
        </w:rPr>
        <w:t>承包人提供的工程款发票必须按照发包人要求提供相应增值税发票给发包人</w:t>
      </w:r>
      <w:r>
        <w:rPr>
          <w:rFonts w:hint="eastAsia" w:ascii="宋体" w:hAnsi="宋体" w:eastAsia="宋体" w:cs="宋体"/>
          <w:color w:val="auto"/>
          <w:highlight w:val="none"/>
        </w:rPr>
        <w:t>，发包人收到符合要求的发票后方可支付工程款</w:t>
      </w:r>
      <w:r>
        <w:rPr>
          <w:rFonts w:hint="eastAsia" w:ascii="宋体" w:hAnsi="宋体" w:eastAsia="宋体" w:cs="宋体"/>
          <w:snapToGrid w:val="0"/>
          <w:color w:val="auto"/>
          <w:kern w:val="0"/>
          <w:highlight w:val="none"/>
        </w:rPr>
        <w:t>。如果承包人无法提供符合要求的发票，由此造成的相应损失由承包人承担。</w:t>
      </w:r>
    </w:p>
    <w:p>
      <w:pPr>
        <w:wordWrap w:val="0"/>
        <w:adjustRightInd w:val="0"/>
        <w:snapToGrid w:val="0"/>
        <w:ind w:firstLine="480" w:firstLineChars="200"/>
        <w:rPr>
          <w:rStyle w:val="20"/>
          <w:rFonts w:hint="eastAsia" w:ascii="宋体" w:hAnsi="宋体" w:eastAsia="宋体" w:cs="宋体"/>
          <w:color w:val="auto"/>
          <w:kern w:val="0"/>
          <w:highlight w:val="none"/>
        </w:rPr>
      </w:pPr>
      <w:r>
        <w:rPr>
          <w:rFonts w:hint="eastAsia" w:ascii="宋体" w:hAnsi="宋体" w:eastAsia="宋体" w:cs="宋体"/>
          <w:color w:val="auto"/>
          <w:highlight w:val="none"/>
        </w:rPr>
        <w:t>本工程为政府全额投资，所有支付手续经发包人审批后，还须报政府财政部门审批完毕方可支付，如经发包人审批后已及时履行了向财政部门申报审批手续，则发包人</w:t>
      </w:r>
      <w:r>
        <w:rPr>
          <w:rFonts w:hint="eastAsia" w:ascii="宋体" w:hAnsi="宋体" w:eastAsia="宋体" w:cs="宋体"/>
          <w:color w:val="auto"/>
          <w:szCs w:val="22"/>
          <w:highlight w:val="none"/>
        </w:rPr>
        <w:t>不承担由此而造成的延期付款责任及</w:t>
      </w:r>
      <w:r>
        <w:rPr>
          <w:rFonts w:hint="eastAsia" w:ascii="宋体" w:hAnsi="宋体" w:eastAsia="宋体" w:cs="宋体"/>
          <w:color w:val="auto"/>
          <w:highlight w:val="none"/>
        </w:rPr>
        <w:t>不支付延期付款的利息，承包人也不得因</w:t>
      </w:r>
      <w:r>
        <w:rPr>
          <w:rFonts w:hint="eastAsia" w:ascii="宋体" w:hAnsi="宋体" w:eastAsia="宋体" w:cs="宋体"/>
          <w:b/>
          <w:color w:val="auto"/>
          <w:szCs w:val="22"/>
          <w:highlight w:val="none"/>
        </w:rPr>
        <w:t>政府财政部门履行审批程序所造成的</w:t>
      </w:r>
      <w:r>
        <w:rPr>
          <w:rFonts w:hint="eastAsia" w:ascii="宋体" w:hAnsi="宋体" w:eastAsia="宋体" w:cs="宋体"/>
          <w:color w:val="auto"/>
          <w:highlight w:val="none"/>
        </w:rPr>
        <w:t>延期付款而暂停施工和相关服务。</w:t>
      </w:r>
    </w:p>
    <w:p>
      <w:pPr>
        <w:snapToGrid w:val="0"/>
        <w:ind w:firstLine="482" w:firstLineChars="200"/>
        <w:rPr>
          <w:rFonts w:hint="eastAsia" w:ascii="宋体" w:hAnsi="宋体" w:eastAsia="宋体" w:cs="宋体"/>
          <w:color w:val="auto"/>
          <w:szCs w:val="22"/>
          <w:highlight w:val="none"/>
        </w:rPr>
      </w:pPr>
      <w:r>
        <w:rPr>
          <w:rStyle w:val="20"/>
          <w:rFonts w:hint="eastAsia" w:ascii="宋体" w:hAnsi="宋体" w:eastAsia="宋体" w:cs="宋体"/>
          <w:b/>
          <w:bCs/>
          <w:color w:val="auto"/>
          <w:kern w:val="0"/>
          <w:highlight w:val="none"/>
        </w:rPr>
        <w:t xml:space="preserve">3.9 </w:t>
      </w:r>
      <w:r>
        <w:rPr>
          <w:rFonts w:hint="eastAsia" w:ascii="宋体" w:hAnsi="宋体" w:eastAsia="宋体" w:cs="宋体"/>
          <w:snapToGrid w:val="0"/>
          <w:color w:val="auto"/>
          <w:kern w:val="0"/>
          <w:highlight w:val="none"/>
        </w:rPr>
        <w:t>暂列金</w:t>
      </w:r>
      <w:r>
        <w:rPr>
          <w:rFonts w:hint="eastAsia" w:hAnsi="宋体" w:eastAsia="宋体" w:cs="宋体"/>
          <w:snapToGrid w:val="0"/>
          <w:color w:val="auto"/>
          <w:kern w:val="0"/>
          <w:highlight w:val="none"/>
          <w:lang w:val="en-US" w:eastAsia="zh-CN"/>
        </w:rPr>
        <w:t>额</w:t>
      </w:r>
      <w:r>
        <w:rPr>
          <w:rFonts w:hint="eastAsia" w:ascii="宋体" w:hAnsi="宋体" w:eastAsia="宋体" w:cs="宋体"/>
          <w:color w:val="auto"/>
          <w:szCs w:val="22"/>
          <w:highlight w:val="none"/>
        </w:rPr>
        <w:t>支付方式：</w:t>
      </w:r>
      <w:r>
        <w:rPr>
          <w:rFonts w:hint="eastAsia" w:ascii="宋体" w:hAnsi="宋体" w:eastAsia="宋体" w:cs="宋体"/>
          <w:color w:val="auto"/>
          <w:szCs w:val="22"/>
          <w:highlight w:val="none"/>
          <w:u w:val="single"/>
        </w:rPr>
        <w:t>与每个月的工程进度款一并报送（若发生符合使用范围的情形需使用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时），在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的范围内由监理单位进行签认，造价咨询单位审核，发包人确认，进度款中需要列明涉及</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的部分。在</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的范围内由监理单位进行签证，造价咨询单位审核后，经发包人确认后按该进度款项的50％支付，其余部分待结算完成审核后支付。</w:t>
      </w:r>
      <w:r>
        <w:rPr>
          <w:rFonts w:hint="eastAsia" w:ascii="宋体" w:hAnsi="宋体" w:eastAsia="宋体" w:cs="宋体"/>
          <w:snapToGrid w:val="0"/>
          <w:color w:val="auto"/>
          <w:kern w:val="0"/>
          <w:highlight w:val="none"/>
          <w:u w:val="single"/>
        </w:rPr>
        <w:t>暂列金</w:t>
      </w:r>
      <w:r>
        <w:rPr>
          <w:rFonts w:hint="eastAsia" w:hAnsi="宋体" w:eastAsia="宋体" w:cs="宋体"/>
          <w:snapToGrid w:val="0"/>
          <w:color w:val="auto"/>
          <w:kern w:val="0"/>
          <w:highlight w:val="none"/>
          <w:u w:val="single"/>
          <w:lang w:val="en-US" w:eastAsia="zh-CN"/>
        </w:rPr>
        <w:t>额</w:t>
      </w:r>
      <w:r>
        <w:rPr>
          <w:rFonts w:hint="eastAsia" w:ascii="宋体" w:hAnsi="宋体" w:eastAsia="宋体" w:cs="宋体"/>
          <w:color w:val="auto"/>
          <w:szCs w:val="22"/>
          <w:highlight w:val="none"/>
          <w:u w:val="single"/>
        </w:rPr>
        <w:t>如有余额归发包人，不发生时不计入结算总价。</w:t>
      </w:r>
    </w:p>
    <w:p>
      <w:pPr>
        <w:pStyle w:val="22"/>
        <w:spacing w:line="360" w:lineRule="auto"/>
        <w:ind w:firstLine="480"/>
        <w:rPr>
          <w:rFonts w:hint="eastAsia" w:ascii="宋体" w:hAnsi="宋体" w:eastAsia="宋体" w:cs="宋体"/>
          <w:bCs/>
          <w:color w:val="auto"/>
          <w:highlight w:val="none"/>
        </w:rPr>
      </w:pPr>
      <w:r>
        <w:rPr>
          <w:rFonts w:hint="eastAsia" w:ascii="宋体" w:hAnsi="宋体" w:eastAsia="宋体" w:cs="宋体"/>
          <w:b/>
          <w:color w:val="auto"/>
          <w:highlight w:val="none"/>
        </w:rPr>
        <w:t>3.10</w:t>
      </w:r>
      <w:r>
        <w:rPr>
          <w:rFonts w:hint="eastAsia" w:ascii="宋体" w:hAnsi="宋体" w:eastAsia="宋体" w:cs="宋体"/>
          <w:snapToGrid w:val="0"/>
          <w:color w:val="auto"/>
          <w:highlight w:val="none"/>
        </w:rPr>
        <w:t>材料暂估价、专业工程暂估价支付方式：</w:t>
      </w:r>
      <w:r>
        <w:rPr>
          <w:rFonts w:hint="eastAsia" w:ascii="宋体" w:hAnsi="宋体" w:eastAsia="宋体" w:cs="宋体"/>
          <w:color w:val="auto"/>
          <w:szCs w:val="22"/>
          <w:highlight w:val="none"/>
          <w:u w:val="single"/>
        </w:rPr>
        <w:t>与每个月的工程进度款一并报送，进度款中需要列明涉及暂估价的部分。在材料暂估价、专业工程暂估价的范围内由监理单位进行签认，造价咨询单位审核，经发包人确认后按该进度款项的50％支付，其余部分待结算完成审核后支付。材料暂估价、专业工程暂估价如有余额归发包人，不发生时不计入结算总价。</w:t>
      </w:r>
    </w:p>
    <w:p>
      <w:pPr>
        <w:pStyle w:val="22"/>
        <w:spacing w:line="360" w:lineRule="auto"/>
        <w:ind w:firstLine="480"/>
        <w:rPr>
          <w:rFonts w:hint="eastAsia" w:ascii="宋体" w:hAnsi="宋体" w:eastAsia="宋体" w:cs="宋体"/>
          <w:color w:val="auto"/>
          <w:highlight w:val="none"/>
        </w:rPr>
      </w:pPr>
      <w:r>
        <w:rPr>
          <w:rFonts w:hint="eastAsia" w:ascii="宋体" w:hAnsi="宋体" w:eastAsia="宋体" w:cs="宋体"/>
          <w:b/>
          <w:color w:val="auto"/>
          <w:highlight w:val="none"/>
        </w:rPr>
        <w:t>3.11</w:t>
      </w:r>
      <w:r>
        <w:rPr>
          <w:rFonts w:hint="eastAsia" w:ascii="宋体" w:hAnsi="宋体" w:eastAsia="宋体" w:cs="宋体"/>
          <w:color w:val="auto"/>
          <w:szCs w:val="22"/>
          <w:highlight w:val="none"/>
        </w:rPr>
        <w:t>本工程根据政府有关要求或资金安排情况，经双方协商可调整工程款支付办法。</w:t>
      </w:r>
    </w:p>
    <w:p>
      <w:pPr>
        <w:pStyle w:val="24"/>
        <w:snapToGrid w:val="0"/>
        <w:jc w:val="both"/>
        <w:outlineLvl w:val="1"/>
        <w:rPr>
          <w:rStyle w:val="20"/>
          <w:rFonts w:hint="eastAsia" w:ascii="宋体" w:hAnsi="宋体" w:eastAsia="宋体" w:cs="宋体"/>
          <w:b/>
          <w:bCs/>
          <w:color w:val="auto"/>
          <w:highlight w:val="none"/>
        </w:rPr>
      </w:pPr>
      <w:bookmarkStart w:id="294" w:name="_Toc5434"/>
      <w:bookmarkStart w:id="295" w:name="_Toc26629"/>
      <w:bookmarkStart w:id="296" w:name="_Toc21241"/>
      <w:bookmarkStart w:id="297" w:name="_Toc18567"/>
      <w:bookmarkStart w:id="298" w:name="_Toc16634"/>
      <w:bookmarkStart w:id="299" w:name="_Toc30402"/>
      <w:bookmarkStart w:id="300" w:name="_Toc11609"/>
      <w:bookmarkStart w:id="301" w:name="_Toc8038"/>
      <w:bookmarkStart w:id="302" w:name="_Toc19371"/>
      <w:bookmarkStart w:id="303" w:name="_Toc27495"/>
      <w:r>
        <w:rPr>
          <w:rStyle w:val="20"/>
          <w:rFonts w:hint="eastAsia" w:ascii="宋体" w:hAnsi="宋体" w:eastAsia="宋体" w:cs="宋体"/>
          <w:b/>
          <w:bCs/>
          <w:color w:val="auto"/>
          <w:highlight w:val="none"/>
        </w:rPr>
        <w:t>4．专用合同条款</w:t>
      </w:r>
      <w:bookmarkEnd w:id="294"/>
      <w:bookmarkEnd w:id="295"/>
      <w:bookmarkEnd w:id="296"/>
      <w:bookmarkEnd w:id="297"/>
      <w:bookmarkEnd w:id="298"/>
      <w:bookmarkEnd w:id="299"/>
      <w:bookmarkEnd w:id="300"/>
      <w:bookmarkEnd w:id="301"/>
      <w:bookmarkEnd w:id="302"/>
      <w:bookmarkEnd w:id="303"/>
    </w:p>
    <w:p>
      <w:pPr>
        <w:wordWrap w:val="0"/>
        <w:adjustRightInd w:val="0"/>
        <w:snapToGrid w:val="0"/>
        <w:ind w:firstLine="241" w:firstLineChars="100"/>
        <w:rPr>
          <w:rFonts w:hint="eastAsia" w:ascii="宋体" w:hAnsi="宋体" w:eastAsia="宋体" w:cs="宋体"/>
          <w:b/>
          <w:bCs/>
          <w:snapToGrid w:val="0"/>
          <w:color w:val="auto"/>
          <w:kern w:val="0"/>
          <w:highlight w:val="none"/>
        </w:rPr>
      </w:pPr>
      <w:bookmarkStart w:id="304" w:name="_Toc18877"/>
      <w:r>
        <w:rPr>
          <w:rFonts w:hint="eastAsia" w:ascii="宋体" w:hAnsi="宋体" w:eastAsia="宋体" w:cs="宋体"/>
          <w:b/>
          <w:bCs/>
          <w:snapToGrid w:val="0"/>
          <w:color w:val="auto"/>
          <w:kern w:val="0"/>
          <w:highlight w:val="none"/>
        </w:rPr>
        <w:t>4.1</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项目管理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项目经理要求：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项目经理与投标文件承诺不一致或未及时到位，发包人将按照下列方式对承包人进行处罚：（1）担任项目经理的注册建造师与投标书承诺不一致，将视为承包人严重违约。除符合广东省住房和城乡建设厅《关于建设工程项目招标中标后监督检查的办法》粤建市〔2009〕8号文第九条规定的情形外，项目经理一律不得更换。承包人未经监理工程师和发包人书面同意，擅自更换投标书中确认的本工程项目经理的，监理工程师或发包人有权责令承包人三天内整改，且发包人有权提请建设行政主管部门对其作不良行为记录，有权给予承包人履约评价为不合格，同时发包人有权拒绝承包人3年内参加发包人其它工程的投标，擅自更换本工程项目经理的，即使发包人事后同意更换，承包人仍需支付每换一次15万元的违约金（仅被羁押或判处刑罚、身亡可免责）。</w:t>
      </w:r>
    </w:p>
    <w:p>
      <w:pPr>
        <w:wordWrap w:val="0"/>
        <w:adjustRightInd w:val="0"/>
        <w:snapToGrid w:val="0"/>
        <w:ind w:firstLine="480" w:firstLineChars="200"/>
        <w:rPr>
          <w:rFonts w:hint="eastAsia" w:ascii="宋体" w:hAnsi="宋体" w:eastAsia="宋体" w:cs="宋体"/>
          <w:snapToGrid w:val="0"/>
          <w:color w:val="auto"/>
          <w:kern w:val="0"/>
          <w:highlight w:val="none"/>
          <w:lang w:eastAsia="zh-CN"/>
        </w:rPr>
      </w:pPr>
      <w:r>
        <w:rPr>
          <w:rFonts w:hint="eastAsia" w:ascii="宋体" w:hAnsi="宋体" w:eastAsia="宋体" w:cs="宋体"/>
          <w:snapToGrid w:val="0"/>
          <w:color w:val="auto"/>
          <w:kern w:val="0"/>
          <w:highlight w:val="none"/>
        </w:rPr>
        <w:t>（2）项目经理每延迟到位一天承包人应向发包人支付违约金5万元/天，超过10天（含10天）发包人有权单方解除合同，并要求承包人承担由此造成的一切损失。   （3）项目经理必须按时参加工程例会、图纸会审和技术交底、现场协调会、方案论证会、专项工作碰头会，以及发包人要求其参加的会议。未经发包人同意不到会者，承包人每次向发包人支付1万元违约金，并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项目经理若需离开施工现场1日以上（含1日）需经发包人批准。在其请假离开的时间段内应委托项目副经理或项目总工全权代表其行使职权，否则每违约一次，承包人应当承担一般违约责任1次。项目经理每月的出勤天数不得少于22天，如少于22天的，按每缺勤一天向发包人支付违约金人民币3仟元，并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对于难以胜任工作项目经理，发包人有权要求承包人进行更换，直至发包人满意为止，且更换人员应在接到书面通知后的3天内到位。更换项目经理期间延误的工期不予顺延，所有费用由承包人承担，给发包人造成的损失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上述违约金由承包人直接向发包人支付，未付清之前，发包人有权暂停支付工程款。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承包人必须遵守国家相关法律法规、政府相关规定及</w:t>
      </w:r>
      <w:r>
        <w:rPr>
          <w:rFonts w:hint="eastAsia" w:hAnsi="宋体" w:cs="宋体"/>
          <w:snapToGrid w:val="0"/>
          <w:color w:val="auto"/>
          <w:kern w:val="0"/>
          <w:highlight w:val="none"/>
          <w:lang w:eastAsia="zh-CN"/>
        </w:rPr>
        <w:t>南雄市国有资产投资有限责任公司</w:t>
      </w:r>
      <w:r>
        <w:rPr>
          <w:rFonts w:hint="eastAsia" w:ascii="宋体" w:hAnsi="宋体" w:eastAsia="宋体" w:cs="宋体"/>
          <w:snapToGrid w:val="0"/>
          <w:color w:val="auto"/>
          <w:kern w:val="0"/>
          <w:highlight w:val="none"/>
        </w:rPr>
        <w:t>的工程管理制度。</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承包人应根据工程实际需要，配备满足进度要求的施工机械，自备发电机保证供电稳定，所有费用已包含在合同价中。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果承包人未能按照规定的工期完成合同工程（含材料、设备采购等），或者未能在相应的工期内完成某区段或某单项工程，经发包人书面发出通知要求承包人在规定时间内完成前述工程后，承包人仍未完成，则发包人有权直接雇用他人执行该项指令，并向其支付有关费用，所发生的费用从承包人合同总价中扣除，同时，在工程结算时发包人有权扣除承包人向发包人支付所发生费用10%的违约金，并由承包人承担影响工期的一切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在合同履行中如发包人、承包人双方发生争议，承包人不得以争议未解决为由擅自停工，否则将视为违约，由此产生工期的延误不予顺延。</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对于隐蔽工程，若发现承包人在验收合格后到隐蔽施工前，对合格部分做任何改动，应重新进行验收；若承包人同一分项工程验收两次仍不合格，则以后每增加一次验收，承包人向发包人支付违约金5000元。如出现未经验收就进行隐蔽施工，承包人向发包人支付10万元/次的违约金，并且发包人有权暂停支付该部分进度款，直至发包人确认该部分工程合格为止，并通报相关部门，由此产生质量、工期延误等等均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经承包人的自检确认隐蔽工程和工程的隐蔽部位具备覆盖条件后的24小时内，承包人应通知监理人进行检查，通知应按规定的格式说明检查地点、内容和检查时间，并附有承包人自检记录和必要的检查资料。监理人应按通知约定的时间派员到场进行检查，在监理人员确认质量符合要求，并在检查记录上签字后，承包人才能进行覆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承包人未及时通知监理人到场检查，私自将隐蔽部位覆盖，监理人有权指示承包人采用钻孔探测揭开进行检查，由此增加的费用和工期延误责任由承包人承担。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承包人必须编制合理的交通维护方案并负责实施，保证施工期间的交通组织符合南雄公安交通管理部门的有关规定，确保施工安全，其费用包含在合同价中。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4.1.8</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发生伤亡事故，承包人应在第一时间通知发包人，并按规定立即上报有关部门，同时按法律、法规及相关规定的要求及时处理，否则记承包人严重违约责任一次。</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因承包人原因，承包人施工现场发生工伤或其他责任事故的，除按相关法律法规依法接受处理和赔偿所造成的损失外，承包人还须按下列标准向发包人支付惩罚性违约金：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①一次事故或全年累计死亡3人及以上：安全第一责任人在韶关市地区建设范围内公开检查；承包人必须撤换项目经理、安全主管，同时支付合同价款15％的惩罚性违约金。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②一次事故或全年累计死亡2人：安全第一责任人在韶关市地区建设范围内公开检查；承包人必须撤换项目经理、安全主管，同时支付合同价款10％的惩罚性违约金。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③全年死亡1人：安全第一责任人在韶关市地区建设范围内公开检查，并报其上级单位；承包人必须撤换项目经理、安全主管；同时支付合同价款5％的惩罚性违约金。</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lang w:bidi="ar"/>
        </w:rPr>
        <w:t>④重伤事故、造成10人及以上集体中毒住院、经济损失重大的火灾、设备及交通事故，依法由承包人承担责任，并支付惩罚性违约金3万元人民币。</w:t>
      </w:r>
    </w:p>
    <w:p>
      <w:pPr>
        <w:pStyle w:val="2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bidi="ar"/>
        </w:rPr>
        <w:t>⑤因施工造成的道路交通中断、通讯中断、管线漏水漏气等全部责任事故，依法由承包人承担责任，并支付惩罚性违约金2万元人民币。</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承包人必须遵守有关环境保护的法律法规，并采取有效措施控制施工现场的各种粉尘、废气、废弃物、噪声、振动等对身体健康和周边环境造成的危害和污染，有关费用已包含在合同价中。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工程竣工验收合格后60天内，承包人必须及时按</w:t>
      </w:r>
      <w:r>
        <w:rPr>
          <w:rFonts w:hint="eastAsia" w:ascii="宋体" w:hAnsi="宋体" w:eastAsia="宋体" w:cs="宋体"/>
          <w:color w:val="auto"/>
          <w:highlight w:val="none"/>
        </w:rPr>
        <w:t>韶关市城市建设档案要求及发包人要求</w:t>
      </w:r>
      <w:r>
        <w:rPr>
          <w:rFonts w:hint="eastAsia" w:ascii="宋体" w:hAnsi="宋体" w:eastAsia="宋体" w:cs="宋体"/>
          <w:snapToGrid w:val="0"/>
          <w:color w:val="auto"/>
          <w:kern w:val="0"/>
          <w:highlight w:val="none"/>
        </w:rPr>
        <w:t>编制真实完整的竣工图纸等竣工档案资料，并由承包人负责汇总后，移交相关管理部门，且办理完成相关移交手续，否则每延迟１天，承包人向发包人支付2000元/天的违约金。同时，承包人向发包人提供完整的竣工图纸等竣工档案资料各8套（包括</w:t>
      </w:r>
      <w:r>
        <w:rPr>
          <w:rFonts w:hint="eastAsia" w:ascii="宋体" w:hAnsi="宋体" w:eastAsia="宋体" w:cs="宋体"/>
          <w:color w:val="auto"/>
          <w:highlight w:val="none"/>
        </w:rPr>
        <w:t>声像及</w:t>
      </w:r>
      <w:r>
        <w:rPr>
          <w:rFonts w:hint="eastAsia" w:ascii="宋体" w:hAnsi="宋体" w:eastAsia="宋体" w:cs="宋体"/>
          <w:snapToGrid w:val="0"/>
          <w:color w:val="auto"/>
          <w:kern w:val="0"/>
          <w:highlight w:val="none"/>
        </w:rPr>
        <w:t>电子文件</w:t>
      </w:r>
      <w:r>
        <w:rPr>
          <w:rFonts w:hint="eastAsia" w:ascii="宋体" w:hAnsi="宋体" w:eastAsia="宋体" w:cs="宋体"/>
          <w:color w:val="auto"/>
          <w:highlight w:val="none"/>
        </w:rPr>
        <w:t>等形式的档案</w:t>
      </w:r>
      <w:r>
        <w:rPr>
          <w:rFonts w:hint="eastAsia" w:ascii="宋体" w:hAnsi="宋体" w:eastAsia="宋体" w:cs="宋体"/>
          <w:snapToGrid w:val="0"/>
          <w:color w:val="auto"/>
          <w:kern w:val="0"/>
          <w:highlight w:val="none"/>
        </w:rPr>
        <w:t>）</w:t>
      </w:r>
      <w:r>
        <w:rPr>
          <w:rFonts w:hint="eastAsia" w:ascii="宋体" w:hAnsi="宋体" w:eastAsia="宋体" w:cs="宋体"/>
          <w:color w:val="auto"/>
          <w:highlight w:val="none"/>
        </w:rPr>
        <w:t>，档案的制作费用由承包人承担。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承包人不按合同内容及条款施工，或违反正常施工程序、施工工艺进行施工，或施工质量、安全、环保等达不到有关要求，或施工用材料设备不符合规定，发包人有权勒令承包人暂停施工，承包人必须停工整改，一切责任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承包人全体现场施工人员佩戴安全帽，全部施工人员佩工作牌。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未经发包人书面许可，承包人不得在施工现场布置任何与本项目工程无关的商业广告，否则发包人有权要求承包人拆除，承包人并向发包人每次支付违约金10000元。</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承包人下列人员有以下情形的，承包人必须在24小时内将其调离，并应在3天内补充经发包人批准的相关合格人员。若承包人不及时履行，发包人则有权要求承包人按每人每次支付违约金1000元/天，具体情形如下：</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（1）发包人确认无法胜任工作者，包括：对分部分项工程施工进度及施工质量达不到合同要求负有责任的施工人员、不熟悉本专业的施工人员、工作责任心不强的施工人员等；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（2）不积极配合发包人、监理工程师正常工作人员；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（3）违反承包人或发包人工地现场管理规定的人员；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（4）无证上岗人员（适用于按规定必须有上岗证的）；</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（5）与本工程施工无关的人员。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4.1.15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 xml:space="preserve">本工程禁止转包，若发包人和监理单位发现承包人有转包行为，且经行政主管部门落实认定。发包人有权勒令承包人停工、驱逐其出现场，并提请建设行政主管部门对承包人按相关法律法规进行行政处罚；发包人还有权给予承包人履约评价为不合格，及有权拒绝承包人3年内参加发包人其它工程的投标；同时发包人有权单方面解除本合同。由此造成的损失均由承包人承担。 </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4.2 用工和劳务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承包人不得从为发包人或工程师服务的人员中招雇任何人员。</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不得以任何理由延期支付雇员的工资和劳务分包人的劳务费用。对发包人支付的工程款，承包人须优先用于支付工人劳动报酬，确保不发生因拖欠工人工资、劳务费而停工、上访，或因此在媒体曝光等事件。如果发生因拖欠工人工资、劳务费而停工上访，或因此在媒体曝光等事件，视为承包人违约，发包人有权要求承包人支付违约金20万元/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避免发包人因施工工人追索劳务费或工程款而将发包人诉至法院或仲裁委员会，否则一切责任由承包人承担，所发生的所有费用(包括但不限于诉讼费、调查费、律师费、赔偿费、违约金等)全部由承包人承担，发包人有权将此等费用从任何应支付的工程款中扣除或没收履约保函中的相应金额。</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4.2.4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如果现场工程师需要了解承包人在现场的管理人员和各种劳务工种操作人员情况，以及工程师要求的有关承包人机械设备、主要施工机具、周转材料等的详细资料。承包人则应向工程师提交一份详细的统计表，其格式和提交的间隔时间应符合工程师的规定。</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4.3</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施工准备工作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4.3.1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承包人应充分认识到本工程的特殊性和复杂性，施工前应切实做好各项准备工作，包括但不限于（1）、（2）、（3）：</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（1）必须按要求完成临时设施建设和现场指挥部建设。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（2）按照相关规定及发包人要求做好现场申报、宣传、走访、排查和解释工作。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（3）根据现场实际环境，做好防火、防盗、防坠落等各项措施，排除安全隐患，确保施工期间施工的安全。</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4.3.2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存在设计图纸疑问，必须在施工前30日提出，不得在施工时临时提出，也不得以此手段要求任何索赔，由此造成的一切损失由承包人承担。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4.4工程变更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报送的变更价款，应实事求是，不得虚报数量，增加或变更的工程内容按招标文件中约定计价办法进行计量。若其报送金额超出建设工程造价管理部门或政府审核部门审定金额15%以上的，除在在结算中予以扣除外，每次承包人还须向发包人支付人民币伍仟（</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5000）元的违约金。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承包人应充分考虑工程设计变更带来的风险。工程变更须按政府及发包人的有关规定、审批权限和审批程序进行审批，凡未经发包人审批同意，承包人擅自实施的，一律视为无效变更，结算时发包人不予承认。</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4.4.3</w:t>
      </w:r>
      <w:r>
        <w:rPr>
          <w:rFonts w:hint="eastAsia" w:hAnsi="宋体" w:eastAsia="宋体" w:cs="宋体"/>
          <w:snapToGrid w:val="0"/>
          <w:color w:val="auto"/>
          <w:kern w:val="0"/>
          <w:highlight w:val="none"/>
          <w:lang w:val="en-US" w:eastAsia="zh-CN"/>
        </w:rPr>
        <w:t xml:space="preserve"> </w:t>
      </w:r>
      <w:r>
        <w:rPr>
          <w:rFonts w:hint="eastAsia" w:hAnsi="宋体"/>
          <w:color w:val="auto"/>
          <w:highlight w:val="none"/>
        </w:rPr>
        <w:t>承包人应按南雄市人民政府办公室《关于加强市本级政府投资项目财政投资评审监督管理的实施意见》</w:t>
      </w:r>
      <w:r>
        <w:rPr>
          <w:rStyle w:val="20"/>
          <w:rFonts w:hint="eastAsia" w:hAnsi="宋体"/>
          <w:color w:val="auto"/>
          <w:kern w:val="0"/>
          <w:highlight w:val="none"/>
        </w:rPr>
        <w:t>（雄府办函﹝2023﹞5号）</w:t>
      </w:r>
      <w:r>
        <w:rPr>
          <w:rFonts w:hint="eastAsia" w:hAnsi="宋体"/>
          <w:color w:val="auto"/>
          <w:highlight w:val="none"/>
        </w:rPr>
        <w:t>的规定及时申报办理工程变更审批手续，并于申请当期工程款之前或一并申报完整的工程变更资料予以备案；凡不符合实施意见要求的变更均为无效变更。</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4.5</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工程量清单约定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4.5.1施工图分部分项工程量的结算约定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承包人必须按图纸及有关标准、规范的要求完成全部的施工内容。对于标底分部分项工程量清单中所列项目，如有错漏，承包人于签订施工合同后45天内报监理工程师、发包人，发包人根据招标时所公布的施工图（详见第五章图纸和招标工程量清单），委托预算编制进行计算，并经监理工程师、发包人审核后报审核部门备案（施工单位现场安全文明措施费和施工措施费包干，不作调整），逾期不报视为自动放弃，结算不再调整工程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（2）分部分项工程量清单无而施工图设计文件已设计，属分部分项工程量清单漏项，与错项同时申报。最终结算以经监理工程师、发包人审核，财政评审中心审定的工程量为准。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特别注意的是分部分项工程量清单各项目（子目）内所列明的项目特征为主要特征，工程内容为主要内容，详细全面的特征和工程内容以图纸、技术要求、规范、</w:t>
      </w:r>
      <w:r>
        <w:rPr>
          <w:rFonts w:hint="eastAsia" w:hAnsi="宋体" w:cs="宋体"/>
          <w:color w:val="auto"/>
          <w:szCs w:val="24"/>
          <w:highlight w:val="none"/>
        </w:rPr>
        <w:t>《建设工程工程量清单计价标准》（GB/T 50500-2024）</w:t>
      </w:r>
      <w:r>
        <w:rPr>
          <w:rFonts w:hint="eastAsia" w:ascii="宋体" w:hAnsi="宋体" w:eastAsia="宋体" w:cs="宋体"/>
          <w:snapToGrid w:val="0"/>
          <w:color w:val="auto"/>
          <w:kern w:val="0"/>
          <w:highlight w:val="none"/>
        </w:rPr>
        <w:t>以及相关规定为依据，并以计价、设计、施工规范的严格者为准。每个分部分项工程量清单的各个项目（子目）中少列的工程内容、材料不属于分部分项工程量清单漏项。主要材料特征出现错误，经承包人提出申请，监理工程师、发包人确认同意后，仅调整主要材料的材料价差（不计企业管理费和利润），其他均不作调整，发包人有权无条件拒绝承包人的此项申请。</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（3）工程量计量的其他约定：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①承包人不得自行取消施工图或清单中的任何项目，发包人根据需要取消的未施工项目，经监理工程师核实后予以扣减，相应的措施费用予以扣</w:t>
      </w:r>
      <w:r>
        <w:rPr>
          <w:rFonts w:hint="eastAsia" w:ascii="宋体" w:hAnsi="宋体" w:eastAsia="宋体" w:cs="宋体"/>
          <w:color w:val="auto"/>
          <w:highlight w:val="none"/>
        </w:rPr>
        <w:t>减</w:t>
      </w:r>
      <w:r>
        <w:rPr>
          <w:rFonts w:hint="eastAsia" w:ascii="宋体" w:hAnsi="宋体" w:eastAsia="宋体" w:cs="宋体"/>
          <w:snapToGrid w:val="0"/>
          <w:color w:val="auto"/>
          <w:kern w:val="0"/>
          <w:highlight w:val="none"/>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②承包人自身原因造成的返工工程量，不予计量。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③凡超出图纸范围又未经变更审批的工程量，不予计量。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④不符合工程质量标准的工程量，不予计量。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⑤发包人书面通知承包人取消的工程量，不予计量。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⑥工程量清单中已列出的项目而承包人在商务标中未填报单价或合价的项目，将被视为该项费用已包括在其它有价款的综合单价或合价内，任何与此有关的工程价款，发包人将不另行支付。</w:t>
      </w:r>
    </w:p>
    <w:p>
      <w:pPr>
        <w:wordWrap w:val="0"/>
        <w:adjustRightInd w:val="0"/>
        <w:snapToGrid w:val="0"/>
        <w:ind w:firstLine="480" w:firstLineChars="200"/>
        <w:rPr>
          <w:rFonts w:hint="eastAsia" w:ascii="宋体" w:hAnsi="宋体" w:eastAsia="宋体" w:cs="宋体"/>
          <w:snapToGrid w:val="0"/>
          <w:color w:val="auto"/>
          <w:kern w:val="0"/>
          <w:highlight w:val="none"/>
          <w:lang w:val="en-US" w:eastAsia="zh-CN"/>
        </w:rPr>
      </w:pPr>
      <w:r>
        <w:rPr>
          <w:rFonts w:hint="eastAsia" w:ascii="宋体" w:hAnsi="宋体" w:eastAsia="宋体" w:cs="宋体"/>
          <w:snapToGrid w:val="0"/>
          <w:color w:val="auto"/>
          <w:kern w:val="0"/>
          <w:highlight w:val="none"/>
        </w:rPr>
        <w:t>除以上规定外，对于承包人提出的任何与工程量清单错漏有关的索赔，发包人将不予认可。如承包人不遵守上述约定从而造成工期延误，每延误一天承包人按逾期第壹天起每天按合同价款的3‰向发包人返纳逾期违约金</w:t>
      </w:r>
      <w:r>
        <w:rPr>
          <w:rFonts w:hint="eastAsia" w:hAnsi="宋体" w:eastAsia="宋体" w:cs="宋体"/>
          <w:snapToGrid w:val="0"/>
          <w:color w:val="auto"/>
          <w:kern w:val="0"/>
          <w:highlight w:val="none"/>
          <w:lang w:eastAsia="zh-CN"/>
        </w:rPr>
        <w:t>。</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4.5.2 工程量清单中所填入的综合单价为按技术规范与技术要求完成一个规定计量单位的工程所需的人工费、材料费、机械使用费、管理费、利润并考虑风险因素。按技术规范、招标文件、设计图纸、国标</w:t>
      </w:r>
      <w:r>
        <w:rPr>
          <w:rFonts w:hint="eastAsia" w:hAnsi="宋体" w:cs="宋体"/>
          <w:color w:val="auto"/>
          <w:szCs w:val="24"/>
          <w:highlight w:val="none"/>
        </w:rPr>
        <w:t>《建设工程工程量清单计价标准》</w:t>
      </w:r>
      <w:r>
        <w:rPr>
          <w:rFonts w:hint="eastAsia" w:ascii="宋体" w:hAnsi="宋体" w:eastAsia="宋体" w:cs="宋体"/>
          <w:snapToGrid w:val="0"/>
          <w:color w:val="auto"/>
          <w:kern w:val="0"/>
          <w:highlight w:val="none"/>
        </w:rPr>
        <w:t>、省市现行计价规程等要求为完成一个规定计量单位的工程量所需的其他一切费用，除非投标人在措施项目清单中列出，否则视为已被包含在工程量清单各项目综合单价中。承包人不得以综合单价和措施费所含工作内容缺漏项为由，向发包人提出任何变更工程价款的要求。</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Theme="minorEastAsia" w:hAnsiTheme="minorEastAsia" w:eastAsiaTheme="minorEastAsia" w:cstheme="minorEastAsia"/>
          <w:b/>
          <w:bCs w:val="0"/>
          <w:color w:val="auto"/>
          <w:sz w:val="24"/>
          <w:szCs w:val="24"/>
          <w:highlight w:val="none"/>
          <w:lang w:val="en-US" w:eastAsia="zh-CN"/>
        </w:rPr>
        <w:t>4.5.3 根据广东省建设工程造价管理规定（政府令第205号）</w:t>
      </w:r>
      <w:r>
        <w:rPr>
          <w:rFonts w:hint="eastAsia" w:asciiTheme="minorEastAsia" w:hAnsiTheme="minorEastAsia" w:eastAsiaTheme="minorEastAsia" w:cstheme="minorEastAsia"/>
          <w:b/>
          <w:bCs w:val="0"/>
          <w:color w:val="auto"/>
          <w:sz w:val="24"/>
          <w:szCs w:val="24"/>
          <w:highlight w:val="none"/>
          <w:lang w:eastAsia="zh-CN"/>
        </w:rPr>
        <w:t>承包人编制的工程结算文件质量偏差率不得超过5%（编制结算造价工程质量文件偏差率=(承包人编制的结算送审金额-经发包人位委托的造价咨询单位审核金额)/发包人委托的造价咨询单位审核金额*100%）。</w:t>
      </w:r>
      <w:r>
        <w:rPr>
          <w:rFonts w:hint="eastAsia" w:asciiTheme="minorEastAsia" w:hAnsiTheme="minorEastAsia" w:eastAsiaTheme="minorEastAsia" w:cstheme="minorEastAsia"/>
          <w:b/>
          <w:bCs w:val="0"/>
          <w:color w:val="auto"/>
          <w:sz w:val="24"/>
          <w:szCs w:val="24"/>
          <w:highlight w:val="none"/>
          <w:lang w:val="en-US" w:eastAsia="zh-CN"/>
        </w:rPr>
        <w:t>结算文件质量偏差率大于5%部分的效益收费由承包人承担。</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4.6</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承包人对专业分包的总要求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承包人对本工程所有分包人的管理费和相互间的配合费用由承包人与分包人自行商定，已含在承包人的投标报价中，发包人不予任何补偿。承包人承担全部管理、组织、协调和配合工作。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承包人的施工承包资质缺少本工程的专业承包资质，应按照有关规定事先报发包人和监理工程师审查并取得发包人批准后分包给具有相应资质的专业承包人（如果分包工程按规定需要进行招标的，由承包人在建设交易中心自行组织），由此产生的一切分包费用、配合费、招标费用以及其他可能存在风险所产生的费用都含在合同价中。承包人因上述情况提出的任何索赔或工期延长申请将不获批准。若承包人在施工过程中由于自身缺少本工程要求的专业承包资质，而又不能按规定时间发包给具有资质的专业承包企业或者分包企业不能按照设计要求实施专业工程的，由此造成工期延误，每延误1天承包人向发包人支付违约金3万元；给发包人造成质量损失的，承包人负责赔偿，同时发包人有权从合同价中按分包工程的审定预算价扣除，并委托其他施工单位实施，承包人须无条件与分包人签订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同一分包工程的分包申请被否定二次，发包人有权就该分包工程采用单独招标形式确定分包人或直接指定分包人，承包人须无条件与分包人签订合同，并不得收取任何费用。同时发包人有权从合同价中按分包工程的审定预算价扣除，并委托其他施工单位实施，承包人须无条件与分包人签订合同。同时由此造成工期延误，每延误1天承包人向发包人支付违约金3万元；给发包人造成质量损失的，承包人负责赔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经工程师、发包人认可，承包人与分包人签订分包合同后的5天内，承包人必须将分包合同等相关资料按规定送建设行政主管部门及其他相关管理部门备案，分包合同与本施工合同发生抵触，以本施工合同为准。承包人对分包合同承担连带责任。分包合同不解除承包人任何义务与责任，承包人在分包现场应派驻监督管理人员，保证合同的履行。分包人的任何违约或疏忽，均视为承包人违约或疏忽。</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4.6.5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若发包人和监理均认定承包人有未经发包人同意的分包行为（无须承包人认可，除非承包人在发包人发出通知后3天内提出有效举证），发包人有权勒令其停工、驱逐出现场等，由此造成的损失均由承包人承担，同时承包人向发包人支付违约金30万元/每次。发包人有权提请建设行政主管部门对其作不良行为记录，有权给予承包人履约评价为不合格，同时发包人有权拒绝承包人3年内参加发包人其它工程的投标。</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4.7 措施项目</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关于措施项目清单内的所有项目的投标报价为包干费用，承包人必须承担措施项目的所有风险及有关措施项目的运输、修建、维修、养护、拆除、恢复、摊销等全部费用。不得以任何理由向发包人提出措施项目的费用索赔。如因承包人的设计、方案和措施（即使已经监理工程师及发包人审批确认）无法满足正常施工的要求，有关的责任、损失、补救费用全部由承包人自行承担，承包人必须承担这些项目的所有风险及费用。除了合同条件中有明确的规定外，工程结算不能调整以下项目的合同金额：</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措施项目包括安全文明施工措施（文明施工、安全施工、临时设施、环境保护）、履约担保手续费、夜间施工、赶工措施、冬雨季施工费、已完工程及设备保护费、地上地下设施及建筑物的临时保护费、二次搬运、脚手架、垂直运输机械、大型机械设备进出场及安拆、施工排水降水、水土保持增加费、与其他工程的衔接管理与配合费、其他措施费等。对于承包人在商务标措施清单项目报价中缺少的本工程必需的措施费用，按照承包人在商务标中提交的报价说明，未报价部分已经分摊在其他有价款的项目中，发包人不再另行支付。对于承包人根据需要增加的措施费项目，承包人已列入其他措施费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现场安全文明设计必须满足国家、省市相关的要求达到“文明工地”的标准，并争做市级“示范文明工地”。除此之外，尚应满足如下要求：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一、安全、文明、临时设施要求：①主要管理人员与投标文件内填写的应一致；②施工现场应封闭施工。围墙和大门的方案图需满足相关主管部门要求，并通过监理工程师的审批。进出口要设大门、门卫和门卫制度。主进出口门头设企业标志，两侧要挂“七牌一图”,标牌应规范、整齐；③施工场地及生活区的所有临时道路，无污水、积水，地面要平整，路面满足施工及生活需要；排水要通畅，要有防止泥浆、污物堵塞排水管道的措施；按要求张挂各种安全标志牌和标语，设宣传栏，读报栏和黑板报并设有吸烟处；有绿化布置；④施工期间，承包人应随时根据现场情况对围挡进行维修和保护，确保施工界面达到韶关市、南雄市和建设部有关规定的标准。为确保施工安全，防止无关人员进入现场，承包人必须对施工范围进行全封闭围挡（特殊情况除外），并设置车辆进出口，若确因条件限制或环境要求无法实施封闭围档，承包人应切实做好安全防护及安全通道，设置合理科学的安全警示标志。如果承包人开工后经监理工程师下达整改通知后3天内仍未按规定实施，发包人有权安排其他施工队伍进场作好封闭围挡，相应费用从本合同总价中的现场安全文明措施费中扣除。承包人承诺按发包人制定的此条款执行，不得有任何异议。⑤施工场内，建筑材料、构件和料具要按施工现场平面图的布置要求堆放整齐，并挂物料名称，品种，规格等标牌，施工现场渣土和垃圾清运应当采取喷淋压尘装载；⑥承包人必须按照粤建安字【2009】20号文件要求，在开工前按有关规定要求，编制施工组织设计和施工现场消防设施平面布置图，按规定配备合格的的消防器材等，满足施工现场所需的消防措施、制度和灭火器材，灭火器材配置、消防水源所有器材和设备应合理、合格，使用明火应有动火审批手续和动火监护，所发生的费用已含合同中。⑦施工现场的施工区、办公区、生活区应当分开设置，实行区划管理，临时办公和生活用房应采用轻钢板房,并要具有抗强台风的措施，确保安全；⑧工地内要配备经培训的急救人员、保健医药箱、安全急救措施和急救器材，要开展卫生、防病自救、互救宣传教育；⑨要建立治安保卫制度，责任要分解到人。承包人在施工过程中的施工人员应配备必要的劳动、安全保护用品并配戴工作证，以及满足招标文件中其他相关规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二、环保要求：承包人在施工过程中必须根据环保部门和城管部门的要求采取一切可能的措施做好环境保护和水土保持工作，有效控制施工现场的各种粉尘、废气、废弃物、噪音、振动、雨污水等对周边环境造成的污染和危害，避免对周围的管线、道路、构筑物、建筑物造成损坏，环境保护所采用的措施包括但不局限于：①环境污染防治措施：禁止向周边和雨水口倾倒一切废物，包括生产和生活污水、生产和生活垃圾等；生活废水要自建生活污水处理装置；生活垃圾要收集在有防雨棚和防地表径流冲刷的临时垃圾池内，及时集中、清运；堆土区表面进行覆盖；②大气污染防治措施：采用洒水湿法抑尘；重点时段防护如：对工地进出运输车辆进行冲洗；运送散装物料的机动车、存放散装物料的堆放场地必须用棚布遮盖，拌合设备尽量封闭；③施工噪音防护措施：施工噪音执行《建筑施工噪音标准限值》（GB12523-90）规定的有关标准，未经环保部门批准中午和夜间不得施工作业；对高噪音的施工机械或加工环节尽量安排在远离民居的地方。④针对固体废物可能产生的多种环境影响，须采取必要的措施分类收集，运至指定地点和按规定进行处理。⑤制定建筑废弃物管理计划，达到绿色建筑施工的要求。⑥红线范围内必须落实雨污分流，生活污水须经过化粪池处理后接入市政管网排放。</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由于承包人原因导致的投诉、索赔、指控，由承包人承担全部责任，同时造成工期延误的，发包人将按照合同条款相关约定进行索赔。</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以上须采取的所有措施费用及相关的费用已含在合同价中。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第三、投标报价时应考虑聘请专业保安公司负责施工现场保安工作，并按主管部门的要求，发包人和监理工程师的审批方案在工地安装视频监控系统，履盖全场，保证正常使用。采取相应保卫措施防止出现财、物被盗行为，相关费用已包括在安全文明施工措施费中，发包人不再另行支付此类费用。</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已完工程及设备保护费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应充分考虑本工程的已完工程及设备保护，其费用已包含在合同价内，结算不再调整；②承包人应充分考虑施工影响范围内的地上、地下设施，建筑物的临时保护等措施，以及对周围建筑物、周围道路管线的沉降和位移按照施工规范进行质量、安全性</w:t>
      </w:r>
      <w:r>
        <w:rPr>
          <w:rFonts w:hint="eastAsia" w:hAnsi="宋体" w:cs="宋体"/>
          <w:strike w:val="0"/>
          <w:dstrike w:val="0"/>
          <w:snapToGrid w:val="0"/>
          <w:color w:val="auto"/>
          <w:kern w:val="0"/>
          <w:highlight w:val="none"/>
          <w:lang w:val="en-US" w:eastAsia="zh-CN"/>
        </w:rPr>
        <w:t>检查</w:t>
      </w:r>
      <w:r>
        <w:rPr>
          <w:rFonts w:hint="eastAsia" w:ascii="宋体" w:hAnsi="宋体" w:eastAsia="宋体" w:cs="宋体"/>
          <w:snapToGrid w:val="0"/>
          <w:color w:val="auto"/>
          <w:kern w:val="0"/>
          <w:highlight w:val="none"/>
        </w:rPr>
        <w:t>，对于现场及周边临近的可能发生的危险情况及时向监理工程师或主管部门报告，在施工现场根据相关要求准备应急物资并及时采取有效措施，保护费用已包含在合同价中，结算时不再调整。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施工降排水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应按照地质报告、设计图纸要求、降水水位要求、现场实际和工程经验等对降排水进行深化设计、维护和加固，其深化应经过设计单位的审批、监理工程师和发包人的同意，施工降排水应包括设计、施工、加固、维护直至竣工的全部施工和抽排水工作，同时保证护栏的安全性。</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本工程施工期间地表及地下水采用有组织的排放，采取的施工排水、降水应确保周边建（构）筑物的安全等有效措施。 </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承包人应综合考虑施工期间除不可抗力原因外的气候条件造成的现场工程量的增加及其它风险（如发包人提供的地质报告等相关资料可能存在与实际不符）。</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雨季施工随时与气象部门保持联系，在大雨、台风到来之前按有关主管部门规定的防洪防汛应急措施等。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以上有关费用已含在施工降排水费用中，结算不作调整。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水土保持</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承包人必须按照水土保持方案以及监理和检测单位的要求，采取设置排水沟、排洪沟、沉砂池、砂袋、植草等水土保持和防洪排涝措施，优化挖方填方，对土石方合理利用；对已完工土石方工程裸露表面，及时采取防护措施、严格控制水土流失，实现水土流失防治目标；及时做好排水导流工作，使地表径流和工程用水经沉砂池沉降后方可排放，沉砂池要定期清理，减轻水流对裸露地表的冲刷，防止泥砂流出对周边区域造成危害；临时堆土要全面覆盖，减少粉尘及雨水冲刷，堆土清理后或其他裸露地要采取恢复植被或其他防止水土流失措施。</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施工用水、用电等</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①承包人根据现场条件和工程情况，接通生活和生产区场内外的给水、排水、施工用电、通讯等工作，同时承包人应自备充足的发电机，确保施工过程中的水、电安全稳定供应，结算费用不作调整。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②所有施工场地范围内涉及的废弃物与垃圾清理、外运，以及场地平整。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③为建设单位、监理单位提供施工现场临时办公、会议室用房和办公必须品，并开通通讯线路。</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④合同工期和顺延工期内临时用地（含占道）、房屋租赁的手续费和租金。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与其他工程的衔接、管理与配合费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由承包人负责工程衔接各专业工程进度安排、施工现场管理协调等工作。对安全、文明、施工、运输、仓储、住宿统筹管理；确定合理的工序和进度计划、安排作业面与通道、提供场地；工程完工后的整体调试、验收和竣工资料整理；按专业设计图纸要求配合做好埋件、预留洞、预埋管等工作；提供脚手架供专业承包人使用；提供照明、临时水电等设施。其费用在对其他工程的衔接、管理和配合费用中报价，结算不做调整。</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4.7.8</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因承包人原因而引起的罚款、索赔和指控等责任由承包人自行承担。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工程完工后需要恢复的建筑物、构筑物，承包人必须及时恢复，并使监理工程师和发包人满意，满足政府管理部门的规定和要求。</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4.7.10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必须按有关法规、标准、规定或发包人的合理要求实施有关措施项目，若以上设施或措施达不到要求，工程师发出指令后，承包人应按照要求予以整改，其费用由承包人承担。承包人拒绝整改或未能及时整改，发包人有权要求承包人支付违约金50万元，并将其列入履约考评不良纪录，同时发包人有权委托第三方实施，所有费用由承包人承担。由于承包人原因导致的投诉、索赔、指控，由承包人承担全部责任，同时造成工期延误的，发包人将按照合同条款相关约定进行索赔。</w:t>
      </w:r>
    </w:p>
    <w:p>
      <w:pPr>
        <w:wordWrap w:val="0"/>
        <w:adjustRightInd w:val="0"/>
        <w:snapToGrid w:val="0"/>
        <w:ind w:firstLine="482" w:firstLineChars="200"/>
        <w:rPr>
          <w:rFonts w:hint="eastAsia" w:ascii="宋体" w:hAnsi="宋体" w:eastAsia="宋体" w:cs="宋体"/>
          <w:b/>
          <w:snapToGrid w:val="0"/>
          <w:color w:val="auto"/>
          <w:kern w:val="0"/>
          <w:highlight w:val="none"/>
        </w:rPr>
      </w:pPr>
      <w:r>
        <w:rPr>
          <w:rFonts w:hint="eastAsia" w:ascii="宋体" w:hAnsi="宋体" w:eastAsia="宋体" w:cs="宋体"/>
          <w:b/>
          <w:snapToGrid w:val="0"/>
          <w:color w:val="auto"/>
          <w:kern w:val="0"/>
          <w:highlight w:val="none"/>
        </w:rPr>
        <w:t>4.7.11</w:t>
      </w:r>
      <w:r>
        <w:rPr>
          <w:rFonts w:hint="eastAsia" w:hAnsi="宋体" w:eastAsia="宋体" w:cs="宋体"/>
          <w:b/>
          <w:snapToGrid w:val="0"/>
          <w:color w:val="auto"/>
          <w:kern w:val="0"/>
          <w:highlight w:val="none"/>
          <w:lang w:val="en-US" w:eastAsia="zh-CN"/>
        </w:rPr>
        <w:t xml:space="preserve"> </w:t>
      </w:r>
      <w:r>
        <w:rPr>
          <w:rFonts w:hint="eastAsia" w:ascii="宋体" w:hAnsi="宋体" w:eastAsia="宋体" w:cs="宋体"/>
          <w:b/>
          <w:snapToGrid w:val="0"/>
          <w:color w:val="auto"/>
          <w:kern w:val="0"/>
          <w:highlight w:val="none"/>
        </w:rPr>
        <w:t>承包人必须按照《建设工程安全生产管理条例》和《危险性较大的分部分项工程安全管理办法》进行施工，应按有关规定提供相应的防护措施且在施工前编制危险性较大分部分项工程的专项施工方案，有关费用已含在合同价中。因承包人原因，导致的安全事故，由承包人承担相应责任及发生的费用。</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4.8</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解除合同后续工程的补充约定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包人向承包人发出解除或部分解除合同通知到达后，本合同即解除或部分解除，承包人必须在3日内停止施工，5日内将现场施工材料设备、工程用机具设备和人员等撤出施工场地，完成现场和有关资料的移交，并于完成交接工作当日内离场。承包人应保护好已完工程、已购设备材料，保证所移交的资料齐全完整。承包人无特殊原因未在规定期限内移交、离场或移交完整资料，发包人有权处理其留在现场的材料、设备和其他物件，处理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对于部分解除合同的情形，承包人拒不履行配合，发包人有权全部解除合同，如果造成发包人工期延误和其他方面的损失，发包人将要求承包人赔偿有关损失。发包人在发出解除合同的通知后，发包人即可清理现场、委托重新招标或委托新的承包人承接该工程。同时，承包人不得影响或阻碍新的承包人办理进场手续和相关工作。</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由于承包人原因导致的合同解除或部分合同解除，承包人已经订货的材料、设备，以及已进场尚未安装的材料设备均由承包人负责退货或解除订货合同，不能退还的货款、定金、订金，因退货和解除订货合同发生的费用以及因无法退货造成的损失均由承包人承担，发包人不予补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非承包人原因导致的合同解除或部分合同解除，承包人已经签订订货合同，但尚未进场的材料、设备；或虽已进场但发包人或监理工程师验货不合格的，解除订货合同或退货发生的费用以及因无法退货造成的损失均由承包人承担，发包人不予补偿。</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经发包人或监理工程师验货、签收，且已进场的材料设备但尚未安装的材料设备，费用由发包人承担。数量按发包人、监理工程师审核确认的数量；原投标设备材料表中已列明单价，单价按投标报价计算，原投标设备材料表中未列明单价的，按预算审定价中的材料设备价*（1-下浮率）计算。</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承包人的已完工程结算时间由发包人确定。按本合同结算条款约定办理结算，同时必须按合同约定扣除违约金、赔偿金。</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4.8.5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因承包人原因导致解除合同，发包人所遭受的一切损失,由承包人承担全部赔偿责任。</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4.9</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承包人违约责任追究补充细则</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工程质量达不到合同约定的质量标准承包人违约责任：如未达到</w:t>
      </w:r>
      <w:r>
        <w:rPr>
          <w:rFonts w:hint="eastAsia" w:ascii="宋体" w:hAnsi="宋体" w:eastAsia="宋体" w:cs="宋体"/>
          <w:bCs/>
          <w:snapToGrid w:val="0"/>
          <w:color w:val="auto"/>
          <w:kern w:val="0"/>
          <w:highlight w:val="none"/>
          <w:u w:val="single"/>
        </w:rPr>
        <w:t>《建筑工程施工质量验收统一标准》(GB50300-2013)</w:t>
      </w:r>
      <w:r>
        <w:rPr>
          <w:rFonts w:hint="eastAsia" w:ascii="宋体" w:hAnsi="宋体" w:eastAsia="宋体" w:cs="宋体"/>
          <w:snapToGrid w:val="0"/>
          <w:color w:val="auto"/>
          <w:kern w:val="0"/>
          <w:highlight w:val="none"/>
        </w:rPr>
        <w:t>合格，除则按合同价款的</w:t>
      </w:r>
      <w:r>
        <w:rPr>
          <w:rFonts w:hint="eastAsia" w:ascii="宋体" w:hAnsi="宋体" w:eastAsia="宋体" w:cs="宋体"/>
          <w:snapToGrid w:val="0"/>
          <w:color w:val="auto"/>
          <w:kern w:val="0"/>
          <w:highlight w:val="none"/>
          <w:u w:val="single"/>
        </w:rPr>
        <w:t>1%</w:t>
      </w:r>
      <w:r>
        <w:rPr>
          <w:rFonts w:hint="eastAsia" w:ascii="宋体" w:hAnsi="宋体" w:eastAsia="宋体" w:cs="宋体"/>
          <w:snapToGrid w:val="0"/>
          <w:color w:val="auto"/>
          <w:kern w:val="0"/>
          <w:highlight w:val="none"/>
        </w:rPr>
        <w:t xml:space="preserve">向招标人返纳质量违约金外，发包人有权利选择以下方式返工或修复，承包人不得异议：⑴ 发包人要求承包人在监理工程师和发包人要求的合理时间内，完成质量不合格工程的返工或修复工作，直至合同约定的质量标准，由此造成的工期延误和所有费用，全部由承包人承担；⑵发包人直接委托其它承包人完成质量不合格部分工程的返工或修复工作，由此造成的工期延误和所有费用，全部由承包人承担。（3）无论采取以上何种方式返工或修复，发包人均有权提请建设行政主管部门对其作不良行为记录，有权给予承包人履约评价为不合格，同时发包人有权拒绝承包人3年内参加发包人其它工程的投标。  </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承包人违反本合同的约定，应当按约定向发包人承担相应的违约责任。本合同违约责任形式按以下情况分类：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（1）限期改正。承包人未履行或未按时履行或未按质履行义务时，发包人有权提出书面警告，承包人必须在发包人限定的时间内履行义务。每一次书面警告扣除违约金人民币壹仟元（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1000）。</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（2）一般违约责任。承包人按本合同约定应当承担一般违约责任时，在发包人提出书面警告或通知后扣除违约金人民币伍仟元（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5000）/次。合同另有约定的除外。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（3）严重违约责任。承包人按本合同约定应当承担严重违约责任时，在发包人提出书面警告或通知后扣除违约金伍万元（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50000）/次。合同另有约定的除外。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（4）部分解除合同。三次受到发包人书面警告，发包人有权直接解除合同或部分解除合同，按承包人违约解除合同的条款执行。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三次限期改正责任相当于一次一般违约责任，三次一般违约责任相当于一次严重违约责任；累计三次严重违约责任，发包人有权单方部分解除合同；累计五次严重违约责任，发包人有权全部解除合同。合同另有约定的除外。</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承包人未按合同要求建立组织架构、派驻项目管理人员和投入设备，承包人必须按发包人要求限期整改，并承担相应违约责任。具体约定为：</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在中标通知书发出后3日内，承包人承诺的项目技术负责人（总工）不到位，或到位后又离开，造成该岗位空缺。发包人一旦发现，将要求承包人做出书面解释并保证限期到位，同时将承担一般违约责任1次；若承包人拒不配合，未在发包人提出限期改正的期限内进行整改的，应承担严重违约责任1次，发包人有权单方提出解除合同，并要求承包人承担由此造成的一切损失。</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在规定的时间内施工人员和设备进场后3日内，承包人在投标文件中承诺的其他主要管理人员未能足额到位，或到位后又离开，造成该岗位空缺，以及未按承诺依时、足额投入有关设备，发包人一旦发现将要求承包人做出书面解释并保证人员、设备限期到位。上述情况每发生1次，承包人应承担限期改正责任1次。如果承包人拒不配合，未在发包人提出限期改正的期限内进行整改的，承包人应承担一般违约责任1次，连续二次书面通知整改拒不配合的，承包人应承担严重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4.9.5</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如需要调换除项目经理外的其他主要管理人员，必须事先征得发包人书面同意。如承包人未经发包人书面同意，擅自调换项目主要管理人员，除必须限期改正外，承包人必须承担严重违约责任，发包人有权暂停支付工程款，并保留索赔的权利。</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4.9.6</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除项目经理外的其他主要管理人员需离开施工现场3日以上（含3日）需报发包人批准。在其请假离开的时间段内应书面委托其他驻场管理人员全权代表其行使相应职权。否则，每违约一次，承包人应当承担限期整改责任1次。在国家法定节假日期间，承包人应做好管理人员的轮休，并保证现场管理人员不少于3名。在工程实施期间，承包人应对现场主要管理人员进行考勤，并在每月1日前将前一月考勤表报送甲方审核。现场主要管理人员出勤天数均不得少于22天，若少于22天将按每缺勤一天扣减工程费用叁仟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3000）/每人次处理。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4.9.7</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承包人项目经理和主要管理人员的考勤实行实名制打卡，承包人项目经理和主要管理人员的考勤若发现有弄虚作假行为，发现一次，承包人应承担一般违约责任1次。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4.9.8 对于难以胜任工作的承包人管理人员和主要操作技术人员，发包人有权要求承包人进行更换，直至发包人满意为止，且更换人员应在接到书面通知后的3天内到位。</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4.9.9</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招标文件及合同要求按期提交发包人工程指挥部所需要的各项设施，应承担限期整改责任1次，若限期整改仍不提交，应承担一般违约责任1次，发包人有权自行安排临时设施的建设，所有费用由承包人工程费用中扣减。</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4.9.10</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承包人未按合同及投标书所作的承诺投入机械、设备、材料等，被监理工程师或发包人发现后，承包人除必须限期改正外，应承担限期改正责任1次。</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工程承包人每次的进场材料，若出现不合格材料使用于工程上并造成质量缺陷，承包人必须承担一般违约责任1次。若出现质量事故或经济损失一次人民币壹拾万元（</w:t>
      </w:r>
      <w:r>
        <w:rPr>
          <w:rFonts w:hint="eastAsia" w:hAnsi="宋体" w:cs="宋体"/>
          <w:snapToGrid w:val="0"/>
          <w:color w:val="auto"/>
          <w:kern w:val="0"/>
          <w:highlight w:val="none"/>
          <w:lang w:eastAsia="zh-CN"/>
        </w:rPr>
        <w:t>¥</w:t>
      </w:r>
      <w:r>
        <w:rPr>
          <w:rFonts w:hint="eastAsia" w:ascii="宋体" w:hAnsi="宋体" w:eastAsia="宋体" w:cs="宋体"/>
          <w:snapToGrid w:val="0"/>
          <w:color w:val="auto"/>
          <w:kern w:val="0"/>
          <w:highlight w:val="none"/>
        </w:rPr>
        <w:t>100,000）以上的，必须承担严重违约责任1次。造成重大质量安全事故（按国家安监部门规定界定），发包人视情况部分或全部解除合同。同时，发包人有权追究当事人和承包人的法律责任。</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的工程质量，经监理工程师、发包人或工程质量监督机构抽查，发现质量有不合格、或未按设计要求和有关规范进行施工的，每发现一处承包人应承担一般违约责任1次；出现大面积质量不合格（占比达30％及以上），每发现一处承包人应承担严重违约责任1次，发包人将情况通报纪检监察和建设行政主管部门，必要时申请调查责任相关人员，且承包人应赔偿发包人的经济损失。</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承包人没有按投标承诺和有关规定做好文明施工措施及安全生产，当发生包括但不限于以下情况：工人不统一着装、施工临时材料如脚手架、泥网等过于陈旧、现场垃圾未安排专人清理、现场排水不畅污水横流、交通组织不力现场交通严重拥挤、材料设备堆放混乱、安全防护不符合要求、既有管线被破坏、野蛮施工造成周边环境破坏及警示安全标志不齐等，被监理工程师、发包人发现后，承包人除必须限期改正外，每发生一次（或一处），承包人必须承担限期改正责任1次。由此而被上级主管部门通报批评、被新闻媒体曝光的，承包人应承担一般违约责任1次；若由此发生安全生产事故，承包人应承担严重违约责任1次；造成严重安全事故等情节严重的，发包人有权部分或全部解除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4.9.14</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因承包人原因造成工程投资增加的，承包人应赔偿发包人由此遭受的实际损失，情况严重时发包人有权单方解除本施工合同。</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1）若因承包人未按设计规定和施工技术规程要求认真做好施工现场的临时降水、排水（尤其是雨季施工期间）工作导致需要进行地基处理、边坡加固等情况时，每发生一处承包人应负严重违约责任1次，由此造成的工程投资增加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（2）若承包人未严格按施工进度计划要求组织施工造成工期拖延，导致一些工程项目被迫进入雨季施工而引起投资增加的，承包人应承担严重违约责任1次，由此造成的投资增加由承包人负责。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（3）承包人未经监理工程师、发包人同意擅自改变施工技术方案和工艺，造成投资增加的，应承担严重违约责任1次，由此造成的投资增加由承包人负责。</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承包人未拟定临时设施方案并经监理工程师、发包人审批同意擅自实施临时设施建设，若此临时设施建设经核实无法达到合同规定的要求，承包人应承担限期整改责任1次，若承包人拒绝限期整改应当承担一般违约责任1次，同时发包人有权按实际发生重新核定安全文明施工措施费。</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（5）承包人提供虚假情况或制造现场假象造成设计变更及投资增加时，经监理公司、发包人发现，承包人应承担严重违约责任1次，造成的投资增加由承包人承担。</w:t>
      </w:r>
    </w:p>
    <w:p>
      <w:pPr>
        <w:pStyle w:val="31"/>
        <w:spacing w:line="360" w:lineRule="auto"/>
        <w:ind w:firstLine="482" w:firstLineChars="200"/>
        <w:jc w:val="left"/>
        <w:rPr>
          <w:rFonts w:hint="eastAsia" w:ascii="宋体" w:hAnsi="宋体" w:eastAsia="宋体" w:cs="宋体"/>
          <w:color w:val="auto"/>
          <w:sz w:val="24"/>
          <w:highlight w:val="none"/>
        </w:rPr>
      </w:pPr>
      <w:r>
        <w:rPr>
          <w:rFonts w:hint="eastAsia" w:ascii="宋体" w:hAnsi="宋体" w:eastAsia="宋体" w:cs="宋体"/>
          <w:snapToGrid w:val="0"/>
          <w:color w:val="auto"/>
          <w:kern w:val="0"/>
          <w:sz w:val="24"/>
          <w:highlight w:val="none"/>
        </w:rPr>
        <w:t>4.9.15</w:t>
      </w:r>
      <w:r>
        <w:rPr>
          <w:rFonts w:hint="eastAsia" w:ascii="宋体" w:hAnsi="宋体" w:eastAsia="宋体" w:cs="宋体"/>
          <w:snapToGrid w:val="0"/>
          <w:color w:val="auto"/>
          <w:kern w:val="0"/>
          <w:sz w:val="24"/>
          <w:highlight w:val="none"/>
          <w:lang w:val="en-US" w:eastAsia="zh-CN"/>
        </w:rPr>
        <w:t xml:space="preserve"> </w:t>
      </w:r>
      <w:r>
        <w:rPr>
          <w:rFonts w:hint="eastAsia" w:ascii="宋体" w:hAnsi="宋体" w:eastAsia="宋体" w:cs="宋体"/>
          <w:color w:val="auto"/>
          <w:sz w:val="24"/>
          <w:highlight w:val="none"/>
        </w:rPr>
        <w:t>承包人没有正当合理的理由中途退场，可扣除承包人已递交的所有履约保证金</w:t>
      </w:r>
      <w:r>
        <w:rPr>
          <w:rFonts w:hint="eastAsia" w:ascii="宋体" w:hAnsi="宋体" w:eastAsia="宋体" w:cs="宋体"/>
          <w:snapToGrid w:val="0"/>
          <w:color w:val="auto"/>
          <w:kern w:val="0"/>
          <w:sz w:val="24"/>
          <w:highlight w:val="none"/>
        </w:rPr>
        <w:t>外，承包人还须承当因其无故中途退场所造成的全部损失责任。</w:t>
      </w:r>
    </w:p>
    <w:p>
      <w:pPr>
        <w:ind w:firstLine="472" w:firstLineChars="197"/>
        <w:rPr>
          <w:rFonts w:hint="eastAsia" w:ascii="宋体" w:hAnsi="宋体" w:eastAsia="宋体" w:cs="宋体"/>
          <w:color w:val="auto"/>
          <w:highlight w:val="none"/>
        </w:rPr>
      </w:pPr>
      <w:r>
        <w:rPr>
          <w:rFonts w:hint="eastAsia" w:ascii="宋体" w:hAnsi="宋体" w:eastAsia="宋体" w:cs="宋体"/>
          <w:bCs/>
          <w:snapToGrid w:val="0"/>
          <w:color w:val="auto"/>
          <w:kern w:val="0"/>
          <w:highlight w:val="none"/>
        </w:rPr>
        <w:t>4.9.16</w:t>
      </w:r>
      <w:r>
        <w:rPr>
          <w:rFonts w:hint="eastAsia" w:hAnsi="宋体" w:eastAsia="宋体" w:cs="宋体"/>
          <w:bCs/>
          <w:snapToGrid w:val="0"/>
          <w:color w:val="auto"/>
          <w:kern w:val="0"/>
          <w:highlight w:val="none"/>
          <w:lang w:val="en-US" w:eastAsia="zh-CN"/>
        </w:rPr>
        <w:t xml:space="preserve"> </w:t>
      </w:r>
      <w:r>
        <w:rPr>
          <w:rFonts w:hint="eastAsia" w:ascii="宋体" w:hAnsi="宋体" w:eastAsia="宋体" w:cs="宋体"/>
          <w:color w:val="auto"/>
          <w:highlight w:val="none"/>
        </w:rPr>
        <w:t>有下列情况之一的，发包人有权拒绝承包人在三年内不得参与发包人的任何工程任务，并有权勒令承包人从现施工的工地退场，同时扣除承包人10万元作为违约金：</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A、路面沉降、开裂超过规范要求并造成不良社会影响的；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B、发生重大责任安全事故的；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C、承包人所承担的施工任务在施工期间，由于工程质量或工程进度原因，监理单位发出10个以上﹙含10个﹚停工令的；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D、质量监督部门在抽检时发出5个以上（含5个）由于工程质量原因通报的；</w:t>
      </w:r>
    </w:p>
    <w:p>
      <w:pPr>
        <w:ind w:firstLine="352" w:firstLineChars="147"/>
        <w:rPr>
          <w:rFonts w:hint="eastAsia" w:ascii="宋体" w:hAnsi="宋体" w:eastAsia="宋体" w:cs="宋体"/>
          <w:color w:val="auto"/>
          <w:highlight w:val="none"/>
        </w:rPr>
      </w:pPr>
      <w:r>
        <w:rPr>
          <w:rFonts w:hint="eastAsia" w:ascii="宋体" w:hAnsi="宋体" w:eastAsia="宋体" w:cs="宋体"/>
          <w:color w:val="auto"/>
          <w:highlight w:val="none"/>
        </w:rPr>
        <w:t>E、业主组织的质量大检查发现由于工程质量原因而通报二次以上（含二次）的。</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4.9.17</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承包人施工资料必须与形象进度同步，如发包人在日常检查中发现不同步的现象的，视为违约并扣除违约金5000元/每次。</w:t>
      </w:r>
    </w:p>
    <w:p>
      <w:pPr>
        <w:ind w:firstLine="472" w:firstLineChars="197"/>
        <w:rPr>
          <w:rFonts w:hint="eastAsia" w:ascii="宋体" w:hAnsi="宋体" w:eastAsia="宋体" w:cs="宋体"/>
          <w:color w:val="auto"/>
          <w:highlight w:val="none"/>
        </w:rPr>
      </w:pPr>
      <w:r>
        <w:rPr>
          <w:rFonts w:hint="eastAsia" w:ascii="宋体" w:hAnsi="宋体" w:eastAsia="宋体" w:cs="宋体"/>
          <w:color w:val="auto"/>
          <w:highlight w:val="none"/>
        </w:rPr>
        <w:t>4.9.18</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承包人因上述违约行为而须缴纳的违约金在工程进度款中或结算时一并扣除。</w:t>
      </w:r>
    </w:p>
    <w:p>
      <w:pPr>
        <w:wordWrap w:val="0"/>
        <w:adjustRightInd w:val="0"/>
        <w:snapToGrid w:val="0"/>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rPr>
        <w:t>4.10</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发包人将根据承包人的投标文件，严格考核施工项目管理人员的日常到位情况，并定期按照发包人的合同履约评价管理办法对承包人的合同履行情况进行评价，</w:t>
      </w:r>
      <w:r>
        <w:rPr>
          <w:rFonts w:hint="eastAsia" w:ascii="宋体" w:hAnsi="宋体" w:eastAsia="宋体" w:cs="宋体"/>
          <w:color w:val="auto"/>
          <w:highlight w:val="none"/>
        </w:rPr>
        <w:t>评价内容包含人员到位情况、服务配合程度、服务成果质量、项目后期服务及信用评价结果的运用等。</w:t>
      </w:r>
      <w:r>
        <w:rPr>
          <w:rFonts w:hint="eastAsia" w:ascii="宋体" w:hAnsi="宋体" w:eastAsia="宋体" w:cs="宋体"/>
          <w:snapToGrid w:val="0"/>
          <w:color w:val="auto"/>
          <w:kern w:val="0"/>
          <w:highlight w:val="none"/>
        </w:rPr>
        <w:t>履约评价为不合格的，发包人有权拒绝承包人3年内参加发包人任何其它工程的投标，有权报请建设行政主管部门对其作不良行为记录。</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4.11</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承包人提供竣工资料的约定：</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本工程具备竣工验收条件后14天内，承包人按国家建设部、广东省及南雄市的有关规定和发包人的要求编制工程竣工资料（包括施工原始记录、照片等资料），向工程师提供完整竣工验收资料8套、竣工验收报告和相应的声像、电子文件，并由承包人及时向主管部门和监督部门备案。工程师收到竣工验收资料后，应在10天内审核，若不符合要求，工程师可提出整改意见。承包人按要求整改合格后报工程师，工程师在整改验收合格后10天内应组织有关单位进行初步验收，并在10天内对工程质量予以认可或提出再次整改意见。承包人按要求再次整改，并承担由其自身原因造成的整改费用。编制竣工图、竣工资料的费用已含在合同价中。</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竣工验收资料包括全部工程（包括项目单位发包项目及其他分包工程）的竣工图纸和竣工资料，以及经确认的深化设计图纸和技术资料。各类分包工程的竣工资料均由承包人负责编制、指导、审阅、汇总、整理、归档，费用由本合同承包人自行承担。</w:t>
      </w:r>
    </w:p>
    <w:p>
      <w:pPr>
        <w:wordWrap w:val="0"/>
        <w:adjustRightInd w:val="0"/>
        <w:snapToGrid w:val="0"/>
        <w:ind w:firstLine="482" w:firstLineChars="200"/>
        <w:rPr>
          <w:rFonts w:hint="eastAsia" w:ascii="宋体" w:hAnsi="宋体" w:eastAsia="宋体" w:cs="宋体"/>
          <w:b/>
          <w:bCs/>
          <w:snapToGrid w:val="0"/>
          <w:color w:val="auto"/>
          <w:kern w:val="0"/>
          <w:highlight w:val="none"/>
        </w:rPr>
      </w:pPr>
      <w:r>
        <w:rPr>
          <w:rFonts w:hint="eastAsia" w:ascii="宋体" w:hAnsi="宋体" w:eastAsia="宋体" w:cs="宋体"/>
          <w:b/>
          <w:bCs/>
          <w:snapToGrid w:val="0"/>
          <w:color w:val="auto"/>
          <w:kern w:val="0"/>
          <w:highlight w:val="none"/>
        </w:rPr>
        <w:t>4.12</w:t>
      </w:r>
      <w:r>
        <w:rPr>
          <w:rFonts w:hint="eastAsia" w:hAnsi="宋体" w:eastAsia="宋体" w:cs="宋体"/>
          <w:b/>
          <w:bCs/>
          <w:snapToGrid w:val="0"/>
          <w:color w:val="auto"/>
          <w:kern w:val="0"/>
          <w:highlight w:val="none"/>
          <w:lang w:val="en-US" w:eastAsia="zh-CN"/>
        </w:rPr>
        <w:t xml:space="preserve"> </w:t>
      </w:r>
      <w:r>
        <w:rPr>
          <w:rFonts w:hint="eastAsia" w:ascii="宋体" w:hAnsi="宋体" w:eastAsia="宋体" w:cs="宋体"/>
          <w:b/>
          <w:bCs/>
          <w:snapToGrid w:val="0"/>
          <w:color w:val="auto"/>
          <w:kern w:val="0"/>
          <w:highlight w:val="none"/>
        </w:rPr>
        <w:t>工程移交及档案管理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4.12.1</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工程完工后，承包人必须及时按相关档案管理规定整理及移交竣工档案，承包人办理工程结算需提交相关工程档案移交签字单，否则结算不予办理。</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4.12.2</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工程竣工验收合格后承包人必须将成品移交给发包人指定的接管单位。在移交工作完成前，现场所有安全及成品保护责任和费用由承包人承担。</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4.12.3</w:t>
      </w:r>
      <w:r>
        <w:rPr>
          <w:rFonts w:hint="eastAsia" w:hAnsi="宋体" w:eastAsia="宋体" w:cs="宋体"/>
          <w:snapToGrid w:val="0"/>
          <w:color w:val="auto"/>
          <w:kern w:val="0"/>
          <w:highlight w:val="none"/>
          <w:lang w:val="en-US" w:eastAsia="zh-CN"/>
        </w:rPr>
        <w:t xml:space="preserve"> </w:t>
      </w:r>
      <w:r>
        <w:rPr>
          <w:rFonts w:hint="eastAsia" w:ascii="宋体" w:hAnsi="宋体" w:eastAsia="宋体" w:cs="宋体"/>
          <w:snapToGrid w:val="0"/>
          <w:color w:val="auto"/>
          <w:kern w:val="0"/>
          <w:highlight w:val="none"/>
        </w:rPr>
        <w:t>在向发包人指定的接管单位移交钥匙的同时提供下列清单：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①办理钥匙移交清单；</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②双方抄好水表电表底数；</w:t>
      </w:r>
    </w:p>
    <w:p>
      <w:pPr>
        <w:wordWrap w:val="0"/>
        <w:adjustRightInd w:val="0"/>
        <w:snapToGrid w:val="0"/>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③列出详细的设备、物件移交清单，标明名称、数量、外观、状态等基本资料</w:t>
      </w:r>
    </w:p>
    <w:p>
      <w:pPr>
        <w:pStyle w:val="42"/>
        <w:keepNext w:val="0"/>
        <w:keepLines w:val="0"/>
        <w:widowControl w:val="0"/>
        <w:wordWrap w:val="0"/>
        <w:adjustRightInd w:val="0"/>
        <w:snapToGrid w:val="0"/>
        <w:spacing w:before="0" w:after="0"/>
        <w:jc w:val="both"/>
        <w:rPr>
          <w:rFonts w:hint="eastAsia" w:ascii="宋体" w:hAnsi="宋体" w:eastAsia="宋体" w:cs="宋体"/>
          <w:snapToGrid w:val="0"/>
          <w:color w:val="auto"/>
          <w:szCs w:val="24"/>
          <w:highlight w:val="none"/>
        </w:rPr>
      </w:pPr>
      <w:r>
        <w:rPr>
          <w:rFonts w:hint="eastAsia" w:ascii="宋体" w:hAnsi="宋体" w:eastAsia="宋体" w:cs="宋体"/>
          <w:snapToGrid w:val="0"/>
          <w:color w:val="auto"/>
          <w:szCs w:val="24"/>
          <w:highlight w:val="none"/>
        </w:rPr>
        <w:t>4.12.4</w:t>
      </w:r>
      <w:r>
        <w:rPr>
          <w:rFonts w:hint="eastAsia" w:ascii="宋体" w:hAnsi="宋体" w:cs="宋体"/>
          <w:snapToGrid w:val="0"/>
          <w:color w:val="auto"/>
          <w:szCs w:val="24"/>
          <w:highlight w:val="none"/>
          <w:lang w:val="en-US" w:eastAsia="zh-CN"/>
        </w:rPr>
        <w:t xml:space="preserve"> </w:t>
      </w:r>
      <w:r>
        <w:rPr>
          <w:rFonts w:hint="eastAsia" w:ascii="宋体" w:hAnsi="宋体" w:eastAsia="宋体" w:cs="宋体"/>
          <w:snapToGrid w:val="0"/>
          <w:color w:val="auto"/>
          <w:szCs w:val="24"/>
          <w:highlight w:val="none"/>
        </w:rPr>
        <w:t>按国家、省市和建设主管部门的相关规定应当移交的其他资料。</w:t>
      </w:r>
      <w:bookmarkStart w:id="305" w:name="_Toc16839"/>
      <w:bookmarkStart w:id="306" w:name="_Toc8254"/>
    </w:p>
    <w:p>
      <w:pPr>
        <w:pStyle w:val="42"/>
        <w:keepNext w:val="0"/>
        <w:keepLines w:val="0"/>
        <w:widowControl w:val="0"/>
        <w:wordWrap w:val="0"/>
        <w:adjustRightInd w:val="0"/>
        <w:snapToGrid w:val="0"/>
        <w:spacing w:before="0" w:after="0"/>
        <w:ind w:left="3626" w:leftChars="15" w:hanging="3590" w:hangingChars="1496"/>
        <w:jc w:val="both"/>
        <w:rPr>
          <w:rFonts w:hint="eastAsia" w:ascii="宋体" w:hAnsi="宋体" w:eastAsia="宋体" w:cs="宋体"/>
          <w:snapToGrid w:val="0"/>
          <w:color w:val="auto"/>
          <w:szCs w:val="24"/>
          <w:highlight w:val="none"/>
        </w:rPr>
      </w:pPr>
    </w:p>
    <w:p>
      <w:pPr>
        <w:pStyle w:val="42"/>
        <w:keepNext w:val="0"/>
        <w:keepLines w:val="0"/>
        <w:widowControl w:val="0"/>
        <w:wordWrap w:val="0"/>
        <w:adjustRightInd w:val="0"/>
        <w:snapToGrid w:val="0"/>
        <w:spacing w:before="0" w:after="0"/>
        <w:ind w:left="3640" w:leftChars="15" w:hanging="3604" w:hangingChars="1496"/>
        <w:jc w:val="both"/>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br w:type="page"/>
      </w:r>
      <w:r>
        <w:rPr>
          <w:rFonts w:hint="eastAsia" w:ascii="宋体" w:hAnsi="宋体" w:eastAsia="宋体" w:cs="宋体"/>
          <w:b/>
          <w:snapToGrid w:val="0"/>
          <w:color w:val="auto"/>
          <w:highlight w:val="none"/>
        </w:rPr>
        <w:t>附件一： 预付款保函</w:t>
      </w:r>
      <w:bookmarkEnd w:id="305"/>
      <w:bookmarkEnd w:id="306"/>
    </w:p>
    <w:p>
      <w:pPr>
        <w:jc w:val="center"/>
        <w:rPr>
          <w:rFonts w:hint="eastAsia" w:ascii="宋体" w:hAnsi="宋体" w:eastAsia="宋体" w:cs="宋体"/>
          <w:color w:val="auto"/>
          <w:szCs w:val="21"/>
          <w:highlight w:val="none"/>
        </w:rPr>
      </w:pPr>
      <w:r>
        <w:rPr>
          <w:rFonts w:hint="eastAsia" w:ascii="宋体" w:hAnsi="宋体" w:eastAsia="宋体" w:cs="宋体"/>
          <w:b/>
          <w:bCs/>
          <w:snapToGrid w:val="0"/>
          <w:color w:val="auto"/>
          <w:kern w:val="0"/>
          <w:highlight w:val="none"/>
        </w:rPr>
        <w:t xml:space="preserve">  </w:t>
      </w:r>
      <w:r>
        <w:rPr>
          <w:rFonts w:hint="eastAsia" w:ascii="宋体" w:hAnsi="宋体" w:eastAsia="宋体" w:cs="宋体"/>
          <w:b/>
          <w:bCs/>
          <w:color w:val="auto"/>
          <w:sz w:val="32"/>
          <w:szCs w:val="32"/>
          <w:highlight w:val="none"/>
        </w:rPr>
        <w:t xml:space="preserve"> </w:t>
      </w:r>
      <w:bookmarkStart w:id="307" w:name="_Toc14863"/>
      <w:r>
        <w:rPr>
          <w:rFonts w:hint="eastAsia" w:ascii="宋体" w:hAnsi="宋体" w:eastAsia="宋体" w:cs="宋体"/>
          <w:b/>
          <w:bCs/>
          <w:color w:val="auto"/>
          <w:sz w:val="32"/>
          <w:szCs w:val="32"/>
          <w:highlight w:val="none"/>
        </w:rPr>
        <w:t>预付款保函</w:t>
      </w:r>
      <w:bookmarkEnd w:id="307"/>
    </w:p>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（以下简称“</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合同”），我方（即“开立人”）根据</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合同了解到申请人为</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合同项下之承包人，受益人为</w:t>
      </w:r>
      <w:r>
        <w:rPr>
          <w:rFonts w:hint="eastAsia" w:hAnsi="宋体" w:eastAsia="宋体" w:cs="宋体"/>
          <w:color w:val="auto"/>
          <w:highlight w:val="none"/>
          <w:lang w:val="en-US" w:eastAsia="zh-CN"/>
        </w:rPr>
        <w:t>基础</w:t>
      </w:r>
      <w:r>
        <w:rPr>
          <w:rFonts w:hint="eastAsia" w:ascii="宋体" w:hAnsi="宋体" w:eastAsia="宋体" w:cs="宋体"/>
          <w:color w:val="auto"/>
          <w:highlight w:val="none"/>
        </w:rPr>
        <w:t xml:space="preserve">合同项下之发包人，基于申请人的请求，我方同意就申请人按照合同约定正确和合理地为合同目的使用预付款，向贵方提供不可撤销、不可转让的见索即付独立保函（以下简称“本保函”）。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一、本保函担保范围：申请人未按照合同约定正确和合理地为合同目的使用预付款，应当向贵方承担的违约责任和赔偿因此造成的损失、利息、律师费、诉讼费用等实现债权的费用。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三、本保函有效期自开立之日起至发包人全额扣回预付款后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九、本保函自我方法定代表人或授权代表签字并加盖公章之日起生效。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开立时间：      年      月        日</w:t>
      </w: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29"/>
        <w:ind w:firstLine="0"/>
        <w:rPr>
          <w:rFonts w:hint="eastAsia" w:ascii="宋体" w:hAnsi="宋体" w:eastAsia="宋体" w:cs="宋体"/>
          <w:color w:val="auto"/>
          <w:sz w:val="24"/>
          <w:szCs w:val="24"/>
          <w:highlight w:val="none"/>
        </w:rPr>
      </w:pPr>
    </w:p>
    <w:p>
      <w:pPr>
        <w:pStyle w:val="42"/>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bookmarkStart w:id="308" w:name="_Toc6023"/>
      <w:bookmarkStart w:id="309" w:name="_Toc10704"/>
    </w:p>
    <w:p>
      <w:pPr>
        <w:pStyle w:val="42"/>
        <w:keepNext w:val="0"/>
        <w:keepLines w:val="0"/>
        <w:widowControl w:val="0"/>
        <w:wordWrap w:val="0"/>
        <w:adjustRightInd w:val="0"/>
        <w:snapToGrid w:val="0"/>
        <w:spacing w:before="0" w:after="0" w:line="240" w:lineRule="auto"/>
        <w:ind w:left="3640" w:leftChars="15" w:hanging="3604" w:hangingChars="1496"/>
        <w:jc w:val="both"/>
        <w:rPr>
          <w:rFonts w:hint="eastAsia" w:ascii="宋体" w:hAnsi="宋体" w:eastAsia="宋体" w:cs="宋体"/>
          <w:b/>
          <w:snapToGrid w:val="0"/>
          <w:color w:val="auto"/>
          <w:highlight w:val="none"/>
        </w:rPr>
      </w:pPr>
      <w:r>
        <w:rPr>
          <w:rFonts w:hint="eastAsia" w:ascii="宋体" w:hAnsi="宋体" w:eastAsia="宋体" w:cs="宋体"/>
          <w:b/>
          <w:snapToGrid w:val="0"/>
          <w:color w:val="auto"/>
          <w:highlight w:val="none"/>
        </w:rPr>
        <w:t>附件二：履约保函</w:t>
      </w:r>
      <w:bookmarkEnd w:id="308"/>
      <w:bookmarkEnd w:id="309"/>
      <w:bookmarkStart w:id="310" w:name="_Toc28124"/>
      <w:bookmarkStart w:id="311" w:name="_Toc4311"/>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履约保函</w:t>
      </w:r>
      <w:bookmarkEnd w:id="310"/>
    </w:p>
    <w:bookmarkEnd w:id="311"/>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 xml:space="preserve">（以下简称“基础合同”），我方（即“开立人”）根据基础合同了解到申请人为基础合同项下之承包人，受益人为基础合同项下之发包人，基于申请人的请求，我方同意就申请人履行与贵方签订的基础合同项下的义务，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一、本保函担保范围：承包人未按照基础合同的约定履行义务，应当向贵方承担的违约责任和赔偿因此造成的损失、利息、律师费、诉讼费用等实现债权的费用。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三、本保函有效期自开立之日起至基础合同约定的缺陷责任期后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日。 </w:t>
      </w:r>
    </w:p>
    <w:p>
      <w:pPr>
        <w:ind w:firstLine="48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九、本保函自我方法定代表人或授权代表签字并加盖公章之日起生效。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开立时间：      年      月     日</w:t>
      </w:r>
    </w:p>
    <w:p>
      <w:pPr>
        <w:pStyle w:val="29"/>
        <w:rPr>
          <w:rFonts w:hint="eastAsia" w:ascii="宋体" w:hAnsi="宋体" w:eastAsia="宋体" w:cs="宋体"/>
          <w:color w:val="auto"/>
          <w:highlight w:val="none"/>
        </w:rPr>
      </w:pPr>
    </w:p>
    <w:p>
      <w:pPr>
        <w:pStyle w:val="6"/>
        <w:jc w:val="left"/>
        <w:rPr>
          <w:rFonts w:hint="eastAsia" w:ascii="宋体" w:hAnsi="宋体" w:eastAsia="宋体" w:cs="宋体"/>
          <w:bCs/>
          <w:color w:val="auto"/>
          <w:highlight w:val="none"/>
        </w:rPr>
      </w:pPr>
      <w:bookmarkStart w:id="312" w:name="_Toc556"/>
    </w:p>
    <w:p>
      <w:pPr>
        <w:pStyle w:val="6"/>
        <w:jc w:val="left"/>
        <w:rPr>
          <w:rFonts w:hint="eastAsia" w:ascii="宋体" w:hAnsi="宋体" w:eastAsia="宋体" w:cs="宋体"/>
          <w:bCs/>
          <w:color w:val="auto"/>
          <w:highlight w:val="none"/>
        </w:rPr>
      </w:pPr>
    </w:p>
    <w:p>
      <w:pPr>
        <w:pStyle w:val="6"/>
        <w:jc w:val="left"/>
        <w:rPr>
          <w:rFonts w:hint="eastAsia" w:ascii="宋体" w:hAnsi="宋体" w:eastAsia="宋体" w:cs="宋体"/>
          <w:bCs/>
          <w:color w:val="auto"/>
          <w:highlight w:val="none"/>
        </w:rPr>
      </w:pPr>
    </w:p>
    <w:p>
      <w:pPr>
        <w:rPr>
          <w:rFonts w:hint="eastAsia" w:ascii="宋体" w:hAnsi="宋体" w:eastAsia="宋体" w:cs="宋体"/>
          <w:b/>
          <w:bCs/>
          <w:color w:val="auto"/>
          <w:highlight w:val="none"/>
        </w:rPr>
      </w:pPr>
    </w:p>
    <w:p>
      <w:pPr>
        <w:pStyle w:val="42"/>
        <w:keepNext w:val="0"/>
        <w:keepLines w:val="0"/>
        <w:widowControl w:val="0"/>
        <w:wordWrap w:val="0"/>
        <w:adjustRightInd w:val="0"/>
        <w:snapToGrid w:val="0"/>
        <w:spacing w:before="0" w:after="0" w:line="240" w:lineRule="auto"/>
        <w:ind w:firstLine="0"/>
        <w:jc w:val="both"/>
        <w:rPr>
          <w:rFonts w:hint="eastAsia" w:ascii="宋体" w:hAnsi="宋体" w:eastAsia="宋体" w:cs="宋体"/>
          <w:b/>
          <w:snapToGrid w:val="0"/>
          <w:color w:val="auto"/>
          <w:highlight w:val="none"/>
        </w:rPr>
      </w:pPr>
      <w:bookmarkStart w:id="313" w:name="_Toc7299"/>
      <w:bookmarkStart w:id="314" w:name="_Toc5949"/>
      <w:r>
        <w:rPr>
          <w:rFonts w:hint="eastAsia" w:ascii="宋体" w:hAnsi="宋体" w:eastAsia="宋体" w:cs="宋体"/>
          <w:b/>
          <w:snapToGrid w:val="0"/>
          <w:color w:val="auto"/>
          <w:highlight w:val="none"/>
        </w:rPr>
        <w:t>附件三：支付保函</w:t>
      </w:r>
      <w:bookmarkEnd w:id="312"/>
      <w:bookmarkEnd w:id="313"/>
      <w:bookmarkEnd w:id="314"/>
    </w:p>
    <w:p>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支付保函</w:t>
      </w:r>
    </w:p>
    <w:p>
      <w:pPr>
        <w:jc w:val="center"/>
        <w:rPr>
          <w:rFonts w:hint="eastAsia" w:ascii="宋体" w:hAnsi="宋体" w:eastAsia="宋体" w:cs="宋体"/>
          <w:b/>
          <w:bCs/>
          <w:color w:val="auto"/>
          <w:sz w:val="32"/>
          <w:szCs w:val="32"/>
          <w:highlight w:val="none"/>
        </w:rPr>
      </w:pPr>
    </w:p>
    <w:p>
      <w:pPr>
        <w:wordWrap w:val="0"/>
        <w:jc w:val="right"/>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编号：           </w:t>
      </w:r>
    </w:p>
    <w:p>
      <w:pPr>
        <w:rPr>
          <w:rFonts w:hint="eastAsia" w:ascii="宋体" w:hAnsi="宋体" w:eastAsia="宋体" w:cs="宋体"/>
          <w:color w:val="auto"/>
          <w:highlight w:val="none"/>
        </w:rPr>
      </w:pPr>
      <w:r>
        <w:rPr>
          <w:rFonts w:hint="eastAsia" w:ascii="宋体" w:hAnsi="宋体" w:eastAsia="宋体" w:cs="宋体"/>
          <w:color w:val="auto"/>
          <w:highlight w:val="none"/>
        </w:rPr>
        <w:t>申请人：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受益人：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开立人：</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地址：</w:t>
      </w:r>
    </w:p>
    <w:p>
      <w:pPr>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pPr>
        <w:rPr>
          <w:rFonts w:hint="eastAsia" w:ascii="宋体" w:hAnsi="宋体" w:eastAsia="宋体" w:cs="宋体"/>
          <w:color w:val="auto"/>
          <w:highlight w:val="none"/>
        </w:rPr>
      </w:pPr>
      <w:bookmarkStart w:id="315" w:name="_Hlk40355074"/>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（受益人名称）： </w:t>
      </w:r>
    </w:p>
    <w:bookmarkEnd w:id="315"/>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鉴于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（以下简称“受益人”）与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（以下简称“申请人”）于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日就</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工程（以下简称“本工程”）施工和有关事项协商一致共同签订</w:t>
      </w:r>
      <w:r>
        <w:rPr>
          <w:rFonts w:hint="eastAsia" w:ascii="宋体" w:hAnsi="宋体" w:eastAsia="宋体" w:cs="宋体"/>
          <w:color w:val="auto"/>
          <w:highlight w:val="none"/>
          <w:u w:val="single"/>
        </w:rPr>
        <w:t>《        》</w:t>
      </w:r>
      <w:r>
        <w:rPr>
          <w:rFonts w:hint="eastAsia" w:ascii="宋体" w:hAnsi="宋体" w:eastAsia="宋体" w:cs="宋体"/>
          <w:color w:val="auto"/>
          <w:highlight w:val="none"/>
        </w:rPr>
        <w:t xml:space="preserve">（以下简称基础合同”），我方（即“开立人”）根据基础合同了解到申请人为基础合同项下之发包人，受益人为基础合同项下之承包人，基于申请人的请求，我方同意就申请人履行与贵方签订的基础合同项下的工程款（指基础合同约定的除工程质量保修金以外的工程款）付款义务，向贵方提供不可撤销、不可转让的见索即付独立保函（以下简称“本保函”）。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一、本保函担保范围：申请人未履行基础合同约定的工程款支付义务，应当向贵方承担的违约责任和赔偿因此造成的损失、利息、律师费、诉讼费用等实现债权的费用。</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二、本保函担保金额最高不超过人民币（大写）</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三、本保函有效期自开立之日起至基础合同约定的除工程质量保修金以外的全部工程结算款项支付之日后</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日止，最迟不超过</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日。 </w:t>
      </w:r>
    </w:p>
    <w:p>
      <w:pPr>
        <w:ind w:firstLine="480"/>
        <w:rPr>
          <w:rFonts w:hint="eastAsia" w:ascii="宋体" w:hAnsi="宋体" w:eastAsia="宋体" w:cs="宋体"/>
          <w:color w:val="auto"/>
          <w:highlight w:val="none"/>
        </w:rPr>
      </w:pPr>
      <w:r>
        <w:rPr>
          <w:rFonts w:hint="eastAsia" w:ascii="宋体" w:hAnsi="宋体" w:eastAsia="宋体" w:cs="宋体"/>
          <w:color w:val="auto"/>
          <w:highlight w:val="none"/>
        </w:rPr>
        <w:t>四、我方承诺，在收到受益人发来的书面付款通知后的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日内无条件支付，前述书面付款通知即为付款要求之单据，且应满足以下要求：</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（1）付款通知到达的日期在本保函的有效期内；</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（2）载明要求支付的金额；</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（3）载明申请人违反合同义务的条款和内容；</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（4）声明不存在合同文件约定或我国法律规定免除申请人或开立人支付责任的情形；</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（5）付款通知应在本保函有效期内到达的地址是：</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受益人发出的书面付款通知应由其为鉴明受益人法定代表人（负责人）或授权代理人签字并加盖公章。</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五、本保函项下的权利不得转让，不得设定担保。贵方未经我方书面同意转 让本保函或其项下任何权利，对我方不发生法律效力。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六、与本保函有关的基础合同不成立、不生效、无效、被撤销、被解除，不影响本保函的独立有效。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七、贵方应在本保函到期后的七日内将本保函正本退回我方注销，但是不论贵方是否按此要求将本保函正本退回我方，我方在本保函项下的义务和责任均在保函有效期到期后自动消灭。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八、本保函适用的法律为中华人民共和国法律，争议裁判管辖地为中华人民共和国</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九、本保函自我方法定代表人</w:t>
      </w:r>
      <w:bookmarkStart w:id="316" w:name="_Hlk58487855"/>
      <w:r>
        <w:rPr>
          <w:rFonts w:hint="eastAsia" w:ascii="宋体" w:hAnsi="宋体" w:eastAsia="宋体" w:cs="宋体"/>
          <w:color w:val="auto"/>
          <w:highlight w:val="none"/>
        </w:rPr>
        <w:t>或授权代表</w:t>
      </w:r>
      <w:bookmarkEnd w:id="316"/>
      <w:r>
        <w:rPr>
          <w:rFonts w:hint="eastAsia" w:ascii="宋体" w:hAnsi="宋体" w:eastAsia="宋体" w:cs="宋体"/>
          <w:color w:val="auto"/>
          <w:highlight w:val="none"/>
        </w:rPr>
        <w:t xml:space="preserve">签字并加盖公章之日起生效。 </w:t>
      </w: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开 立 人：                              （公章）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法定代表人（或授权代表）：               （签字）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地    址：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邮政编码：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电    话：                 </w:t>
      </w:r>
    </w:p>
    <w:p>
      <w:pPr>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 xml:space="preserve">传    真：                 </w:t>
      </w:r>
    </w:p>
    <w:p>
      <w:pPr>
        <w:ind w:firstLine="480" w:firstLineChars="200"/>
        <w:rPr>
          <w:rFonts w:hint="eastAsia" w:ascii="宋体" w:hAnsi="宋体" w:eastAsia="宋体" w:cs="宋体"/>
          <w:color w:val="auto"/>
          <w:highlight w:val="none"/>
        </w:rPr>
        <w:sectPr>
          <w:endnotePr>
            <w:numFmt w:val="decimal"/>
          </w:endnotePr>
          <w:pgSz w:w="11906" w:h="16838"/>
          <w:pgMar w:top="1461" w:right="1531" w:bottom="977" w:left="1531" w:header="850" w:footer="992" w:gutter="0"/>
          <w:cols w:space="720" w:num="1"/>
          <w:docGrid w:linePitch="327" w:charSpace="0"/>
        </w:sectPr>
      </w:pPr>
      <w:r>
        <w:rPr>
          <w:rFonts w:hint="eastAsia" w:ascii="宋体" w:hAnsi="宋体" w:eastAsia="宋体" w:cs="宋体"/>
          <w:color w:val="auto"/>
          <w:highlight w:val="none"/>
        </w:rPr>
        <w:t xml:space="preserve">开立时间：      年      月      </w:t>
      </w:r>
    </w:p>
    <w:p>
      <w:pPr>
        <w:pStyle w:val="45"/>
        <w:tabs>
          <w:tab w:val="left" w:pos="885"/>
        </w:tabs>
        <w:snapToGrid w:val="0"/>
        <w:spacing w:line="440" w:lineRule="exact"/>
        <w:ind w:firstLine="0" w:firstLineChars="0"/>
        <w:jc w:val="center"/>
        <w:outlineLvl w:val="0"/>
        <w:rPr>
          <w:rStyle w:val="20"/>
          <w:rFonts w:hint="eastAsia" w:ascii="宋体" w:hAnsi="宋体" w:eastAsia="宋体" w:cs="宋体"/>
          <w:b/>
          <w:bCs/>
          <w:color w:val="auto"/>
          <w:highlight w:val="none"/>
        </w:rPr>
      </w:pPr>
      <w:bookmarkStart w:id="317" w:name="_Toc24572"/>
      <w:bookmarkStart w:id="318" w:name="_Toc25616"/>
      <w:bookmarkStart w:id="319" w:name="_Toc24640"/>
      <w:bookmarkStart w:id="320" w:name="_Toc23902"/>
      <w:bookmarkStart w:id="321" w:name="_Toc28086"/>
      <w:bookmarkStart w:id="322" w:name="_Toc17509"/>
      <w:bookmarkStart w:id="323" w:name="_Toc18368"/>
      <w:bookmarkStart w:id="324" w:name="_Toc23090"/>
      <w:bookmarkStart w:id="325" w:name="_Toc30224"/>
      <w:r>
        <w:rPr>
          <w:rStyle w:val="20"/>
          <w:rFonts w:hint="eastAsia" w:ascii="宋体" w:hAnsi="宋体" w:eastAsia="宋体" w:cs="宋体"/>
          <w:b/>
          <w:bCs/>
          <w:color w:val="auto"/>
          <w:highlight w:val="none"/>
        </w:rPr>
        <w:t>第四章 技术要求</w:t>
      </w:r>
      <w:bookmarkEnd w:id="304"/>
      <w:bookmarkEnd w:id="317"/>
      <w:bookmarkEnd w:id="318"/>
      <w:bookmarkEnd w:id="319"/>
      <w:bookmarkEnd w:id="320"/>
      <w:bookmarkEnd w:id="321"/>
      <w:bookmarkEnd w:id="322"/>
      <w:bookmarkEnd w:id="323"/>
      <w:bookmarkEnd w:id="324"/>
      <w:bookmarkEnd w:id="325"/>
    </w:p>
    <w:p>
      <w:pPr>
        <w:pStyle w:val="46"/>
        <w:snapToGrid w:val="0"/>
        <w:spacing w:before="0" w:after="0" w:line="440" w:lineRule="exact"/>
        <w:ind w:left="643" w:firstLine="0"/>
        <w:jc w:val="both"/>
        <w:rPr>
          <w:rStyle w:val="20"/>
          <w:rFonts w:hint="eastAsia" w:ascii="宋体" w:hAnsi="宋体" w:eastAsia="宋体" w:cs="宋体"/>
          <w:b/>
          <w:bCs/>
          <w:color w:val="auto"/>
          <w:highlight w:val="none"/>
        </w:rPr>
      </w:pPr>
    </w:p>
    <w:p>
      <w:pPr>
        <w:widowControl w:val="0"/>
        <w:wordWrap w:val="0"/>
        <w:adjustRightInd w:val="0"/>
        <w:snapToGrid w:val="0"/>
        <w:spacing w:line="440" w:lineRule="exact"/>
        <w:ind w:firstLine="482" w:firstLineChars="200"/>
        <w:textAlignment w:val="auto"/>
        <w:rPr>
          <w:rFonts w:hint="eastAsia" w:ascii="宋体" w:hAnsi="宋体" w:eastAsia="宋体" w:cs="宋体"/>
          <w:b/>
          <w:snapToGrid w:val="0"/>
          <w:color w:val="auto"/>
          <w:kern w:val="0"/>
          <w:highlight w:val="none"/>
        </w:rPr>
      </w:pPr>
      <w:bookmarkStart w:id="326" w:name="_Hlt69670335"/>
      <w:bookmarkEnd w:id="326"/>
      <w:r>
        <w:rPr>
          <w:rFonts w:hint="eastAsia" w:ascii="宋体" w:hAnsi="宋体" w:eastAsia="宋体" w:cs="宋体"/>
          <w:b/>
          <w:snapToGrid w:val="0"/>
          <w:color w:val="auto"/>
          <w:kern w:val="0"/>
          <w:highlight w:val="none"/>
        </w:rPr>
        <w:t>1．房屋建筑工程建设项目</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bookmarkStart w:id="327" w:name="_Hlt69635252"/>
      <w:bookmarkEnd w:id="327"/>
      <w:bookmarkStart w:id="328" w:name="_Hlt69359086"/>
      <w:bookmarkEnd w:id="328"/>
      <w:bookmarkStart w:id="329" w:name="_Hlt69358458"/>
      <w:bookmarkEnd w:id="329"/>
      <w:bookmarkStart w:id="330" w:name="_Hlt69359243"/>
      <w:bookmarkEnd w:id="330"/>
      <w:bookmarkStart w:id="331" w:name="_Hlt78709799"/>
      <w:bookmarkEnd w:id="331"/>
      <w:bookmarkStart w:id="332" w:name="_Hlt69359245"/>
      <w:bookmarkEnd w:id="332"/>
      <w:bookmarkStart w:id="333" w:name="_Hlt69116858"/>
      <w:bookmarkEnd w:id="333"/>
      <w:r>
        <w:rPr>
          <w:rFonts w:hint="eastAsia" w:ascii="宋体" w:hAnsi="宋体" w:eastAsia="宋体" w:cs="宋体"/>
          <w:bCs/>
          <w:snapToGrid w:val="0"/>
          <w:color w:val="auto"/>
          <w:kern w:val="0"/>
          <w:highlight w:val="none"/>
        </w:rPr>
        <w:t>房屋建筑工程建设项目必须执行的现行技术规范，包括且不限于：</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（1）《建筑工程施工质量验收统一标准》；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（2）《建筑地基基础工程施工质量验收规范》；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（3）《砌体工程施工质量验收规范》；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（4）《混凝土结构工程施工质量验收规范》；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（5）《屋面工程质量验收规范》；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（6）《地下防水工程质量验收规范》；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w:t>
      </w:r>
      <w:bookmarkStart w:id="334" w:name="_Hlt78795211"/>
      <w:bookmarkEnd w:id="334"/>
      <w:r>
        <w:rPr>
          <w:rFonts w:hint="eastAsia" w:ascii="宋体" w:hAnsi="宋体" w:eastAsia="宋体" w:cs="宋体"/>
          <w:bCs/>
          <w:snapToGrid w:val="0"/>
          <w:color w:val="auto"/>
          <w:kern w:val="0"/>
          <w:highlight w:val="none"/>
        </w:rPr>
        <w:t>《建筑地面工程施工质量验收规范》；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（8）《建筑装饰装修工程施工质量验收规范》；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（9）《建筑给排水及采暖工程施工质量验收规范》；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（10）《建筑电气工程施工质量验收规范》；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（11）《住建部绿色建筑评价标准》；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（12）《建筑节能与可再生能源利用通用规范》（GB55015-2021）；</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（13）《建筑环境通用规范》；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（14）《广东省住房和城乡建设厅绿色施工导则》；</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（15）《广东省建筑工程绿色施工评价标准》；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（16）《广东省建筑节能与绿色建筑工程施工质量验收规范》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（17）其他现行国家、广东省关于房建工程的施工及验收规范、定额、规程、标准。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p>
    <w:p>
      <w:pPr>
        <w:widowControl w:val="0"/>
        <w:wordWrap w:val="0"/>
        <w:adjustRightInd w:val="0"/>
        <w:snapToGrid w:val="0"/>
        <w:spacing w:line="440" w:lineRule="exact"/>
        <w:ind w:firstLine="482"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
          <w:snapToGrid w:val="0"/>
          <w:color w:val="auto"/>
          <w:kern w:val="0"/>
          <w:highlight w:val="none"/>
        </w:rPr>
        <w:t>2．市政基础设施工程建设项目</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szCs w:val="28"/>
          <w:highlight w:val="none"/>
        </w:rPr>
      </w:pPr>
      <w:r>
        <w:rPr>
          <w:rFonts w:hint="eastAsia" w:ascii="宋体" w:hAnsi="宋体" w:eastAsia="宋体" w:cs="宋体"/>
          <w:bCs/>
          <w:snapToGrid w:val="0"/>
          <w:color w:val="auto"/>
          <w:kern w:val="0"/>
          <w:highlight w:val="none"/>
        </w:rPr>
        <w:t>市政基础设施工程建设项目必须执行的现行技术规范，包括且不限于：</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szCs w:val="28"/>
          <w:highlight w:val="none"/>
        </w:rPr>
        <w:t>（1）《公路路基施工技术规范》</w:t>
      </w:r>
      <w:r>
        <w:rPr>
          <w:rFonts w:hint="eastAsia" w:ascii="宋体" w:hAnsi="宋体" w:eastAsia="宋体" w:cs="宋体"/>
          <w:bCs/>
          <w:snapToGrid w:val="0"/>
          <w:color w:val="auto"/>
          <w:kern w:val="0"/>
          <w:highlight w:val="none"/>
        </w:rPr>
        <w:t>；</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（2）《市政道路工程质量检验评定标准》；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（3）《市政排水管渠工程质量检验评定标准》；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（4）《给水排水管道工程施工及验收规范》；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（5）《城市道路路基工程施工及验收规范》；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（6）《水泥砼路面施工及验收规范》；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（7）《公路水泥砼路面施工技术规范》；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（8）《埋地硬聚氯乙烯排水管道工程技术规程》；</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（9）《沥青路面施工及验收规范》；</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（10）《广东省市政工程施工质量技术资料统一用表》。</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（11）《城市道路照明设计标准》（CJJ45-2015）；</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（12）《低压配电设计规范》（GB50054-2011）；</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（13）《城市道路照明工程施工及验收规程》（CJJ89-2012）；</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（14）《LED道路照明工程技术规范》（DB44/T 1898-2016）；</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（15）《灯具第1部分：一般要求与试验》（GB7000.1-2015）；</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（16）《电缆工程电缆设计标准》（GB50217-2018）；</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r>
        <w:rPr>
          <w:rFonts w:hint="eastAsia" w:ascii="宋体" w:hAnsi="宋体" w:eastAsia="宋体" w:cs="宋体"/>
          <w:bCs/>
          <w:snapToGrid w:val="0"/>
          <w:color w:val="auto"/>
          <w:kern w:val="0"/>
          <w:highlight w:val="none"/>
        </w:rPr>
        <w:t>（17）其他现行国家、广东省关于市政工程的技术及验收规范、定额、规程、标准。</w:t>
      </w:r>
    </w:p>
    <w:p>
      <w:pPr>
        <w:widowControl w:val="0"/>
        <w:wordWrap w:val="0"/>
        <w:adjustRightInd w:val="0"/>
        <w:snapToGrid w:val="0"/>
        <w:spacing w:line="440" w:lineRule="exact"/>
        <w:ind w:firstLine="480" w:firstLineChars="200"/>
        <w:textAlignment w:val="auto"/>
        <w:rPr>
          <w:rFonts w:hint="eastAsia" w:ascii="宋体" w:hAnsi="宋体" w:eastAsia="宋体" w:cs="宋体"/>
          <w:bCs/>
          <w:snapToGrid w:val="0"/>
          <w:color w:val="auto"/>
          <w:kern w:val="0"/>
          <w:highlight w:val="none"/>
        </w:rPr>
      </w:pPr>
    </w:p>
    <w:p>
      <w:pPr>
        <w:widowControl w:val="0"/>
        <w:wordWrap w:val="0"/>
        <w:adjustRightInd w:val="0"/>
        <w:snapToGrid w:val="0"/>
        <w:spacing w:line="440" w:lineRule="exact"/>
        <w:ind w:firstLine="560"/>
        <w:textAlignment w:val="auto"/>
        <w:rPr>
          <w:rFonts w:hint="eastAsia" w:ascii="宋体" w:hAnsi="宋体" w:eastAsia="宋体" w:cs="宋体"/>
          <w:strike/>
          <w:snapToGrid w:val="0"/>
          <w:color w:val="auto"/>
          <w:kern w:val="0"/>
          <w:highlight w:val="none"/>
        </w:rPr>
      </w:pPr>
      <w:r>
        <w:rPr>
          <w:rFonts w:hint="eastAsia" w:ascii="宋体" w:hAnsi="宋体" w:eastAsia="宋体" w:cs="宋体"/>
          <w:b/>
          <w:snapToGrid w:val="0"/>
          <w:color w:val="auto"/>
          <w:kern w:val="0"/>
          <w:highlight w:val="none"/>
        </w:rPr>
        <w:t>3．备查要求</w:t>
      </w:r>
    </w:p>
    <w:p>
      <w:pPr>
        <w:wordWrap w:val="0"/>
        <w:adjustRightInd w:val="0"/>
        <w:snapToGrid w:val="0"/>
        <w:spacing w:line="440" w:lineRule="exact"/>
        <w:ind w:firstLine="560"/>
        <w:rPr>
          <w:rStyle w:val="20"/>
          <w:rFonts w:hint="eastAsia" w:ascii="宋体" w:hAnsi="宋体" w:eastAsia="宋体" w:cs="宋体"/>
          <w:strike/>
          <w:color w:val="auto"/>
          <w:kern w:val="0"/>
          <w:highlight w:val="none"/>
        </w:rPr>
        <w:sectPr>
          <w:endnotePr>
            <w:numFmt w:val="decimal"/>
          </w:endnotePr>
          <w:pgSz w:w="11906" w:h="16838"/>
          <w:pgMar w:top="1701" w:right="1531" w:bottom="1417" w:left="1531" w:header="850" w:footer="992" w:gutter="0"/>
          <w:cols w:space="720" w:num="1"/>
          <w:docGrid w:linePitch="327" w:charSpace="0"/>
        </w:sectPr>
      </w:pP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人必须在施工现场准备至少一套上述规范，</w:t>
      </w:r>
      <w:r>
        <w:rPr>
          <w:rFonts w:hint="eastAsia" w:ascii="宋体" w:hAnsi="宋体" w:eastAsia="宋体" w:cs="宋体"/>
          <w:snapToGrid w:val="0"/>
          <w:color w:val="auto"/>
          <w:kern w:val="0"/>
          <w:highlight w:val="none"/>
        </w:rPr>
        <w:t>发包</w:t>
      </w:r>
      <w:r>
        <w:rPr>
          <w:rFonts w:hint="eastAsia" w:ascii="宋体" w:hAnsi="宋体" w:eastAsia="宋体" w:cs="宋体"/>
          <w:bCs/>
          <w:snapToGrid w:val="0"/>
          <w:color w:val="auto"/>
          <w:kern w:val="0"/>
          <w:highlight w:val="none"/>
        </w:rPr>
        <w:t>人和监理单位可随时检查</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人的上述规范，并监督</w:t>
      </w:r>
      <w:r>
        <w:rPr>
          <w:rFonts w:hint="eastAsia" w:ascii="宋体" w:hAnsi="宋体" w:eastAsia="宋体" w:cs="宋体"/>
          <w:snapToGrid w:val="0"/>
          <w:color w:val="auto"/>
          <w:kern w:val="0"/>
          <w:highlight w:val="none"/>
        </w:rPr>
        <w:t>承包</w:t>
      </w:r>
      <w:r>
        <w:rPr>
          <w:rFonts w:hint="eastAsia" w:ascii="宋体" w:hAnsi="宋体" w:eastAsia="宋体" w:cs="宋体"/>
          <w:bCs/>
          <w:snapToGrid w:val="0"/>
          <w:color w:val="auto"/>
          <w:kern w:val="0"/>
          <w:highlight w:val="none"/>
        </w:rPr>
        <w:t>人按规范要求执行。</w:t>
      </w:r>
    </w:p>
    <w:p>
      <w:pPr>
        <w:tabs>
          <w:tab w:val="left" w:pos="885"/>
        </w:tabs>
        <w:snapToGrid w:val="0"/>
        <w:spacing w:line="440" w:lineRule="exact"/>
        <w:ind w:left="885" w:hanging="885"/>
        <w:jc w:val="center"/>
        <w:outlineLvl w:val="0"/>
        <w:rPr>
          <w:rStyle w:val="20"/>
          <w:rFonts w:hint="eastAsia" w:ascii="宋体" w:hAnsi="宋体" w:eastAsia="宋体" w:cs="宋体"/>
          <w:b/>
          <w:bCs/>
          <w:color w:val="auto"/>
          <w:highlight w:val="none"/>
        </w:rPr>
      </w:pPr>
      <w:bookmarkStart w:id="335" w:name="_Toc2426"/>
      <w:bookmarkStart w:id="336" w:name="_Toc26762"/>
      <w:bookmarkStart w:id="337" w:name="_Toc27255"/>
      <w:bookmarkStart w:id="338" w:name="_Toc26068"/>
      <w:bookmarkStart w:id="339" w:name="_Toc8569"/>
      <w:bookmarkStart w:id="340" w:name="_Toc30591"/>
      <w:bookmarkStart w:id="341" w:name="_Toc11187"/>
      <w:bookmarkStart w:id="342" w:name="_Toc1434"/>
      <w:bookmarkStart w:id="343" w:name="_Toc9956"/>
      <w:bookmarkStart w:id="344" w:name="_Toc29718"/>
      <w:r>
        <w:rPr>
          <w:rStyle w:val="20"/>
          <w:rFonts w:hint="eastAsia" w:ascii="宋体" w:hAnsi="宋体" w:eastAsia="宋体" w:cs="宋体"/>
          <w:b/>
          <w:bCs/>
          <w:color w:val="auto"/>
          <w:highlight w:val="none"/>
        </w:rPr>
        <w:t>第五章 图纸和招标工程量清单</w:t>
      </w:r>
      <w:bookmarkEnd w:id="335"/>
      <w:bookmarkEnd w:id="336"/>
      <w:bookmarkEnd w:id="337"/>
      <w:bookmarkEnd w:id="338"/>
      <w:bookmarkEnd w:id="339"/>
      <w:bookmarkEnd w:id="340"/>
      <w:bookmarkEnd w:id="341"/>
      <w:bookmarkEnd w:id="342"/>
      <w:bookmarkEnd w:id="343"/>
      <w:bookmarkEnd w:id="344"/>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345" w:name="_Toc18345"/>
      <w:bookmarkStart w:id="346" w:name="_Toc17533"/>
      <w:bookmarkStart w:id="347" w:name="_Toc23490"/>
      <w:bookmarkStart w:id="348" w:name="_Toc23868"/>
      <w:bookmarkStart w:id="349" w:name="_Toc13785"/>
      <w:bookmarkStart w:id="350" w:name="_Toc26698"/>
      <w:bookmarkStart w:id="351" w:name="_Toc25351"/>
      <w:bookmarkStart w:id="352" w:name="_Toc24543"/>
      <w:bookmarkStart w:id="353" w:name="_Toc31734"/>
      <w:bookmarkStart w:id="354" w:name="_Toc4007"/>
      <w:r>
        <w:rPr>
          <w:rStyle w:val="20"/>
          <w:rFonts w:hint="eastAsia" w:ascii="宋体" w:hAnsi="宋体" w:eastAsia="宋体" w:cs="宋体"/>
          <w:b/>
          <w:bCs/>
          <w:color w:val="auto"/>
          <w:kern w:val="0"/>
          <w:highlight w:val="none"/>
        </w:rPr>
        <w:t>1．图纸</w:t>
      </w:r>
      <w:bookmarkEnd w:id="345"/>
      <w:bookmarkEnd w:id="346"/>
      <w:bookmarkEnd w:id="347"/>
      <w:bookmarkEnd w:id="348"/>
      <w:bookmarkEnd w:id="349"/>
      <w:bookmarkEnd w:id="350"/>
      <w:bookmarkEnd w:id="351"/>
      <w:bookmarkEnd w:id="352"/>
      <w:bookmarkEnd w:id="353"/>
      <w:bookmarkEnd w:id="354"/>
    </w:p>
    <w:p>
      <w:pPr>
        <w:wordWrap w:val="0"/>
        <w:adjustRightInd w:val="0"/>
        <w:snapToGrid w:val="0"/>
        <w:spacing w:line="440" w:lineRule="exact"/>
        <w:ind w:firstLine="480" w:firstLineChars="200"/>
        <w:rPr>
          <w:rStyle w:val="20"/>
          <w:rFonts w:hint="eastAsia" w:ascii="宋体" w:hAnsi="宋体" w:eastAsia="宋体" w:cs="宋体"/>
          <w:color w:val="auto"/>
          <w:kern w:val="0"/>
          <w:highlight w:val="none"/>
        </w:rPr>
      </w:pPr>
      <w:r>
        <w:rPr>
          <w:rFonts w:hint="eastAsia" w:ascii="宋体" w:hAnsi="宋体" w:eastAsia="宋体" w:cs="宋体"/>
          <w:snapToGrid w:val="0"/>
          <w:color w:val="auto"/>
          <w:kern w:val="0"/>
          <w:highlight w:val="none"/>
        </w:rPr>
        <w:t>本招标文件随文另附施工图（电子文件）一套。</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2" w:firstLineChars="200"/>
        <w:outlineLvl w:val="1"/>
        <w:rPr>
          <w:rStyle w:val="20"/>
          <w:rFonts w:hint="eastAsia" w:ascii="宋体" w:hAnsi="宋体" w:eastAsia="宋体" w:cs="宋体"/>
          <w:color w:val="auto"/>
          <w:kern w:val="0"/>
          <w:highlight w:val="none"/>
        </w:rPr>
      </w:pPr>
      <w:bookmarkStart w:id="355" w:name="_Toc8922"/>
      <w:bookmarkStart w:id="356" w:name="_Toc12213"/>
      <w:bookmarkStart w:id="357" w:name="_Toc5487"/>
      <w:bookmarkStart w:id="358" w:name="_Toc20200"/>
      <w:bookmarkStart w:id="359" w:name="_Toc28562"/>
      <w:bookmarkStart w:id="360" w:name="_Toc6335"/>
      <w:bookmarkStart w:id="361" w:name="_Toc24790"/>
      <w:bookmarkStart w:id="362" w:name="_Toc5875"/>
      <w:bookmarkStart w:id="363" w:name="_Toc5733"/>
      <w:bookmarkStart w:id="364" w:name="_Toc3141"/>
      <w:r>
        <w:rPr>
          <w:rStyle w:val="20"/>
          <w:rFonts w:hint="eastAsia" w:ascii="宋体" w:hAnsi="宋体" w:eastAsia="宋体" w:cs="宋体"/>
          <w:b/>
          <w:bCs/>
          <w:color w:val="auto"/>
          <w:kern w:val="0"/>
          <w:highlight w:val="none"/>
        </w:rPr>
        <w:t>2．招标工程量清单</w:t>
      </w:r>
      <w:bookmarkEnd w:id="355"/>
      <w:bookmarkEnd w:id="356"/>
      <w:bookmarkEnd w:id="357"/>
      <w:bookmarkEnd w:id="358"/>
      <w:bookmarkEnd w:id="359"/>
      <w:bookmarkEnd w:id="360"/>
      <w:bookmarkEnd w:id="361"/>
      <w:bookmarkEnd w:id="362"/>
      <w:bookmarkEnd w:id="363"/>
      <w:bookmarkEnd w:id="364"/>
    </w:p>
    <w:p>
      <w:pPr>
        <w:snapToGrid w:val="0"/>
        <w:spacing w:line="440" w:lineRule="exact"/>
        <w:ind w:firstLine="480"/>
        <w:rPr>
          <w:rStyle w:val="20"/>
          <w:rFonts w:hint="eastAsia" w:ascii="宋体" w:hAnsi="宋体" w:eastAsia="宋体" w:cs="宋体"/>
          <w:b/>
          <w:bCs/>
          <w:color w:val="auto"/>
          <w:highlight w:val="none"/>
        </w:rPr>
      </w:pPr>
      <w:r>
        <w:rPr>
          <w:rStyle w:val="20"/>
          <w:rFonts w:hint="eastAsia" w:ascii="宋体" w:hAnsi="宋体" w:eastAsia="宋体" w:cs="宋体"/>
          <w:b/>
          <w:bCs/>
          <w:color w:val="auto"/>
          <w:kern w:val="0"/>
          <w:highlight w:val="none"/>
        </w:rPr>
        <w:t>2.1</w:t>
      </w: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本招标文件随文另附招标工程量清单（</w:t>
      </w:r>
      <w:r>
        <w:rPr>
          <w:rFonts w:hint="eastAsia" w:ascii="宋体" w:hAnsi="宋体" w:eastAsia="宋体" w:cs="宋体"/>
          <w:snapToGrid w:val="0"/>
          <w:color w:val="auto"/>
          <w:kern w:val="0"/>
          <w:highlight w:val="none"/>
          <w:u w:val="single"/>
        </w:rPr>
        <w:t xml:space="preserve">含控制价的软件版/EXCEL版 </w:t>
      </w:r>
      <w:r>
        <w:rPr>
          <w:rFonts w:hint="eastAsia" w:ascii="宋体" w:hAnsi="宋体" w:eastAsia="宋体" w:cs="宋体"/>
          <w:snapToGrid w:val="0"/>
          <w:color w:val="auto"/>
          <w:kern w:val="0"/>
          <w:highlight w:val="none"/>
        </w:rPr>
        <w:t>电子文件）一套</w:t>
      </w:r>
      <w:r>
        <w:rPr>
          <w:rStyle w:val="20"/>
          <w:rFonts w:hint="eastAsia" w:ascii="宋体" w:hAnsi="宋体" w:eastAsia="宋体" w:cs="宋体"/>
          <w:color w:val="auto"/>
          <w:kern w:val="0"/>
          <w:highlight w:val="none"/>
        </w:rPr>
        <w:t>。</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highlight w:val="none"/>
        </w:rPr>
        <w:t>2.2</w:t>
      </w:r>
      <w:r>
        <w:rPr>
          <w:rStyle w:val="20"/>
          <w:rFonts w:hint="eastAsia" w:ascii="宋体" w:hAnsi="宋体" w:eastAsia="宋体" w:cs="宋体"/>
          <w:color w:val="auto"/>
          <w:kern w:val="0"/>
          <w:highlight w:val="none"/>
        </w:rPr>
        <w:t xml:space="preserve"> 本工程按照以下依据编制招标工程量清单</w:t>
      </w:r>
      <w:r>
        <w:rPr>
          <w:rFonts w:hint="eastAsia" w:ascii="宋体" w:hAnsi="宋体" w:eastAsia="宋体" w:cs="宋体"/>
          <w:snapToGrid w:val="0"/>
          <w:color w:val="auto"/>
          <w:kern w:val="0"/>
          <w:highlight w:val="none"/>
        </w:rPr>
        <w:t>（</w:t>
      </w:r>
      <w:r>
        <w:rPr>
          <w:rFonts w:hint="eastAsia" w:ascii="宋体" w:hAnsi="宋体" w:eastAsia="宋体" w:cs="宋体"/>
          <w:b/>
          <w:bCs/>
          <w:snapToGrid w:val="0"/>
          <w:color w:val="auto"/>
          <w:kern w:val="0"/>
          <w:highlight w:val="none"/>
        </w:rPr>
        <w:t>（完整）软件版</w:t>
      </w:r>
      <w:r>
        <w:rPr>
          <w:rFonts w:hint="eastAsia" w:ascii="宋体" w:hAnsi="宋体" w:eastAsia="宋体" w:cs="宋体"/>
          <w:snapToGrid w:val="0"/>
          <w:color w:val="auto"/>
          <w:kern w:val="0"/>
          <w:highlight w:val="none"/>
        </w:rPr>
        <w:t>）</w:t>
      </w:r>
      <w:r>
        <w:rPr>
          <w:rStyle w:val="20"/>
          <w:rFonts w:hint="eastAsia" w:ascii="宋体" w:hAnsi="宋体" w:eastAsia="宋体" w:cs="宋体"/>
          <w:color w:val="auto"/>
          <w:kern w:val="0"/>
          <w:highlight w:val="none"/>
        </w:rPr>
        <w:t>：</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w:t>
      </w:r>
      <w:r>
        <w:rPr>
          <w:rFonts w:hint="eastAsia" w:hAnsi="宋体" w:cs="宋体"/>
          <w:color w:val="auto"/>
          <w:szCs w:val="24"/>
          <w:highlight w:val="none"/>
        </w:rPr>
        <w:t>《建设工程工程量清单计价标准》（GB/T 50500-2024）</w:t>
      </w:r>
      <w:r>
        <w:rPr>
          <w:rFonts w:hint="eastAsia" w:hAnsi="宋体" w:cs="宋体"/>
          <w:color w:val="auto"/>
          <w:szCs w:val="24"/>
          <w:highlight w:val="none"/>
          <w:lang w:eastAsia="zh-CN"/>
        </w:rPr>
        <w:t>、</w:t>
      </w:r>
      <w:r>
        <w:rPr>
          <w:rFonts w:hint="eastAsia" w:hAnsi="宋体" w:cs="宋体"/>
          <w:color w:val="auto"/>
          <w:szCs w:val="24"/>
          <w:highlight w:val="none"/>
        </w:rPr>
        <w:t>《房屋建筑与装饰工程工程量计算标准》（GB/T 50854-2024）《通用安装工程工程量计算标准》（GB/T 50856-2024）、《市政工程工程量计算标准》（GB/T 50857-2024）、《园林绿化工程工程量计算标准》（GB/T 50858-2024）</w:t>
      </w:r>
      <w:r>
        <w:rPr>
          <w:rFonts w:hint="eastAsia" w:hAnsi="宋体" w:cs="宋体"/>
          <w:color w:val="auto"/>
          <w:szCs w:val="24"/>
          <w:highlight w:val="none"/>
          <w:lang w:val="en-US" w:eastAsia="zh-CN"/>
        </w:rPr>
        <w:t>等；</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2</w:t>
      </w:r>
      <w:r>
        <w:rPr>
          <w:rStyle w:val="20"/>
          <w:rFonts w:hint="eastAsia" w:ascii="宋体" w:hAnsi="宋体" w:eastAsia="宋体" w:cs="宋体"/>
          <w:color w:val="auto"/>
          <w:kern w:val="0"/>
          <w:highlight w:val="none"/>
        </w:rPr>
        <w:t>）《广东省建设工程计价依据（2018）》。具体包括：《广东省房屋建筑与装饰工程综合定额（2018）》《广东省市政工程综合定额（2018）》《广东省通用安装工程综合定额（2018）》《广东省园林绿化工程综合定额（2018）》《广东省建设工程施工机具台班费用编制规则（2018）》等；</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3</w:t>
      </w:r>
      <w:r>
        <w:rPr>
          <w:rStyle w:val="20"/>
          <w:rFonts w:hint="eastAsia" w:ascii="宋体" w:hAnsi="宋体" w:eastAsia="宋体" w:cs="宋体"/>
          <w:color w:val="auto"/>
          <w:kern w:val="0"/>
          <w:highlight w:val="none"/>
        </w:rPr>
        <w:t>）施工图及相关资料；</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4</w:t>
      </w:r>
      <w:r>
        <w:rPr>
          <w:rStyle w:val="20"/>
          <w:rFonts w:hint="eastAsia" w:ascii="宋体" w:hAnsi="宋体" w:eastAsia="宋体" w:cs="宋体"/>
          <w:color w:val="auto"/>
          <w:kern w:val="0"/>
          <w:highlight w:val="none"/>
        </w:rPr>
        <w:t>）招标文件；</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5</w:t>
      </w:r>
      <w:r>
        <w:rPr>
          <w:rStyle w:val="20"/>
          <w:rFonts w:hint="eastAsia" w:ascii="宋体" w:hAnsi="宋体" w:eastAsia="宋体" w:cs="宋体"/>
          <w:color w:val="auto"/>
          <w:kern w:val="0"/>
          <w:highlight w:val="none"/>
        </w:rPr>
        <w:t>）施工现场情况、地勘水文资料、工程特点及常规施工方案；</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w:t>
      </w:r>
      <w:r>
        <w:rPr>
          <w:rStyle w:val="20"/>
          <w:rFonts w:hint="eastAsia" w:hAnsi="宋体" w:cs="宋体"/>
          <w:color w:val="auto"/>
          <w:kern w:val="0"/>
          <w:highlight w:val="none"/>
          <w:lang w:val="en-US" w:eastAsia="zh-CN"/>
        </w:rPr>
        <w:t>6</w:t>
      </w:r>
      <w:r>
        <w:rPr>
          <w:rStyle w:val="20"/>
          <w:rFonts w:hint="eastAsia" w:ascii="宋体" w:hAnsi="宋体" w:eastAsia="宋体" w:cs="宋体"/>
          <w:color w:val="auto"/>
          <w:kern w:val="0"/>
          <w:highlight w:val="none"/>
        </w:rPr>
        <w:t>）与建设工程有关的标准、规范、技术资料。</w:t>
      </w:r>
    </w:p>
    <w:p>
      <w:pPr>
        <w:snapToGrid w:val="0"/>
        <w:spacing w:line="440" w:lineRule="exact"/>
        <w:ind w:firstLine="480"/>
        <w:rPr>
          <w:rStyle w:val="20"/>
          <w:rFonts w:hint="eastAsia" w:ascii="宋体" w:hAnsi="宋体" w:eastAsia="宋体" w:cs="宋体"/>
          <w:color w:val="auto"/>
          <w:kern w:val="0"/>
          <w:highlight w:val="none"/>
        </w:rPr>
      </w:pPr>
    </w:p>
    <w:p>
      <w:pPr>
        <w:pStyle w:val="7"/>
        <w:rPr>
          <w:rFonts w:hint="eastAsia"/>
          <w:color w:val="auto"/>
          <w:highlight w:val="none"/>
        </w:rPr>
        <w:sectPr>
          <w:endnotePr>
            <w:numFmt w:val="decimal"/>
          </w:endnotePr>
          <w:pgSz w:w="11906" w:h="16838"/>
          <w:pgMar w:top="1701" w:right="1531" w:bottom="1417" w:left="1531" w:header="850" w:footer="992" w:gutter="0"/>
          <w:cols w:space="720" w:num="1"/>
          <w:docGrid w:linePitch="327" w:charSpace="0"/>
        </w:sectPr>
      </w:pPr>
    </w:p>
    <w:p>
      <w:pPr>
        <w:snapToGrid w:val="0"/>
        <w:spacing w:line="440" w:lineRule="exact"/>
        <w:ind w:firstLine="480"/>
        <w:jc w:val="center"/>
        <w:outlineLvl w:val="0"/>
        <w:rPr>
          <w:rStyle w:val="20"/>
          <w:rFonts w:hint="eastAsia" w:ascii="宋体" w:hAnsi="宋体" w:eastAsia="宋体" w:cs="宋体"/>
          <w:b/>
          <w:bCs/>
          <w:color w:val="auto"/>
          <w:highlight w:val="none"/>
        </w:rPr>
      </w:pPr>
      <w:bookmarkStart w:id="365" w:name="_Toc27783"/>
      <w:bookmarkStart w:id="366" w:name="_Toc23933"/>
      <w:bookmarkStart w:id="367" w:name="_Toc22611"/>
      <w:bookmarkStart w:id="368" w:name="_Toc2024"/>
      <w:bookmarkStart w:id="369" w:name="_Toc23861"/>
      <w:bookmarkStart w:id="370" w:name="_Toc30375"/>
      <w:bookmarkStart w:id="371" w:name="_Toc23235"/>
      <w:bookmarkStart w:id="372" w:name="_Toc11483"/>
      <w:bookmarkStart w:id="373" w:name="_Toc5605"/>
      <w:bookmarkStart w:id="374" w:name="_Toc20486"/>
      <w:r>
        <w:rPr>
          <w:rStyle w:val="20"/>
          <w:rFonts w:hint="eastAsia" w:ascii="宋体" w:hAnsi="宋体" w:eastAsia="宋体" w:cs="宋体"/>
          <w:b/>
          <w:bCs/>
          <w:color w:val="auto"/>
          <w:highlight w:val="none"/>
        </w:rPr>
        <w:t>第六章 投标文件格式</w:t>
      </w:r>
      <w:bookmarkEnd w:id="365"/>
      <w:bookmarkEnd w:id="366"/>
      <w:bookmarkEnd w:id="367"/>
      <w:bookmarkEnd w:id="368"/>
      <w:bookmarkEnd w:id="369"/>
      <w:bookmarkEnd w:id="370"/>
      <w:bookmarkEnd w:id="371"/>
      <w:bookmarkEnd w:id="372"/>
      <w:bookmarkEnd w:id="373"/>
      <w:bookmarkEnd w:id="374"/>
    </w:p>
    <w:p>
      <w:pPr>
        <w:pStyle w:val="48"/>
        <w:snapToGrid w:val="0"/>
        <w:spacing w:line="440" w:lineRule="exact"/>
        <w:ind w:firstLine="0"/>
        <w:outlineLvl w:val="1"/>
        <w:rPr>
          <w:rStyle w:val="20"/>
          <w:rFonts w:hint="eastAsia" w:ascii="宋体" w:hAnsi="宋体" w:eastAsia="宋体" w:cs="宋体"/>
          <w:b/>
          <w:bCs/>
          <w:color w:val="auto"/>
          <w:sz w:val="21"/>
          <w:szCs w:val="21"/>
          <w:highlight w:val="none"/>
        </w:r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375" w:name="_Toc16570"/>
      <w:bookmarkStart w:id="376" w:name="_Toc26040"/>
      <w:bookmarkStart w:id="377" w:name="_Toc15531"/>
      <w:bookmarkStart w:id="378" w:name="_Toc3825"/>
      <w:bookmarkStart w:id="379" w:name="_Toc8025"/>
      <w:bookmarkStart w:id="380" w:name="_Toc7724"/>
      <w:bookmarkStart w:id="381" w:name="_Toc27729"/>
      <w:bookmarkStart w:id="382" w:name="_Toc2924"/>
      <w:bookmarkStart w:id="383" w:name="_Toc22593"/>
      <w:bookmarkStart w:id="384" w:name="_Toc319"/>
      <w:r>
        <w:rPr>
          <w:rStyle w:val="20"/>
          <w:rFonts w:hint="eastAsia" w:ascii="宋体" w:hAnsi="宋体" w:eastAsia="宋体" w:cs="宋体"/>
          <w:b/>
          <w:bCs/>
          <w:color w:val="auto"/>
          <w:sz w:val="21"/>
          <w:szCs w:val="21"/>
          <w:highlight w:val="none"/>
        </w:rPr>
        <w:t>格式一 封面</w:t>
      </w:r>
      <w:bookmarkEnd w:id="375"/>
      <w:bookmarkEnd w:id="376"/>
      <w:bookmarkEnd w:id="377"/>
      <w:bookmarkEnd w:id="378"/>
      <w:bookmarkEnd w:id="379"/>
      <w:bookmarkEnd w:id="380"/>
      <w:bookmarkEnd w:id="381"/>
      <w:bookmarkEnd w:id="382"/>
      <w:bookmarkEnd w:id="383"/>
      <w:bookmarkEnd w:id="384"/>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t xml:space="preserve">  </w:t>
      </w: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ind w:firstLine="0"/>
        <w:jc w:val="center"/>
        <w:rPr>
          <w:rStyle w:val="20"/>
          <w:rFonts w:hint="eastAsia" w:ascii="宋体" w:hAnsi="宋体" w:eastAsia="宋体" w:cs="宋体"/>
          <w:b/>
          <w:bCs/>
          <w:color w:val="auto"/>
          <w:sz w:val="48"/>
          <w:szCs w:val="48"/>
          <w:highlight w:val="none"/>
        </w:rPr>
      </w:pPr>
      <w:r>
        <w:rPr>
          <w:rStyle w:val="20"/>
          <w:rFonts w:hint="eastAsia" w:ascii="宋体" w:hAnsi="宋体" w:eastAsia="宋体" w:cs="宋体"/>
          <w:color w:val="auto"/>
          <w:sz w:val="48"/>
          <w:szCs w:val="48"/>
          <w:highlight w:val="none"/>
          <w:u w:val="single"/>
        </w:rPr>
        <w:t xml:space="preserve">             </w:t>
      </w:r>
      <w:bookmarkStart w:id="385" w:name="_Toc21235"/>
      <w:bookmarkStart w:id="386" w:name="_Toc17128"/>
      <w:bookmarkStart w:id="387" w:name="_Toc30993"/>
      <w:bookmarkStart w:id="388" w:name="_Toc23835"/>
      <w:r>
        <w:rPr>
          <w:rStyle w:val="20"/>
          <w:rFonts w:hint="eastAsia" w:ascii="宋体" w:hAnsi="宋体" w:eastAsia="宋体" w:cs="宋体"/>
          <w:b/>
          <w:bCs/>
          <w:color w:val="auto"/>
          <w:sz w:val="48"/>
          <w:szCs w:val="48"/>
          <w:highlight w:val="none"/>
        </w:rPr>
        <w:t>（工程名称）招标</w:t>
      </w:r>
      <w:bookmarkEnd w:id="385"/>
      <w:bookmarkEnd w:id="386"/>
      <w:bookmarkEnd w:id="387"/>
      <w:bookmarkEnd w:id="388"/>
      <w:r>
        <w:rPr>
          <w:rStyle w:val="20"/>
          <w:rFonts w:hint="eastAsia" w:ascii="宋体" w:hAnsi="宋体" w:eastAsia="宋体" w:cs="宋体"/>
          <w:b/>
          <w:bCs/>
          <w:color w:val="auto"/>
          <w:sz w:val="48"/>
          <w:szCs w:val="48"/>
          <w:highlight w:val="none"/>
        </w:rPr>
        <w:t xml:space="preserve"> </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72"/>
          <w:szCs w:val="72"/>
          <w:highlight w:val="none"/>
        </w:rPr>
      </w:pPr>
      <w:r>
        <w:rPr>
          <w:rStyle w:val="20"/>
          <w:rFonts w:hint="eastAsia" w:ascii="宋体" w:hAnsi="宋体" w:eastAsia="宋体" w:cs="宋体"/>
          <w:b/>
          <w:bCs/>
          <w:color w:val="auto"/>
          <w:sz w:val="72"/>
          <w:szCs w:val="72"/>
          <w:highlight w:val="none"/>
        </w:rPr>
        <w:t>投  标  文  件</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40"/>
          <w:szCs w:val="40"/>
          <w:highlight w:val="none"/>
        </w:rPr>
      </w:pPr>
      <w:bookmarkStart w:id="389" w:name="_Toc23170"/>
      <w:bookmarkStart w:id="390" w:name="_Toc10939"/>
      <w:bookmarkStart w:id="391" w:name="_Toc25717"/>
      <w:bookmarkStart w:id="392" w:name="_Toc14202"/>
      <w:r>
        <w:rPr>
          <w:rStyle w:val="20"/>
          <w:rFonts w:hint="eastAsia" w:ascii="宋体" w:hAnsi="宋体" w:eastAsia="宋体" w:cs="宋体"/>
          <w:b/>
          <w:bCs/>
          <w:color w:val="auto"/>
          <w:sz w:val="40"/>
          <w:szCs w:val="40"/>
          <w:highlight w:val="none"/>
        </w:rPr>
        <w:t>（商务标书／经济标书／施工组织设计）</w:t>
      </w:r>
      <w:bookmarkEnd w:id="389"/>
      <w:bookmarkEnd w:id="390"/>
      <w:bookmarkEnd w:id="391"/>
      <w:bookmarkEnd w:id="392"/>
    </w:p>
    <w:p>
      <w:pPr>
        <w:pStyle w:val="48"/>
        <w:snapToGrid w:val="0"/>
        <w:spacing w:line="240" w:lineRule="auto"/>
        <w:rPr>
          <w:rStyle w:val="20"/>
          <w:rFonts w:hint="eastAsia" w:ascii="宋体" w:hAnsi="宋体" w:eastAsia="宋体" w:cs="宋体"/>
          <w:b/>
          <w:bCs/>
          <w:color w:val="auto"/>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bookmarkStart w:id="393" w:name="_Toc11118"/>
      <w:bookmarkStart w:id="394" w:name="_Toc753"/>
      <w:bookmarkStart w:id="395" w:name="_Toc18522"/>
      <w:bookmarkStart w:id="396" w:name="_Toc8126"/>
      <w:r>
        <w:rPr>
          <w:rStyle w:val="20"/>
          <w:rFonts w:hint="eastAsia" w:ascii="宋体" w:hAnsi="宋体" w:eastAsia="宋体" w:cs="宋体"/>
          <w:color w:val="auto"/>
          <w:sz w:val="32"/>
          <w:szCs w:val="32"/>
          <w:highlight w:val="none"/>
        </w:rPr>
        <w:t>投标人：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（盖单位章）</w:t>
      </w:r>
      <w:bookmarkEnd w:id="393"/>
      <w:bookmarkEnd w:id="394"/>
      <w:bookmarkEnd w:id="395"/>
      <w:bookmarkEnd w:id="396"/>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bookmarkStart w:id="397" w:name="_Toc501"/>
      <w:bookmarkStart w:id="398" w:name="_Toc28339"/>
      <w:bookmarkStart w:id="399" w:name="_Toc19176"/>
      <w:bookmarkStart w:id="400" w:name="_Toc12062"/>
      <w:r>
        <w:rPr>
          <w:rStyle w:val="20"/>
          <w:rFonts w:hint="eastAsia" w:ascii="宋体" w:hAnsi="宋体" w:eastAsia="宋体" w:cs="宋体"/>
          <w:color w:val="auto"/>
          <w:sz w:val="32"/>
          <w:szCs w:val="32"/>
          <w:highlight w:val="none"/>
        </w:rPr>
        <w:t>法定代表人或其委托代理人：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（签字或盖章）</w:t>
      </w:r>
      <w:bookmarkEnd w:id="397"/>
      <w:bookmarkEnd w:id="398"/>
      <w:bookmarkEnd w:id="399"/>
      <w:bookmarkEnd w:id="400"/>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u w:val="single"/>
        </w:rPr>
      </w:pPr>
    </w:p>
    <w:p>
      <w:pPr>
        <w:pStyle w:val="48"/>
        <w:snapToGrid w:val="0"/>
        <w:spacing w:line="240" w:lineRule="auto"/>
        <w:ind w:firstLine="0"/>
        <w:jc w:val="center"/>
        <w:rPr>
          <w:rStyle w:val="20"/>
          <w:rFonts w:hint="eastAsia" w:ascii="宋体" w:hAnsi="宋体" w:eastAsia="宋体" w:cs="宋体"/>
          <w:b/>
          <w:bCs/>
          <w:color w:val="auto"/>
          <w:highlight w:val="none"/>
        </w:rPr>
      </w:pPr>
      <w:r>
        <w:rPr>
          <w:rStyle w:val="20"/>
          <w:rFonts w:hint="eastAsia" w:ascii="宋体" w:hAnsi="宋体" w:eastAsia="宋体" w:cs="宋体"/>
          <w:color w:val="auto"/>
          <w:sz w:val="32"/>
          <w:szCs w:val="32"/>
          <w:highlight w:val="none"/>
          <w:u w:val="single"/>
        </w:rPr>
        <w:t xml:space="preserve">         </w:t>
      </w:r>
      <w:bookmarkStart w:id="401" w:name="_Toc27315"/>
      <w:bookmarkStart w:id="402" w:name="_Toc24812"/>
      <w:bookmarkStart w:id="403" w:name="_Toc23099"/>
      <w:bookmarkStart w:id="404" w:name="_Toc29803"/>
      <w:bookmarkStart w:id="405" w:name="_Toc19304"/>
      <w:r>
        <w:rPr>
          <w:rStyle w:val="20"/>
          <w:rFonts w:hint="eastAsia" w:ascii="宋体" w:hAnsi="宋体" w:eastAsia="宋体" w:cs="宋体"/>
          <w:color w:val="auto"/>
          <w:sz w:val="32"/>
          <w:szCs w:val="32"/>
          <w:highlight w:val="none"/>
        </w:rPr>
        <w:t>年</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月</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日</w:t>
      </w:r>
      <w:bookmarkEnd w:id="401"/>
      <w:bookmarkEnd w:id="402"/>
      <w:bookmarkEnd w:id="403"/>
      <w:bookmarkEnd w:id="404"/>
      <w:bookmarkEnd w:id="405"/>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06" w:name="_Toc28797"/>
      <w:bookmarkStart w:id="407" w:name="_Toc23624"/>
      <w:bookmarkStart w:id="408" w:name="_Toc5547"/>
      <w:bookmarkStart w:id="409" w:name="_Toc5509"/>
      <w:bookmarkStart w:id="410" w:name="_Toc27916"/>
      <w:bookmarkStart w:id="411" w:name="_Toc30854"/>
      <w:bookmarkStart w:id="412" w:name="_Toc30213"/>
      <w:bookmarkStart w:id="413" w:name="_Toc32654"/>
      <w:bookmarkStart w:id="414" w:name="_Toc15168"/>
      <w:bookmarkStart w:id="415" w:name="_Toc28278"/>
      <w:r>
        <w:rPr>
          <w:rStyle w:val="20"/>
          <w:rFonts w:hint="eastAsia" w:ascii="宋体" w:hAnsi="宋体" w:eastAsia="宋体" w:cs="宋体"/>
          <w:b/>
          <w:bCs/>
          <w:color w:val="auto"/>
          <w:sz w:val="21"/>
          <w:szCs w:val="21"/>
          <w:highlight w:val="none"/>
        </w:rPr>
        <w:t>格式二 投标函</w:t>
      </w:r>
      <w:bookmarkEnd w:id="406"/>
      <w:bookmarkEnd w:id="407"/>
      <w:bookmarkEnd w:id="408"/>
      <w:bookmarkEnd w:id="409"/>
      <w:bookmarkEnd w:id="410"/>
      <w:bookmarkEnd w:id="411"/>
      <w:bookmarkEnd w:id="412"/>
      <w:bookmarkEnd w:id="413"/>
      <w:bookmarkEnd w:id="414"/>
      <w:bookmarkEnd w:id="415"/>
    </w:p>
    <w:p>
      <w:pPr>
        <w:pStyle w:val="46"/>
        <w:snapToGrid w:val="0"/>
        <w:spacing w:before="260" w:after="260" w:line="440" w:lineRule="exact"/>
        <w:ind w:firstLine="0"/>
        <w:rPr>
          <w:rStyle w:val="20"/>
          <w:rFonts w:hint="eastAsia" w:ascii="宋体" w:hAnsi="宋体" w:eastAsia="宋体" w:cs="宋体"/>
          <w:b/>
          <w:bCs/>
          <w:color w:val="auto"/>
          <w:highlight w:val="none"/>
        </w:rPr>
      </w:pPr>
      <w:r>
        <w:rPr>
          <w:rStyle w:val="20"/>
          <w:rFonts w:hint="eastAsia" w:ascii="宋体" w:hAnsi="宋体" w:eastAsia="宋体" w:cs="宋体"/>
          <w:b/>
          <w:bCs/>
          <w:color w:val="auto"/>
          <w:sz w:val="30"/>
          <w:szCs w:val="30"/>
          <w:highlight w:val="none"/>
        </w:rPr>
        <w:t>投  标  函</w:t>
      </w:r>
    </w:p>
    <w:p>
      <w:pPr>
        <w:snapToGrid w:val="0"/>
        <w:spacing w:line="440" w:lineRule="exact"/>
        <w:jc w:val="center"/>
        <w:rPr>
          <w:rStyle w:val="20"/>
          <w:rFonts w:hint="eastAsia" w:ascii="宋体" w:hAnsi="宋体" w:eastAsia="宋体" w:cs="宋体"/>
          <w:b/>
          <w:bCs/>
          <w:color w:val="auto"/>
          <w:kern w:val="0"/>
          <w:highlight w:val="none"/>
        </w:rPr>
      </w:pPr>
    </w:p>
    <w:p>
      <w:pPr>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（招标人名称）</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 我方考察现场并充分研究</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（工程名称）（以下简称“本工程”）招标文件所有内容后，结合自身资质、能力和特点，愿意接受招标文件的全部内容和条件，兹以人民币（大写）：</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）的投标总价竞投本工程施工。</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在我方的上述投标总价中，包括：</w:t>
      </w:r>
      <w:r>
        <w:rPr>
          <w:rStyle w:val="20"/>
          <w:rFonts w:hint="eastAsia" w:hAnsi="宋体" w:cs="宋体"/>
          <w:color w:val="auto"/>
          <w:kern w:val="0"/>
          <w:highlight w:val="none"/>
          <w:lang w:eastAsia="zh-CN"/>
        </w:rPr>
        <w:t>安全生产措施费</w:t>
      </w:r>
      <w:r>
        <w:rPr>
          <w:rStyle w:val="20"/>
          <w:rFonts w:hint="eastAsia" w:ascii="宋体" w:hAnsi="宋体" w:eastAsia="宋体" w:cs="宋体"/>
          <w:color w:val="auto"/>
          <w:kern w:val="0"/>
          <w:highlight w:val="none"/>
        </w:rPr>
        <w:t>¥</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，暂列金额¥</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，暂估价¥</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2.如果我方中标，我方保证按照合同约定的开工日期开始本工程的施工，</w:t>
      </w:r>
      <w:r>
        <w:rPr>
          <w:rStyle w:val="20"/>
          <w:rFonts w:hint="eastAsia" w:ascii="宋体" w:hAnsi="宋体" w:eastAsia="宋体" w:cs="宋体"/>
          <w:color w:val="auto"/>
          <w:kern w:val="0"/>
          <w:highlight w:val="none"/>
          <w:u w:val="single"/>
        </w:rPr>
        <w:t xml:space="preserve">  </w:t>
      </w:r>
      <w:r>
        <w:rPr>
          <w:rStyle w:val="20"/>
          <w:rFonts w:hint="eastAsia" w:hAnsi="宋体" w:cs="宋体"/>
          <w:color w:val="auto"/>
          <w:kern w:val="0"/>
          <w:highlight w:val="none"/>
          <w:u w:val="single"/>
          <w:lang w:val="en-US" w:eastAsia="zh-CN"/>
        </w:rPr>
        <w:t xml:space="preserve">  </w:t>
      </w:r>
      <w:r>
        <w:rPr>
          <w:rStyle w:val="20"/>
          <w:rFonts w:hint="eastAsia" w:ascii="宋体" w:hAnsi="宋体" w:eastAsia="宋体" w:cs="宋体"/>
          <w:color w:val="auto"/>
          <w:kern w:val="0"/>
          <w:highlight w:val="none"/>
        </w:rPr>
        <w:t>个日历天内竣工，并确保工程质量达到</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标准和维修其中的任何缺陷。</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3.本投标函在你方接收我方递交的投标文件之日起、到招标文件规定的投标有效期期满前对我方具有约束力。我方随时准备接受你方发出的中标通知书。</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4．我方在此声明，我方不存在本工程招标文件第一章第三节第</w:t>
      </w:r>
      <w:r>
        <w:rPr>
          <w:rStyle w:val="20"/>
          <w:rFonts w:hint="eastAsia" w:ascii="宋体" w:hAnsi="宋体" w:eastAsia="宋体" w:cs="宋体"/>
          <w:b/>
          <w:bCs/>
          <w:color w:val="auto"/>
          <w:kern w:val="0"/>
          <w:highlight w:val="none"/>
        </w:rPr>
        <w:t>2.4</w:t>
      </w:r>
      <w:r>
        <w:rPr>
          <w:rStyle w:val="20"/>
          <w:rFonts w:hint="eastAsia" w:ascii="宋体" w:hAnsi="宋体" w:eastAsia="宋体" w:cs="宋体"/>
          <w:color w:val="auto"/>
          <w:kern w:val="0"/>
          <w:highlight w:val="none"/>
        </w:rPr>
        <w:t>条“禁止投标条款”所列出的任何一种情形，并愿意承担因我方就此弄虚作假所引起的一切法律后果。</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pPr>
        <w:snapToGrid w:val="0"/>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6. 我方理解你方不一定要接纳收到的最低投标总价或任何投标总价的投标人中标，也不要求你方解释我方是否中标的原因。</w:t>
      </w:r>
    </w:p>
    <w:p>
      <w:pPr>
        <w:snapToGrid w:val="0"/>
        <w:spacing w:line="440" w:lineRule="exact"/>
        <w:ind w:firstLine="57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ind w:firstLine="480" w:firstLineChars="200"/>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法定代表人或其委托代理人：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jc w:val="right"/>
        <w:rPr>
          <w:rStyle w:val="20"/>
          <w:rFonts w:hint="eastAsia" w:ascii="宋体" w:hAnsi="宋体" w:eastAsia="宋体" w:cs="宋体"/>
          <w:color w:val="auto"/>
          <w:kern w:val="0"/>
          <w:highlight w:val="none"/>
        </w:rPr>
      </w:pPr>
    </w:p>
    <w:p>
      <w:pPr>
        <w:snapToGrid w:val="0"/>
        <w:spacing w:line="440" w:lineRule="exact"/>
        <w:jc w:val="left"/>
        <w:rPr>
          <w:rStyle w:val="20"/>
          <w:rFonts w:hint="eastAsia" w:ascii="宋体" w:hAnsi="宋体" w:eastAsia="宋体" w:cs="宋体"/>
          <w:color w:val="auto"/>
          <w:kern w:val="0"/>
          <w:highlight w:val="none"/>
        </w:rPr>
        <w:sectPr>
          <w:endnotePr>
            <w:numFmt w:val="decimal"/>
          </w:endnotePr>
          <w:pgSz w:w="11906" w:h="16838"/>
          <w:pgMar w:top="1701" w:right="1531" w:bottom="1417" w:left="1531" w:header="850" w:footer="992" w:gutter="0"/>
          <w:cols w:space="720" w:num="1"/>
          <w:docGrid w:linePitch="327" w:charSpace="0"/>
        </w:sect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pStyle w:val="50"/>
        <w:rPr>
          <w:rFonts w:hint="eastAsia" w:ascii="宋体" w:hAnsi="宋体" w:eastAsia="宋体" w:cs="宋体"/>
          <w:color w:val="auto"/>
          <w:sz w:val="21"/>
          <w:szCs w:val="21"/>
          <w:highlight w:val="none"/>
        </w:rPr>
      </w:pPr>
      <w:bookmarkStart w:id="416" w:name="_Toc4917"/>
      <w:bookmarkStart w:id="417" w:name="_Toc5017"/>
      <w:bookmarkStart w:id="418" w:name="_Toc4375"/>
      <w:bookmarkStart w:id="419" w:name="_Toc5519"/>
      <w:bookmarkStart w:id="420" w:name="_Toc1615"/>
      <w:bookmarkStart w:id="421" w:name="_Toc32320"/>
      <w:bookmarkStart w:id="422" w:name="_Toc14714"/>
      <w:bookmarkStart w:id="423" w:name="_Toc23704"/>
      <w:bookmarkStart w:id="424" w:name="_Toc7329"/>
      <w:bookmarkStart w:id="425" w:name="_Toc13340"/>
      <w:bookmarkStart w:id="426" w:name="_Toc21578"/>
      <w:r>
        <w:rPr>
          <w:rFonts w:hint="eastAsia" w:ascii="宋体" w:hAnsi="宋体" w:eastAsia="宋体" w:cs="宋体"/>
          <w:color w:val="auto"/>
          <w:sz w:val="21"/>
          <w:szCs w:val="21"/>
          <w:highlight w:val="none"/>
        </w:rPr>
        <w:t>格式三 各项承诺一览表</w:t>
      </w:r>
      <w:bookmarkEnd w:id="416"/>
      <w:bookmarkEnd w:id="417"/>
      <w:bookmarkEnd w:id="418"/>
      <w:bookmarkEnd w:id="419"/>
      <w:bookmarkEnd w:id="420"/>
      <w:bookmarkEnd w:id="421"/>
      <w:bookmarkEnd w:id="422"/>
    </w:p>
    <w:p>
      <w:pPr>
        <w:pStyle w:val="43"/>
        <w:widowControl w:val="0"/>
        <w:wordWrap w:val="0"/>
        <w:adjustRightInd w:val="0"/>
        <w:snapToGrid w:val="0"/>
        <w:spacing w:before="240" w:after="240" w:line="440" w:lineRule="exact"/>
        <w:ind w:firstLine="0"/>
        <w:jc w:val="center"/>
        <w:rPr>
          <w:rFonts w:hint="eastAsia" w:ascii="宋体" w:hAnsi="宋体" w:eastAsia="宋体" w:cs="宋体"/>
          <w:b/>
          <w:snapToGrid w:val="0"/>
          <w:color w:val="auto"/>
          <w:sz w:val="30"/>
          <w:highlight w:val="none"/>
        </w:rPr>
      </w:pPr>
      <w:bookmarkStart w:id="427" w:name="_Toc14261300"/>
      <w:r>
        <w:rPr>
          <w:rFonts w:hint="eastAsia" w:ascii="宋体" w:hAnsi="宋体" w:eastAsia="宋体" w:cs="宋体"/>
          <w:b/>
          <w:snapToGrid w:val="0"/>
          <w:color w:val="auto"/>
          <w:sz w:val="30"/>
          <w:highlight w:val="none"/>
        </w:rPr>
        <w:t>各项承诺一览表</w:t>
      </w:r>
      <w:bookmarkEnd w:id="427"/>
    </w:p>
    <w:tbl>
      <w:tblPr>
        <w:tblStyle w:val="16"/>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3128"/>
        <w:gridCol w:w="38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序号</w:t>
            </w:r>
          </w:p>
        </w:tc>
        <w:tc>
          <w:tcPr>
            <w:tcW w:w="1573"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承诺事项</w:t>
            </w:r>
          </w:p>
        </w:tc>
        <w:tc>
          <w:tcPr>
            <w:tcW w:w="3128"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承诺内容</w:t>
            </w:r>
          </w:p>
        </w:tc>
        <w:tc>
          <w:tcPr>
            <w:tcW w:w="3814" w:type="dxa"/>
            <w:noWrap w:val="0"/>
            <w:vAlign w:val="center"/>
          </w:tcPr>
          <w:p>
            <w:pPr>
              <w:pStyle w:val="44"/>
              <w:wordWrap w:val="0"/>
              <w:adjustRightInd w:val="0"/>
              <w:snapToGrid w:val="0"/>
              <w:spacing w:line="380" w:lineRule="exact"/>
              <w:jc w:val="center"/>
              <w:rPr>
                <w:rFonts w:hint="eastAsia" w:ascii="宋体" w:hAnsi="宋体" w:eastAsia="宋体" w:cs="宋体"/>
                <w:bCs/>
                <w:snapToGrid w:val="0"/>
                <w:color w:val="auto"/>
                <w:kern w:val="0"/>
                <w:szCs w:val="21"/>
                <w:highlight w:val="none"/>
              </w:rPr>
            </w:pPr>
            <w:r>
              <w:rPr>
                <w:rFonts w:hint="eastAsia" w:ascii="宋体" w:hAnsi="宋体" w:eastAsia="宋体" w:cs="宋体"/>
                <w:bCs/>
                <w:snapToGrid w:val="0"/>
                <w:color w:val="auto"/>
                <w:kern w:val="0"/>
                <w:szCs w:val="21"/>
                <w:highlight w:val="none"/>
              </w:rPr>
              <w:t>违约承诺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73"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自愿接受招标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文件条款的承诺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我方自愿接受招标文件的所有条款，所递交的投标文件已经充分响应招标文件的实质性要求。</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2"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无禁止投标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情形的承诺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我方不存在招标文件第一章第三节第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如果我方有招标文件第一章第三节第</w:t>
            </w:r>
            <w:r>
              <w:rPr>
                <w:rFonts w:hint="eastAsia" w:ascii="宋体" w:hAnsi="宋体" w:eastAsia="宋体" w:cs="宋体"/>
                <w:b/>
                <w:bCs/>
                <w:snapToGrid w:val="0"/>
                <w:color w:val="auto"/>
                <w:kern w:val="0"/>
                <w:sz w:val="21"/>
                <w:szCs w:val="21"/>
                <w:highlight w:val="none"/>
              </w:rPr>
              <w:t>2.4</w:t>
            </w:r>
            <w:r>
              <w:rPr>
                <w:rFonts w:hint="eastAsia" w:ascii="宋体" w:hAnsi="宋体" w:eastAsia="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29"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自觉抵制围标</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串标和弄虚</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作假行为的承诺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我方合法正当、诚实守信地参与投标，不组织、不参加围标串标违法行为，不通过弄虚作假行为骗取中标。</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6"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项目经理</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任职承诺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我方拟派项目经理现阶段未担任其他在施</w:t>
            </w:r>
            <w:r>
              <w:rPr>
                <w:rFonts w:hint="eastAsia" w:hAnsi="宋体" w:eastAsia="宋体" w:cs="宋体"/>
                <w:snapToGrid w:val="0"/>
                <w:color w:val="auto"/>
                <w:kern w:val="0"/>
                <w:sz w:val="21"/>
                <w:szCs w:val="21"/>
                <w:highlight w:val="none"/>
                <w:lang w:eastAsia="zh-CN"/>
              </w:rPr>
              <w:t>（包括已中标未开工、已开工未竣工）</w:t>
            </w:r>
            <w:r>
              <w:rPr>
                <w:rFonts w:hint="eastAsia" w:ascii="宋体" w:hAnsi="宋体" w:eastAsia="宋体" w:cs="宋体"/>
                <w:snapToGrid w:val="0"/>
                <w:color w:val="auto"/>
                <w:kern w:val="0"/>
                <w:sz w:val="21"/>
                <w:szCs w:val="21"/>
                <w:highlight w:val="none"/>
              </w:rPr>
              <w:t>建设工程项目的项目经理</w:t>
            </w:r>
            <w:r>
              <w:rPr>
                <w:rFonts w:hint="eastAsia" w:ascii="宋体" w:hAnsi="宋体" w:eastAsia="宋体" w:cs="宋体"/>
                <w:snapToGrid w:val="0"/>
                <w:color w:val="auto"/>
                <w:kern w:val="0"/>
                <w:sz w:val="21"/>
                <w:szCs w:val="21"/>
                <w:highlight w:val="none"/>
                <w:lang w:eastAsia="zh-CN"/>
              </w:rPr>
              <w:t>。</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如果我方拟派项目经理在本工程招标投标活动期间有担任其他任何在施</w:t>
            </w:r>
            <w:r>
              <w:rPr>
                <w:rFonts w:hint="eastAsia" w:hAnsi="宋体" w:eastAsia="宋体" w:cs="宋体"/>
                <w:snapToGrid w:val="0"/>
                <w:color w:val="auto"/>
                <w:kern w:val="0"/>
                <w:sz w:val="21"/>
                <w:szCs w:val="21"/>
                <w:highlight w:val="none"/>
                <w:lang w:eastAsia="zh-CN"/>
              </w:rPr>
              <w:t>（包括已中标未开工、已开工未竣工）</w:t>
            </w:r>
            <w:r>
              <w:rPr>
                <w:rFonts w:hint="eastAsia" w:ascii="宋体" w:hAnsi="宋体" w:eastAsia="宋体" w:cs="宋体"/>
                <w:snapToGrid w:val="0"/>
                <w:color w:val="auto"/>
                <w:kern w:val="0"/>
                <w:sz w:val="21"/>
                <w:szCs w:val="21"/>
                <w:highlight w:val="none"/>
              </w:rPr>
              <w:t>建设工程项目的项目经理，我方接受招标人或其授权的招标代理机构或其组建的评标委员会依据招标文件作出的相应处理以及有关监督部门作出的行政处罚，并承担由此引起的一切法律后果。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真实性承诺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我方所递交投标文件的全部内容均为真实、有效、准确的。</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34"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信息公开承诺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我方提供完整的电子文件。如果我方成为本项目中标候选人，我方同意并授权招标人在评标结果公示期内公开我方商务标书的全部内容。</w:t>
            </w:r>
          </w:p>
        </w:tc>
        <w:tc>
          <w:tcPr>
            <w:tcW w:w="381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w:t>
            </w: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11"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7</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对不正常报价</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的确认承诺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如果我方中标，我方接受招标人在合同订立期间或合同履行期间依据招标文件有关条款约定对我方已标价工程量清单中不正常报价的修正或认定，并按要求签署《不正常报价清单》加以确认。</w:t>
            </w:r>
          </w:p>
        </w:tc>
        <w:tc>
          <w:tcPr>
            <w:tcW w:w="3814" w:type="dxa"/>
            <w:noWrap w:val="0"/>
            <w:vAlign w:val="center"/>
            <mc:AlternateContent>
              <mc:Choice Requires="wpsCustomData">
                <wpsCustomData:diagonals>
                  <wpsCustomData:diagonal from="0" to="20000">
                    <wpsCustomData:border w:val="single" w:color="auto" w:sz="4" w:space="0"/>
                  </wpsCustomData:diagonal>
                </wpsCustomData:diagonals>
              </mc:Choice>
            </mc:AlternateContent>
          </w:tcPr>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w:rPr>
                <w:rFonts w:hint="eastAsia" w:ascii="宋体" w:hAnsi="宋体" w:eastAsia="宋体" w:cs="宋体"/>
                <w:snapToGrid w:val="0"/>
                <w:color w:val="auto"/>
                <w:kern w:val="0"/>
                <w:sz w:val="21"/>
                <w:szCs w:val="21"/>
                <w:highlight w:val="none"/>
              </w:rPr>
            </w:pPr>
          </w:p>
          <w:p>
            <w:pPr>
              <w:pStyle w:val="51"/>
              <w:wordWrap w:val="0"/>
              <w:adjustRightInd w:val="0"/>
              <w:snapToGrid w:val="0"/>
              <w:spacing w:line="240" w:lineRule="auto"/>
              <w:ind w:firstLine="0" w:firstLineChars="0"/>
              <w:jc w:val="left"/>
              <mc:AlternateContent>
                <mc:Choice Requires="wpsCustomData">
                  <wpsCustomData:diagonalParaType/>
                </mc:Choice>
              </mc:AlternateContent>
              <w:rPr>
                <w:rFonts w:hint="eastAsia" w:ascii="宋体" w:hAnsi="宋体" w:eastAsia="宋体" w:cs="宋体"/>
                <w:snapToGrid w:val="0"/>
                <w:color w:val="auto"/>
                <w:kern w:val="0"/>
                <w:sz w:val="21"/>
                <w:szCs w:val="21"/>
                <w:highlight w:val="none"/>
              </w:rPr>
            </w:pPr>
          </w:p>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8</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按时提交履约</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保证的承诺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如果我方中标，我方保证在招标文件规定的时限内全额提交履约保证。</w:t>
            </w:r>
          </w:p>
        </w:tc>
        <w:tc>
          <w:tcPr>
            <w:tcW w:w="3814" w:type="dxa"/>
            <w:noWrap w:val="0"/>
            <w:vAlign w:val="center"/>
          </w:tcPr>
          <w:p>
            <w:pPr>
              <w:pStyle w:val="51"/>
              <w:wordWrap w:val="0"/>
              <w:adjustRightInd w:val="0"/>
              <w:snapToGrid w:val="0"/>
              <w:spacing w:line="380" w:lineRule="exact"/>
              <w:ind w:firstLine="0" w:firstLineChars="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44"/>
              <w:wordWrap w:val="0"/>
              <w:adjustRightInd w:val="0"/>
              <w:snapToGrid w:val="0"/>
              <w:spacing w:line="38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1573" w:type="dxa"/>
            <w:noWrap w:val="0"/>
            <w:vAlign w:val="center"/>
          </w:tcPr>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按时签订合同</w:t>
            </w:r>
          </w:p>
          <w:p>
            <w:pPr>
              <w:pStyle w:val="51"/>
              <w:wordWrap w:val="0"/>
              <w:adjustRightInd w:val="0"/>
              <w:snapToGrid w:val="0"/>
              <w:spacing w:line="380" w:lineRule="exact"/>
              <w:ind w:firstLine="0" w:firstLineChars="0"/>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的承诺</w:t>
            </w:r>
          </w:p>
        </w:tc>
        <w:tc>
          <w:tcPr>
            <w:tcW w:w="3128"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3814" w:type="dxa"/>
            <w:noWrap w:val="0"/>
            <w:vAlign w:val="center"/>
          </w:tcPr>
          <w:p>
            <w:pPr>
              <w:pStyle w:val="51"/>
              <w:wordWrap w:val="0"/>
              <w:adjustRightInd w:val="0"/>
              <w:snapToGrid w:val="0"/>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6" w:hRule="atLeast"/>
          <w:jc w:val="center"/>
        </w:trPr>
        <w:tc>
          <w:tcPr>
            <w:tcW w:w="716" w:type="dxa"/>
            <w:noWrap w:val="0"/>
            <w:vAlign w:val="center"/>
          </w:tcPr>
          <w:p>
            <w:pPr>
              <w:pStyle w:val="52"/>
              <w:spacing w:line="380" w:lineRule="exact"/>
              <w:jc w:val="center"/>
              <w:rPr>
                <w:rFonts w:hint="eastAsia" w:ascii="宋体" w:hAnsi="宋体" w:eastAsia="宋体" w:cs="宋体"/>
                <w:snapToGrid w:val="0"/>
                <w:color w:val="auto"/>
                <w:kern w:val="0"/>
                <w:szCs w:val="21"/>
                <w:highlight w:val="none"/>
              </w:rPr>
            </w:pPr>
            <w:r>
              <w:rPr>
                <w:rFonts w:hint="eastAsia" w:ascii="宋体" w:hAnsi="宋体" w:eastAsia="宋体" w:cs="宋体"/>
                <w:color w:val="auto"/>
                <w:szCs w:val="21"/>
                <w:highlight w:val="none"/>
              </w:rPr>
              <w:t>10</w:t>
            </w:r>
          </w:p>
        </w:tc>
        <w:tc>
          <w:tcPr>
            <w:tcW w:w="1573" w:type="dxa"/>
            <w:noWrap w:val="0"/>
            <w:vAlign w:val="center"/>
          </w:tcPr>
          <w:p>
            <w:pPr>
              <w:pStyle w:val="51"/>
              <w:spacing w:line="380" w:lineRule="exact"/>
              <w:ind w:firstLine="210" w:firstLineChars="100"/>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工期、进度承诺书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w:t>
            </w:r>
            <w:r>
              <w:rPr>
                <w:rFonts w:hint="eastAsia" w:ascii="宋体" w:hAnsi="宋体" w:eastAsia="宋体" w:cs="宋体"/>
                <w:color w:val="auto"/>
                <w:sz w:val="21"/>
                <w:szCs w:val="21"/>
                <w:highlight w:val="none"/>
                <w:u w:val="single"/>
              </w:rPr>
              <w:t xml:space="preserve">    日历天内</w:t>
            </w:r>
            <w:r>
              <w:rPr>
                <w:rFonts w:hint="eastAsia" w:ascii="宋体" w:hAnsi="宋体" w:eastAsia="宋体" w:cs="宋体"/>
                <w:color w:val="auto"/>
                <w:sz w:val="21"/>
                <w:szCs w:val="21"/>
                <w:highlight w:val="none"/>
              </w:rPr>
              <w:t>完成施工并通过竣工验收。</w:t>
            </w:r>
          </w:p>
          <w:p>
            <w:pPr>
              <w:pStyle w:val="51"/>
              <w:spacing w:line="380" w:lineRule="exact"/>
              <w:ind w:firstLine="42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rPr>
              <w:t>我方保证各分部、分项工程的施工进度按我方投标文件中的施工进度计划完成施工任务。</w:t>
            </w:r>
          </w:p>
        </w:tc>
        <w:tc>
          <w:tcPr>
            <w:tcW w:w="3814" w:type="dxa"/>
            <w:noWrap w:val="0"/>
            <w:vAlign w:val="center"/>
          </w:tcPr>
          <w:p>
            <w:pPr>
              <w:pStyle w:val="9"/>
              <w:spacing w:line="36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若因我方原因，工程没有按期竣工时，我方在逾期第壹天起每天按合同价款的3‰向招标人返纳逾期违约金，累计最高不超过合同价款的10%向招标人缴纳逾期违约金。</w:t>
            </w:r>
          </w:p>
          <w:p>
            <w:pPr>
              <w:pStyle w:val="9"/>
              <w:spacing w:line="36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若因我方原因，各分部、分项工程的施工进度未能按我方投标文件中的施工进度计划完成施工任务，延期达到30日历天，招标人有权终止合同。我方愿意承担所有由此引起的责任及经济损失。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11</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安全、文明施工承诺书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我方保证在施工期间严格遵守国家、省、市有关安全、文明施工规定，确保施工安全和第三者的安全，根据施工现场情况保证</w:t>
            </w:r>
            <w:r>
              <w:rPr>
                <w:rFonts w:hint="eastAsia" w:hAnsi="宋体" w:cs="宋体"/>
                <w:color w:val="auto"/>
                <w:sz w:val="21"/>
                <w:szCs w:val="21"/>
                <w:highlight w:val="none"/>
                <w:lang w:eastAsia="zh-CN"/>
              </w:rPr>
              <w:t>安全生产措施费</w:t>
            </w:r>
            <w:r>
              <w:rPr>
                <w:rFonts w:hint="eastAsia" w:ascii="宋体" w:hAnsi="宋体" w:eastAsia="宋体" w:cs="宋体"/>
                <w:color w:val="auto"/>
                <w:sz w:val="21"/>
                <w:szCs w:val="21"/>
                <w:highlight w:val="none"/>
              </w:rPr>
              <w:t>投入。</w:t>
            </w:r>
          </w:p>
        </w:tc>
        <w:tc>
          <w:tcPr>
            <w:tcW w:w="3814"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若因我方原因，在施工期间发生安全事故，造成施工人员或第三者的伤亡，我方愿意承担由此造成的一切经济损失和法律责任。</w:t>
            </w:r>
          </w:p>
          <w:p>
            <w:pPr>
              <w:pStyle w:val="51"/>
              <w:spacing w:line="380" w:lineRule="exact"/>
              <w:ind w:firstLine="420"/>
              <w:rPr>
                <w:rFonts w:hint="eastAsia" w:ascii="宋体" w:hAnsi="宋体" w:eastAsia="宋体" w:cs="宋体"/>
                <w:color w:val="auto"/>
                <w:highlight w:val="none"/>
              </w:rPr>
            </w:pPr>
            <w:r>
              <w:rPr>
                <w:rFonts w:hint="eastAsia" w:ascii="宋体" w:hAnsi="宋体" w:eastAsia="宋体" w:cs="宋体"/>
                <w:color w:val="auto"/>
                <w:sz w:val="21"/>
                <w:szCs w:val="21"/>
                <w:highlight w:val="none"/>
              </w:rPr>
              <w:t>若我方在施工中发生一般事故及以上等级生产安全事故，可扣除相当于所有“</w:t>
            </w:r>
            <w:r>
              <w:rPr>
                <w:rFonts w:hint="eastAsia" w:hAnsi="宋体" w:cs="宋体"/>
                <w:color w:val="auto"/>
                <w:sz w:val="21"/>
                <w:szCs w:val="21"/>
                <w:highlight w:val="none"/>
                <w:lang w:eastAsia="zh-CN"/>
              </w:rPr>
              <w:t>安全生产措施费</w:t>
            </w:r>
            <w:r>
              <w:rPr>
                <w:rFonts w:hint="eastAsia" w:ascii="宋体" w:hAnsi="宋体" w:eastAsia="宋体" w:cs="宋体"/>
                <w:color w:val="auto"/>
                <w:sz w:val="21"/>
                <w:szCs w:val="21"/>
                <w:highlight w:val="none"/>
              </w:rPr>
              <w:t>”的管理费。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12</w:t>
            </w:r>
          </w:p>
        </w:tc>
        <w:tc>
          <w:tcPr>
            <w:tcW w:w="1573" w:type="dxa"/>
            <w:noWrap w:val="0"/>
            <w:vAlign w:val="center"/>
          </w:tcPr>
          <w:p>
            <w:pPr>
              <w:pStyle w:val="51"/>
              <w:spacing w:line="380" w:lineRule="exact"/>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质量承诺书</w:t>
            </w:r>
          </w:p>
        </w:tc>
        <w:tc>
          <w:tcPr>
            <w:tcW w:w="3128"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我方保证按照现行的国家和广东省的有关施工技术规范及现行标准，达到验收合格标准。</w:t>
            </w:r>
          </w:p>
        </w:tc>
        <w:tc>
          <w:tcPr>
            <w:tcW w:w="3814" w:type="dxa"/>
            <w:noWrap w:val="0"/>
            <w:vAlign w:val="center"/>
          </w:tcPr>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因我方原因，工程在竣工验收或分部分项工程验收时没有达到合格标准，我方每次（每分部每分项次）验收检查时按合同价款的1％向招标人缴纳质量违约金。并达到合格标准为止，同时承担所有的责任及经济损失。</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建设或监理单组织的质量检查中，一次一个分项工程实测或其他项、程序不合格不符合要求的，一次向建设单位交纳质量违约金¥1000元/次项，分部工程不合格的一次、一个分部向建设（委托）单位交纳违约金¥2000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省、市监管部门抽查、巡查、专项、随机检查中，一次一个分项工程实测或其他项、程序不合格不符合要求的，一次向建设（委托）单位交纳质量违约金¥2000元/次项，分部工程不合格的一次、一个分部向建设（委托）单位交纳违约金¥5000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未能在限期内完成质量安全隐患整改的，每逾期一天，向建设单位交纳罚金¥1000元；</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未按规定委派专业人员参加检验批、分部分项工程验收，不及时签署验收记录的，一次向建设（委托）单位交纳违约金¥2000元/次、项；</w:t>
            </w:r>
          </w:p>
          <w:p>
            <w:pPr>
              <w:pStyle w:val="51"/>
              <w:spacing w:line="38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不按规定委派相关人员参加项目竣工验收的，一次向建设单位交纳违约金¥50000元/项，不签署意见的交纳违约金¥50000元。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项目管理班子人员承诺</w:t>
            </w:r>
          </w:p>
        </w:tc>
        <w:tc>
          <w:tcPr>
            <w:tcW w:w="3128" w:type="dxa"/>
            <w:noWrap w:val="0"/>
            <w:vAlign w:val="center"/>
          </w:tcPr>
          <w:p>
            <w:pPr>
              <w:pStyle w:val="52"/>
              <w:spacing w:line="380" w:lineRule="exact"/>
              <w:ind w:firstLine="56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我方保证投标文件中所拟派的项目经理、技术负责人、施工员、质量员、安全员等工程管理人员全部在施工现场管理施工</w:t>
            </w:r>
          </w:p>
        </w:tc>
        <w:tc>
          <w:tcPr>
            <w:tcW w:w="3814" w:type="dxa"/>
            <w:noWrap w:val="0"/>
            <w:vAlign w:val="center"/>
          </w:tcPr>
          <w:p>
            <w:pPr>
              <w:pStyle w:val="51"/>
              <w:spacing w:line="380" w:lineRule="exact"/>
              <w:ind w:firstLine="412"/>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承诺施工期间如左所叙施工现场管理人员按要求每日办理签到手续，如未经招标人同意未办理签到，向建设单位每人每天支付违约金</w:t>
            </w:r>
            <w:r>
              <w:rPr>
                <w:rFonts w:hint="eastAsia" w:ascii="宋体" w:hAnsi="宋体" w:eastAsia="宋体" w:cs="宋体"/>
                <w:color w:val="auto"/>
                <w:sz w:val="21"/>
                <w:szCs w:val="24"/>
                <w:highlight w:val="none"/>
              </w:rPr>
              <w:t>¥</w:t>
            </w:r>
            <w:r>
              <w:rPr>
                <w:rFonts w:hint="eastAsia" w:ascii="宋体" w:hAnsi="宋体" w:eastAsia="宋体" w:cs="宋体"/>
                <w:color w:val="auto"/>
                <w:spacing w:val="-2"/>
                <w:sz w:val="21"/>
                <w:szCs w:val="21"/>
                <w:highlight w:val="none"/>
              </w:rPr>
              <w:t>3000元（项目经理未签到每天支付违约金</w:t>
            </w:r>
            <w:r>
              <w:rPr>
                <w:rFonts w:hint="eastAsia" w:ascii="宋体" w:hAnsi="宋体" w:eastAsia="宋体" w:cs="宋体"/>
                <w:color w:val="auto"/>
                <w:sz w:val="21"/>
                <w:szCs w:val="24"/>
                <w:highlight w:val="none"/>
              </w:rPr>
              <w:t>¥</w:t>
            </w:r>
            <w:r>
              <w:rPr>
                <w:rFonts w:hint="eastAsia" w:ascii="宋体" w:hAnsi="宋体" w:eastAsia="宋体" w:cs="宋体"/>
                <w:color w:val="auto"/>
                <w:spacing w:val="-2"/>
                <w:sz w:val="21"/>
                <w:szCs w:val="21"/>
                <w:highlight w:val="none"/>
              </w:rPr>
              <w:t>3000元）；</w:t>
            </w:r>
          </w:p>
          <w:p>
            <w:pPr>
              <w:pStyle w:val="51"/>
              <w:spacing w:line="380" w:lineRule="exact"/>
              <w:ind w:firstLine="412"/>
              <w:rPr>
                <w:rFonts w:hint="eastAsia" w:ascii="宋体" w:hAnsi="宋体" w:eastAsia="宋体" w:cs="宋体"/>
                <w:color w:val="auto"/>
                <w:sz w:val="21"/>
                <w:szCs w:val="24"/>
                <w:highlight w:val="none"/>
              </w:rPr>
            </w:pPr>
            <w:r>
              <w:rPr>
                <w:rFonts w:hint="eastAsia" w:ascii="宋体" w:hAnsi="宋体" w:eastAsia="宋体" w:cs="宋体"/>
                <w:color w:val="auto"/>
                <w:spacing w:val="-2"/>
                <w:sz w:val="21"/>
                <w:szCs w:val="21"/>
                <w:highlight w:val="none"/>
              </w:rPr>
              <w:t>若我方的投标文件中所拟派的如左所述任何一个管理人员未经招标人或招标人同意擅自离岗，在一个月内达到10次/人，或项目经理、技术负责人在施工过程中每月驻场少于22天的，招标人有权终止合同。我方承担由此造成的所有责任及经济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对支付农民工工资的承诺</w:t>
            </w:r>
          </w:p>
        </w:tc>
        <w:tc>
          <w:tcPr>
            <w:tcW w:w="3128" w:type="dxa"/>
            <w:noWrap w:val="0"/>
            <w:vAlign w:val="center"/>
          </w:tcPr>
          <w:p>
            <w:pPr>
              <w:pStyle w:val="51"/>
              <w:spacing w:line="380" w:lineRule="exact"/>
              <w:ind w:firstLine="206" w:firstLineChars="100"/>
              <w:rPr>
                <w:rFonts w:hint="eastAsia" w:ascii="宋体" w:hAnsi="宋体" w:eastAsia="宋体" w:cs="宋体"/>
                <w:color w:val="auto"/>
                <w:szCs w:val="21"/>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w:t>
            </w:r>
          </w:p>
        </w:tc>
        <w:tc>
          <w:tcPr>
            <w:tcW w:w="3814" w:type="dxa"/>
            <w:noWrap w:val="0"/>
            <w:vAlign w:val="center"/>
          </w:tcPr>
          <w:p>
            <w:pPr>
              <w:pStyle w:val="51"/>
              <w:spacing w:line="380" w:lineRule="exact"/>
              <w:ind w:firstLine="412"/>
              <w:rPr>
                <w:rFonts w:hint="eastAsia" w:ascii="宋体" w:hAnsi="宋体" w:eastAsia="宋体" w:cs="宋体"/>
                <w:color w:val="auto"/>
                <w:sz w:val="21"/>
                <w:szCs w:val="24"/>
                <w:highlight w:val="none"/>
              </w:rPr>
            </w:pPr>
            <w:r>
              <w:rPr>
                <w:rFonts w:hint="eastAsia" w:ascii="宋体" w:hAnsi="宋体" w:eastAsia="宋体" w:cs="宋体"/>
                <w:color w:val="auto"/>
                <w:spacing w:val="-2"/>
                <w:sz w:val="21"/>
                <w:szCs w:val="21"/>
                <w:highlight w:val="none"/>
              </w:rPr>
              <w:t>如我方中标，我方无条件同意按照用工合同支付</w:t>
            </w:r>
            <w:r>
              <w:rPr>
                <w:rFonts w:hint="eastAsia" w:ascii="宋体" w:hAnsi="宋体" w:eastAsia="宋体" w:cs="宋体"/>
                <w:color w:val="auto"/>
                <w:sz w:val="21"/>
                <w:szCs w:val="21"/>
                <w:highlight w:val="none"/>
              </w:rPr>
              <w:t>农民工工资。否则，招标人有权终止合同，扣除履约保证金，并由招标人先行垫付农民工被拖欠的工资，数额以未结清的工程款为限。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8" w:hRule="atLeast"/>
          <w:jc w:val="center"/>
        </w:trPr>
        <w:tc>
          <w:tcPr>
            <w:tcW w:w="716" w:type="dxa"/>
            <w:noWrap w:val="0"/>
            <w:vAlign w:val="center"/>
          </w:tcPr>
          <w:p>
            <w:pPr>
              <w:pStyle w:val="52"/>
              <w:spacing w:line="3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p>
        </w:tc>
        <w:tc>
          <w:tcPr>
            <w:tcW w:w="1573" w:type="dxa"/>
            <w:noWrap w:val="0"/>
            <w:vAlign w:val="center"/>
          </w:tcPr>
          <w:p>
            <w:pPr>
              <w:pStyle w:val="51"/>
              <w:spacing w:line="380" w:lineRule="exact"/>
              <w:ind w:firstLine="210" w:firstLineChars="10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施工组织设计承诺</w:t>
            </w:r>
          </w:p>
        </w:tc>
        <w:tc>
          <w:tcPr>
            <w:tcW w:w="3128" w:type="dxa"/>
            <w:noWrap w:val="0"/>
            <w:vAlign w:val="center"/>
          </w:tcPr>
          <w:p>
            <w:pPr>
              <w:pStyle w:val="51"/>
              <w:spacing w:line="38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 w:val="21"/>
                <w:szCs w:val="21"/>
                <w:highlight w:val="none"/>
              </w:rPr>
              <w:t>我方保证施工组织设计按照国家省市有关规定进行编写。</w:t>
            </w:r>
          </w:p>
        </w:tc>
        <w:tc>
          <w:tcPr>
            <w:tcW w:w="3814" w:type="dxa"/>
            <w:noWrap w:val="0"/>
            <w:vAlign w:val="center"/>
          </w:tcPr>
          <w:p>
            <w:pPr>
              <w:pStyle w:val="51"/>
              <w:spacing w:line="380" w:lineRule="exact"/>
              <w:ind w:firstLine="210" w:firstLineChars="100"/>
              <w:rPr>
                <w:rFonts w:hint="eastAsia" w:ascii="宋体" w:hAnsi="宋体" w:eastAsia="宋体" w:cs="宋体"/>
                <w:color w:val="auto"/>
                <w:sz w:val="21"/>
                <w:szCs w:val="24"/>
                <w:highlight w:val="none"/>
              </w:rPr>
            </w:pPr>
            <w:r>
              <w:rPr>
                <w:rFonts w:hint="eastAsia" w:ascii="宋体" w:hAnsi="宋体" w:eastAsia="宋体" w:cs="宋体"/>
                <w:color w:val="auto"/>
                <w:sz w:val="21"/>
                <w:szCs w:val="21"/>
                <w:highlight w:val="none"/>
              </w:rPr>
              <w:t>如我方的施工组织设计未根据招标项目情况按照国家省市有关规定进行编写的，扣除全部履约保证金。</w:t>
            </w:r>
          </w:p>
        </w:tc>
      </w:tr>
    </w:tbl>
    <w:p>
      <w:pPr>
        <w:pStyle w:val="44"/>
        <w:wordWrap w:val="0"/>
        <w:adjustRightInd w:val="0"/>
        <w:snapToGrid w:val="0"/>
        <w:spacing w:line="420" w:lineRule="exact"/>
        <w:jc w:val="lef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投标人：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（盖单位章）</w:t>
      </w: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right"/>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法定代表人或其委托代理人：</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（签字或盖章）</w:t>
      </w:r>
    </w:p>
    <w:p>
      <w:pPr>
        <w:pStyle w:val="11"/>
        <w:wordWrap w:val="0"/>
        <w:adjustRightInd w:val="0"/>
        <w:snapToGrid w:val="0"/>
        <w:spacing w:line="420" w:lineRule="exact"/>
        <w:ind w:firstLine="480" w:firstLineChars="200"/>
        <w:rPr>
          <w:rFonts w:hint="eastAsia" w:ascii="宋体" w:hAnsi="宋体" w:eastAsia="宋体" w:cs="宋体"/>
          <w:snapToGrid w:val="0"/>
          <w:color w:val="auto"/>
          <w:kern w:val="0"/>
          <w:highlight w:val="none"/>
        </w:rPr>
      </w:pPr>
    </w:p>
    <w:p>
      <w:pPr>
        <w:pStyle w:val="11"/>
        <w:wordWrap w:val="0"/>
        <w:adjustRightInd w:val="0"/>
        <w:snapToGrid w:val="0"/>
        <w:spacing w:line="420" w:lineRule="exact"/>
        <w:ind w:firstLine="480" w:firstLineChars="200"/>
        <w:jc w:val="center"/>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年</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月</w:t>
      </w:r>
      <w:r>
        <w:rPr>
          <w:rFonts w:hint="eastAsia" w:ascii="宋体" w:hAnsi="宋体" w:eastAsia="宋体" w:cs="宋体"/>
          <w:snapToGrid w:val="0"/>
          <w:color w:val="auto"/>
          <w:kern w:val="0"/>
          <w:highlight w:val="none"/>
          <w:u w:val="single"/>
        </w:rPr>
        <w:t xml:space="preserve">     </w:t>
      </w:r>
      <w:r>
        <w:rPr>
          <w:rFonts w:hint="eastAsia" w:ascii="宋体" w:hAnsi="宋体" w:eastAsia="宋体" w:cs="宋体"/>
          <w:snapToGrid w:val="0"/>
          <w:color w:val="auto"/>
          <w:kern w:val="0"/>
          <w:highlight w:val="none"/>
        </w:rPr>
        <w:t>日</w:t>
      </w:r>
    </w:p>
    <w:p>
      <w:pPr>
        <w:wordWrap w:val="0"/>
        <w:adjustRightInd w:val="0"/>
        <w:snapToGrid w:val="0"/>
        <w:spacing w:line="420" w:lineRule="exact"/>
        <w:jc w:val="left"/>
        <w:outlineLvl w:val="2"/>
        <w:rPr>
          <w:rFonts w:hint="eastAsia" w:ascii="宋体" w:hAnsi="宋体" w:eastAsia="宋体" w:cs="宋体"/>
          <w:b/>
          <w:snapToGrid w:val="0"/>
          <w:color w:val="auto"/>
          <w:kern w:val="0"/>
          <w:highlight w:val="none"/>
        </w:rPr>
        <w:sectPr>
          <w:endnotePr>
            <w:numFmt w:val="decimal"/>
          </w:endnotePr>
          <w:pgSz w:w="11906" w:h="16838"/>
          <w:pgMar w:top="1701" w:right="1531" w:bottom="1417" w:left="1531" w:header="850" w:footer="992" w:gutter="0"/>
          <w:cols w:space="720" w:num="1"/>
          <w:docGrid w:linePitch="327" w:charSpace="0"/>
        </w:sect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28" w:name="_Toc4663"/>
      <w:bookmarkStart w:id="429" w:name="_Toc4092"/>
      <w:bookmarkStart w:id="430" w:name="_Toc12795"/>
      <w:bookmarkStart w:id="431" w:name="_Toc30144"/>
      <w:bookmarkStart w:id="432" w:name="_Toc22"/>
      <w:bookmarkStart w:id="433" w:name="_Toc25154"/>
      <w:r>
        <w:rPr>
          <w:rStyle w:val="20"/>
          <w:rFonts w:hint="eastAsia" w:ascii="宋体" w:hAnsi="宋体" w:eastAsia="宋体" w:cs="宋体"/>
          <w:b/>
          <w:bCs/>
          <w:color w:val="auto"/>
          <w:sz w:val="21"/>
          <w:szCs w:val="21"/>
          <w:highlight w:val="none"/>
        </w:rPr>
        <w:t>格式四 授权委托书</w:t>
      </w:r>
      <w:bookmarkEnd w:id="423"/>
      <w:bookmarkEnd w:id="424"/>
      <w:bookmarkEnd w:id="425"/>
      <w:bookmarkEnd w:id="426"/>
      <w:bookmarkEnd w:id="428"/>
      <w:bookmarkEnd w:id="429"/>
      <w:bookmarkEnd w:id="430"/>
      <w:bookmarkEnd w:id="431"/>
      <w:bookmarkEnd w:id="432"/>
      <w:bookmarkEnd w:id="433"/>
    </w:p>
    <w:p>
      <w:pPr>
        <w:snapToGrid w:val="0"/>
        <w:spacing w:line="440" w:lineRule="exac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授权委托书</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本人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（姓名）系</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（投标人名称）的法定代表人，现委托</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（姓名）为我方代理人。代理人根据授权，以我方名义签署、澄清、说明、补正、递交、撤回、修改</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（工程名称）投标文件、签订合同和处理有关事宜，其法律后果由我方承担。</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委托期限：</w:t>
      </w:r>
      <w:r>
        <w:rPr>
          <w:rFonts w:hint="eastAsia" w:ascii="宋体" w:hAnsi="宋体" w:eastAsia="宋体" w:cs="宋体"/>
          <w:snapToGrid w:val="0"/>
          <w:color w:val="auto"/>
          <w:kern w:val="0"/>
          <w:szCs w:val="21"/>
          <w:highlight w:val="none"/>
          <w:u w:val="single"/>
        </w:rPr>
        <w:t>至投标有效期的期满之日止</w:t>
      </w:r>
      <w:r>
        <w:rPr>
          <w:rStyle w:val="20"/>
          <w:rFonts w:hint="eastAsia" w:ascii="宋体" w:hAnsi="宋体" w:eastAsia="宋体" w:cs="宋体"/>
          <w:color w:val="auto"/>
          <w:kern w:val="0"/>
          <w:highlight w:val="none"/>
        </w:rPr>
        <w:t>。</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代理人无转委托权。</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投  标  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法定代表人：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spacing w:line="440" w:lineRule="exact"/>
        <w:ind w:left="2640" w:leftChars="200" w:hanging="2160" w:hangingChars="9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ind w:firstLine="48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40" w:lineRule="exact"/>
        <w:ind w:firstLine="480" w:firstLineChars="200"/>
        <w:rPr>
          <w:rStyle w:val="20"/>
          <w:rFonts w:hint="eastAsia" w:ascii="宋体" w:hAnsi="宋体" w:eastAsia="宋体" w:cs="宋体"/>
          <w:color w:val="auto"/>
          <w:kern w:val="0"/>
          <w:highlight w:val="none"/>
        </w:rPr>
      </w:pPr>
    </w:p>
    <w:p>
      <w:pPr>
        <w:snapToGrid w:val="0"/>
        <w:ind w:firstLine="5520" w:firstLineChars="2300"/>
        <w:rPr>
          <w:rStyle w:val="20"/>
          <w:rFonts w:hint="eastAsia" w:ascii="宋体" w:hAnsi="宋体" w:eastAsia="宋体" w:cs="宋体"/>
          <w:color w:val="auto"/>
          <w:kern w:val="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59264" behindDoc="0" locked="0" layoutInCell="1" hidden="1" allowOverlap="1">
                <wp:simplePos x="0" y="0"/>
                <wp:positionH relativeFrom="column">
                  <wp:posOffset>0</wp:posOffset>
                </wp:positionH>
                <wp:positionV relativeFrom="paragraph">
                  <wp:posOffset>0</wp:posOffset>
                </wp:positionV>
                <wp:extent cx="635000" cy="635000"/>
                <wp:effectExtent l="0" t="0" r="0" b="0"/>
                <wp:wrapNone/>
                <wp:docPr id="2" name="流程图: 可选过程 2" hidden="1"/>
                <wp:cNvGraphicFramePr/>
                <a:graphic xmlns:a="http://schemas.openxmlformats.org/drawingml/2006/main">
                  <a:graphicData uri="http://schemas.microsoft.com/office/word/2010/wordprocessingShape">
                    <wps:wsp>
                      <wps:cNvSpPr/>
                      <wps:spPr>
                        <a:xfrm>
                          <a:off x="0" y="0"/>
                          <a:ext cx="635000" cy="63500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rPr>
                                <w:rFonts w:cs="Times New Roman"/>
                              </w:rPr>
                            </w:pPr>
                          </w:p>
                        </w:txbxContent>
                      </wps:txbx>
                      <wps:bodyPr upright="1"/>
                    </wps:wsp>
                  </a:graphicData>
                </a:graphic>
              </wp:anchor>
            </w:drawing>
          </mc:Choice>
          <mc:Fallback>
            <w:pict>
              <v:shape id="_x0000_s1026" o:spid="_x0000_s1026" o:spt="176" type="#_x0000_t176" style="position:absolute;left:0pt;margin-left:0pt;margin-top:0pt;height:50pt;width:50pt;visibility:hidden;z-index:251659264;mso-width-relative:page;mso-height-relative:page;" fillcolor="#FFFFFF" filled="t" stroked="t" coordsize="21600,21600" o:gfxdata="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MbZ&#10;PMLRAAAABQEAAA8AAAAAAAAAAQAgAAAAIgAAAGRycy9kb3ducmV2LnhtbFBLAQIUABQAAAAIAIdO&#10;4kB+QdsTKgIAAFkEAAAOAAAAAAAAAAEAIAAAACABAABkcnMvZTJvRG9jLnhtbFBLBQYAAAAABgAG&#10;AFkBAAC8BQAAAAA=&#10;">
                <v:fill on="t" focussize="0,0"/>
                <v:stroke color="#000000" joinstyle="miter"/>
                <v:imagedata o:title=""/>
                <o:lock v:ext="edit" aspectratio="f"/>
                <v:textbox>
                  <w:txbxContent>
                    <w:p>
                      <w:pPr>
                        <w:rPr>
                          <w:rFonts w:cs="Times New Roman"/>
                        </w:rPr>
                      </w:pPr>
                    </w:p>
                  </w:txbxContent>
                </v:textbox>
              </v:shape>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0288"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3"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委托代理人身份证复印件正、反面</w:t>
                            </w:r>
                          </w:p>
                          <w:p>
                            <w:pPr>
                              <w:rPr>
                                <w:rStyle w:val="20"/>
                                <w:rFonts w:cs="Times New Roman"/>
                              </w:rPr>
                            </w:pPr>
                          </w:p>
                        </w:txbxContent>
                      </wps:txbx>
                      <wps:bodyPr upright="1"/>
                    </wps:wsp>
                  </a:graphicData>
                </a:graphic>
              </wp:anchor>
            </w:drawing>
          </mc:Choice>
          <mc:Fallback>
            <w:pict>
              <v:shape id="_x0000_s1026" o:spid="_x0000_s1026" o:spt="176" type="#_x0000_t176" style="position:absolute;left:0pt;margin-left:115.5pt;margin-top:2.6pt;height:124.75pt;width:251.25pt;z-index:251660288;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rJ9Os2AAAAAkBAAAPAAAAAAAAAAEAIAAAACIAAABkcnMvZG93bnJldi54bWxQSwECFAAU&#10;AAAACACHTuJAnUgI/yoCAABQBAAADgAAAAAAAAABACAAAAAnAQAAZHJzL2Uyb0RvYy54bWxQSwUG&#10;AAAAAAYABgBZAQAAwwUAAAAA&#10;">
                <v:fill on="t" focussize="0,0"/>
                <v:stroke color="#000000" joinstyle="miter"/>
                <v:imagedata o:title=""/>
                <o:lock v:ext="edit" aspectratio="f"/>
                <v:textbo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委托代理人身份证复印件正、反面</w:t>
                      </w:r>
                    </w:p>
                    <w:p>
                      <w:pPr>
                        <w:rPr>
                          <w:rStyle w:val="20"/>
                          <w:rFonts w:cs="Times New Roman"/>
                        </w:rPr>
                      </w:pPr>
                    </w:p>
                  </w:txbxContent>
                </v:textbox>
              </v:shape>
            </w:pict>
          </mc:Fallback>
        </mc:AlternateContent>
      </w:r>
    </w:p>
    <w:p>
      <w:pPr>
        <w:pStyle w:val="53"/>
        <w:snapToGrid w:val="0"/>
        <w:rPr>
          <w:rStyle w:val="20"/>
          <w:rFonts w:hint="eastAsia" w:ascii="宋体" w:hAnsi="宋体" w:eastAsia="宋体" w:cs="宋体"/>
          <w:color w:val="auto"/>
          <w:kern w:val="0"/>
          <w:highlight w:val="none"/>
        </w:rPr>
      </w:pPr>
    </w:p>
    <w:p>
      <w:pPr>
        <w:pStyle w:val="46"/>
        <w:snapToGrid w:val="0"/>
        <w:rPr>
          <w:rStyle w:val="20"/>
          <w:rFonts w:hint="eastAsia" w:ascii="宋体" w:hAnsi="宋体" w:eastAsia="宋体" w:cs="宋体"/>
          <w:color w:val="auto"/>
          <w:highlight w:val="none"/>
        </w:rPr>
      </w:pPr>
    </w:p>
    <w:p>
      <w:pPr>
        <w:pStyle w:val="47"/>
        <w:snapToGrid w:val="0"/>
        <w:rPr>
          <w:rStyle w:val="20"/>
          <w:rFonts w:hint="eastAsia" w:ascii="宋体" w:hAnsi="宋体" w:eastAsia="宋体" w:cs="宋体"/>
          <w:color w:val="auto"/>
          <w:highlight w:val="none"/>
        </w:rPr>
        <w:sectPr>
          <w:endnotePr>
            <w:numFmt w:val="decimal"/>
          </w:endnotePr>
          <w:pgSz w:w="11906" w:h="16838"/>
          <w:pgMar w:top="1701" w:right="1531" w:bottom="1417" w:left="1531" w:header="850" w:footer="992" w:gutter="0"/>
          <w:cols w:space="720" w:num="1"/>
          <w:docGrid w:linePitch="327" w:charSpace="0"/>
        </w:sectPr>
      </w:pPr>
    </w:p>
    <w:p>
      <w:pPr>
        <w:pStyle w:val="47"/>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34" w:name="_Toc17587"/>
      <w:bookmarkStart w:id="435" w:name="_Toc27116"/>
      <w:bookmarkStart w:id="436" w:name="_Toc2433"/>
      <w:bookmarkStart w:id="437" w:name="_Toc31156"/>
      <w:bookmarkStart w:id="438" w:name="_Toc3305"/>
      <w:bookmarkStart w:id="439" w:name="_Toc1326"/>
      <w:bookmarkStart w:id="440" w:name="_Toc19982"/>
      <w:bookmarkStart w:id="441" w:name="_Toc25505"/>
      <w:bookmarkStart w:id="442" w:name="_Toc2417"/>
      <w:bookmarkStart w:id="443" w:name="_Toc11066"/>
      <w:r>
        <w:rPr>
          <w:rStyle w:val="20"/>
          <w:rFonts w:hint="eastAsia" w:ascii="宋体" w:hAnsi="宋体" w:eastAsia="宋体" w:cs="宋体"/>
          <w:b/>
          <w:bCs/>
          <w:color w:val="auto"/>
          <w:sz w:val="21"/>
          <w:szCs w:val="21"/>
          <w:highlight w:val="none"/>
        </w:rPr>
        <w:t>格式五 法定代表人身份证明</w:t>
      </w:r>
      <w:bookmarkEnd w:id="434"/>
      <w:bookmarkEnd w:id="435"/>
      <w:bookmarkEnd w:id="436"/>
      <w:bookmarkEnd w:id="437"/>
      <w:bookmarkEnd w:id="438"/>
      <w:bookmarkEnd w:id="439"/>
      <w:bookmarkEnd w:id="440"/>
      <w:bookmarkEnd w:id="441"/>
      <w:bookmarkEnd w:id="442"/>
      <w:bookmarkEnd w:id="443"/>
    </w:p>
    <w:p>
      <w:pPr>
        <w:snapToGrid w:val="0"/>
        <w:spacing w:line="440" w:lineRule="exac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法定代表人身份证明</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u w:val="single"/>
        </w:rPr>
      </w:pPr>
      <w:r>
        <w:rPr>
          <w:rStyle w:val="20"/>
          <w:rFonts w:hint="eastAsia" w:ascii="宋体" w:hAnsi="宋体" w:eastAsia="宋体" w:cs="宋体"/>
          <w:color w:val="auto"/>
          <w:kern w:val="0"/>
          <w:highlight w:val="none"/>
        </w:rPr>
        <w:t>投标人名称：</w:t>
      </w:r>
      <w:r>
        <w:rPr>
          <w:rStyle w:val="20"/>
          <w:rFonts w:hint="eastAsia" w:ascii="宋体" w:hAnsi="宋体" w:eastAsia="宋体" w:cs="宋体"/>
          <w:color w:val="auto"/>
          <w:kern w:val="0"/>
          <w:highlight w:val="none"/>
          <w:u w:val="single"/>
        </w:rPr>
        <w:t xml:space="preserve">                  </w:t>
      </w:r>
    </w:p>
    <w:p>
      <w:pPr>
        <w:snapToGrid w:val="0"/>
        <w:spacing w:line="440" w:lineRule="exact"/>
        <w:rPr>
          <w:rStyle w:val="20"/>
          <w:rFonts w:hint="eastAsia" w:ascii="宋体" w:hAnsi="宋体" w:eastAsia="宋体" w:cs="宋体"/>
          <w:color w:val="auto"/>
          <w:kern w:val="0"/>
          <w:highlight w:val="none"/>
          <w:u w:val="single"/>
        </w:rPr>
      </w:pPr>
      <w:r>
        <w:rPr>
          <w:rStyle w:val="20"/>
          <w:rFonts w:hint="eastAsia" w:ascii="宋体" w:hAnsi="宋体" w:eastAsia="宋体" w:cs="宋体"/>
          <w:color w:val="auto"/>
          <w:kern w:val="0"/>
          <w:highlight w:val="none"/>
        </w:rPr>
        <w:t>姓名：</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性别：</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年龄：</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职务：</w:t>
      </w:r>
      <w:r>
        <w:rPr>
          <w:rStyle w:val="20"/>
          <w:rFonts w:hint="eastAsia" w:ascii="宋体" w:hAnsi="宋体" w:eastAsia="宋体" w:cs="宋体"/>
          <w:color w:val="auto"/>
          <w:kern w:val="0"/>
          <w:highlight w:val="none"/>
          <w:u w:val="single"/>
        </w:rPr>
        <w:t xml:space="preserve">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系</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（投标人名称）的法定代表人。</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特此证明。</w:t>
      </w:r>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法定代表人：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 xml:space="preserve">日       </w:t>
      </w:r>
    </w:p>
    <w:p>
      <w:pPr>
        <w:snapToGrid w:val="0"/>
        <w:spacing w:line="440" w:lineRule="exact"/>
        <w:ind w:firstLine="240" w:firstLineChars="1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p>
    <w:p>
      <w:pPr>
        <w:snapToGrid w:val="0"/>
        <w:spacing w:line="440" w:lineRule="exact"/>
        <w:ind w:firstLine="720" w:firstLineChars="300"/>
        <w:rPr>
          <w:rStyle w:val="20"/>
          <w:rFonts w:hint="eastAsia" w:ascii="宋体" w:hAnsi="宋体" w:eastAsia="宋体" w:cs="宋体"/>
          <w:i/>
          <w:iCs/>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i/>
          <w:iCs/>
          <w:color w:val="auto"/>
          <w:kern w:val="0"/>
          <w:highlight w:val="none"/>
        </w:rPr>
        <w:t xml:space="preserve"> </w:t>
      </w:r>
    </w:p>
    <w:p>
      <w:pPr>
        <w:snapToGrid w:val="0"/>
        <w:spacing w:line="440" w:lineRule="exact"/>
        <w:ind w:firstLine="720" w:firstLineChars="300"/>
        <w:rPr>
          <w:rStyle w:val="20"/>
          <w:rFonts w:hint="eastAsia" w:ascii="宋体" w:hAnsi="宋体" w:eastAsia="宋体" w:cs="宋体"/>
          <w:i/>
          <w:iCs/>
          <w:color w:val="auto"/>
          <w:kern w:val="0"/>
          <w:highlight w:val="none"/>
        </w:rPr>
      </w:pPr>
    </w:p>
    <w:p>
      <w:pPr>
        <w:snapToGrid w:val="0"/>
        <w:spacing w:line="440" w:lineRule="exact"/>
        <w:ind w:firstLine="720" w:firstLineChars="300"/>
        <w:rPr>
          <w:rStyle w:val="20"/>
          <w:rFonts w:hint="eastAsia" w:ascii="宋体" w:hAnsi="宋体" w:eastAsia="宋体" w:cs="宋体"/>
          <w:i/>
          <w:iCs/>
          <w:color w:val="auto"/>
          <w:kern w:val="0"/>
          <w:highlight w:val="none"/>
        </w:rPr>
      </w:pPr>
    </w:p>
    <w:p>
      <w:pPr>
        <w:snapToGrid w:val="0"/>
        <w:rPr>
          <w:rStyle w:val="20"/>
          <w:rFonts w:hint="eastAsia" w:ascii="宋体" w:hAnsi="宋体" w:eastAsia="宋体" w:cs="宋体"/>
          <w:b/>
          <w:bCs/>
          <w:color w:val="auto"/>
          <w:kern w:val="0"/>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4" name="流程图: 可选过程 4"/>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法定代表人身份证复印件正、反面</w:t>
                            </w:r>
                          </w:p>
                          <w:p>
                            <w:pPr>
                              <w:rPr>
                                <w:rStyle w:val="20"/>
                                <w:rFonts w:cs="Times New Roman"/>
                              </w:rPr>
                            </w:pPr>
                          </w:p>
                        </w:txbxContent>
                      </wps:txbx>
                      <wps:bodyPr upright="1"/>
                    </wps:wsp>
                  </a:graphicData>
                </a:graphic>
              </wp:anchor>
            </w:drawing>
          </mc:Choice>
          <mc:Fallback>
            <w:pict>
              <v:shape id="_x0000_s1026" o:spid="_x0000_s1026" o:spt="176" type="#_x0000_t176" style="position:absolute;left:0pt;margin-left:127.5pt;margin-top:1.6pt;height:124.75pt;width:222.45pt;z-index:251661312;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B4V1KbYAAAACQEAAA8AAAAAAAAAAQAgAAAAIgAAAGRycy9kb3ducmV2LnhtbFBLAQIUABQA&#10;AAAIAIdO4kCep3LuKQIAAFAEAAAOAAAAAAAAAAEAIAAAACcBAABkcnMvZTJvRG9jLnhtbFBLBQYA&#10;AAAABgAGAFkBAADCBQAAAAA=&#10;">
                <v:fill on="t" focussize="0,0"/>
                <v:stroke color="#000000" joinstyle="miter"/>
                <v:imagedata o:title=""/>
                <o:lock v:ext="edit" aspectratio="f"/>
                <v:textbox>
                  <w:txbxContent>
                    <w:p>
                      <w:pPr>
                        <w:jc w:val="center"/>
                        <w:rPr>
                          <w:rStyle w:val="20"/>
                          <w:rFonts w:cs="Times New Roman"/>
                        </w:rPr>
                      </w:pPr>
                    </w:p>
                    <w:p>
                      <w:pPr>
                        <w:jc w:val="center"/>
                        <w:rPr>
                          <w:rStyle w:val="20"/>
                          <w:rFonts w:cs="Times New Roman"/>
                        </w:rPr>
                      </w:pPr>
                    </w:p>
                    <w:p>
                      <w:pPr>
                        <w:jc w:val="center"/>
                        <w:rPr>
                          <w:rStyle w:val="20"/>
                          <w:rFonts w:cs="Times New Roman"/>
                        </w:rPr>
                      </w:pPr>
                      <w:r>
                        <w:rPr>
                          <w:rStyle w:val="20"/>
                          <w:rFonts w:hint="eastAsia"/>
                        </w:rPr>
                        <w:t>法定代表人身份证复印件正、反面</w:t>
                      </w:r>
                    </w:p>
                    <w:p>
                      <w:pPr>
                        <w:rPr>
                          <w:rStyle w:val="20"/>
                          <w:rFonts w:cs="Times New Roman"/>
                        </w:rPr>
                      </w:pPr>
                    </w:p>
                  </w:txbxContent>
                </v:textbox>
              </v:shape>
            </w:pict>
          </mc:Fallback>
        </mc:AlternateContent>
      </w:r>
    </w:p>
    <w:p>
      <w:pPr>
        <w:tabs>
          <w:tab w:val="left" w:pos="654"/>
          <w:tab w:val="left" w:pos="1734"/>
          <w:tab w:val="left" w:pos="2814"/>
          <w:tab w:val="left" w:pos="3894"/>
          <w:tab w:val="left" w:pos="5334"/>
          <w:tab w:val="left" w:pos="6414"/>
          <w:tab w:val="left" w:pos="7254"/>
          <w:tab w:val="left" w:pos="8574"/>
          <w:tab w:val="left" w:pos="9654"/>
        </w:tabs>
        <w:snapToGrid w:val="0"/>
        <w:rPr>
          <w:rStyle w:val="20"/>
          <w:rFonts w:hint="eastAsia" w:ascii="宋体" w:hAnsi="宋体" w:eastAsia="宋体" w:cs="宋体"/>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pPr>
    </w:p>
    <w:p>
      <w:pPr>
        <w:snapToGrid w:val="0"/>
        <w:spacing w:line="480" w:lineRule="exact"/>
        <w:jc w:val="center"/>
        <w:rPr>
          <w:rStyle w:val="20"/>
          <w:rFonts w:hint="eastAsia" w:ascii="宋体" w:hAnsi="宋体" w:eastAsia="宋体" w:cs="宋体"/>
          <w:b/>
          <w:bCs/>
          <w:color w:val="auto"/>
          <w:kern w:val="0"/>
          <w:sz w:val="28"/>
          <w:szCs w:val="28"/>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hAnsi="宋体" w:eastAsia="宋体"/>
          <w:b/>
          <w:bCs/>
          <w:color w:val="auto"/>
          <w:sz w:val="21"/>
          <w:szCs w:val="21"/>
          <w:highlight w:val="none"/>
          <w:lang w:eastAsia="zh-CN"/>
        </w:rPr>
      </w:pPr>
      <w:bookmarkStart w:id="444" w:name="_Toc1073"/>
      <w:bookmarkStart w:id="445" w:name="_Toc24831"/>
      <w:bookmarkStart w:id="446" w:name="_Toc5331"/>
      <w:bookmarkStart w:id="447" w:name="_Toc29920"/>
      <w:bookmarkStart w:id="448" w:name="_Toc10399"/>
      <w:bookmarkStart w:id="449" w:name="_Toc537"/>
      <w:bookmarkStart w:id="450" w:name="_Toc9529"/>
      <w:bookmarkStart w:id="451" w:name="_Toc8052"/>
      <w:bookmarkStart w:id="452" w:name="_Toc15149"/>
      <w:bookmarkStart w:id="453" w:name="_Toc17406"/>
      <w:r>
        <w:rPr>
          <w:rStyle w:val="20"/>
          <w:rFonts w:ascii="Times New Roman" w:hAnsi="宋体" w:eastAsia="宋体" w:cs="Times New Roman"/>
          <w:b/>
          <w:bCs/>
          <w:color w:val="auto"/>
          <w:sz w:val="21"/>
          <w:szCs w:val="21"/>
          <w:highlight w:val="none"/>
        </w:rPr>
        <w:t>格式</w:t>
      </w:r>
      <w:r>
        <w:rPr>
          <w:rStyle w:val="20"/>
          <w:rFonts w:hint="eastAsia" w:ascii="Times New Roman" w:hAnsi="宋体" w:eastAsia="宋体" w:cs="Times New Roman"/>
          <w:b/>
          <w:bCs/>
          <w:color w:val="auto"/>
          <w:sz w:val="21"/>
          <w:szCs w:val="21"/>
          <w:highlight w:val="none"/>
          <w:lang w:eastAsia="zh-CN"/>
        </w:rPr>
        <w:t>六</w:t>
      </w:r>
      <w:r>
        <w:rPr>
          <w:rStyle w:val="20"/>
          <w:rFonts w:ascii="Times New Roman" w:hAnsi="宋体" w:eastAsia="宋体" w:cs="Times New Roman"/>
          <w:b/>
          <w:bCs/>
          <w:color w:val="auto"/>
          <w:sz w:val="21"/>
          <w:szCs w:val="21"/>
          <w:highlight w:val="none"/>
        </w:rPr>
        <w:t xml:space="preserve"> </w:t>
      </w:r>
      <w:r>
        <w:rPr>
          <w:rStyle w:val="20"/>
          <w:rFonts w:hint="eastAsia" w:ascii="Times New Roman" w:hAnsi="宋体" w:eastAsia="宋体" w:cs="Times New Roman"/>
          <w:b/>
          <w:bCs/>
          <w:color w:val="auto"/>
          <w:sz w:val="21"/>
          <w:szCs w:val="21"/>
          <w:highlight w:val="none"/>
        </w:rPr>
        <w:t>联合体协议书</w:t>
      </w:r>
      <w:bookmarkEnd w:id="444"/>
      <w:bookmarkEnd w:id="445"/>
    </w:p>
    <w:p>
      <w:pPr>
        <w:pStyle w:val="43"/>
        <w:widowControl w:val="0"/>
        <w:wordWrap w:val="0"/>
        <w:adjustRightInd w:val="0"/>
        <w:snapToGrid w:val="0"/>
        <w:spacing w:before="240" w:after="240" w:line="440" w:lineRule="exact"/>
        <w:ind w:firstLine="0"/>
        <w:jc w:val="center"/>
        <w:rPr>
          <w:rFonts w:hint="eastAsia" w:ascii="宋体" w:hAnsi="宋体" w:eastAsia="宋体" w:cs="宋体"/>
          <w:snapToGrid w:val="0"/>
          <w:color w:val="auto"/>
          <w:sz w:val="24"/>
          <w:szCs w:val="24"/>
          <w:highlight w:val="none"/>
        </w:rPr>
      </w:pPr>
      <w:r>
        <w:rPr>
          <w:rFonts w:hint="eastAsia" w:ascii="宋体" w:hAnsi="宋体" w:eastAsia="宋体" w:cs="宋体"/>
          <w:b/>
          <w:snapToGrid w:val="0"/>
          <w:color w:val="auto"/>
          <w:sz w:val="24"/>
          <w:szCs w:val="24"/>
          <w:highlight w:val="none"/>
        </w:rPr>
        <w:t>联合体协议书</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牵头人名称：</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成员二名称：</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法定代表人：</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u w:val="single"/>
        </w:rPr>
      </w:pPr>
      <w:r>
        <w:rPr>
          <w:rFonts w:hint="eastAsia" w:ascii="宋体" w:hAnsi="宋体" w:eastAsia="宋体" w:cs="宋体"/>
          <w:snapToGrid w:val="0"/>
          <w:color w:val="auto"/>
          <w:sz w:val="24"/>
          <w:szCs w:val="24"/>
          <w:highlight w:val="none"/>
        </w:rPr>
        <w:t>法定住所：</w:t>
      </w:r>
      <w:r>
        <w:rPr>
          <w:rFonts w:hint="eastAsia" w:ascii="宋体" w:hAnsi="宋体" w:eastAsia="宋体" w:cs="宋体"/>
          <w:snapToGrid w:val="0"/>
          <w:color w:val="auto"/>
          <w:sz w:val="24"/>
          <w:szCs w:val="24"/>
          <w:highlight w:val="none"/>
          <w:u w:val="single"/>
        </w:rPr>
        <w:t xml:space="preserve">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上述各成员单位经过友好协商，自愿组成联合体，共同参加</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r>
        <w:rPr>
          <w:rFonts w:hint="eastAsia" w:ascii="宋体" w:hAnsi="宋体" w:cs="宋体"/>
          <w:snapToGrid w:val="0"/>
          <w:color w:val="auto"/>
          <w:sz w:val="24"/>
          <w:szCs w:val="24"/>
          <w:highlight w:val="none"/>
          <w:lang w:eastAsia="zh-CN"/>
        </w:rPr>
        <w:t>工程名称</w:t>
      </w:r>
      <w:r>
        <w:rPr>
          <w:rFonts w:hint="eastAsia" w:ascii="宋体" w:hAnsi="宋体" w:eastAsia="宋体" w:cs="宋体"/>
          <w:snapToGrid w:val="0"/>
          <w:color w:val="auto"/>
          <w:sz w:val="24"/>
          <w:szCs w:val="24"/>
          <w:highlight w:val="none"/>
        </w:rPr>
        <w:t>）（以下简称“本项目”）的施工投标并争取赢得本项目施工承包合同（以下简称合同）。现就联合体投标事宜订立如下协议：</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1．</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（某成员单位名称）为联合体牵头人。</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4．联合体各成员单位内部的职责分工如下：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。按照本条上述分工，联合体成员单位各自所承担的合同工作量比例如下：</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5．投标工作和联合体在中标后工程实施过程中的有关费用按各自承担的工作量分摊。</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6．联合体中标后，本联合体协议是合同的附件，对联合体各成员单位有合同约束力。</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7．本协议书自签署之日起生效，联合体未中标或者中标时合同履行完毕后自动失效。</w:t>
      </w:r>
    </w:p>
    <w:p>
      <w:pPr>
        <w:pStyle w:val="43"/>
        <w:widowControl w:val="0"/>
        <w:wordWrap w:val="0"/>
        <w:adjustRightInd w:val="0"/>
        <w:snapToGrid w:val="0"/>
        <w:spacing w:line="440" w:lineRule="exact"/>
        <w:ind w:firstLine="0"/>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8．本协议书一式</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份，联合体成员和招标人各执一份。</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牵头人名称：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成员二名称：</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（盖单位章）</w:t>
      </w: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righ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法定代表人或其委托代理人：</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（签字或盖章）</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 xml:space="preserve">                                 </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年</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月</w:t>
      </w:r>
      <w:r>
        <w:rPr>
          <w:rFonts w:hint="eastAsia" w:ascii="宋体" w:hAnsi="宋体" w:eastAsia="宋体" w:cs="宋体"/>
          <w:snapToGrid w:val="0"/>
          <w:color w:val="auto"/>
          <w:sz w:val="24"/>
          <w:szCs w:val="24"/>
          <w:highlight w:val="none"/>
          <w:u w:val="single"/>
        </w:rPr>
        <w:t xml:space="preserve">     </w:t>
      </w:r>
      <w:r>
        <w:rPr>
          <w:rFonts w:hint="eastAsia" w:ascii="宋体" w:hAnsi="宋体" w:eastAsia="宋体" w:cs="宋体"/>
          <w:snapToGrid w:val="0"/>
          <w:color w:val="auto"/>
          <w:sz w:val="24"/>
          <w:szCs w:val="24"/>
          <w:highlight w:val="none"/>
        </w:rPr>
        <w:t>日</w:t>
      </w:r>
    </w:p>
    <w:p>
      <w:pPr>
        <w:pStyle w:val="43"/>
        <w:widowControl w:val="0"/>
        <w:wordWrap w:val="0"/>
        <w:adjustRightInd w:val="0"/>
        <w:snapToGrid w:val="0"/>
        <w:spacing w:line="440" w:lineRule="exact"/>
        <w:jc w:val="center"/>
        <w:rPr>
          <w:rFonts w:hint="eastAsia" w:ascii="宋体" w:hAnsi="宋体" w:eastAsia="宋体" w:cs="宋体"/>
          <w:snapToGrid w:val="0"/>
          <w:color w:val="auto"/>
          <w:sz w:val="24"/>
          <w:szCs w:val="24"/>
          <w:highlight w:val="none"/>
        </w:rPr>
      </w:pP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pPr>
      <w:r>
        <w:rPr>
          <w:rFonts w:hint="eastAsia" w:ascii="宋体" w:hAnsi="宋体" w:eastAsia="宋体" w:cs="宋体"/>
          <w:snapToGrid w:val="0"/>
          <w:color w:val="auto"/>
          <w:sz w:val="24"/>
          <w:szCs w:val="24"/>
          <w:highlight w:val="none"/>
        </w:rPr>
        <w:t>说明：《联合体协议书》由委托代理人签字或盖章的，应附法定代表人签字或盖章的授权委托书。</w:t>
      </w:r>
    </w:p>
    <w:p>
      <w:pPr>
        <w:pStyle w:val="43"/>
        <w:widowControl w:val="0"/>
        <w:wordWrap w:val="0"/>
        <w:adjustRightInd w:val="0"/>
        <w:snapToGrid w:val="0"/>
        <w:spacing w:line="440" w:lineRule="exact"/>
        <w:rPr>
          <w:rFonts w:hint="eastAsia" w:ascii="宋体" w:hAnsi="宋体" w:eastAsia="宋体" w:cs="宋体"/>
          <w:snapToGrid w:val="0"/>
          <w:color w:val="auto"/>
          <w:sz w:val="24"/>
          <w:szCs w:val="24"/>
          <w:highlight w:val="none"/>
        </w:rPr>
        <w:sectPr>
          <w:endnotePr>
            <w:numFmt w:val="decimal"/>
          </w:endnotePr>
          <w:pgSz w:w="11906" w:h="16838"/>
          <w:pgMar w:top="1247" w:right="1304" w:bottom="1247" w:left="1304" w:header="850" w:footer="544" w:gutter="0"/>
          <w:pgBorders>
            <w:top w:val="none" w:sz="0" w:space="0"/>
            <w:left w:val="none" w:sz="0" w:space="0"/>
            <w:bottom w:val="none" w:sz="0" w:space="0"/>
            <w:right w:val="none" w:sz="0" w:space="0"/>
          </w:pgBorders>
          <w:pgNumType w:fmt="decimal"/>
          <w:cols w:space="720" w:num="1"/>
          <w:rtlGutter w:val="0"/>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54" w:name="_Toc19459"/>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七</w:t>
      </w:r>
      <w:r>
        <w:rPr>
          <w:rStyle w:val="20"/>
          <w:rFonts w:hint="eastAsia" w:ascii="宋体" w:hAnsi="宋体" w:eastAsia="宋体" w:cs="宋体"/>
          <w:b/>
          <w:bCs/>
          <w:color w:val="auto"/>
          <w:sz w:val="21"/>
          <w:szCs w:val="21"/>
          <w:highlight w:val="none"/>
        </w:rPr>
        <w:t xml:space="preserve"> </w:t>
      </w:r>
      <w:bookmarkStart w:id="455" w:name="_Toc31066"/>
      <w:r>
        <w:rPr>
          <w:rStyle w:val="20"/>
          <w:rFonts w:hint="eastAsia" w:ascii="宋体" w:hAnsi="宋体" w:eastAsia="宋体" w:cs="宋体"/>
          <w:b/>
          <w:bCs/>
          <w:color w:val="auto"/>
          <w:sz w:val="21"/>
          <w:szCs w:val="21"/>
          <w:highlight w:val="none"/>
        </w:rPr>
        <w:t>投标人基本情况表</w:t>
      </w:r>
      <w:bookmarkEnd w:id="446"/>
      <w:bookmarkEnd w:id="447"/>
      <w:bookmarkEnd w:id="448"/>
      <w:bookmarkEnd w:id="449"/>
      <w:bookmarkEnd w:id="450"/>
      <w:bookmarkEnd w:id="451"/>
      <w:bookmarkEnd w:id="452"/>
      <w:bookmarkEnd w:id="453"/>
      <w:bookmarkEnd w:id="454"/>
      <w:bookmarkEnd w:id="455"/>
    </w:p>
    <w:p>
      <w:pPr>
        <w:pStyle w:val="48"/>
        <w:snapToGrid w:val="0"/>
        <w:spacing w:before="260" w:after="260" w:line="400" w:lineRule="exact"/>
        <w:ind w:firstLine="0"/>
        <w:jc w:val="center"/>
        <w:rPr>
          <w:rStyle w:val="20"/>
          <w:rFonts w:hint="eastAsia" w:ascii="宋体" w:hAnsi="宋体" w:eastAsia="宋体" w:cs="宋体"/>
          <w:b/>
          <w:bCs/>
          <w:color w:val="auto"/>
          <w:sz w:val="30"/>
          <w:szCs w:val="30"/>
          <w:highlight w:val="none"/>
        </w:rPr>
      </w:pPr>
      <w:r>
        <w:rPr>
          <w:rStyle w:val="20"/>
          <w:rFonts w:hint="eastAsia" w:ascii="宋体" w:hAnsi="宋体" w:eastAsia="宋体" w:cs="宋体"/>
          <w:b/>
          <w:bCs/>
          <w:color w:val="auto"/>
          <w:sz w:val="30"/>
          <w:szCs w:val="30"/>
          <w:highlight w:val="none"/>
        </w:rPr>
        <w:t>投标人基本情况表</w:t>
      </w:r>
    </w:p>
    <w:tbl>
      <w:tblPr>
        <w:tblStyle w:val="16"/>
        <w:tblW w:w="85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85"/>
        <w:gridCol w:w="897"/>
        <w:gridCol w:w="1689"/>
        <w:gridCol w:w="803"/>
        <w:gridCol w:w="286"/>
        <w:gridCol w:w="960"/>
        <w:gridCol w:w="260"/>
        <w:gridCol w:w="709"/>
        <w:gridCol w:w="14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投标人名称</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注册地址</w:t>
            </w:r>
          </w:p>
        </w:tc>
        <w:tc>
          <w:tcPr>
            <w:tcW w:w="3389"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邮政编码</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exact"/>
          <w:jc w:val="center"/>
        </w:trPr>
        <w:tc>
          <w:tcPr>
            <w:tcW w:w="1485" w:type="dxa"/>
            <w:vMerge w:val="restart"/>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联系方式</w:t>
            </w: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联系人</w:t>
            </w:r>
          </w:p>
        </w:tc>
        <w:tc>
          <w:tcPr>
            <w:tcW w:w="2492"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  话</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 w:hRule="exact"/>
          <w:jc w:val="center"/>
        </w:trPr>
        <w:tc>
          <w:tcPr>
            <w:tcW w:w="1485" w:type="dxa"/>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传  真</w:t>
            </w:r>
          </w:p>
        </w:tc>
        <w:tc>
          <w:tcPr>
            <w:tcW w:w="2492"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246"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电子邮箱</w:t>
            </w:r>
          </w:p>
        </w:tc>
        <w:tc>
          <w:tcPr>
            <w:tcW w:w="2385" w:type="dxa"/>
            <w:gridSpan w:val="3"/>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单位性质</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29"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w:t>
            </w:r>
          </w:p>
        </w:tc>
        <w:tc>
          <w:tcPr>
            <w:tcW w:w="897"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姓名</w:t>
            </w:r>
          </w:p>
        </w:tc>
        <w:tc>
          <w:tcPr>
            <w:tcW w:w="1689" w:type="dxa"/>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技术职称</w:t>
            </w:r>
          </w:p>
        </w:tc>
        <w:tc>
          <w:tcPr>
            <w:tcW w:w="1220"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709"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电话</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成立时间</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4434" w:type="dxa"/>
            <w:gridSpan w:val="6"/>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员工总人数（个）：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4"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企业资质等级</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restart"/>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其中</w:t>
            </w: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项目经理</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84"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营业执照号</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高级职称人员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注册资金</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中级职称人员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76"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开户银行</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初级职称人员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账号</w:t>
            </w:r>
          </w:p>
        </w:tc>
        <w:tc>
          <w:tcPr>
            <w:tcW w:w="2586" w:type="dxa"/>
            <w:gridSpan w:val="2"/>
            <w:noWrap w:val="0"/>
            <w:vAlign w:val="center"/>
          </w:tcPr>
          <w:p>
            <w:pPr>
              <w:pStyle w:val="54"/>
              <w:snapToGrid w:val="0"/>
              <w:jc w:val="center"/>
              <w:rPr>
                <w:rStyle w:val="20"/>
                <w:rFonts w:hint="eastAsia" w:ascii="宋体" w:hAnsi="宋体" w:eastAsia="宋体" w:cs="宋体"/>
                <w:color w:val="auto"/>
                <w:kern w:val="0"/>
                <w:highlight w:val="none"/>
              </w:rPr>
            </w:pPr>
          </w:p>
        </w:tc>
        <w:tc>
          <w:tcPr>
            <w:tcW w:w="1089" w:type="dxa"/>
            <w:gridSpan w:val="2"/>
            <w:vMerge w:val="continue"/>
            <w:noWrap w:val="0"/>
            <w:vAlign w:val="center"/>
          </w:tcPr>
          <w:p>
            <w:pPr>
              <w:pStyle w:val="54"/>
              <w:snapToGrid w:val="0"/>
              <w:jc w:val="center"/>
              <w:rPr>
                <w:rStyle w:val="20"/>
                <w:rFonts w:hint="eastAsia" w:ascii="宋体" w:hAnsi="宋体" w:eastAsia="宋体" w:cs="宋体"/>
                <w:color w:val="auto"/>
                <w:kern w:val="0"/>
                <w:highlight w:val="none"/>
              </w:rPr>
            </w:pPr>
          </w:p>
        </w:tc>
        <w:tc>
          <w:tcPr>
            <w:tcW w:w="1929" w:type="dxa"/>
            <w:gridSpan w:val="3"/>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技术员</w:t>
            </w:r>
          </w:p>
        </w:tc>
        <w:tc>
          <w:tcPr>
            <w:tcW w:w="1416" w:type="dxa"/>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8"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经营范围</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35"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关联企业情况</w:t>
            </w:r>
          </w:p>
        </w:tc>
        <w:tc>
          <w:tcPr>
            <w:tcW w:w="7020" w:type="dxa"/>
            <w:gridSpan w:val="8"/>
            <w:noWrap w:val="0"/>
            <w:vAlign w:val="center"/>
          </w:tcPr>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包括但不限于与投标人存在以下关系的不同单位：</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1．法定代表人为同一人的。</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2．存在控股、管理关系的。</w:t>
            </w:r>
          </w:p>
          <w:p>
            <w:pPr>
              <w:pStyle w:val="54"/>
              <w:snapToGrid w:val="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3．主要人员相互任职的。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3" w:hRule="exact"/>
          <w:jc w:val="center"/>
        </w:trPr>
        <w:tc>
          <w:tcPr>
            <w:tcW w:w="1485" w:type="dxa"/>
            <w:noWrap w:val="0"/>
            <w:vAlign w:val="center"/>
          </w:tcPr>
          <w:p>
            <w:pPr>
              <w:pStyle w:val="54"/>
              <w:snapToGrid w:val="0"/>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备注</w:t>
            </w:r>
          </w:p>
        </w:tc>
        <w:tc>
          <w:tcPr>
            <w:tcW w:w="7020" w:type="dxa"/>
            <w:gridSpan w:val="8"/>
            <w:noWrap w:val="0"/>
            <w:vAlign w:val="center"/>
          </w:tcPr>
          <w:p>
            <w:pPr>
              <w:pStyle w:val="54"/>
              <w:snapToGrid w:val="0"/>
              <w:jc w:val="center"/>
              <w:rPr>
                <w:rStyle w:val="20"/>
                <w:rFonts w:hint="eastAsia" w:ascii="宋体" w:hAnsi="宋体" w:eastAsia="宋体" w:cs="宋体"/>
                <w:color w:val="auto"/>
                <w:kern w:val="0"/>
                <w:highlight w:val="none"/>
              </w:rPr>
            </w:pPr>
          </w:p>
        </w:tc>
      </w:tr>
    </w:tbl>
    <w:p>
      <w:pPr>
        <w:pStyle w:val="54"/>
        <w:snapToGrid w:val="0"/>
        <w:spacing w:line="400" w:lineRule="exact"/>
        <w:ind w:firstLine="420" w:firstLineChars="20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说明：</w:t>
      </w:r>
    </w:p>
    <w:p>
      <w:pPr>
        <w:pStyle w:val="48"/>
        <w:snapToGrid w:val="0"/>
        <w:ind w:firstLine="210" w:firstLineChars="100"/>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《投标人基本情况表》后应附以下资料：</w:t>
      </w:r>
    </w:p>
    <w:p>
      <w:pPr>
        <w:pStyle w:val="48"/>
        <w:snapToGrid w:val="0"/>
        <w:ind w:firstLine="210" w:firstLineChars="100"/>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（1）企业营业执照、资质证书、安全生产许可证的彩色扫描件（或打印件）。</w:t>
      </w:r>
      <w:r>
        <w:rPr>
          <w:rStyle w:val="20"/>
          <w:rFonts w:hint="eastAsia" w:ascii="宋体" w:hAnsi="宋体" w:eastAsia="宋体" w:cs="宋体"/>
          <w:b/>
          <w:bCs/>
          <w:color w:val="auto"/>
          <w:sz w:val="21"/>
          <w:szCs w:val="21"/>
          <w:highlight w:val="none"/>
        </w:rPr>
        <w:t>（因推行电子证照，企业的营业执照、资质证书等可以提供电子证照。为实时掌握项目投标单位的是否具备企业安全生产条件，企业的安全生产许可证需提供企业实时网页查询页，实时查询页的打印时间应在项目招标公告发布之日起至开标前。如中标后，投标单位安全生产许可证发生被暂扣情形，需双方另行协商）；</w:t>
      </w:r>
    </w:p>
    <w:p>
      <w:pPr>
        <w:pStyle w:val="55"/>
        <w:wordWrap w:val="0"/>
        <w:adjustRightInd w:val="0"/>
        <w:snapToGrid w:val="0"/>
        <w:spacing w:line="360" w:lineRule="auto"/>
        <w:ind w:firstLine="210" w:firstLineChars="100"/>
        <w:rPr>
          <w:rFonts w:hint="eastAsia" w:ascii="宋体" w:hAnsi="宋体" w:eastAsia="宋体" w:cs="宋体"/>
          <w:snapToGrid w:val="0"/>
          <w:color w:val="auto"/>
          <w:kern w:val="0"/>
          <w:highlight w:val="none"/>
        </w:rPr>
      </w:pPr>
      <w:bookmarkStart w:id="456" w:name="_Toc31837"/>
      <w:bookmarkStart w:id="457" w:name="_Toc18314"/>
      <w:bookmarkStart w:id="458" w:name="_Toc32195"/>
      <w:bookmarkStart w:id="459" w:name="_Toc2633"/>
      <w:r>
        <w:rPr>
          <w:rFonts w:hint="eastAsia" w:ascii="宋体" w:hAnsi="宋体" w:eastAsia="宋体" w:cs="宋体"/>
          <w:snapToGrid w:val="0"/>
          <w:color w:val="auto"/>
          <w:kern w:val="0"/>
          <w:szCs w:val="21"/>
          <w:highlight w:val="none"/>
        </w:rPr>
        <w:t>（2）</w:t>
      </w:r>
      <w:r>
        <w:rPr>
          <w:rFonts w:hint="eastAsia" w:ascii="宋体" w:hAnsi="宋体" w:eastAsia="宋体" w:cs="宋体"/>
          <w:snapToGrid w:val="0"/>
          <w:color w:val="auto"/>
          <w:kern w:val="0"/>
          <w:highlight w:val="none"/>
        </w:rPr>
        <w:t>“进粤企业和人员诚信信息登记平台”企业信息情况打印页或网页截图。（适用于省外建筑企业）</w:t>
      </w:r>
    </w:p>
    <w:p>
      <w:pPr>
        <w:pStyle w:val="55"/>
        <w:wordWrap w:val="0"/>
        <w:adjustRightInd w:val="0"/>
        <w:snapToGrid w:val="0"/>
        <w:spacing w:line="360" w:lineRule="auto"/>
        <w:ind w:firstLine="210" w:firstLineChars="1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szCs w:val="21"/>
          <w:highlight w:val="none"/>
        </w:rPr>
        <w:t>（3）</w:t>
      </w:r>
      <w:r>
        <w:rPr>
          <w:rFonts w:hint="eastAsia" w:ascii="宋体" w:hAnsi="宋体" w:eastAsia="宋体" w:cs="宋体"/>
          <w:snapToGrid w:val="0"/>
          <w:color w:val="auto"/>
          <w:kern w:val="0"/>
          <w:highlight w:val="none"/>
        </w:rPr>
        <w:t>《法人和非法人组织公共信用信息报告》（在“信用中国”网站企业查询界面中下载）。</w:t>
      </w: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0" w:name="_Toc6145"/>
      <w:bookmarkStart w:id="461" w:name="_Toc5097"/>
      <w:bookmarkStart w:id="462" w:name="_Toc18643"/>
      <w:bookmarkStart w:id="463" w:name="_Toc15973"/>
      <w:bookmarkStart w:id="464" w:name="_Toc16429"/>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5" w:name="_Toc21362"/>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八</w:t>
      </w:r>
      <w:r>
        <w:rPr>
          <w:rStyle w:val="20"/>
          <w:rFonts w:hint="eastAsia" w:ascii="宋体" w:hAnsi="宋体" w:eastAsia="宋体" w:cs="宋体"/>
          <w:b/>
          <w:bCs/>
          <w:color w:val="auto"/>
          <w:sz w:val="21"/>
          <w:szCs w:val="21"/>
          <w:highlight w:val="none"/>
        </w:rPr>
        <w:t xml:space="preserve"> 项目经理简历表</w:t>
      </w:r>
      <w:bookmarkEnd w:id="456"/>
      <w:bookmarkEnd w:id="457"/>
      <w:bookmarkEnd w:id="458"/>
      <w:bookmarkEnd w:id="459"/>
      <w:bookmarkEnd w:id="460"/>
      <w:bookmarkEnd w:id="461"/>
      <w:bookmarkEnd w:id="462"/>
      <w:bookmarkEnd w:id="463"/>
      <w:bookmarkEnd w:id="464"/>
      <w:bookmarkEnd w:id="465"/>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以项目经理身份参与过的主要业绩（已完工项目）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项目经理简历表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项目经理：</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00" w:lineRule="exact"/>
        <w:rPr>
          <w:rStyle w:val="20"/>
          <w:rFonts w:hint="eastAsia" w:ascii="宋体" w:hAnsi="宋体" w:eastAsia="宋体" w:cs="宋体"/>
          <w:color w:val="auto"/>
          <w:kern w:val="0"/>
          <w:sz w:val="21"/>
          <w:szCs w:val="21"/>
          <w:highlight w:val="none"/>
        </w:rPr>
      </w:pP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说明：《项目经理简历表》后应附拟派项目经理以下资料：</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1．身份证</w:t>
      </w:r>
      <w:r>
        <w:rPr>
          <w:rFonts w:hint="eastAsia" w:ascii="宋体" w:hAnsi="宋体" w:eastAsia="宋体" w:cs="宋体"/>
          <w:snapToGrid w:val="0"/>
          <w:color w:val="auto"/>
          <w:kern w:val="0"/>
          <w:sz w:val="21"/>
          <w:szCs w:val="28"/>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rPr>
          <w:rFonts w:hint="eastAsia" w:ascii="宋体" w:hAnsi="宋体" w:eastAsia="宋体" w:cs="宋体"/>
          <w:snapToGrid w:val="0"/>
          <w:color w:val="auto"/>
          <w:kern w:val="0"/>
          <w:sz w:val="21"/>
          <w:szCs w:val="28"/>
          <w:highlight w:val="none"/>
        </w:rPr>
      </w:pPr>
      <w:r>
        <w:rPr>
          <w:rStyle w:val="20"/>
          <w:rFonts w:hint="eastAsia" w:ascii="宋体" w:hAnsi="宋体" w:eastAsia="宋体" w:cs="宋体"/>
          <w:color w:val="auto"/>
          <w:kern w:val="0"/>
          <w:sz w:val="21"/>
          <w:szCs w:val="21"/>
          <w:highlight w:val="none"/>
        </w:rPr>
        <w:t xml:space="preserve">    2．</w:t>
      </w:r>
      <w:r>
        <w:rPr>
          <w:rFonts w:hint="eastAsia" w:ascii="宋体" w:hAnsi="宋体" w:eastAsia="宋体" w:cs="宋体"/>
          <w:snapToGrid w:val="0"/>
          <w:color w:val="auto"/>
          <w:kern w:val="0"/>
          <w:sz w:val="21"/>
          <w:szCs w:val="21"/>
          <w:highlight w:val="none"/>
        </w:rPr>
        <w:t>建造师电子注册证书（在使用有效期内的有效电子证书）彩色扫描件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00" w:lineRule="exact"/>
        <w:rPr>
          <w:rStyle w:val="20"/>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3．B类安全生产考核合格证书</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或广东省建筑施工企业管理人员安全生产考核系统考核合格信息彩色扫描件；</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bookmarkStart w:id="466" w:name="_Toc23777"/>
      <w:r>
        <w:rPr>
          <w:rStyle w:val="20"/>
          <w:rFonts w:hint="eastAsia" w:ascii="宋体" w:hAnsi="宋体" w:eastAsia="宋体" w:cs="宋体"/>
          <w:color w:val="auto"/>
          <w:kern w:val="0"/>
          <w:sz w:val="21"/>
          <w:szCs w:val="21"/>
          <w:highlight w:val="none"/>
        </w:rPr>
        <w:t>4．在本单位缴纳社保的证明（连续三个月，其中必须有</w:t>
      </w:r>
      <w:r>
        <w:rPr>
          <w:rStyle w:val="20"/>
          <w:rFonts w:hint="eastAsia" w:hAnsi="宋体" w:cs="宋体"/>
          <w:color w:val="auto"/>
          <w:kern w:val="0"/>
          <w:sz w:val="21"/>
          <w:szCs w:val="21"/>
          <w:highlight w:val="none"/>
          <w:lang w:eastAsia="zh-CN"/>
        </w:rPr>
        <w:t>2026年5月</w:t>
      </w:r>
      <w:r>
        <w:rPr>
          <w:rStyle w:val="20"/>
          <w:rFonts w:hint="eastAsia" w:ascii="宋体" w:hAnsi="宋体" w:eastAsia="宋体" w:cs="宋体"/>
          <w:color w:val="auto"/>
          <w:kern w:val="0"/>
          <w:sz w:val="21"/>
          <w:szCs w:val="21"/>
          <w:highlight w:val="none"/>
        </w:rPr>
        <w:t>）彩色扫描件；拟派项目经理为退休返聘人员无法提供社保证明的，提供退休证和劳动合同彩色扫描件。</w:t>
      </w:r>
    </w:p>
    <w:p>
      <w:pPr>
        <w:snapToGrid w:val="0"/>
        <w:spacing w:line="400" w:lineRule="exact"/>
        <w:ind w:firstLine="420" w:firstLineChars="200"/>
        <w:rPr>
          <w:rFonts w:hint="eastAsia"/>
          <w:color w:val="auto"/>
          <w:highlight w:val="none"/>
        </w:rPr>
      </w:pPr>
      <w:r>
        <w:rPr>
          <w:rStyle w:val="20"/>
          <w:rFonts w:hint="eastAsia" w:ascii="宋体" w:hAnsi="宋体" w:eastAsia="宋体" w:cs="宋体"/>
          <w:color w:val="auto"/>
          <w:kern w:val="0"/>
          <w:sz w:val="21"/>
          <w:szCs w:val="21"/>
          <w:highlight w:val="none"/>
          <w:lang w:val="en-US" w:eastAsia="zh-CN"/>
        </w:rPr>
        <w:t>5</w:t>
      </w:r>
      <w:r>
        <w:rPr>
          <w:rStyle w:val="20"/>
          <w:rFonts w:hint="eastAsia" w:ascii="宋体" w:hAnsi="宋体" w:eastAsia="宋体" w:cs="宋体"/>
          <w:color w:val="auto"/>
          <w:kern w:val="0"/>
          <w:sz w:val="21"/>
          <w:szCs w:val="21"/>
          <w:highlight w:val="none"/>
        </w:rPr>
        <w:t>．“进粤企业和人员诚信信息登记平台”个人信息情况截图。（适用于省外建筑企业）</w:t>
      </w:r>
      <w:r>
        <w:rPr>
          <w:rStyle w:val="20"/>
          <w:rFonts w:hint="eastAsia" w:ascii="宋体" w:hAnsi="宋体" w:eastAsia="宋体" w:cs="宋体"/>
          <w:color w:val="auto"/>
          <w:kern w:val="0"/>
          <w:sz w:val="21"/>
          <w:szCs w:val="21"/>
          <w:highlight w:val="none"/>
          <w:lang w:eastAsia="zh-CN"/>
        </w:rPr>
        <w:t>。</w:t>
      </w:r>
      <w:bookmarkEnd w:id="466"/>
      <w:bookmarkStart w:id="467" w:name="_Toc1272"/>
    </w:p>
    <w:p>
      <w:pPr>
        <w:snapToGrid w:val="0"/>
        <w:spacing w:line="400" w:lineRule="exact"/>
        <w:rPr>
          <w:rStyle w:val="20"/>
          <w:rFonts w:hint="eastAsia" w:ascii="宋体" w:hAnsi="宋体" w:eastAsia="宋体" w:cs="宋体"/>
          <w:b/>
          <w:bCs/>
          <w:color w:val="auto"/>
          <w:kern w:val="0"/>
          <w:szCs w:val="36"/>
          <w:highlight w:val="none"/>
        </w:rPr>
      </w:pPr>
    </w:p>
    <w:p>
      <w:pPr>
        <w:snapToGrid w:val="0"/>
        <w:spacing w:line="400" w:lineRule="exact"/>
        <w:rPr>
          <w:rStyle w:val="20"/>
          <w:rFonts w:hint="eastAsia" w:ascii="宋体" w:hAnsi="宋体" w:eastAsia="宋体" w:cs="宋体"/>
          <w:b/>
          <w:bCs/>
          <w:color w:val="auto"/>
          <w:kern w:val="0"/>
          <w:szCs w:val="36"/>
          <w:highlight w:val="none"/>
        </w:rPr>
      </w:pPr>
    </w:p>
    <w:p>
      <w:pPr>
        <w:snapToGrid w:val="0"/>
        <w:spacing w:line="400" w:lineRule="exact"/>
        <w:rPr>
          <w:rStyle w:val="20"/>
          <w:rFonts w:hint="eastAsia" w:ascii="宋体" w:hAnsi="宋体" w:eastAsia="宋体" w:cs="宋体"/>
          <w:b/>
          <w:bCs/>
          <w:color w:val="auto"/>
          <w:kern w:val="0"/>
          <w:szCs w:val="36"/>
          <w:highlight w:val="none"/>
        </w:rPr>
      </w:pPr>
    </w:p>
    <w:p>
      <w:pPr>
        <w:pStyle w:val="48"/>
        <w:snapToGrid w:val="0"/>
        <w:spacing w:line="440" w:lineRule="exact"/>
        <w:ind w:left="0" w:leftChars="0" w:firstLine="0" w:firstLineChars="0"/>
        <w:outlineLvl w:val="1"/>
        <w:rPr>
          <w:rStyle w:val="20"/>
          <w:rFonts w:hint="eastAsia" w:ascii="宋体" w:hAnsi="宋体" w:eastAsia="宋体" w:cs="宋体"/>
          <w:b/>
          <w:bCs/>
          <w:color w:val="auto"/>
          <w:kern w:val="0"/>
          <w:sz w:val="21"/>
          <w:szCs w:val="21"/>
          <w:highlight w:val="none"/>
        </w:rPr>
      </w:pPr>
      <w:bookmarkStart w:id="468" w:name="_Toc30757"/>
      <w:r>
        <w:rPr>
          <w:rStyle w:val="20"/>
          <w:rFonts w:hint="eastAsia" w:ascii="宋体" w:hAnsi="宋体" w:eastAsia="宋体" w:cs="宋体"/>
          <w:b/>
          <w:bCs/>
          <w:color w:val="auto"/>
          <w:kern w:val="0"/>
          <w:sz w:val="21"/>
          <w:szCs w:val="21"/>
          <w:highlight w:val="none"/>
        </w:rPr>
        <w:t>格式</w:t>
      </w:r>
      <w:r>
        <w:rPr>
          <w:rStyle w:val="20"/>
          <w:rFonts w:hint="eastAsia" w:hAnsi="宋体" w:cs="宋体"/>
          <w:b/>
          <w:bCs/>
          <w:color w:val="auto"/>
          <w:kern w:val="0"/>
          <w:sz w:val="21"/>
          <w:szCs w:val="21"/>
          <w:highlight w:val="none"/>
          <w:lang w:val="en-US" w:eastAsia="zh-CN"/>
        </w:rPr>
        <w:t>九</w:t>
      </w:r>
      <w:r>
        <w:rPr>
          <w:rStyle w:val="20"/>
          <w:rFonts w:hint="eastAsia" w:ascii="宋体" w:hAnsi="宋体" w:eastAsia="宋体" w:cs="宋体"/>
          <w:b/>
          <w:bCs/>
          <w:color w:val="auto"/>
          <w:kern w:val="0"/>
          <w:sz w:val="21"/>
          <w:szCs w:val="21"/>
          <w:highlight w:val="none"/>
        </w:rPr>
        <w:t xml:space="preserve"> 项目经理任职声明</w:t>
      </w:r>
      <w:bookmarkEnd w:id="467"/>
      <w:bookmarkEnd w:id="468"/>
    </w:p>
    <w:p>
      <w:pPr>
        <w:snapToGrid w:val="0"/>
        <w:spacing w:line="440" w:lineRule="exact"/>
        <w:jc w:val="left"/>
        <w:rPr>
          <w:rStyle w:val="20"/>
          <w:rFonts w:hint="eastAsia" w:ascii="宋体" w:hAnsi="宋体" w:eastAsia="宋体" w:cs="宋体"/>
          <w:b/>
          <w:bCs/>
          <w:color w:val="auto"/>
          <w:kern w:val="0"/>
          <w:highlight w:val="none"/>
        </w:rPr>
      </w:pPr>
    </w:p>
    <w:p>
      <w:pPr>
        <w:snapToGrid w:val="0"/>
        <w:spacing w:before="260" w:after="260"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b/>
          <w:bCs/>
          <w:color w:val="auto"/>
          <w:kern w:val="0"/>
          <w:sz w:val="30"/>
          <w:szCs w:val="30"/>
          <w:highlight w:val="none"/>
        </w:rPr>
        <w:t>项目经理任职声明</w:t>
      </w:r>
    </w:p>
    <w:p>
      <w:pPr>
        <w:snapToGrid w:val="0"/>
        <w:spacing w:line="440" w:lineRule="exact"/>
        <w:jc w:val="center"/>
        <w:rPr>
          <w:rStyle w:val="20"/>
          <w:rFonts w:hint="eastAsia" w:ascii="宋体" w:hAnsi="宋体" w:eastAsia="宋体" w:cs="宋体"/>
          <w:color w:val="auto"/>
          <w:kern w:val="0"/>
          <w:highlight w:val="none"/>
        </w:rPr>
      </w:pPr>
    </w:p>
    <w:p>
      <w:pPr>
        <w:snapToGrid w:val="0"/>
        <w:spacing w:line="360" w:lineRule="auto"/>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（招标人名称）：</w:t>
      </w:r>
    </w:p>
    <w:p>
      <w:pPr>
        <w:snapToGrid w:val="0"/>
        <w:spacing w:line="360" w:lineRule="auto"/>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我方在此声明，我方拟派往</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（工程名称）的项目经理</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（项目经理姓名）现阶段没有担任任何在施</w:t>
      </w:r>
      <w:r>
        <w:rPr>
          <w:rFonts w:hint="eastAsia" w:hAnsi="宋体" w:eastAsia="宋体" w:cs="宋体"/>
          <w:color w:val="auto"/>
          <w:highlight w:val="none"/>
          <w:lang w:eastAsia="zh-CN"/>
        </w:rPr>
        <w:t>（包括已中标未开工、已开工未竣工）</w:t>
      </w:r>
      <w:r>
        <w:rPr>
          <w:rStyle w:val="20"/>
          <w:rFonts w:hint="eastAsia" w:ascii="宋体" w:hAnsi="宋体" w:eastAsia="宋体" w:cs="宋体"/>
          <w:color w:val="auto"/>
          <w:kern w:val="0"/>
          <w:highlight w:val="none"/>
        </w:rPr>
        <w:t>建设工程项目的项目经理。</w:t>
      </w:r>
    </w:p>
    <w:p>
      <w:pPr>
        <w:snapToGrid w:val="0"/>
        <w:spacing w:line="360" w:lineRule="auto"/>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我方保证上述信息的真实和准确，并愿意承担因我方就此弄虚作假所引起的一切法律后果。</w:t>
      </w:r>
    </w:p>
    <w:p>
      <w:pPr>
        <w:snapToGrid w:val="0"/>
        <w:spacing w:line="440" w:lineRule="exact"/>
        <w:ind w:firstLine="480"/>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特此承诺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w:t>
      </w: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投标人：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（盖单位章）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法定代表人或其委托代理人：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（签字或盖章）</w:t>
      </w:r>
    </w:p>
    <w:p>
      <w:pPr>
        <w:snapToGrid w:val="0"/>
        <w:spacing w:line="440" w:lineRule="exact"/>
        <w:jc w:val="right"/>
        <w:rPr>
          <w:rStyle w:val="20"/>
          <w:rFonts w:hint="eastAsia" w:ascii="宋体" w:hAnsi="宋体" w:eastAsia="宋体" w:cs="宋体"/>
          <w:color w:val="auto"/>
          <w:kern w:val="0"/>
          <w:highlight w:val="none"/>
        </w:rPr>
      </w:pPr>
    </w:p>
    <w:p>
      <w:pPr>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40" w:lineRule="exact"/>
        <w:rPr>
          <w:rStyle w:val="20"/>
          <w:rFonts w:hint="eastAsia" w:ascii="宋体" w:hAnsi="宋体" w:eastAsia="宋体" w:cs="宋体"/>
          <w:color w:val="auto"/>
          <w:kern w:val="0"/>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69" w:name="_Toc22848"/>
      <w:bookmarkStart w:id="470" w:name="_Toc23480"/>
      <w:bookmarkStart w:id="471" w:name="_Toc13202"/>
      <w:bookmarkStart w:id="472" w:name="_Toc13967"/>
      <w:bookmarkStart w:id="473" w:name="_Toc2497"/>
      <w:bookmarkStart w:id="474" w:name="_Toc11605"/>
      <w:bookmarkStart w:id="475" w:name="_Toc31193"/>
      <w:bookmarkStart w:id="476" w:name="_Toc3726"/>
      <w:bookmarkStart w:id="477" w:name="_Toc4071"/>
      <w:bookmarkStart w:id="478" w:name="_Toc17422"/>
      <w:r>
        <w:rPr>
          <w:rStyle w:val="20"/>
          <w:rFonts w:hint="eastAsia" w:ascii="宋体" w:hAnsi="宋体" w:eastAsia="宋体" w:cs="宋体"/>
          <w:b/>
          <w:bCs/>
          <w:color w:val="auto"/>
          <w:sz w:val="21"/>
          <w:szCs w:val="21"/>
          <w:highlight w:val="none"/>
        </w:rPr>
        <w:t>格式</w:t>
      </w:r>
      <w:r>
        <w:rPr>
          <w:rStyle w:val="20"/>
          <w:rFonts w:hint="eastAsia" w:hAnsi="宋体" w:cs="宋体"/>
          <w:b/>
          <w:bCs/>
          <w:color w:val="auto"/>
          <w:sz w:val="21"/>
          <w:szCs w:val="21"/>
          <w:highlight w:val="none"/>
          <w:lang w:val="en-US" w:eastAsia="zh-CN"/>
        </w:rPr>
        <w:t>十</w:t>
      </w:r>
      <w:r>
        <w:rPr>
          <w:rStyle w:val="20"/>
          <w:rFonts w:hint="eastAsia" w:ascii="宋体" w:hAnsi="宋体" w:eastAsia="宋体" w:cs="宋体"/>
          <w:b/>
          <w:bCs/>
          <w:color w:val="auto"/>
          <w:sz w:val="21"/>
          <w:szCs w:val="21"/>
          <w:highlight w:val="none"/>
        </w:rPr>
        <w:t xml:space="preserve"> 项目技术负责人简历表</w:t>
      </w:r>
      <w:bookmarkEnd w:id="469"/>
      <w:bookmarkEnd w:id="470"/>
      <w:bookmarkEnd w:id="471"/>
      <w:bookmarkEnd w:id="472"/>
      <w:bookmarkEnd w:id="473"/>
      <w:bookmarkEnd w:id="474"/>
      <w:bookmarkEnd w:id="475"/>
      <w:bookmarkEnd w:id="476"/>
      <w:bookmarkEnd w:id="477"/>
      <w:bookmarkEnd w:id="478"/>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以项目技术负责人身份参与过的主要业绩（已完工项目）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项目技术负责人简历表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项目技术负责人：</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ind w:firstLine="570"/>
        <w:rPr>
          <w:rStyle w:val="20"/>
          <w:rFonts w:hint="eastAsia" w:ascii="宋体" w:hAnsi="宋体" w:eastAsia="宋体" w:cs="宋体"/>
          <w:color w:val="auto"/>
          <w:kern w:val="0"/>
          <w:highlight w:val="none"/>
        </w:rPr>
      </w:pPr>
    </w:p>
    <w:p>
      <w:pPr>
        <w:snapToGrid w:val="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说明：《项目技术负责人简历表》后应附拟派项目技术负责人以下资料：</w:t>
      </w:r>
    </w:p>
    <w:p>
      <w:pPr>
        <w:wordWrap w:val="0"/>
        <w:adjustRightInd w:val="0"/>
        <w:snapToGrid w:val="0"/>
        <w:rPr>
          <w:rFonts w:hint="eastAsia" w:ascii="宋体" w:hAnsi="宋体" w:eastAsia="宋体" w:cs="宋体"/>
          <w:snapToGrid w:val="0"/>
          <w:color w:val="auto"/>
          <w:kern w:val="0"/>
          <w:sz w:val="21"/>
          <w:szCs w:val="28"/>
          <w:highlight w:val="none"/>
        </w:rPr>
      </w:pPr>
      <w:r>
        <w:rPr>
          <w:rStyle w:val="20"/>
          <w:rFonts w:hint="eastAsia" w:ascii="宋体" w:hAnsi="宋体" w:eastAsia="宋体" w:cs="宋体"/>
          <w:color w:val="auto"/>
          <w:kern w:val="0"/>
          <w:sz w:val="21"/>
          <w:szCs w:val="21"/>
          <w:highlight w:val="none"/>
        </w:rPr>
        <w:t xml:space="preserve">    1．</w:t>
      </w:r>
      <w:r>
        <w:rPr>
          <w:rFonts w:hint="eastAsia" w:ascii="宋体" w:hAnsi="宋体" w:eastAsia="宋体" w:cs="宋体"/>
          <w:snapToGrid w:val="0"/>
          <w:color w:val="auto"/>
          <w:kern w:val="0"/>
          <w:sz w:val="21"/>
          <w:szCs w:val="28"/>
          <w:highlight w:val="none"/>
        </w:rPr>
        <w:t>身份证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snapToGrid w:val="0"/>
        <w:rPr>
          <w:rStyle w:val="20"/>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8"/>
          <w:highlight w:val="none"/>
        </w:rPr>
        <w:t xml:space="preserve">    2．职称证</w:t>
      </w:r>
      <w:r>
        <w:rPr>
          <w:rFonts w:hint="eastAsia" w:ascii="宋体" w:hAnsi="宋体" w:eastAsia="宋体" w:cs="宋体"/>
          <w:snapToGrid w:val="0"/>
          <w:color w:val="auto"/>
          <w:kern w:val="0"/>
          <w:sz w:val="21"/>
          <w:szCs w:val="21"/>
          <w:highlight w:val="none"/>
        </w:rPr>
        <w:t>彩色扫描件</w:t>
      </w:r>
      <w:r>
        <w:rPr>
          <w:rFonts w:hint="eastAsia" w:ascii="宋体" w:hAnsi="宋体" w:eastAsia="宋体" w:cs="宋体"/>
          <w:snapToGrid w:val="0"/>
          <w:color w:val="auto"/>
          <w:kern w:val="0"/>
          <w:sz w:val="21"/>
          <w:szCs w:val="28"/>
          <w:highlight w:val="none"/>
        </w:rPr>
        <w:t>；</w:t>
      </w:r>
    </w:p>
    <w:p>
      <w:pPr>
        <w:wordWrap w:val="0"/>
        <w:adjustRightInd w:val="0"/>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3．在本单位缴纳社保的证明（连续三个月，其中必须有</w:t>
      </w:r>
      <w:r>
        <w:rPr>
          <w:rStyle w:val="20"/>
          <w:rFonts w:hint="eastAsia" w:hAnsi="宋体" w:cs="宋体"/>
          <w:color w:val="auto"/>
          <w:kern w:val="0"/>
          <w:sz w:val="21"/>
          <w:szCs w:val="21"/>
          <w:highlight w:val="none"/>
          <w:lang w:eastAsia="zh-CN"/>
        </w:rPr>
        <w:t>2026年5月</w:t>
      </w:r>
      <w:r>
        <w:rPr>
          <w:rStyle w:val="20"/>
          <w:rFonts w:hint="eastAsia" w:ascii="宋体" w:hAnsi="宋体" w:eastAsia="宋体" w:cs="宋体"/>
          <w:color w:val="auto"/>
          <w:kern w:val="0"/>
          <w:sz w:val="21"/>
          <w:szCs w:val="21"/>
          <w:highlight w:val="none"/>
        </w:rPr>
        <w:t>）彩</w:t>
      </w:r>
      <w:r>
        <w:rPr>
          <w:rFonts w:hint="eastAsia" w:ascii="宋体" w:hAnsi="宋体" w:eastAsia="宋体" w:cs="宋体"/>
          <w:snapToGrid w:val="0"/>
          <w:color w:val="auto"/>
          <w:kern w:val="0"/>
          <w:sz w:val="21"/>
          <w:szCs w:val="21"/>
          <w:highlight w:val="none"/>
        </w:rPr>
        <w:t>色扫描件</w:t>
      </w:r>
      <w:r>
        <w:rPr>
          <w:rStyle w:val="20"/>
          <w:rFonts w:hint="eastAsia" w:ascii="宋体" w:hAnsi="宋体" w:eastAsia="宋体" w:cs="宋体"/>
          <w:color w:val="auto"/>
          <w:kern w:val="0"/>
          <w:sz w:val="21"/>
          <w:szCs w:val="21"/>
          <w:highlight w:val="none"/>
        </w:rPr>
        <w:t>；拟派技术负责人为退休返聘人员无法提供社保证明的，提供退休证和劳动合同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4．“进粤企业和人员诚信信息登记平台”个人信息情况截图。（适用于省外建筑企业）</w:t>
      </w:r>
    </w:p>
    <w:p>
      <w:pPr>
        <w:wordWrap w:val="0"/>
        <w:adjustRightInd w:val="0"/>
        <w:snapToGrid w:val="0"/>
        <w:ind w:firstLine="420" w:firstLineChars="200"/>
        <w:rPr>
          <w:rStyle w:val="20"/>
          <w:rFonts w:hint="eastAsia" w:ascii="宋体" w:hAnsi="宋体" w:eastAsia="宋体" w:cs="宋体"/>
          <w:color w:val="auto"/>
          <w:kern w:val="0"/>
          <w:sz w:val="21"/>
          <w:szCs w:val="21"/>
          <w:highlight w:val="none"/>
        </w:rPr>
      </w:pP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48"/>
        <w:snapToGrid w:val="0"/>
        <w:spacing w:line="400" w:lineRule="exact"/>
        <w:rPr>
          <w:rStyle w:val="20"/>
          <w:rFonts w:hint="eastAsia" w:ascii="宋体" w:hAnsi="宋体" w:eastAsia="宋体" w:cs="宋体"/>
          <w:color w:val="auto"/>
          <w:sz w:val="21"/>
          <w:szCs w:val="21"/>
          <w:highlight w:val="none"/>
        </w:rPr>
        <w:sectPr>
          <w:endnotePr>
            <w:numFmt w:val="decimal"/>
          </w:endnotePr>
          <w:pgSz w:w="11906" w:h="16838"/>
          <w:pgMar w:top="1701" w:right="1531" w:bottom="1417" w:left="1531" w:header="850" w:footer="992" w:gutter="0"/>
          <w:cols w:space="720" w:num="1"/>
          <w:docGrid w:linePitch="327" w:charSpace="0"/>
        </w:sectPr>
      </w:pPr>
    </w:p>
    <w:p>
      <w:pPr>
        <w:pStyle w:val="48"/>
        <w:snapToGrid w:val="0"/>
        <w:spacing w:line="440" w:lineRule="exact"/>
        <w:ind w:left="0" w:leftChars="0" w:firstLine="0" w:firstLineChars="0"/>
        <w:outlineLvl w:val="1"/>
        <w:rPr>
          <w:rStyle w:val="20"/>
          <w:rFonts w:hint="eastAsia" w:ascii="宋体" w:hAnsi="宋体" w:eastAsia="宋体" w:cs="宋体"/>
          <w:b/>
          <w:bCs/>
          <w:color w:val="auto"/>
          <w:sz w:val="21"/>
          <w:szCs w:val="21"/>
          <w:highlight w:val="none"/>
        </w:rPr>
      </w:pPr>
      <w:bookmarkStart w:id="479" w:name="_Toc32297"/>
      <w:bookmarkStart w:id="480" w:name="_Toc2397"/>
      <w:bookmarkStart w:id="481" w:name="_Toc29673"/>
      <w:bookmarkStart w:id="482" w:name="_Toc7992"/>
      <w:bookmarkStart w:id="483" w:name="_Toc19909"/>
      <w:bookmarkStart w:id="484" w:name="_Toc30703"/>
      <w:bookmarkStart w:id="485" w:name="_Toc21596"/>
      <w:bookmarkStart w:id="486" w:name="_Toc14097"/>
      <w:bookmarkStart w:id="487" w:name="_Toc12596"/>
      <w:bookmarkStart w:id="488" w:name="_Toc17998"/>
      <w:r>
        <w:rPr>
          <w:rStyle w:val="20"/>
          <w:rFonts w:hint="eastAsia" w:ascii="宋体" w:hAnsi="宋体" w:eastAsia="宋体" w:cs="宋体"/>
          <w:b/>
          <w:bCs/>
          <w:color w:val="auto"/>
          <w:sz w:val="21"/>
          <w:szCs w:val="21"/>
          <w:highlight w:val="none"/>
        </w:rPr>
        <w:t>格式十</w:t>
      </w:r>
      <w:r>
        <w:rPr>
          <w:rStyle w:val="20"/>
          <w:rFonts w:hint="eastAsia" w:hAnsi="宋体" w:cs="宋体"/>
          <w:b/>
          <w:bCs/>
          <w:color w:val="auto"/>
          <w:sz w:val="21"/>
          <w:szCs w:val="21"/>
          <w:highlight w:val="none"/>
          <w:lang w:val="en-US" w:eastAsia="zh-CN"/>
        </w:rPr>
        <w:t>一</w:t>
      </w:r>
      <w:r>
        <w:rPr>
          <w:rStyle w:val="20"/>
          <w:rFonts w:hint="eastAsia" w:ascii="宋体" w:hAnsi="宋体" w:eastAsia="宋体" w:cs="宋体"/>
          <w:b/>
          <w:bCs/>
          <w:color w:val="auto"/>
          <w:sz w:val="21"/>
          <w:szCs w:val="21"/>
          <w:highlight w:val="none"/>
        </w:rPr>
        <w:t xml:space="preserve"> 专职安全员简历表</w:t>
      </w:r>
      <w:bookmarkEnd w:id="479"/>
      <w:bookmarkEnd w:id="480"/>
      <w:bookmarkEnd w:id="481"/>
      <w:bookmarkEnd w:id="482"/>
      <w:bookmarkEnd w:id="483"/>
      <w:bookmarkEnd w:id="484"/>
      <w:bookmarkEnd w:id="485"/>
      <w:bookmarkEnd w:id="486"/>
      <w:bookmarkEnd w:id="487"/>
      <w:bookmarkEnd w:id="488"/>
    </w:p>
    <w:p>
      <w:pPr>
        <w:snapToGrid w:val="0"/>
        <w:spacing w:line="440" w:lineRule="exact"/>
        <w:jc w:val="left"/>
        <w:rPr>
          <w:rStyle w:val="20"/>
          <w:rFonts w:hint="eastAsia" w:ascii="宋体" w:hAnsi="宋体" w:eastAsia="宋体" w:cs="宋体"/>
          <w:b/>
          <w:bCs/>
          <w:color w:val="auto"/>
          <w:kern w:val="0"/>
          <w:highlight w:val="none"/>
        </w:rPr>
      </w:pPr>
    </w:p>
    <w:tbl>
      <w:tblPr>
        <w:tblStyle w:val="16"/>
        <w:tblpPr w:leftFromText="180" w:rightFromText="180" w:vertAnchor="text" w:horzAnchor="page" w:tblpX="1490" w:tblpY="692"/>
        <w:tblOverlap w:val="never"/>
        <w:tblW w:w="9270" w:type="dxa"/>
        <w:tblInd w:w="-8"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75"/>
        <w:gridCol w:w="963"/>
        <w:gridCol w:w="584"/>
        <w:gridCol w:w="648"/>
        <w:gridCol w:w="1294"/>
        <w:gridCol w:w="1946"/>
        <w:gridCol w:w="27"/>
        <w:gridCol w:w="1706"/>
        <w:gridCol w:w="1327"/>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   名</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  别</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   龄</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务</w:t>
            </w:r>
          </w:p>
        </w:tc>
        <w:tc>
          <w:tcPr>
            <w:tcW w:w="123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29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  称</w:t>
            </w:r>
          </w:p>
        </w:tc>
        <w:tc>
          <w:tcPr>
            <w:tcW w:w="194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3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学   历</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1738"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参加工作时间</w:t>
            </w:r>
          </w:p>
        </w:tc>
        <w:tc>
          <w:tcPr>
            <w:tcW w:w="2526"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3679" w:type="dxa"/>
            <w:gridSpan w:val="3"/>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从事工程建设项目管理工作年限</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9270" w:type="dxa"/>
            <w:gridSpan w:val="9"/>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以专职安全员身份参与过的主要业绩（已完工项目）</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lang w:eastAsia="zh-CN"/>
              </w:rPr>
            </w:pPr>
            <w:r>
              <w:rPr>
                <w:rStyle w:val="20"/>
                <w:rFonts w:hint="eastAsia" w:hAnsi="宋体" w:cs="宋体"/>
                <w:color w:val="auto"/>
                <w:kern w:val="0"/>
                <w:sz w:val="21"/>
                <w:szCs w:val="21"/>
                <w:highlight w:val="none"/>
                <w:lang w:eastAsia="zh-CN"/>
              </w:rPr>
              <w:t>工程名称</w:t>
            </w: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建设单位</w:t>
            </w: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建设内容和规模</w:t>
            </w: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开、竣工日期</w:t>
            </w: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质量等级</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75" w:type="dxa"/>
            <w:tcBorders>
              <w:top w:val="single" w:color="000000" w:sz="6" w:space="0"/>
              <w:left w:val="single" w:color="000000" w:sz="6" w:space="0"/>
              <w:bottom w:val="single" w:color="000000" w:sz="6" w:space="0"/>
              <w:right w:val="single" w:color="000000" w:sz="4"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547" w:type="dxa"/>
            <w:gridSpan w:val="2"/>
            <w:tcBorders>
              <w:top w:val="single" w:color="000000" w:sz="6" w:space="0"/>
              <w:left w:val="single" w:color="000000" w:sz="4"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42"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973" w:type="dxa"/>
            <w:gridSpan w:val="2"/>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706"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c>
          <w:tcPr>
            <w:tcW w:w="132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p>
        </w:tc>
      </w:tr>
    </w:tbl>
    <w:p>
      <w:pPr>
        <w:snapToGrid w:val="0"/>
        <w:spacing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专职安全员简历表</w:t>
      </w:r>
    </w:p>
    <w:p>
      <w:pPr>
        <w:snapToGrid w:val="0"/>
        <w:spacing w:line="440" w:lineRule="exact"/>
        <w:ind w:firstLine="570"/>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right"/>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专职安全员：</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（签字）</w:t>
      </w:r>
    </w:p>
    <w:p>
      <w:pPr>
        <w:pStyle w:val="49"/>
        <w:snapToGrid w:val="0"/>
        <w:spacing w:line="440" w:lineRule="exact"/>
        <w:jc w:val="right"/>
        <w:rPr>
          <w:rStyle w:val="20"/>
          <w:rFonts w:hint="eastAsia" w:ascii="宋体" w:hAnsi="宋体" w:eastAsia="宋体" w:cs="宋体"/>
          <w:color w:val="auto"/>
          <w:kern w:val="0"/>
          <w:highlight w:val="none"/>
        </w:rPr>
      </w:pPr>
    </w:p>
    <w:p>
      <w:pPr>
        <w:pStyle w:val="49"/>
        <w:snapToGrid w:val="0"/>
        <w:spacing w:line="440" w:lineRule="exact"/>
        <w:jc w:val="center"/>
        <w:rPr>
          <w:rStyle w:val="20"/>
          <w:rFonts w:hint="eastAsia" w:ascii="宋体" w:hAnsi="宋体" w:eastAsia="宋体" w:cs="宋体"/>
          <w:color w:val="auto"/>
          <w:kern w:val="0"/>
          <w:highlight w:val="none"/>
        </w:rPr>
      </w:pPr>
      <w:r>
        <w:rPr>
          <w:rStyle w:val="20"/>
          <w:rFonts w:hint="eastAsia" w:ascii="宋体" w:hAnsi="宋体" w:eastAsia="宋体" w:cs="宋体"/>
          <w:color w:val="auto"/>
          <w:kern w:val="0"/>
          <w:highlight w:val="none"/>
        </w:rPr>
        <w:t xml:space="preserve">                                     </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年</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月</w:t>
      </w:r>
      <w:r>
        <w:rPr>
          <w:rStyle w:val="20"/>
          <w:rFonts w:hint="eastAsia" w:ascii="宋体" w:hAnsi="宋体" w:eastAsia="宋体" w:cs="宋体"/>
          <w:color w:val="auto"/>
          <w:kern w:val="0"/>
          <w:highlight w:val="none"/>
          <w:u w:val="single"/>
        </w:rPr>
        <w:t xml:space="preserve">     </w:t>
      </w:r>
      <w:r>
        <w:rPr>
          <w:rStyle w:val="20"/>
          <w:rFonts w:hint="eastAsia" w:ascii="宋体" w:hAnsi="宋体" w:eastAsia="宋体" w:cs="宋体"/>
          <w:color w:val="auto"/>
          <w:kern w:val="0"/>
          <w:highlight w:val="none"/>
        </w:rPr>
        <w:t>日</w:t>
      </w:r>
    </w:p>
    <w:p>
      <w:pPr>
        <w:snapToGrid w:val="0"/>
        <w:spacing w:line="400" w:lineRule="exact"/>
        <w:ind w:firstLine="570"/>
        <w:rPr>
          <w:rStyle w:val="20"/>
          <w:rFonts w:hint="eastAsia" w:ascii="宋体" w:hAnsi="宋体" w:eastAsia="宋体" w:cs="宋体"/>
          <w:color w:val="auto"/>
          <w:kern w:val="0"/>
          <w:highlight w:val="none"/>
        </w:rPr>
      </w:pP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说明：《专职安全员简历表》后应附拟派专职安全员以下资料：</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1．身份证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 xml:space="preserve">    2．C类安全生产考核合格证书</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（或打印件）或“广东省建筑施工企业管理人员安全生产考核信息系统”考核合格信息打印页；</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3．在本单位缴纳社保的证明（连续三个月，其中必须有</w:t>
      </w:r>
      <w:r>
        <w:rPr>
          <w:rStyle w:val="20"/>
          <w:rFonts w:hint="eastAsia" w:hAnsi="宋体" w:cs="宋体"/>
          <w:color w:val="auto"/>
          <w:kern w:val="0"/>
          <w:sz w:val="21"/>
          <w:szCs w:val="21"/>
          <w:highlight w:val="none"/>
          <w:lang w:eastAsia="zh-CN"/>
        </w:rPr>
        <w:t>2026年5月</w:t>
      </w:r>
      <w:r>
        <w:rPr>
          <w:rStyle w:val="20"/>
          <w:rFonts w:hint="eastAsia" w:ascii="宋体" w:hAnsi="宋体" w:eastAsia="宋体" w:cs="宋体"/>
          <w:color w:val="auto"/>
          <w:kern w:val="0"/>
          <w:sz w:val="21"/>
          <w:szCs w:val="21"/>
          <w:highlight w:val="none"/>
        </w:rPr>
        <w:t>）</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。拟派专职安全员为退休返聘人员无法提供社保证明的，提供退休证和劳动合同</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48"/>
        <w:snapToGrid w:val="0"/>
        <w:spacing w:line="440" w:lineRule="exact"/>
        <w:ind w:left="2288" w:leftChars="15" w:hanging="2252" w:hangingChars="1068"/>
        <w:outlineLvl w:val="1"/>
        <w:rPr>
          <w:rStyle w:val="20"/>
          <w:rFonts w:hint="eastAsia" w:ascii="宋体" w:hAnsi="宋体" w:eastAsia="宋体" w:cs="宋体"/>
          <w:b/>
          <w:bCs/>
          <w:color w:val="auto"/>
          <w:sz w:val="21"/>
          <w:szCs w:val="21"/>
          <w:highlight w:val="none"/>
        </w:rPr>
      </w:pPr>
      <w:bookmarkStart w:id="489" w:name="_Toc27456"/>
      <w:bookmarkStart w:id="490" w:name="_Toc11123"/>
      <w:bookmarkStart w:id="491" w:name="_Toc13800"/>
      <w:bookmarkStart w:id="492" w:name="_Toc6214"/>
      <w:r>
        <w:rPr>
          <w:rStyle w:val="20"/>
          <w:rFonts w:hint="eastAsia" w:ascii="宋体" w:hAnsi="宋体" w:eastAsia="宋体" w:cs="宋体"/>
          <w:b/>
          <w:bCs/>
          <w:color w:val="auto"/>
          <w:sz w:val="21"/>
          <w:szCs w:val="21"/>
          <w:highlight w:val="none"/>
        </w:rPr>
        <w:br w:type="page"/>
      </w:r>
      <w:bookmarkStart w:id="493" w:name="_Toc22584"/>
      <w:bookmarkStart w:id="494" w:name="_Toc31435"/>
      <w:bookmarkStart w:id="495" w:name="_Toc6877"/>
      <w:bookmarkStart w:id="496" w:name="_Toc23260"/>
      <w:bookmarkStart w:id="497" w:name="_Toc14867"/>
      <w:bookmarkStart w:id="498" w:name="_Toc15266"/>
      <w:r>
        <w:rPr>
          <w:rStyle w:val="20"/>
          <w:rFonts w:hint="eastAsia" w:ascii="宋体" w:hAnsi="宋体" w:eastAsia="宋体" w:cs="宋体"/>
          <w:b/>
          <w:bCs/>
          <w:color w:val="auto"/>
          <w:sz w:val="21"/>
          <w:szCs w:val="21"/>
          <w:highlight w:val="none"/>
        </w:rPr>
        <w:t>格式十</w:t>
      </w:r>
      <w:r>
        <w:rPr>
          <w:rStyle w:val="20"/>
          <w:rFonts w:hint="eastAsia" w:hAnsi="宋体" w:cs="宋体"/>
          <w:b/>
          <w:bCs/>
          <w:color w:val="auto"/>
          <w:sz w:val="21"/>
          <w:szCs w:val="21"/>
          <w:highlight w:val="none"/>
          <w:lang w:val="en-US" w:eastAsia="zh-CN"/>
        </w:rPr>
        <w:t>二</w:t>
      </w:r>
      <w:r>
        <w:rPr>
          <w:rStyle w:val="20"/>
          <w:rFonts w:hint="eastAsia" w:ascii="宋体" w:hAnsi="宋体" w:eastAsia="宋体" w:cs="宋体"/>
          <w:b/>
          <w:bCs/>
          <w:color w:val="auto"/>
          <w:sz w:val="21"/>
          <w:szCs w:val="21"/>
          <w:highlight w:val="none"/>
        </w:rPr>
        <w:t xml:space="preserve"> 项目管理机构组成表</w:t>
      </w:r>
      <w:bookmarkEnd w:id="489"/>
      <w:bookmarkEnd w:id="490"/>
      <w:bookmarkEnd w:id="491"/>
      <w:bookmarkEnd w:id="492"/>
      <w:bookmarkEnd w:id="493"/>
      <w:bookmarkEnd w:id="494"/>
      <w:bookmarkEnd w:id="495"/>
      <w:bookmarkEnd w:id="496"/>
      <w:bookmarkEnd w:id="497"/>
      <w:bookmarkEnd w:id="498"/>
    </w:p>
    <w:p>
      <w:pPr>
        <w:snapToGrid w:val="0"/>
        <w:spacing w:before="260" w:after="260" w:line="440" w:lineRule="exact"/>
        <w:jc w:val="center"/>
        <w:rPr>
          <w:rStyle w:val="20"/>
          <w:rFonts w:hint="eastAsia" w:ascii="宋体" w:hAnsi="宋体" w:eastAsia="宋体" w:cs="宋体"/>
          <w:b/>
          <w:bCs/>
          <w:color w:val="auto"/>
          <w:kern w:val="0"/>
          <w:highlight w:val="none"/>
        </w:rPr>
      </w:pPr>
      <w:r>
        <w:rPr>
          <w:rStyle w:val="20"/>
          <w:rFonts w:hint="eastAsia" w:ascii="宋体" w:hAnsi="宋体" w:eastAsia="宋体" w:cs="宋体"/>
          <w:b/>
          <w:bCs/>
          <w:color w:val="auto"/>
          <w:kern w:val="0"/>
          <w:sz w:val="30"/>
          <w:szCs w:val="30"/>
          <w:highlight w:val="none"/>
        </w:rPr>
        <w:t>项目管理机构组成表</w:t>
      </w:r>
    </w:p>
    <w:tbl>
      <w:tblPr>
        <w:tblStyle w:val="16"/>
        <w:tblW w:w="8938" w:type="dxa"/>
        <w:tblInd w:w="2"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743"/>
        <w:gridCol w:w="1421"/>
        <w:gridCol w:w="1355"/>
        <w:gridCol w:w="900"/>
        <w:gridCol w:w="817"/>
        <w:gridCol w:w="1538"/>
        <w:gridCol w:w="2164"/>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60" w:hRule="atLeas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序号</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职务</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姓名</w:t>
            </w: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性别</w:t>
            </w: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年龄</w:t>
            </w: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职称</w:t>
            </w: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备注</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85" w:hRule="exact"/>
        </w:trPr>
        <w:tc>
          <w:tcPr>
            <w:tcW w:w="743" w:type="dxa"/>
            <w:tcBorders>
              <w:top w:val="single" w:color="000000" w:sz="6" w:space="0"/>
              <w:left w:val="single" w:color="000000" w:sz="6" w:space="0"/>
              <w:bottom w:val="nil"/>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w:t>
            </w:r>
          </w:p>
        </w:tc>
        <w:tc>
          <w:tcPr>
            <w:tcW w:w="1421" w:type="dxa"/>
            <w:tcBorders>
              <w:top w:val="single" w:color="000000" w:sz="6" w:space="0"/>
              <w:left w:val="single" w:color="000000" w:sz="6" w:space="0"/>
              <w:bottom w:val="nil"/>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项目经理</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731" w:hRule="exact"/>
        </w:trPr>
        <w:tc>
          <w:tcPr>
            <w:tcW w:w="743" w:type="dxa"/>
            <w:tcBorders>
              <w:top w:val="single" w:color="000000" w:sz="6" w:space="0"/>
              <w:left w:val="single" w:color="000000" w:sz="6" w:space="0"/>
              <w:bottom w:val="nil"/>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w:t>
            </w:r>
          </w:p>
        </w:tc>
        <w:tc>
          <w:tcPr>
            <w:tcW w:w="1421" w:type="dxa"/>
            <w:tcBorders>
              <w:top w:val="single" w:color="000000" w:sz="6" w:space="0"/>
              <w:left w:val="single" w:color="000000" w:sz="6" w:space="0"/>
              <w:bottom w:val="nil"/>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项目技术</w:t>
            </w:r>
          </w:p>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负责人</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3</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专职安全员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4</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施工员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5</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质量员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6</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材料员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7</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资料员</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7" w:hRule="exact"/>
        </w:trPr>
        <w:tc>
          <w:tcPr>
            <w:tcW w:w="743"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421" w:type="dxa"/>
            <w:tcBorders>
              <w:top w:val="single" w:color="000000" w:sz="6" w:space="0"/>
              <w:left w:val="single" w:color="000000" w:sz="6" w:space="0"/>
              <w:bottom w:val="single" w:color="000000" w:sz="6" w:space="0"/>
              <w:right w:val="single" w:color="000000" w:sz="6" w:space="0"/>
            </w:tcBorders>
            <w:noWrap w:val="0"/>
            <w:vAlign w:val="center"/>
          </w:tcPr>
          <w:p>
            <w:pPr>
              <w:snapToGrid w:val="0"/>
              <w:spacing w:line="240" w:lineRule="auto"/>
              <w:jc w:val="center"/>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w:t>
            </w:r>
          </w:p>
        </w:tc>
        <w:tc>
          <w:tcPr>
            <w:tcW w:w="1355"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900"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817"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1538"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c>
          <w:tcPr>
            <w:tcW w:w="2164" w:type="dxa"/>
            <w:tcBorders>
              <w:top w:val="single" w:color="000000" w:sz="6" w:space="0"/>
              <w:left w:val="single" w:color="000000" w:sz="6" w:space="0"/>
              <w:bottom w:val="single" w:color="000000" w:sz="6" w:space="0"/>
              <w:right w:val="single" w:color="000000" w:sz="6" w:space="0"/>
            </w:tcBorders>
            <w:noWrap w:val="0"/>
            <w:vAlign w:val="center"/>
          </w:tcPr>
          <w:p>
            <w:pPr>
              <w:snapToGrid w:val="0"/>
              <w:jc w:val="center"/>
              <w:rPr>
                <w:rStyle w:val="20"/>
                <w:rFonts w:hint="eastAsia" w:ascii="宋体" w:hAnsi="宋体" w:eastAsia="宋体" w:cs="宋体"/>
                <w:color w:val="auto"/>
                <w:kern w:val="0"/>
                <w:sz w:val="21"/>
                <w:szCs w:val="21"/>
                <w:highlight w:val="none"/>
              </w:rPr>
            </w:pPr>
          </w:p>
        </w:tc>
      </w:tr>
    </w:tbl>
    <w:p>
      <w:pPr>
        <w:pStyle w:val="48"/>
        <w:snapToGrid w:val="0"/>
        <w:spacing w:line="400" w:lineRule="exact"/>
        <w:rPr>
          <w:rStyle w:val="20"/>
          <w:rFonts w:hint="eastAsia" w:ascii="宋体" w:hAnsi="宋体" w:eastAsia="宋体" w:cs="宋体"/>
          <w:color w:val="auto"/>
          <w:sz w:val="21"/>
          <w:szCs w:val="21"/>
          <w:highlight w:val="none"/>
        </w:rPr>
      </w:pPr>
    </w:p>
    <w:p>
      <w:pPr>
        <w:pStyle w:val="48"/>
        <w:snapToGrid w:val="0"/>
        <w:spacing w:line="400" w:lineRule="exact"/>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说明：</w:t>
      </w:r>
    </w:p>
    <w:p>
      <w:pPr>
        <w:pStyle w:val="48"/>
        <w:snapToGrid w:val="0"/>
        <w:spacing w:line="400" w:lineRule="exact"/>
        <w:rPr>
          <w:rStyle w:val="20"/>
          <w:rFonts w:hint="eastAsia" w:ascii="宋体" w:hAnsi="宋体" w:eastAsia="宋体" w:cs="宋体"/>
          <w:color w:val="auto"/>
          <w:sz w:val="21"/>
          <w:szCs w:val="21"/>
          <w:highlight w:val="none"/>
        </w:rPr>
      </w:pPr>
      <w:r>
        <w:rPr>
          <w:rStyle w:val="20"/>
          <w:rFonts w:hint="eastAsia" w:ascii="宋体" w:hAnsi="宋体" w:eastAsia="宋体" w:cs="宋体"/>
          <w:color w:val="auto"/>
          <w:sz w:val="21"/>
          <w:szCs w:val="21"/>
          <w:highlight w:val="none"/>
        </w:rPr>
        <w:t>《项目管理机构组成表》后应附表中拟派人员（项目经理、项目技术负责人、专职安全员除外）以下资料：</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（1）身份证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（2）执业注册证或职称证或岗位证</w:t>
      </w:r>
      <w:r>
        <w:rPr>
          <w:rFonts w:hint="eastAsia" w:ascii="宋体" w:hAnsi="宋体" w:eastAsia="宋体" w:cs="宋体"/>
          <w:snapToGrid w:val="0"/>
          <w:color w:val="auto"/>
          <w:kern w:val="0"/>
          <w:sz w:val="21"/>
          <w:szCs w:val="21"/>
          <w:highlight w:val="none"/>
        </w:rPr>
        <w:t>彩色扫描件</w:t>
      </w:r>
      <w:r>
        <w:rPr>
          <w:rStyle w:val="20"/>
          <w:rFonts w:hint="eastAsia" w:ascii="宋体" w:hAnsi="宋体" w:eastAsia="宋体" w:cs="宋体"/>
          <w:color w:val="auto"/>
          <w:kern w:val="0"/>
          <w:sz w:val="21"/>
          <w:szCs w:val="21"/>
          <w:highlight w:val="none"/>
        </w:rPr>
        <w:t>；</w:t>
      </w:r>
    </w:p>
    <w:p>
      <w:pPr>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Style w:val="20"/>
          <w:rFonts w:hint="eastAsia" w:ascii="宋体" w:hAnsi="宋体" w:eastAsia="宋体" w:cs="宋体"/>
          <w:color w:val="auto"/>
          <w:kern w:val="0"/>
          <w:sz w:val="21"/>
          <w:szCs w:val="21"/>
          <w:highlight w:val="none"/>
        </w:rPr>
        <w:t>（3）在本单位缴纳社保的证明（连续三个月，其中必须</w:t>
      </w:r>
      <w:r>
        <w:rPr>
          <w:rFonts w:hint="eastAsia" w:ascii="宋体" w:hAnsi="宋体" w:eastAsia="宋体" w:cs="宋体"/>
          <w:snapToGrid w:val="0"/>
          <w:color w:val="auto"/>
          <w:kern w:val="0"/>
          <w:sz w:val="21"/>
          <w:szCs w:val="21"/>
          <w:highlight w:val="none"/>
        </w:rPr>
        <w:t>有</w:t>
      </w:r>
      <w:r>
        <w:rPr>
          <w:rFonts w:hint="eastAsia" w:hAnsi="宋体" w:cs="宋体"/>
          <w:snapToGrid w:val="0"/>
          <w:color w:val="auto"/>
          <w:kern w:val="0"/>
          <w:sz w:val="21"/>
          <w:szCs w:val="21"/>
          <w:highlight w:val="none"/>
          <w:lang w:eastAsia="zh-CN"/>
        </w:rPr>
        <w:t>2026年5月</w:t>
      </w:r>
      <w:r>
        <w:rPr>
          <w:rFonts w:hint="eastAsia" w:ascii="宋体" w:hAnsi="宋体" w:eastAsia="宋体" w:cs="宋体"/>
          <w:snapToGrid w:val="0"/>
          <w:color w:val="auto"/>
          <w:kern w:val="0"/>
          <w:sz w:val="21"/>
          <w:szCs w:val="21"/>
          <w:highlight w:val="none"/>
        </w:rPr>
        <w:t xml:space="preserve">）彩色扫描件；拟派人员为退休返聘人员无法提供社保证明的，提供退休证和劳动合同彩色扫描件。 </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r>
        <w:rPr>
          <w:rStyle w:val="20"/>
          <w:rFonts w:hint="eastAsia" w:ascii="宋体" w:hAnsi="宋体" w:eastAsia="宋体" w:cs="宋体"/>
          <w:color w:val="auto"/>
          <w:kern w:val="0"/>
          <w:sz w:val="21"/>
          <w:szCs w:val="21"/>
          <w:highlight w:val="none"/>
        </w:rPr>
        <w:t>（4）“进粤企业和人员诚信信息登记平台”个人信息情况截图。（适用于省外建筑企业）</w:t>
      </w:r>
    </w:p>
    <w:p>
      <w:pPr>
        <w:snapToGrid w:val="0"/>
        <w:spacing w:line="400" w:lineRule="exact"/>
        <w:ind w:firstLine="420" w:firstLineChars="200"/>
        <w:rPr>
          <w:rStyle w:val="20"/>
          <w:rFonts w:hint="eastAsia" w:ascii="宋体" w:hAnsi="宋体" w:eastAsia="宋体" w:cs="宋体"/>
          <w:color w:val="auto"/>
          <w:kern w:val="0"/>
          <w:sz w:val="21"/>
          <w:szCs w:val="21"/>
          <w:highlight w:val="none"/>
        </w:rPr>
      </w:pPr>
    </w:p>
    <w:p>
      <w:pPr>
        <w:pStyle w:val="6"/>
        <w:rPr>
          <w:rStyle w:val="20"/>
          <w:rFonts w:hint="eastAsia" w:ascii="宋体" w:hAnsi="宋体" w:eastAsia="宋体" w:cs="宋体"/>
          <w:bCs/>
          <w:color w:val="auto"/>
          <w:highlight w:val="none"/>
          <w:lang w:val="en-US" w:eastAsia="zh-CN"/>
        </w:rPr>
      </w:pPr>
      <w:r>
        <w:rPr>
          <w:rStyle w:val="20"/>
          <w:rFonts w:hint="eastAsia" w:ascii="宋体" w:hAnsi="宋体" w:eastAsia="宋体" w:cs="宋体"/>
          <w:color w:val="auto"/>
          <w:sz w:val="21"/>
          <w:szCs w:val="21"/>
          <w:highlight w:val="none"/>
        </w:rPr>
        <w:br w:type="page"/>
      </w:r>
      <w:bookmarkStart w:id="499" w:name="_Toc8959"/>
      <w:bookmarkStart w:id="500" w:name="_Toc31072"/>
      <w:bookmarkStart w:id="501" w:name="_Toc28355"/>
      <w:bookmarkStart w:id="502" w:name="_Toc9476"/>
      <w:bookmarkStart w:id="503" w:name="_Toc6024"/>
      <w:bookmarkStart w:id="504" w:name="_Toc28465"/>
      <w:bookmarkStart w:id="505" w:name="_Toc4370"/>
      <w:bookmarkStart w:id="506" w:name="_Toc29544"/>
      <w:bookmarkStart w:id="507" w:name="_Toc11642"/>
      <w:bookmarkStart w:id="508" w:name="_Toc13261"/>
      <w:bookmarkStart w:id="509" w:name="_Toc19125"/>
      <w:r>
        <w:rPr>
          <w:rStyle w:val="56"/>
          <w:rFonts w:hint="eastAsia" w:ascii="宋体" w:hAnsi="宋体" w:eastAsia="宋体" w:cs="宋体"/>
          <w:b/>
          <w:bCs/>
          <w:color w:val="auto"/>
          <w:sz w:val="21"/>
          <w:szCs w:val="21"/>
          <w:highlight w:val="none"/>
          <w:lang w:val="en-US" w:eastAsia="zh-CN"/>
        </w:rPr>
        <w:t>格式十</w:t>
      </w:r>
      <w:r>
        <w:rPr>
          <w:rStyle w:val="56"/>
          <w:rFonts w:hint="eastAsia" w:ascii="宋体" w:hAnsi="宋体" w:cs="宋体"/>
          <w:b/>
          <w:bCs/>
          <w:color w:val="auto"/>
          <w:sz w:val="21"/>
          <w:szCs w:val="21"/>
          <w:highlight w:val="none"/>
          <w:lang w:val="en-US" w:eastAsia="zh-CN"/>
        </w:rPr>
        <w:t>三</w:t>
      </w:r>
      <w:r>
        <w:rPr>
          <w:rStyle w:val="56"/>
          <w:rFonts w:hint="eastAsia" w:ascii="宋体" w:hAnsi="宋体" w:eastAsia="宋体" w:cs="宋体"/>
          <w:b/>
          <w:bCs/>
          <w:color w:val="auto"/>
          <w:sz w:val="21"/>
          <w:szCs w:val="21"/>
          <w:highlight w:val="none"/>
          <w:lang w:val="en-US" w:eastAsia="zh-CN"/>
        </w:rPr>
        <w:t xml:space="preserve"> 建造师查询页（有效期+建造师签字）</w:t>
      </w:r>
      <w:bookmarkEnd w:id="499"/>
      <w:bookmarkEnd w:id="500"/>
      <w:bookmarkEnd w:id="501"/>
      <w:bookmarkEnd w:id="502"/>
      <w:bookmarkEnd w:id="503"/>
      <w:bookmarkEnd w:id="504"/>
      <w:bookmarkEnd w:id="505"/>
      <w:bookmarkEnd w:id="506"/>
      <w:bookmarkEnd w:id="507"/>
      <w:bookmarkEnd w:id="508"/>
      <w:bookmarkEnd w:id="509"/>
    </w:p>
    <w:p>
      <w:pPr>
        <w:pStyle w:val="42"/>
        <w:jc w:val="both"/>
        <w:rPr>
          <w:rFonts w:hint="eastAsia" w:ascii="宋体" w:hAnsi="宋体" w:eastAsia="宋体" w:cs="宋体"/>
          <w:b/>
          <w:bCs/>
          <w:snapToGrid w:val="0"/>
          <w:color w:val="auto"/>
          <w:szCs w:val="24"/>
          <w:highlight w:val="none"/>
        </w:rPr>
      </w:pPr>
      <w:r>
        <w:rPr>
          <w:rFonts w:ascii="Times New Roman"/>
          <w:snapToGrid w:val="0"/>
          <w:color w:val="auto"/>
          <w:sz w:val="21"/>
          <w:highlight w:val="none"/>
        </w:rPr>
        <w:drawing>
          <wp:inline distT="0" distB="0" distL="114300" distR="114300">
            <wp:extent cx="5344160" cy="7471410"/>
            <wp:effectExtent l="0" t="0" r="8890" b="15240"/>
            <wp:docPr id="5" name="图片 13" descr="b7c3fa9a6b84aa75afaa6419d149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3" descr="b7c3fa9a6b84aa75afaa6419d149817"/>
                    <pic:cNvPicPr>
                      <a:picLocks noChangeAspect="1"/>
                    </pic:cNvPicPr>
                  </pic:nvPicPr>
                  <pic:blipFill>
                    <a:blip r:embed="rId33"/>
                    <a:stretch>
                      <a:fillRect/>
                    </a:stretch>
                  </pic:blipFill>
                  <pic:spPr>
                    <a:xfrm>
                      <a:off x="0" y="0"/>
                      <a:ext cx="5344160" cy="7471410"/>
                    </a:xfrm>
                    <a:prstGeom prst="rect">
                      <a:avLst/>
                    </a:prstGeom>
                    <a:noFill/>
                    <a:ln>
                      <a:noFill/>
                    </a:ln>
                  </pic:spPr>
                </pic:pic>
              </a:graphicData>
            </a:graphic>
          </wp:inline>
        </w:drawing>
      </w:r>
    </w:p>
    <w:p>
      <w:pPr>
        <w:pStyle w:val="43"/>
        <w:widowControl w:val="0"/>
        <w:wordWrap w:val="0"/>
        <w:adjustRightInd w:val="0"/>
        <w:snapToGrid w:val="0"/>
        <w:spacing w:line="240" w:lineRule="auto"/>
        <w:ind w:left="240" w:leftChars="100" w:firstLine="241" w:firstLineChars="100"/>
        <w:rPr>
          <w:rFonts w:hint="eastAsia" w:ascii="宋体" w:hAnsi="宋体" w:eastAsia="宋体" w:cs="宋体"/>
          <w:b/>
          <w:bCs/>
          <w:snapToGrid w:val="0"/>
          <w:color w:val="auto"/>
          <w:sz w:val="24"/>
          <w:szCs w:val="24"/>
          <w:highlight w:val="none"/>
        </w:rPr>
      </w:pPr>
    </w:p>
    <w:p>
      <w:pPr>
        <w:pStyle w:val="42"/>
        <w:keepNext w:val="0"/>
        <w:keepLines w:val="0"/>
        <w:widowControl w:val="0"/>
        <w:wordWrap w:val="0"/>
        <w:adjustRightInd w:val="0"/>
        <w:snapToGrid w:val="0"/>
        <w:spacing w:before="0" w:after="0" w:line="240" w:lineRule="auto"/>
        <w:ind w:left="3177" w:leftChars="15" w:hanging="3141" w:hangingChars="1496"/>
        <w:outlineLvl w:val="9"/>
        <w:rPr>
          <w:rFonts w:hint="eastAsia" w:ascii="宋体" w:hAnsi="宋体" w:eastAsia="宋体" w:cs="宋体"/>
          <w:snapToGrid w:val="0"/>
          <w:color w:val="auto"/>
          <w:sz w:val="21"/>
          <w:highlight w:val="none"/>
        </w:rPr>
      </w:pPr>
      <w:r>
        <w:rPr>
          <w:rFonts w:hint="eastAsia" w:ascii="宋体" w:hAnsi="宋体" w:eastAsia="宋体" w:cs="宋体"/>
          <w:snapToGrid w:val="0"/>
          <w:color w:val="auto"/>
          <w:sz w:val="21"/>
          <w:highlight w:val="none"/>
        </w:rPr>
        <w:t xml:space="preserve">     </w:t>
      </w:r>
      <w:bookmarkStart w:id="510" w:name="_附件十六：措施项目清单计价表"/>
      <w:bookmarkEnd w:id="510"/>
      <w:bookmarkStart w:id="511" w:name="_附件二十一：土建工程、电气工程、给排水工程工程清单项目费汇总表"/>
      <w:bookmarkEnd w:id="511"/>
      <w:bookmarkStart w:id="512" w:name="_Hlt87793582"/>
      <w:bookmarkEnd w:id="512"/>
      <w:bookmarkStart w:id="513" w:name="_Hlt87783244"/>
      <w:bookmarkEnd w:id="513"/>
    </w:p>
    <w:p>
      <w:pPr>
        <w:pStyle w:val="6"/>
        <w:rPr>
          <w:rStyle w:val="56"/>
          <w:rFonts w:hint="eastAsia" w:ascii="宋体" w:hAnsi="宋体" w:eastAsia="宋体" w:cs="宋体"/>
          <w:b/>
          <w:bCs/>
          <w:color w:val="auto"/>
          <w:sz w:val="21"/>
          <w:szCs w:val="21"/>
          <w:highlight w:val="none"/>
          <w:lang w:val="en-US" w:eastAsia="zh-CN"/>
        </w:rPr>
      </w:pPr>
      <w:bookmarkStart w:id="514" w:name="_Toc23831"/>
      <w:bookmarkStart w:id="515" w:name="_Toc9224"/>
      <w:bookmarkStart w:id="516" w:name="_Toc28494"/>
      <w:bookmarkStart w:id="517" w:name="_Toc26904"/>
      <w:bookmarkStart w:id="518" w:name="_Toc30931"/>
      <w:bookmarkStart w:id="519" w:name="_Toc6379"/>
      <w:bookmarkStart w:id="520" w:name="_Toc14143"/>
      <w:bookmarkStart w:id="521" w:name="_Toc18297"/>
      <w:bookmarkStart w:id="522" w:name="_Toc18504"/>
      <w:bookmarkStart w:id="523" w:name="_Toc29671"/>
      <w:bookmarkStart w:id="524" w:name="_Toc36804690"/>
      <w:bookmarkStart w:id="525" w:name="_Toc20623"/>
      <w:r>
        <w:rPr>
          <w:rStyle w:val="56"/>
          <w:rFonts w:hint="eastAsia" w:ascii="宋体" w:hAnsi="宋体" w:eastAsia="宋体" w:cs="宋体"/>
          <w:b/>
          <w:bCs/>
          <w:color w:val="auto"/>
          <w:sz w:val="21"/>
          <w:szCs w:val="21"/>
          <w:highlight w:val="none"/>
          <w:lang w:val="en-US" w:eastAsia="zh-CN"/>
        </w:rPr>
        <w:t xml:space="preserve">格式十四 </w:t>
      </w:r>
      <w:bookmarkEnd w:id="514"/>
      <w:bookmarkEnd w:id="515"/>
      <w:bookmarkEnd w:id="516"/>
      <w:bookmarkEnd w:id="517"/>
      <w:bookmarkEnd w:id="518"/>
      <w:bookmarkEnd w:id="519"/>
      <w:bookmarkEnd w:id="520"/>
      <w:bookmarkEnd w:id="521"/>
      <w:bookmarkEnd w:id="522"/>
      <w:bookmarkEnd w:id="523"/>
      <w:bookmarkEnd w:id="524"/>
      <w:bookmarkStart w:id="526" w:name="_Toc10203"/>
      <w:r>
        <w:rPr>
          <w:rStyle w:val="56"/>
          <w:rFonts w:hint="eastAsia" w:ascii="宋体" w:hAnsi="宋体" w:eastAsia="宋体" w:cs="宋体"/>
          <w:b/>
          <w:bCs/>
          <w:color w:val="auto"/>
          <w:sz w:val="21"/>
          <w:szCs w:val="21"/>
          <w:highlight w:val="none"/>
          <w:lang w:val="en-US" w:eastAsia="zh-CN"/>
        </w:rPr>
        <w:t>危险性较大的分部分项工程清单及超过一定规模的危险性较大的分部分项工程清单</w:t>
      </w:r>
    </w:p>
    <w:bookmarkEnd w:id="525"/>
    <w:p>
      <w:pPr>
        <w:pStyle w:val="3"/>
        <w:keepNext w:val="0"/>
        <w:keepLines w:val="0"/>
        <w:pageBreakBefore w:val="0"/>
        <w:widowControl/>
        <w:kinsoku/>
        <w:wordWrap/>
        <w:overflowPunct/>
        <w:topLinePunct w:val="0"/>
        <w:autoSpaceDE/>
        <w:autoSpaceDN/>
        <w:bidi w:val="0"/>
        <w:adjustRightInd/>
        <w:snapToGrid/>
        <w:spacing w:line="360" w:lineRule="auto"/>
        <w:ind w:left="5"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1、根据中华人民共和国住房和城乡建设部令第37号《危险性较大的分部分项工程</w:t>
      </w:r>
      <w:r>
        <w:rPr>
          <w:rFonts w:hint="eastAsia" w:ascii="宋体" w:hAnsi="宋体" w:eastAsia="宋体" w:cs="宋体"/>
          <w:color w:val="auto"/>
          <w:spacing w:val="-2"/>
          <w:sz w:val="21"/>
          <w:szCs w:val="21"/>
          <w:highlight w:val="none"/>
        </w:rPr>
        <w:t>安全管理规定》（以下简称“37号文”</w:t>
      </w:r>
      <w:r>
        <w:rPr>
          <w:rFonts w:hint="eastAsia" w:ascii="宋体" w:hAnsi="宋体" w:eastAsia="宋体" w:cs="宋体"/>
          <w:color w:val="auto"/>
          <w:spacing w:val="-11"/>
          <w:sz w:val="21"/>
          <w:szCs w:val="21"/>
          <w:highlight w:val="none"/>
        </w:rPr>
        <w:t>），</w:t>
      </w:r>
      <w:r>
        <w:rPr>
          <w:rFonts w:hint="eastAsia" w:ascii="宋体" w:hAnsi="宋体" w:eastAsia="宋体" w:cs="宋体"/>
          <w:color w:val="auto"/>
          <w:spacing w:val="-2"/>
          <w:sz w:val="21"/>
          <w:szCs w:val="21"/>
          <w:highlight w:val="none"/>
        </w:rPr>
        <w:t>投标人在投标时须补充完善危大工程清单并明确相应的安全管理措施。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left="1" w:firstLine="481"/>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2、招标人根据设计文件的要求及37号文、粤建规范〔2019〕2号文的规定列出“危险性较大的分部分项工程清单及超过一定规模的危</w:t>
      </w:r>
      <w:r>
        <w:rPr>
          <w:rFonts w:hint="eastAsia" w:ascii="宋体" w:hAnsi="宋体" w:eastAsia="宋体" w:cs="宋体"/>
          <w:color w:val="auto"/>
          <w:spacing w:val="-3"/>
          <w:sz w:val="21"/>
          <w:szCs w:val="21"/>
          <w:highlight w:val="none"/>
        </w:rPr>
        <w:t>险性较大的分部分项工程清单”中与</w:t>
      </w:r>
      <w:r>
        <w:rPr>
          <w:rFonts w:hint="eastAsia" w:ascii="宋体" w:hAnsi="宋体" w:eastAsia="宋体" w:cs="宋体"/>
          <w:color w:val="auto"/>
          <w:spacing w:val="-5"/>
          <w:sz w:val="21"/>
          <w:szCs w:val="21"/>
          <w:highlight w:val="none"/>
        </w:rPr>
        <w:t>本招标项目相关的清单项，具体详见第5点“打√”标识。</w:t>
      </w:r>
    </w:p>
    <w:p>
      <w:pPr>
        <w:pStyle w:val="3"/>
        <w:keepNext w:val="0"/>
        <w:keepLines w:val="0"/>
        <w:pageBreakBefore w:val="0"/>
        <w:widowControl/>
        <w:kinsoku/>
        <w:wordWrap/>
        <w:overflowPunct/>
        <w:topLinePunct w:val="0"/>
        <w:autoSpaceDE/>
        <w:autoSpaceDN/>
        <w:bidi w:val="0"/>
        <w:adjustRightInd/>
        <w:snapToGrid/>
        <w:spacing w:line="360" w:lineRule="auto"/>
        <w:ind w:left="3" w:right="72" w:firstLine="488"/>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（1）投标单位同意建设单位在清单中标识的该</w:t>
      </w:r>
      <w:r>
        <w:rPr>
          <w:rFonts w:hint="eastAsia" w:ascii="宋体" w:hAnsi="宋体" w:eastAsia="宋体" w:cs="宋体"/>
          <w:color w:val="auto"/>
          <w:spacing w:val="-4"/>
          <w:sz w:val="21"/>
          <w:szCs w:val="21"/>
          <w:highlight w:val="none"/>
        </w:rPr>
        <w:t>项请在对应项打“√”标识，并与</w:t>
      </w:r>
      <w:r>
        <w:rPr>
          <w:rFonts w:hint="eastAsia" w:ascii="宋体" w:hAnsi="宋体" w:eastAsia="宋体" w:cs="宋体"/>
          <w:color w:val="auto"/>
          <w:spacing w:val="-1"/>
          <w:sz w:val="21"/>
          <w:szCs w:val="21"/>
          <w:highlight w:val="none"/>
        </w:rPr>
        <w:t>投标文件中提供相应的安全管理措施。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left="2" w:right="72" w:firstLine="489"/>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（2）投标单位对清单中认为需要补充的该项请</w:t>
      </w:r>
      <w:r>
        <w:rPr>
          <w:rFonts w:hint="eastAsia" w:ascii="宋体" w:hAnsi="宋体" w:eastAsia="宋体" w:cs="宋体"/>
          <w:color w:val="auto"/>
          <w:spacing w:val="-4"/>
          <w:sz w:val="21"/>
          <w:szCs w:val="21"/>
          <w:highlight w:val="none"/>
        </w:rPr>
        <w:t>在对应项打“√”标识，并与投标</w:t>
      </w:r>
      <w:r>
        <w:rPr>
          <w:rFonts w:hint="eastAsia" w:ascii="宋体" w:hAnsi="宋体" w:eastAsia="宋体" w:cs="宋体"/>
          <w:color w:val="auto"/>
          <w:spacing w:val="-1"/>
          <w:sz w:val="21"/>
          <w:szCs w:val="21"/>
          <w:highlight w:val="none"/>
        </w:rPr>
        <w:t>文件中提供相应的安全管理措施。</w:t>
      </w:r>
    </w:p>
    <w:p>
      <w:pPr>
        <w:pStyle w:val="3"/>
        <w:keepNext w:val="0"/>
        <w:keepLines w:val="0"/>
        <w:pageBreakBefore w:val="0"/>
        <w:widowControl/>
        <w:kinsoku/>
        <w:wordWrap/>
        <w:overflowPunct/>
        <w:topLinePunct w:val="0"/>
        <w:autoSpaceDE/>
        <w:autoSpaceDN/>
        <w:bidi w:val="0"/>
        <w:adjustRightInd/>
        <w:snapToGrid/>
        <w:spacing w:line="360" w:lineRule="auto"/>
        <w:ind w:right="72" w:firstLine="492"/>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（3）投标单位不同意建设单位在清单中标识的该项请在对应项打“×”标识，并</w:t>
      </w:r>
      <w:r>
        <w:rPr>
          <w:rFonts w:hint="eastAsia" w:ascii="宋体" w:hAnsi="宋体" w:eastAsia="宋体" w:cs="宋体"/>
          <w:color w:val="auto"/>
          <w:spacing w:val="-1"/>
          <w:sz w:val="21"/>
          <w:szCs w:val="21"/>
          <w:highlight w:val="none"/>
        </w:rPr>
        <w:t>在备注栏填上相关说明。</w:t>
      </w:r>
    </w:p>
    <w:p>
      <w:pPr>
        <w:pStyle w:val="3"/>
        <w:keepNext w:val="0"/>
        <w:keepLines w:val="0"/>
        <w:pageBreakBefore w:val="0"/>
        <w:widowControl/>
        <w:kinsoku/>
        <w:wordWrap/>
        <w:overflowPunct/>
        <w:topLinePunct w:val="0"/>
        <w:autoSpaceDE/>
        <w:autoSpaceDN/>
        <w:bidi w:val="0"/>
        <w:adjustRightInd/>
        <w:snapToGrid/>
        <w:spacing w:line="360" w:lineRule="auto"/>
        <w:ind w:firstLine="484"/>
        <w:jc w:val="both"/>
        <w:textAlignment w:val="baseline"/>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u w:val="single" w:color="auto"/>
        </w:rPr>
        <w:t>3、投标单位应当在投标时根据招标人提供的下述第5点清单，</w:t>
      </w:r>
      <w:r>
        <w:rPr>
          <w:rFonts w:hint="eastAsia" w:ascii="宋体" w:hAnsi="宋体" w:eastAsia="宋体" w:cs="宋体"/>
          <w:b/>
          <w:bCs/>
          <w:color w:val="auto"/>
          <w:spacing w:val="-5"/>
          <w:sz w:val="21"/>
          <w:szCs w:val="21"/>
          <w:highlight w:val="none"/>
          <w:u w:val="single" w:color="auto"/>
        </w:rPr>
        <w:t>在投标施工组织中回</w:t>
      </w:r>
      <w:r>
        <w:rPr>
          <w:rFonts w:hint="eastAsia" w:ascii="宋体" w:hAnsi="宋体" w:eastAsia="宋体" w:cs="宋体"/>
          <w:b/>
          <w:bCs/>
          <w:color w:val="auto"/>
          <w:spacing w:val="-4"/>
          <w:sz w:val="21"/>
          <w:szCs w:val="21"/>
          <w:highlight w:val="none"/>
          <w:u w:val="single" w:color="auto"/>
        </w:rPr>
        <w:t>应建设单位提供的危大工程清单，补充相应的安全管理措施。（为减轻标书编制</w:t>
      </w:r>
      <w:r>
        <w:rPr>
          <w:rFonts w:hint="eastAsia" w:ascii="宋体" w:hAnsi="宋体" w:eastAsia="宋体" w:cs="宋体"/>
          <w:b/>
          <w:bCs/>
          <w:color w:val="auto"/>
          <w:spacing w:val="-5"/>
          <w:sz w:val="21"/>
          <w:szCs w:val="21"/>
          <w:highlight w:val="none"/>
          <w:u w:val="single" w:color="auto"/>
        </w:rPr>
        <w:t>的工作</w:t>
      </w:r>
      <w:r>
        <w:rPr>
          <w:rFonts w:hint="eastAsia" w:ascii="宋体" w:hAnsi="宋体" w:eastAsia="宋体" w:cs="宋体"/>
          <w:b/>
          <w:bCs/>
          <w:color w:val="auto"/>
          <w:spacing w:val="-2"/>
          <w:sz w:val="21"/>
          <w:szCs w:val="21"/>
          <w:highlight w:val="none"/>
          <w:u w:val="single" w:color="auto"/>
        </w:rPr>
        <w:t>量，投标单位回应的危大工程清单该部分的页数应控制在3页内）</w:t>
      </w:r>
    </w:p>
    <w:p>
      <w:pPr>
        <w:pStyle w:val="3"/>
        <w:keepNext w:val="0"/>
        <w:keepLines w:val="0"/>
        <w:pageBreakBefore w:val="0"/>
        <w:widowControl/>
        <w:kinsoku/>
        <w:wordWrap/>
        <w:overflowPunct/>
        <w:topLinePunct w:val="0"/>
        <w:autoSpaceDE/>
        <w:autoSpaceDN/>
        <w:bidi w:val="0"/>
        <w:adjustRightInd/>
        <w:snapToGrid/>
        <w:spacing w:line="360" w:lineRule="auto"/>
        <w:ind w:left="1" w:firstLine="478"/>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4、对于超过一定规模的危大工程，中标单位应当组织召开</w:t>
      </w:r>
      <w:r>
        <w:rPr>
          <w:rFonts w:hint="eastAsia" w:ascii="宋体" w:hAnsi="宋体" w:eastAsia="宋体" w:cs="宋体"/>
          <w:color w:val="auto"/>
          <w:spacing w:val="-1"/>
          <w:sz w:val="21"/>
          <w:szCs w:val="21"/>
          <w:highlight w:val="none"/>
        </w:rPr>
        <w:t>专家论证会对专项施工</w:t>
      </w:r>
      <w:r>
        <w:rPr>
          <w:rFonts w:hint="eastAsia" w:ascii="宋体" w:hAnsi="宋体" w:eastAsia="宋体" w:cs="宋体"/>
          <w:color w:val="auto"/>
          <w:spacing w:val="-2"/>
          <w:sz w:val="21"/>
          <w:szCs w:val="21"/>
          <w:highlight w:val="none"/>
        </w:rPr>
        <w:t>方案进行论证。实行施工总承包的，由施工总承包单位组织召开专家论证会。专家论证</w:t>
      </w:r>
      <w:r>
        <w:rPr>
          <w:rFonts w:hint="eastAsia" w:ascii="宋体" w:hAnsi="宋体" w:eastAsia="宋体" w:cs="宋体"/>
          <w:color w:val="auto"/>
          <w:spacing w:val="-1"/>
          <w:sz w:val="21"/>
          <w:szCs w:val="21"/>
          <w:highlight w:val="none"/>
        </w:rPr>
        <w:t>前专项施工方案应当通过施工总承包单位审核和总监理工程师审查。</w:t>
      </w:r>
    </w:p>
    <w:p>
      <w:pPr>
        <w:pStyle w:val="3"/>
        <w:keepNext w:val="0"/>
        <w:keepLines w:val="0"/>
        <w:pageBreakBefore w:val="0"/>
        <w:widowControl/>
        <w:kinsoku/>
        <w:wordWrap/>
        <w:overflowPunct/>
        <w:topLinePunct w:val="0"/>
        <w:autoSpaceDE/>
        <w:autoSpaceDN/>
        <w:bidi w:val="0"/>
        <w:adjustRightInd/>
        <w:snapToGrid/>
        <w:spacing w:line="360" w:lineRule="auto"/>
        <w:ind w:firstLine="484"/>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5、危险性较大的分部分项工程清单及超过一</w:t>
      </w:r>
      <w:r>
        <w:rPr>
          <w:rFonts w:hint="eastAsia" w:ascii="宋体" w:hAnsi="宋体" w:eastAsia="宋体" w:cs="宋体"/>
          <w:color w:val="auto"/>
          <w:spacing w:val="1"/>
          <w:sz w:val="21"/>
          <w:szCs w:val="21"/>
          <w:highlight w:val="none"/>
        </w:rPr>
        <w:t>定规模的危险性较大的分部分项工程</w:t>
      </w:r>
      <w:r>
        <w:rPr>
          <w:rFonts w:hint="eastAsia" w:ascii="宋体" w:hAnsi="宋体" w:eastAsia="宋体" w:cs="宋体"/>
          <w:color w:val="auto"/>
          <w:spacing w:val="-4"/>
          <w:sz w:val="21"/>
          <w:szCs w:val="21"/>
          <w:highlight w:val="none"/>
        </w:rPr>
        <w:t>清单：</w:t>
      </w:r>
    </w:p>
    <w:p>
      <w:pPr>
        <w:spacing w:line="79" w:lineRule="exact"/>
        <w:rPr>
          <w:rFonts w:hint="eastAsia" w:ascii="宋体" w:hAnsi="宋体" w:eastAsia="宋体" w:cs="宋体"/>
          <w:color w:val="auto"/>
          <w:sz w:val="21"/>
          <w:szCs w:val="21"/>
          <w:highlight w:val="none"/>
        </w:rPr>
      </w:pPr>
    </w:p>
    <w:tbl>
      <w:tblPr>
        <w:tblStyle w:val="61"/>
        <w:tblW w:w="5127"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456"/>
        <w:gridCol w:w="1273"/>
        <w:gridCol w:w="1316"/>
        <w:gridCol w:w="1006"/>
        <w:gridCol w:w="2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1" w:hRule="atLeast"/>
          <w:jc w:val="center"/>
        </w:trPr>
        <w:tc>
          <w:tcPr>
            <w:tcW w:w="3005" w:type="pct"/>
            <w:noWrap w:val="0"/>
            <w:vAlign w:val="top"/>
          </w:tcPr>
          <w:p>
            <w:pPr>
              <w:pStyle w:val="60"/>
              <w:spacing w:before="132" w:line="220"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3"/>
                <w:sz w:val="21"/>
                <w:szCs w:val="21"/>
                <w:highlight w:val="none"/>
                <w:lang w:eastAsia="zh-CN"/>
              </w:rPr>
              <w:t>一、危险性较大的分部分项工程清单</w:t>
            </w:r>
          </w:p>
        </w:tc>
        <w:tc>
          <w:tcPr>
            <w:tcW w:w="701" w:type="pct"/>
            <w:noWrap w:val="0"/>
            <w:vAlign w:val="center"/>
          </w:tcPr>
          <w:p>
            <w:pPr>
              <w:pStyle w:val="60"/>
              <w:spacing w:before="132" w:line="221" w:lineRule="auto"/>
              <w:ind w:left="206"/>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建设单位</w:t>
            </w:r>
          </w:p>
        </w:tc>
        <w:tc>
          <w:tcPr>
            <w:tcW w:w="725" w:type="pct"/>
            <w:noWrap w:val="0"/>
            <w:vAlign w:val="center"/>
          </w:tcPr>
          <w:p>
            <w:pPr>
              <w:pStyle w:val="60"/>
              <w:spacing w:before="132" w:line="221" w:lineRule="auto"/>
              <w:ind w:left="205"/>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567" w:type="pct"/>
            <w:gridSpan w:val="2"/>
            <w:noWrap w:val="0"/>
            <w:vAlign w:val="top"/>
          </w:tcPr>
          <w:p>
            <w:pPr>
              <w:pStyle w:val="60"/>
              <w:spacing w:before="131" w:line="222" w:lineRule="auto"/>
              <w:ind w:left="36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8" w:hRule="atLeast"/>
          <w:jc w:val="center"/>
        </w:trPr>
        <w:tc>
          <w:tcPr>
            <w:tcW w:w="3005" w:type="pct"/>
            <w:noWrap w:val="0"/>
            <w:vAlign w:val="top"/>
          </w:tcPr>
          <w:p>
            <w:pPr>
              <w:pStyle w:val="60"/>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一、基坑支护</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0" w:hRule="atLeast"/>
          <w:jc w:val="center"/>
        </w:trPr>
        <w:tc>
          <w:tcPr>
            <w:tcW w:w="3005" w:type="pct"/>
            <w:noWrap w:val="0"/>
            <w:vAlign w:val="top"/>
          </w:tcPr>
          <w:p>
            <w:pPr>
              <w:pStyle w:val="60"/>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（一）开挖深度超过</w:t>
            </w:r>
            <w:r>
              <w:rPr>
                <w:rFonts w:hint="eastAsia" w:ascii="宋体" w:hAnsi="宋体" w:eastAsia="宋体" w:cs="宋体"/>
                <w:color w:val="auto"/>
                <w:spacing w:val="-29"/>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3m（含</w:t>
            </w:r>
            <w:r>
              <w:rPr>
                <w:rFonts w:hint="eastAsia" w:ascii="宋体" w:hAnsi="宋体" w:eastAsia="宋体" w:cs="宋体"/>
                <w:color w:val="auto"/>
                <w:spacing w:val="-46"/>
                <w:sz w:val="21"/>
                <w:szCs w:val="21"/>
                <w:highlight w:val="none"/>
                <w:lang w:eastAsia="zh-CN"/>
              </w:rPr>
              <w:t xml:space="preserve"> </w:t>
            </w:r>
            <w:r>
              <w:rPr>
                <w:rFonts w:hint="eastAsia" w:ascii="宋体" w:hAnsi="宋体" w:eastAsia="宋体" w:cs="宋体"/>
                <w:color w:val="auto"/>
                <w:spacing w:val="-4"/>
                <w:sz w:val="21"/>
                <w:szCs w:val="21"/>
                <w:highlight w:val="none"/>
                <w:lang w:eastAsia="zh-CN"/>
              </w:rPr>
              <w:t>3m）的基坑（槽）</w:t>
            </w:r>
            <w:r>
              <w:rPr>
                <w:rFonts w:hint="eastAsia" w:ascii="宋体" w:hAnsi="宋体" w:eastAsia="宋体" w:cs="宋体"/>
                <w:color w:val="auto"/>
                <w:spacing w:val="-3"/>
                <w:sz w:val="21"/>
                <w:szCs w:val="21"/>
                <w:highlight w:val="none"/>
                <w:lang w:eastAsia="zh-CN"/>
              </w:rPr>
              <w:t>的土方开挖、支护、降水工程。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3005" w:type="pct"/>
            <w:noWrap w:val="0"/>
            <w:vAlign w:val="top"/>
          </w:tcPr>
          <w:p>
            <w:pPr>
              <w:pStyle w:val="60"/>
              <w:spacing w:before="129" w:line="327" w:lineRule="auto"/>
              <w:ind w:left="135" w:right="68" w:hanging="8"/>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（二）开挖深度虽未超过3m，但地质条件、周围环境和地下管线复杂，或影响</w:t>
            </w:r>
            <w:r>
              <w:rPr>
                <w:rFonts w:hint="eastAsia" w:ascii="宋体" w:hAnsi="宋体" w:eastAsia="宋体" w:cs="宋体"/>
                <w:color w:val="auto"/>
                <w:spacing w:val="-3"/>
                <w:sz w:val="21"/>
                <w:szCs w:val="21"/>
                <w:highlight w:val="none"/>
                <w:lang w:eastAsia="zh-CN"/>
              </w:rPr>
              <w:t>毗邻</w:t>
            </w:r>
            <w:r>
              <w:rPr>
                <w:rFonts w:hint="eastAsia" w:ascii="宋体" w:hAnsi="宋体" w:eastAsia="宋体" w:cs="宋体"/>
                <w:color w:val="auto"/>
                <w:spacing w:val="-2"/>
                <w:sz w:val="21"/>
                <w:szCs w:val="21"/>
                <w:highlight w:val="none"/>
                <w:lang w:eastAsia="zh-CN"/>
              </w:rPr>
              <w:t>建、构筑</w:t>
            </w:r>
            <w:r>
              <w:rPr>
                <w:rFonts w:hint="eastAsia" w:ascii="宋体" w:hAnsi="宋体" w:eastAsia="宋体" w:cs="宋体"/>
                <w:color w:val="auto"/>
                <w:spacing w:val="-1"/>
                <w:sz w:val="21"/>
                <w:szCs w:val="21"/>
                <w:highlight w:val="none"/>
                <w:lang w:eastAsia="zh-CN"/>
              </w:rPr>
              <w:t>物安全的基坑（槽）的土方开挖、支护、降水</w:t>
            </w:r>
            <w:r>
              <w:rPr>
                <w:rFonts w:hint="eastAsia" w:ascii="宋体" w:hAnsi="宋体" w:eastAsia="宋体" w:cs="宋体"/>
                <w:color w:val="auto"/>
                <w:spacing w:val="-4"/>
                <w:sz w:val="21"/>
                <w:szCs w:val="21"/>
                <w:highlight w:val="none"/>
                <w:lang w:eastAsia="zh-CN"/>
              </w:rPr>
              <w:t>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67" w:type="pct"/>
            <w:gridSpan w:val="2"/>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27"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2"/>
                <w:sz w:val="21"/>
                <w:szCs w:val="21"/>
                <w:highlight w:val="none"/>
                <w:lang w:eastAsia="zh-CN"/>
              </w:rPr>
              <w:t>二、模板工程及支撑体系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28" w:line="328"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285" w:hRule="atLeast"/>
          <w:jc w:val="center"/>
        </w:trPr>
        <w:tc>
          <w:tcPr>
            <w:tcW w:w="3005" w:type="pct"/>
            <w:noWrap w:val="0"/>
            <w:vAlign w:val="top"/>
          </w:tcPr>
          <w:p>
            <w:pPr>
              <w:pStyle w:val="60"/>
              <w:spacing w:before="131" w:line="362" w:lineRule="auto"/>
              <w:ind w:left="115" w:right="10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（二）混凝土模板支撑工程：搭设高度5m及以</w:t>
            </w:r>
            <w:r>
              <w:rPr>
                <w:rFonts w:hint="eastAsia" w:ascii="宋体" w:hAnsi="宋体" w:eastAsia="宋体" w:cs="宋体"/>
                <w:color w:val="auto"/>
                <w:spacing w:val="-10"/>
                <w:sz w:val="21"/>
                <w:szCs w:val="21"/>
                <w:highlight w:val="none"/>
                <w:lang w:eastAsia="zh-CN"/>
              </w:rPr>
              <w:t>上，或搭设跨度10m及以上，或施工总荷</w:t>
            </w:r>
            <w:r>
              <w:rPr>
                <w:rFonts w:hint="eastAsia" w:ascii="宋体" w:hAnsi="宋体" w:eastAsia="宋体" w:cs="宋体"/>
                <w:color w:val="auto"/>
                <w:spacing w:val="-11"/>
                <w:sz w:val="21"/>
                <w:szCs w:val="21"/>
                <w:highlight w:val="none"/>
                <w:lang w:eastAsia="zh-CN"/>
              </w:rPr>
              <w:t>载（荷</w:t>
            </w:r>
            <w:r>
              <w:rPr>
                <w:rFonts w:hint="eastAsia" w:ascii="宋体" w:hAnsi="宋体" w:eastAsia="宋体" w:cs="宋体"/>
                <w:color w:val="auto"/>
                <w:spacing w:val="-2"/>
                <w:sz w:val="21"/>
                <w:szCs w:val="21"/>
                <w:highlight w:val="none"/>
                <w:lang w:eastAsia="zh-CN"/>
              </w:rPr>
              <w:t>载效应基本组合的设计值，以下简称设计值）</w:t>
            </w:r>
            <w:r>
              <w:rPr>
                <w:rFonts w:hint="eastAsia" w:ascii="宋体" w:hAnsi="宋体" w:eastAsia="宋体" w:cs="宋体"/>
                <w:color w:val="auto"/>
                <w:spacing w:val="-14"/>
                <w:sz w:val="21"/>
                <w:szCs w:val="21"/>
                <w:highlight w:val="none"/>
                <w:lang w:eastAsia="zh-CN"/>
              </w:rPr>
              <w:t>10kN/m2及以上，或集中线荷载（设计值）15kN/m</w:t>
            </w:r>
            <w:r>
              <w:rPr>
                <w:rFonts w:hint="eastAsia" w:ascii="宋体" w:hAnsi="宋体" w:eastAsia="宋体" w:cs="宋体"/>
                <w:color w:val="auto"/>
                <w:spacing w:val="-1"/>
                <w:sz w:val="21"/>
                <w:szCs w:val="21"/>
                <w:highlight w:val="none"/>
                <w:lang w:eastAsia="zh-CN"/>
              </w:rPr>
              <w:t>及以上，或高度大于支撑水平投影宽度且相对独立无联系构件的混凝土模板支撑工程。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717" w:hRule="atLeast"/>
          <w:jc w:val="center"/>
        </w:trPr>
        <w:tc>
          <w:tcPr>
            <w:tcW w:w="3005" w:type="pct"/>
            <w:noWrap w:val="0"/>
            <w:vAlign w:val="top"/>
          </w:tcPr>
          <w:p>
            <w:pPr>
              <w:pStyle w:val="60"/>
              <w:spacing w:before="131"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w:t>
            </w:r>
            <w:r>
              <w:rPr>
                <w:rFonts w:hint="eastAsia" w:ascii="宋体" w:hAnsi="宋体" w:eastAsia="宋体" w:cs="宋体"/>
                <w:color w:val="auto"/>
                <w:spacing w:val="-3"/>
                <w:sz w:val="21"/>
                <w:szCs w:val="21"/>
                <w:highlight w:val="none"/>
                <w:lang w:eastAsia="zh-CN"/>
              </w:rPr>
              <w:t>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1" w:line="219"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三、起重吊装及起重机械安装拆卸工程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30" w:line="327"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吊重量在10kN及以上的起重吊装工程。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gridAfter w:val="1"/>
          <w:wAfter w:w="13" w:type="pct"/>
          <w:trHeight w:val="498" w:hRule="atLeast"/>
          <w:jc w:val="center"/>
        </w:trPr>
        <w:tc>
          <w:tcPr>
            <w:tcW w:w="3005" w:type="pct"/>
            <w:noWrap w:val="0"/>
            <w:vAlign w:val="top"/>
          </w:tcPr>
          <w:p>
            <w:pPr>
              <w:pStyle w:val="60"/>
              <w:spacing w:before="131"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（二）采用起重机械进行安装的工程。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（三）起重机械安装和拆卸工程。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2" w:line="219" w:lineRule="auto"/>
              <w:ind w:left="138"/>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四、脚手架工程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33" w:line="326"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（一）搭设高度24m及以上的落地式钢管脚手</w:t>
            </w:r>
            <w:r>
              <w:rPr>
                <w:rFonts w:hint="eastAsia" w:ascii="宋体" w:hAnsi="宋体" w:eastAsia="宋体" w:cs="宋体"/>
                <w:color w:val="auto"/>
                <w:spacing w:val="-1"/>
                <w:sz w:val="21"/>
                <w:szCs w:val="21"/>
                <w:highlight w:val="none"/>
                <w:lang w:eastAsia="zh-CN"/>
              </w:rPr>
              <w:t>架工程（包括采光井、电梯井脚手架）。</w:t>
            </w:r>
          </w:p>
        </w:tc>
        <w:tc>
          <w:tcPr>
            <w:tcW w:w="701" w:type="pct"/>
            <w:shd w:val="clear" w:color="auto" w:fill="auto"/>
            <w:noWrap w:val="0"/>
            <w:vAlign w:val="center"/>
          </w:tcPr>
          <w:p>
            <w:pPr>
              <w:spacing w:before="130" w:line="223"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hAnsi="宋体" w:cs="宋体"/>
                <w:color w:val="auto"/>
                <w:spacing w:val="5"/>
                <w:sz w:val="18"/>
                <w:szCs w:val="18"/>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（二）附着式升降脚手架工程。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3"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（三）悬挑式脚手架工程。</w:t>
            </w:r>
          </w:p>
        </w:tc>
        <w:tc>
          <w:tcPr>
            <w:tcW w:w="701" w:type="pct"/>
            <w:shd w:val="clear" w:color="auto" w:fill="auto"/>
            <w:noWrap w:val="0"/>
            <w:vAlign w:val="center"/>
          </w:tcPr>
          <w:p>
            <w:pPr>
              <w:spacing w:before="130" w:line="223"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hAnsi="宋体" w:cs="宋体"/>
                <w:color w:val="auto"/>
                <w:spacing w:val="5"/>
                <w:sz w:val="18"/>
                <w:szCs w:val="18"/>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3"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（四）高处作业吊篮。</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1" w:line="220" w:lineRule="auto"/>
              <w:ind w:left="127"/>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（五）卸料平台、操作平台工程。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9" w:hRule="atLeast"/>
          <w:jc w:val="center"/>
        </w:trPr>
        <w:tc>
          <w:tcPr>
            <w:tcW w:w="3005" w:type="pct"/>
            <w:noWrap w:val="0"/>
            <w:vAlign w:val="top"/>
          </w:tcPr>
          <w:p>
            <w:pPr>
              <w:pStyle w:val="60"/>
              <w:spacing w:before="132"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（六）异型脚手架工程。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2" w:line="220"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五、拆除工程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0" w:line="329" w:lineRule="auto"/>
              <w:ind w:left="117" w:leftChars="0" w:right="168" w:rightChars="0"/>
              <w:rPr>
                <w:rFonts w:hint="eastAsia" w:ascii="宋体" w:hAnsi="宋体" w:eastAsia="宋体" w:cs="宋体"/>
                <w:color w:val="auto"/>
                <w:spacing w:val="-3"/>
                <w:sz w:val="21"/>
                <w:szCs w:val="21"/>
                <w:highlight w:val="none"/>
              </w:rPr>
            </w:pPr>
            <w:r>
              <w:rPr>
                <w:rFonts w:hint="eastAsia" w:ascii="宋体" w:hAnsi="宋体" w:eastAsia="宋体" w:cs="宋体"/>
                <w:color w:val="auto"/>
                <w:spacing w:val="-1"/>
                <w:sz w:val="21"/>
                <w:szCs w:val="21"/>
                <w:highlight w:val="none"/>
                <w:lang w:eastAsia="zh-CN"/>
              </w:rPr>
              <w:t>可能影响行人、交通、电力设施、通讯设施或其它建、构筑物安全的拆除工程。</w:t>
            </w:r>
          </w:p>
        </w:tc>
        <w:tc>
          <w:tcPr>
            <w:tcW w:w="701"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00" w:hRule="atLeast"/>
          <w:jc w:val="center"/>
        </w:trPr>
        <w:tc>
          <w:tcPr>
            <w:tcW w:w="3005" w:type="pct"/>
            <w:noWrap w:val="0"/>
            <w:vAlign w:val="top"/>
          </w:tcPr>
          <w:p>
            <w:pPr>
              <w:pStyle w:val="60"/>
              <w:spacing w:before="130" w:line="329" w:lineRule="auto"/>
              <w:ind w:left="117" w:leftChars="0" w:right="168" w:rightChars="0"/>
              <w:rPr>
                <w:rFonts w:hint="eastAsia" w:ascii="宋体" w:hAnsi="宋体" w:eastAsia="宋体" w:cs="宋体"/>
                <w:color w:val="auto"/>
                <w:spacing w:val="-1"/>
                <w:sz w:val="21"/>
                <w:szCs w:val="21"/>
                <w:highlight w:val="none"/>
                <w:lang w:eastAsia="zh-CN"/>
              </w:rPr>
            </w:pPr>
            <w:r>
              <w:rPr>
                <w:rFonts w:hint="eastAsia" w:ascii="宋体" w:hAnsi="宋体" w:eastAsia="宋体" w:cs="宋体"/>
                <w:b/>
                <w:bCs/>
                <w:color w:val="auto"/>
                <w:spacing w:val="-2"/>
                <w:sz w:val="21"/>
                <w:szCs w:val="21"/>
                <w:highlight w:val="none"/>
              </w:rPr>
              <w:t>六、暗挖工程</w:t>
            </w:r>
          </w:p>
        </w:tc>
        <w:tc>
          <w:tcPr>
            <w:tcW w:w="701"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pacing w:val="-19"/>
                <w:w w:val="94"/>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25" w:line="329"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2" w:lineRule="auto"/>
              <w:ind w:left="11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七、其它</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（一）建筑幕墙安装工程。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7" w:line="221"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（二）钢结构、网架和索膜结构安装工程。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（三）人工挖孔桩工程。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8"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29"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（五）装配式建筑混凝土预制构件安装工程。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78" w:hRule="atLeast"/>
          <w:jc w:val="center"/>
        </w:trPr>
        <w:tc>
          <w:tcPr>
            <w:tcW w:w="3005" w:type="pct"/>
            <w:noWrap w:val="0"/>
            <w:vAlign w:val="top"/>
          </w:tcPr>
          <w:p>
            <w:pPr>
              <w:pStyle w:val="60"/>
              <w:spacing w:before="128" w:line="345"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可能影响工程施工安全，尚无国家、行业及地方技术标准的分部分项工程。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5" w:right="108" w:firstLine="4"/>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二、超过一定规模的危险性较大的分部分项工</w:t>
            </w:r>
            <w:r>
              <w:rPr>
                <w:rFonts w:hint="eastAsia" w:ascii="宋体" w:hAnsi="宋体" w:eastAsia="宋体" w:cs="宋体"/>
                <w:b/>
                <w:bCs/>
                <w:color w:val="auto"/>
                <w:spacing w:val="-5"/>
                <w:sz w:val="21"/>
                <w:szCs w:val="21"/>
                <w:highlight w:val="none"/>
                <w:lang w:eastAsia="zh-CN"/>
              </w:rPr>
              <w:t>程清单</w:t>
            </w:r>
          </w:p>
        </w:tc>
        <w:tc>
          <w:tcPr>
            <w:tcW w:w="701" w:type="pct"/>
            <w:noWrap w:val="0"/>
            <w:vAlign w:val="center"/>
          </w:tcPr>
          <w:p>
            <w:pPr>
              <w:pStyle w:val="60"/>
              <w:spacing w:before="78" w:line="221" w:lineRule="auto"/>
              <w:ind w:left="206"/>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4"/>
                <w:sz w:val="21"/>
                <w:szCs w:val="21"/>
                <w:highlight w:val="none"/>
              </w:rPr>
              <w:t>建设单位</w:t>
            </w:r>
          </w:p>
        </w:tc>
        <w:tc>
          <w:tcPr>
            <w:tcW w:w="725" w:type="pct"/>
            <w:noWrap w:val="0"/>
            <w:vAlign w:val="center"/>
          </w:tcPr>
          <w:p>
            <w:pPr>
              <w:pStyle w:val="60"/>
              <w:spacing w:before="78" w:line="221" w:lineRule="auto"/>
              <w:ind w:left="119"/>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投标单位</w:t>
            </w:r>
          </w:p>
        </w:tc>
        <w:tc>
          <w:tcPr>
            <w:tcW w:w="554" w:type="pct"/>
            <w:noWrap w:val="0"/>
            <w:vAlign w:val="top"/>
          </w:tcPr>
          <w:p>
            <w:pPr>
              <w:spacing w:line="295" w:lineRule="auto"/>
              <w:rPr>
                <w:rFonts w:hint="eastAsia" w:ascii="宋体" w:hAnsi="宋体" w:eastAsia="宋体" w:cs="宋体"/>
                <w:color w:val="auto"/>
                <w:sz w:val="21"/>
                <w:szCs w:val="21"/>
                <w:highlight w:val="none"/>
              </w:rPr>
            </w:pPr>
          </w:p>
          <w:p>
            <w:pPr>
              <w:pStyle w:val="60"/>
              <w:spacing w:before="78" w:line="222" w:lineRule="auto"/>
              <w:ind w:left="300"/>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21"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一、深基坑工程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31" w:line="327" w:lineRule="auto"/>
              <w:ind w:left="117" w:right="105"/>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lang w:eastAsia="zh-CN"/>
              </w:rPr>
              <w:t>开挖深度超过</w:t>
            </w:r>
            <w:r>
              <w:rPr>
                <w:rFonts w:hint="eastAsia" w:ascii="宋体" w:hAnsi="宋体" w:eastAsia="宋体" w:cs="宋体"/>
                <w:color w:val="auto"/>
                <w:spacing w:val="-34"/>
                <w:sz w:val="21"/>
                <w:szCs w:val="21"/>
                <w:highlight w:val="none"/>
                <w:lang w:eastAsia="zh-CN"/>
              </w:rPr>
              <w:t xml:space="preserve"> </w:t>
            </w:r>
            <w:r>
              <w:rPr>
                <w:rFonts w:hint="eastAsia" w:ascii="宋体" w:hAnsi="宋体" w:eastAsia="宋体" w:cs="宋体"/>
                <w:color w:val="auto"/>
                <w:spacing w:val="-5"/>
                <w:sz w:val="21"/>
                <w:szCs w:val="21"/>
                <w:highlight w:val="none"/>
                <w:lang w:eastAsia="zh-CN"/>
              </w:rPr>
              <w:t>5m（含5m）的基坑（槽）的土方</w:t>
            </w:r>
            <w:r>
              <w:rPr>
                <w:rFonts w:hint="eastAsia" w:ascii="宋体" w:hAnsi="宋体" w:eastAsia="宋体" w:cs="宋体"/>
                <w:color w:val="auto"/>
                <w:spacing w:val="-1"/>
                <w:sz w:val="21"/>
                <w:szCs w:val="21"/>
                <w:highlight w:val="none"/>
                <w:lang w:eastAsia="zh-CN"/>
              </w:rPr>
              <w:t>开挖、支护、降水工程。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20"/>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2"/>
                <w:sz w:val="21"/>
                <w:szCs w:val="21"/>
                <w:highlight w:val="none"/>
                <w:lang w:eastAsia="zh-CN"/>
              </w:rPr>
              <w:t>二、模板工程及支撑体系</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hAnsi="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31" w:line="327" w:lineRule="auto"/>
              <w:ind w:left="123" w:right="25" w:firstLine="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（一）各类工具式模板工程：包括滑模、爬模、</w:t>
            </w:r>
            <w:r>
              <w:rPr>
                <w:rFonts w:hint="eastAsia" w:ascii="宋体" w:hAnsi="宋体" w:eastAsia="宋体" w:cs="宋体"/>
                <w:color w:val="auto"/>
                <w:spacing w:val="-2"/>
                <w:sz w:val="21"/>
                <w:szCs w:val="21"/>
                <w:highlight w:val="none"/>
                <w:lang w:eastAsia="zh-CN"/>
              </w:rPr>
              <w:t>飞模、隧道模等工程。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1302" w:hRule="atLeast"/>
          <w:jc w:val="center"/>
        </w:trPr>
        <w:tc>
          <w:tcPr>
            <w:tcW w:w="3005" w:type="pct"/>
            <w:noWrap w:val="0"/>
            <w:vAlign w:val="top"/>
          </w:tcPr>
          <w:p>
            <w:pPr>
              <w:pStyle w:val="60"/>
              <w:spacing w:before="132" w:line="353" w:lineRule="auto"/>
              <w:ind w:left="116" w:right="6" w:firstLine="11"/>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（二）混凝土模板支撑工程：搭设高度8m及以</w:t>
            </w:r>
            <w:r>
              <w:rPr>
                <w:rFonts w:hint="eastAsia" w:ascii="宋体" w:hAnsi="宋体" w:eastAsia="宋体" w:cs="宋体"/>
                <w:color w:val="auto"/>
                <w:spacing w:val="-11"/>
                <w:sz w:val="21"/>
                <w:szCs w:val="21"/>
                <w:highlight w:val="none"/>
                <w:lang w:eastAsia="zh-CN"/>
              </w:rPr>
              <w:t>上，或搭设跨度18m及以上，或施工总荷载（设计值）15kN/m2及以上，或集中线荷载（设</w:t>
            </w:r>
            <w:r>
              <w:rPr>
                <w:rFonts w:hint="eastAsia" w:ascii="宋体" w:hAnsi="宋体" w:eastAsia="宋体" w:cs="宋体"/>
                <w:color w:val="auto"/>
                <w:spacing w:val="-12"/>
                <w:sz w:val="21"/>
                <w:szCs w:val="21"/>
                <w:highlight w:val="none"/>
                <w:lang w:eastAsia="zh-CN"/>
              </w:rPr>
              <w:t>计值）</w:t>
            </w:r>
            <w:r>
              <w:rPr>
                <w:rFonts w:hint="eastAsia" w:ascii="宋体" w:hAnsi="宋体" w:eastAsia="宋体" w:cs="宋体"/>
                <w:color w:val="auto"/>
                <w:spacing w:val="-2"/>
                <w:sz w:val="21"/>
                <w:szCs w:val="21"/>
                <w:highlight w:val="none"/>
                <w:lang w:eastAsia="zh-CN"/>
              </w:rPr>
              <w:t>20kN/m及以上。</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6" w:hRule="atLeast"/>
          <w:jc w:val="center"/>
        </w:trPr>
        <w:tc>
          <w:tcPr>
            <w:tcW w:w="3005" w:type="pct"/>
            <w:noWrap w:val="0"/>
            <w:vAlign w:val="top"/>
          </w:tcPr>
          <w:p>
            <w:pPr>
              <w:pStyle w:val="60"/>
              <w:spacing w:before="131"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（三）承重支撑体系：用于钢结构安装等满堂支撑体系，承受单点集中荷载7kN及以上。</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4" w:hRule="atLeast"/>
          <w:jc w:val="center"/>
        </w:trPr>
        <w:tc>
          <w:tcPr>
            <w:tcW w:w="3005" w:type="pct"/>
            <w:noWrap w:val="0"/>
            <w:vAlign w:val="top"/>
          </w:tcPr>
          <w:p>
            <w:pPr>
              <w:pStyle w:val="60"/>
              <w:spacing w:before="132" w:line="219" w:lineRule="auto"/>
              <w:rPr>
                <w:rFonts w:hint="eastAsia" w:ascii="宋体" w:hAnsi="宋体" w:eastAsia="宋体" w:cs="宋体"/>
                <w:color w:val="auto"/>
                <w:sz w:val="21"/>
                <w:szCs w:val="21"/>
                <w:highlight w:val="none"/>
                <w:lang w:eastAsia="zh-CN"/>
              </w:rPr>
            </w:pPr>
            <w:r>
              <w:rPr>
                <w:rFonts w:hint="eastAsia" w:ascii="宋体" w:hAnsi="宋体" w:eastAsia="宋体" w:cs="宋体"/>
                <w:b/>
                <w:bCs/>
                <w:color w:val="auto"/>
                <w:spacing w:val="-1"/>
                <w:sz w:val="21"/>
                <w:szCs w:val="21"/>
                <w:highlight w:val="none"/>
                <w:lang w:eastAsia="zh-CN"/>
              </w:rPr>
              <w:t>三、起重吊装及起重机械安装拆卸工程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6" w:line="329" w:lineRule="auto"/>
              <w:ind w:left="144" w:right="168" w:hanging="1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（一）采用非常规起重设备、方法，且单件起</w:t>
            </w:r>
            <w:r>
              <w:rPr>
                <w:rFonts w:hint="eastAsia" w:ascii="宋体" w:hAnsi="宋体" w:eastAsia="宋体" w:cs="宋体"/>
                <w:color w:val="auto"/>
                <w:spacing w:val="-4"/>
                <w:sz w:val="21"/>
                <w:szCs w:val="21"/>
                <w:highlight w:val="none"/>
                <w:lang w:eastAsia="zh-CN"/>
              </w:rPr>
              <w:t>吊重量在100kN及以上的起重吊装工程。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78" w:hRule="atLeast"/>
          <w:jc w:val="center"/>
        </w:trPr>
        <w:tc>
          <w:tcPr>
            <w:tcW w:w="3005" w:type="pct"/>
            <w:noWrap w:val="0"/>
            <w:vAlign w:val="top"/>
          </w:tcPr>
          <w:p>
            <w:pPr>
              <w:pStyle w:val="60"/>
              <w:spacing w:before="128" w:line="345" w:lineRule="auto"/>
              <w:ind w:left="115" w:right="105" w:firstLine="12"/>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2"/>
                <w:sz w:val="21"/>
                <w:szCs w:val="21"/>
                <w:highlight w:val="none"/>
                <w:lang w:eastAsia="zh-CN"/>
              </w:rPr>
              <w:t>（二）起重量300kN及以上，或搭设总高度200m</w:t>
            </w:r>
            <w:r>
              <w:rPr>
                <w:rFonts w:hint="eastAsia" w:ascii="宋体" w:hAnsi="宋体" w:eastAsia="宋体" w:cs="宋体"/>
                <w:color w:val="auto"/>
                <w:spacing w:val="-4"/>
                <w:sz w:val="21"/>
                <w:szCs w:val="21"/>
                <w:highlight w:val="none"/>
                <w:lang w:eastAsia="zh-CN"/>
              </w:rPr>
              <w:t>及以上，或搭设基础标高在200m及以上的起重</w:t>
            </w:r>
            <w:r>
              <w:rPr>
                <w:rFonts w:hint="eastAsia" w:ascii="宋体" w:hAnsi="宋体" w:eastAsia="宋体" w:cs="宋体"/>
                <w:color w:val="auto"/>
                <w:spacing w:val="-1"/>
                <w:sz w:val="21"/>
                <w:szCs w:val="21"/>
                <w:highlight w:val="none"/>
                <w:lang w:eastAsia="zh-CN"/>
              </w:rPr>
              <w:t>机械安装和拆卸工程。</w:t>
            </w:r>
          </w:p>
        </w:tc>
        <w:tc>
          <w:tcPr>
            <w:tcW w:w="701"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31" w:hRule="atLeast"/>
          <w:jc w:val="center"/>
        </w:trPr>
        <w:tc>
          <w:tcPr>
            <w:tcW w:w="3005" w:type="pct"/>
            <w:noWrap w:val="0"/>
            <w:vAlign w:val="top"/>
          </w:tcPr>
          <w:p>
            <w:pPr>
              <w:pStyle w:val="60"/>
              <w:spacing w:before="130" w:line="219" w:lineRule="auto"/>
              <w:ind w:left="138"/>
              <w:rPr>
                <w:rFonts w:hint="eastAsia" w:ascii="宋体" w:hAnsi="宋体" w:eastAsia="宋体" w:cs="宋体"/>
                <w:color w:val="auto"/>
                <w:sz w:val="21"/>
                <w:szCs w:val="21"/>
                <w:highlight w:val="none"/>
              </w:rPr>
            </w:pPr>
            <w:r>
              <w:rPr>
                <w:rFonts w:hint="eastAsia" w:ascii="宋体" w:hAnsi="宋体" w:eastAsia="宋体" w:cs="宋体"/>
                <w:b/>
                <w:bCs/>
                <w:color w:val="auto"/>
                <w:spacing w:val="-5"/>
                <w:sz w:val="21"/>
                <w:szCs w:val="21"/>
                <w:highlight w:val="none"/>
              </w:rPr>
              <w:t>四、脚手架工程</w:t>
            </w:r>
          </w:p>
        </w:tc>
        <w:tc>
          <w:tcPr>
            <w:tcW w:w="701"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（一）搭设高度50m及以上的落地式钢管脚手架工程。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6" w:right="105"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6"/>
                <w:sz w:val="21"/>
                <w:szCs w:val="21"/>
                <w:highlight w:val="none"/>
                <w:lang w:eastAsia="zh-CN"/>
              </w:rPr>
              <w:t>（二）提升高度在150m及以上的附着式升降脚</w:t>
            </w:r>
            <w:r>
              <w:rPr>
                <w:rFonts w:hint="eastAsia" w:ascii="宋体" w:hAnsi="宋体" w:eastAsia="宋体" w:cs="宋体"/>
                <w:color w:val="auto"/>
                <w:spacing w:val="-1"/>
                <w:sz w:val="21"/>
                <w:szCs w:val="21"/>
                <w:highlight w:val="none"/>
                <w:lang w:eastAsia="zh-CN"/>
              </w:rPr>
              <w:t>手架工程或附着式升降操作平台工程。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5" w:hRule="atLeast"/>
          <w:jc w:val="center"/>
        </w:trPr>
        <w:tc>
          <w:tcPr>
            <w:tcW w:w="3005" w:type="pct"/>
            <w:noWrap w:val="0"/>
            <w:vAlign w:val="top"/>
          </w:tcPr>
          <w:p>
            <w:pPr>
              <w:pStyle w:val="60"/>
              <w:spacing w:before="129" w:line="328"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（三）分段架体搭设高度20m及以上的悬挑式脚手架工程。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东文宋体" w:hAnsi="东文宋体" w:eastAsia="东文宋体" w:cs="东文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67" w:hRule="atLeast"/>
          <w:jc w:val="center"/>
        </w:trPr>
        <w:tc>
          <w:tcPr>
            <w:tcW w:w="3005" w:type="pct"/>
            <w:noWrap w:val="0"/>
            <w:vAlign w:val="top"/>
          </w:tcPr>
          <w:p>
            <w:pPr>
              <w:pStyle w:val="60"/>
              <w:spacing w:before="129" w:line="220" w:lineRule="auto"/>
              <w:ind w:left="120"/>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五、拆除工程</w:t>
            </w:r>
          </w:p>
        </w:tc>
        <w:tc>
          <w:tcPr>
            <w:tcW w:w="701" w:type="pct"/>
            <w:noWrap w:val="0"/>
            <w:vAlign w:val="center"/>
          </w:tcPr>
          <w:p>
            <w:pPr>
              <w:spacing w:before="156" w:line="223" w:lineRule="auto"/>
              <w:ind w:left="19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56"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991" w:hRule="atLeast"/>
          <w:jc w:val="center"/>
        </w:trPr>
        <w:tc>
          <w:tcPr>
            <w:tcW w:w="3005" w:type="pct"/>
            <w:noWrap w:val="0"/>
            <w:vAlign w:val="top"/>
          </w:tcPr>
          <w:p>
            <w:pPr>
              <w:pStyle w:val="60"/>
              <w:spacing w:before="127" w:line="354"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（一）码头、桥梁、高架、烟囱、水塔或拆除</w:t>
            </w:r>
            <w:r>
              <w:rPr>
                <w:rFonts w:hint="eastAsia" w:ascii="宋体" w:hAnsi="宋体" w:eastAsia="宋体" w:cs="宋体"/>
                <w:color w:val="auto"/>
                <w:spacing w:val="-1"/>
                <w:sz w:val="21"/>
                <w:szCs w:val="21"/>
                <w:highlight w:val="none"/>
                <w:lang w:eastAsia="zh-CN"/>
              </w:rPr>
              <w:t>中容易引起有毒有害气（液）体或粉尘扩散、易燃易爆事故发生的特殊建、构筑物的拆除工</w:t>
            </w:r>
            <w:r>
              <w:rPr>
                <w:rFonts w:hint="eastAsia" w:ascii="宋体" w:hAnsi="宋体" w:eastAsia="宋体" w:cs="宋体"/>
                <w:color w:val="auto"/>
                <w:spacing w:val="-5"/>
                <w:sz w:val="21"/>
                <w:szCs w:val="21"/>
                <w:highlight w:val="none"/>
                <w:lang w:eastAsia="zh-CN"/>
              </w:rPr>
              <w:t>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7" w:right="168" w:firstLine="10"/>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（二）文物保护建筑、优秀历史建筑或历史文</w:t>
            </w:r>
            <w:r>
              <w:rPr>
                <w:rFonts w:hint="eastAsia" w:ascii="宋体" w:hAnsi="宋体" w:eastAsia="宋体" w:cs="宋体"/>
                <w:color w:val="auto"/>
                <w:spacing w:val="-1"/>
                <w:sz w:val="21"/>
                <w:szCs w:val="21"/>
                <w:highlight w:val="none"/>
                <w:lang w:eastAsia="zh-CN"/>
              </w:rPr>
              <w:t>化风貌区影响范围内的拆除工程。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344" w:hRule="atLeast"/>
          <w:jc w:val="center"/>
        </w:trPr>
        <w:tc>
          <w:tcPr>
            <w:tcW w:w="3005" w:type="pct"/>
            <w:noWrap w:val="0"/>
            <w:vAlign w:val="top"/>
          </w:tcPr>
          <w:p>
            <w:pPr>
              <w:pStyle w:val="60"/>
              <w:spacing w:before="130" w:line="221" w:lineRule="auto"/>
              <w:ind w:left="118"/>
              <w:rPr>
                <w:rFonts w:hint="eastAsia" w:ascii="宋体" w:hAnsi="宋体" w:eastAsia="宋体" w:cs="宋体"/>
                <w:color w:val="auto"/>
                <w:sz w:val="21"/>
                <w:szCs w:val="21"/>
                <w:highlight w:val="none"/>
              </w:rPr>
            </w:pPr>
            <w:r>
              <w:rPr>
                <w:rFonts w:hint="eastAsia" w:ascii="宋体" w:hAnsi="宋体" w:eastAsia="宋体" w:cs="宋体"/>
                <w:b/>
                <w:bCs/>
                <w:color w:val="auto"/>
                <w:spacing w:val="-2"/>
                <w:sz w:val="21"/>
                <w:szCs w:val="21"/>
                <w:highlight w:val="none"/>
              </w:rPr>
              <w:t>六、暗挖工程</w:t>
            </w:r>
          </w:p>
        </w:tc>
        <w:tc>
          <w:tcPr>
            <w:tcW w:w="701" w:type="pct"/>
            <w:noWrap w:val="0"/>
            <w:vAlign w:val="center"/>
          </w:tcPr>
          <w:p>
            <w:pPr>
              <w:spacing w:before="139"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9"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4" w:hRule="atLeast"/>
          <w:jc w:val="center"/>
        </w:trPr>
        <w:tc>
          <w:tcPr>
            <w:tcW w:w="3005" w:type="pct"/>
            <w:noWrap w:val="0"/>
            <w:vAlign w:val="top"/>
          </w:tcPr>
          <w:p>
            <w:pPr>
              <w:pStyle w:val="60"/>
              <w:spacing w:before="130" w:line="327" w:lineRule="auto"/>
              <w:ind w:left="119" w:right="168" w:hanging="4"/>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1"/>
                <w:sz w:val="21"/>
                <w:szCs w:val="21"/>
                <w:highlight w:val="none"/>
                <w:lang w:eastAsia="zh-CN"/>
              </w:rPr>
              <w:t>采用矿山法、盾构法、顶管法施工的隧道、洞</w:t>
            </w:r>
            <w:r>
              <w:rPr>
                <w:rFonts w:hint="eastAsia" w:ascii="宋体" w:hAnsi="宋体" w:eastAsia="宋体" w:cs="宋体"/>
                <w:color w:val="auto"/>
                <w:spacing w:val="-4"/>
                <w:sz w:val="21"/>
                <w:szCs w:val="21"/>
                <w:highlight w:val="none"/>
                <w:lang w:eastAsia="zh-CN"/>
              </w:rPr>
              <w:t>室工程。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53" w:hRule="atLeast"/>
          <w:jc w:val="center"/>
        </w:trPr>
        <w:tc>
          <w:tcPr>
            <w:tcW w:w="3005" w:type="pct"/>
            <w:noWrap w:val="0"/>
            <w:vAlign w:val="top"/>
          </w:tcPr>
          <w:p>
            <w:pPr>
              <w:pStyle w:val="60"/>
              <w:spacing w:before="130" w:line="222" w:lineRule="auto"/>
              <w:ind w:left="115"/>
              <w:rPr>
                <w:rFonts w:hint="eastAsia" w:ascii="宋体" w:hAnsi="宋体" w:eastAsia="宋体" w:cs="宋体"/>
                <w:color w:val="auto"/>
                <w:sz w:val="21"/>
                <w:szCs w:val="21"/>
                <w:highlight w:val="none"/>
              </w:rPr>
            </w:pPr>
            <w:r>
              <w:rPr>
                <w:rFonts w:hint="eastAsia" w:ascii="宋体" w:hAnsi="宋体" w:eastAsia="宋体" w:cs="宋体"/>
                <w:b/>
                <w:bCs/>
                <w:color w:val="auto"/>
                <w:spacing w:val="-3"/>
                <w:sz w:val="21"/>
                <w:szCs w:val="21"/>
                <w:highlight w:val="none"/>
              </w:rPr>
              <w:t>七、其它</w:t>
            </w:r>
          </w:p>
        </w:tc>
        <w:tc>
          <w:tcPr>
            <w:tcW w:w="701"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0"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498" w:hRule="atLeast"/>
          <w:jc w:val="center"/>
        </w:trPr>
        <w:tc>
          <w:tcPr>
            <w:tcW w:w="3005" w:type="pct"/>
            <w:noWrap w:val="0"/>
            <w:vAlign w:val="top"/>
          </w:tcPr>
          <w:p>
            <w:pPr>
              <w:pStyle w:val="60"/>
              <w:spacing w:before="131" w:line="327" w:lineRule="auto"/>
              <w:ind w:left="115" w:right="168"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（一）施工高度50m及以上的建筑幕墙安装工</w:t>
            </w:r>
            <w:r>
              <w:rPr>
                <w:rFonts w:hint="eastAsia" w:ascii="宋体" w:hAnsi="宋体" w:eastAsia="宋体" w:cs="宋体"/>
                <w:color w:val="auto"/>
                <w:spacing w:val="-5"/>
                <w:sz w:val="21"/>
                <w:szCs w:val="21"/>
                <w:highlight w:val="none"/>
                <w:lang w:eastAsia="zh-CN"/>
              </w:rPr>
              <w:t>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659" w:hRule="atLeast"/>
          <w:jc w:val="center"/>
        </w:trPr>
        <w:tc>
          <w:tcPr>
            <w:tcW w:w="3005" w:type="pct"/>
            <w:noWrap w:val="0"/>
            <w:vAlign w:val="top"/>
          </w:tcPr>
          <w:p>
            <w:pPr>
              <w:pStyle w:val="60"/>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（二）跨度</w:t>
            </w:r>
            <w:r>
              <w:rPr>
                <w:rFonts w:hint="eastAsia" w:ascii="宋体" w:hAnsi="宋体" w:eastAsia="宋体" w:cs="宋体"/>
                <w:color w:val="auto"/>
                <w:spacing w:val="-28"/>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36m</w:t>
            </w:r>
            <w:r>
              <w:rPr>
                <w:rFonts w:hint="eastAsia" w:ascii="宋体" w:hAnsi="宋体" w:eastAsia="宋体" w:cs="宋体"/>
                <w:color w:val="auto"/>
                <w:spacing w:val="-51"/>
                <w:sz w:val="21"/>
                <w:szCs w:val="21"/>
                <w:highlight w:val="none"/>
                <w:lang w:eastAsia="zh-CN"/>
              </w:rPr>
              <w:t xml:space="preserve"> </w:t>
            </w:r>
            <w:r>
              <w:rPr>
                <w:rFonts w:hint="eastAsia" w:ascii="宋体" w:hAnsi="宋体" w:eastAsia="宋体" w:cs="宋体"/>
                <w:color w:val="auto"/>
                <w:spacing w:val="-3"/>
                <w:sz w:val="21"/>
                <w:szCs w:val="21"/>
                <w:highlight w:val="none"/>
                <w:lang w:eastAsia="zh-CN"/>
              </w:rPr>
              <w:t>及以上的钢结构安装工程，或</w:t>
            </w:r>
            <w:r>
              <w:rPr>
                <w:rFonts w:hint="eastAsia" w:ascii="宋体" w:hAnsi="宋体" w:eastAsia="宋体" w:cs="宋体"/>
                <w:color w:val="auto"/>
                <w:spacing w:val="-2"/>
                <w:sz w:val="21"/>
                <w:szCs w:val="21"/>
                <w:highlight w:val="none"/>
                <w:lang w:eastAsia="zh-CN"/>
              </w:rPr>
              <w:t>跨度60m及以上的网架和索膜结构安装工程。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68" w:hRule="atLeast"/>
          <w:jc w:val="center"/>
        </w:trPr>
        <w:tc>
          <w:tcPr>
            <w:tcW w:w="3005" w:type="pct"/>
            <w:noWrap w:val="0"/>
            <w:vAlign w:val="top"/>
          </w:tcPr>
          <w:p>
            <w:pPr>
              <w:pStyle w:val="60"/>
              <w:spacing w:before="133" w:line="327" w:lineRule="auto"/>
              <w:ind w:left="116" w:right="168" w:firstLine="11"/>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7"/>
                <w:sz w:val="21"/>
                <w:szCs w:val="21"/>
                <w:highlight w:val="none"/>
                <w:lang w:eastAsia="zh-CN"/>
              </w:rPr>
              <w:t>（三）开挖</w:t>
            </w:r>
            <w:r>
              <w:rPr>
                <w:rFonts w:hint="eastAsia" w:ascii="宋体" w:hAnsi="宋体" w:eastAsia="宋体" w:cs="宋体"/>
                <w:color w:val="auto"/>
                <w:spacing w:val="-3"/>
                <w:sz w:val="21"/>
                <w:szCs w:val="21"/>
                <w:highlight w:val="none"/>
                <w:lang w:eastAsia="zh-CN"/>
              </w:rPr>
              <w:t>深度</w:t>
            </w:r>
            <w:r>
              <w:rPr>
                <w:rFonts w:hint="eastAsia" w:ascii="宋体" w:hAnsi="宋体" w:eastAsia="宋体" w:cs="宋体"/>
                <w:color w:val="auto"/>
                <w:spacing w:val="-7"/>
                <w:sz w:val="21"/>
                <w:szCs w:val="21"/>
                <w:highlight w:val="none"/>
                <w:lang w:eastAsia="zh-CN"/>
              </w:rPr>
              <w:t>16m及以上的人工挖孔桩工程。</w:t>
            </w:r>
          </w:p>
        </w:tc>
        <w:tc>
          <w:tcPr>
            <w:tcW w:w="701" w:type="pct"/>
            <w:noWrap w:val="0"/>
            <w:vAlign w:val="center"/>
          </w:tcPr>
          <w:p>
            <w:pPr>
              <w:spacing w:before="13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3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268" w:hRule="atLeast"/>
          <w:jc w:val="center"/>
        </w:trPr>
        <w:tc>
          <w:tcPr>
            <w:tcW w:w="3005" w:type="pct"/>
            <w:noWrap w:val="0"/>
            <w:vAlign w:val="top"/>
          </w:tcPr>
          <w:p>
            <w:pPr>
              <w:pStyle w:val="60"/>
              <w:spacing w:before="127" w:line="220" w:lineRule="auto"/>
              <w:ind w:left="127"/>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（四）水下作业工程。</w:t>
            </w:r>
          </w:p>
        </w:tc>
        <w:tc>
          <w:tcPr>
            <w:tcW w:w="701" w:type="pct"/>
            <w:noWrap w:val="0"/>
            <w:vAlign w:val="center"/>
          </w:tcPr>
          <w:p>
            <w:pPr>
              <w:spacing w:before="16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161"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559" w:hRule="atLeast"/>
          <w:jc w:val="center"/>
        </w:trPr>
        <w:tc>
          <w:tcPr>
            <w:tcW w:w="3005" w:type="pct"/>
            <w:noWrap w:val="0"/>
            <w:vAlign w:val="top"/>
          </w:tcPr>
          <w:p>
            <w:pPr>
              <w:pStyle w:val="60"/>
              <w:spacing w:before="129" w:line="327" w:lineRule="auto"/>
              <w:ind w:left="115" w:right="25" w:firstLine="12"/>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8"/>
                <w:sz w:val="21"/>
                <w:szCs w:val="21"/>
                <w:highlight w:val="none"/>
                <w:lang w:eastAsia="zh-CN"/>
              </w:rPr>
              <w:t>（五）重量</w:t>
            </w:r>
            <w:r>
              <w:rPr>
                <w:rFonts w:hint="eastAsia" w:ascii="宋体" w:hAnsi="宋体" w:eastAsia="宋体" w:cs="宋体"/>
                <w:color w:val="auto"/>
                <w:spacing w:val="-48"/>
                <w:sz w:val="21"/>
                <w:szCs w:val="21"/>
                <w:highlight w:val="none"/>
                <w:lang w:eastAsia="zh-CN"/>
              </w:rPr>
              <w:t xml:space="preserve"> </w:t>
            </w:r>
            <w:r>
              <w:rPr>
                <w:rFonts w:hint="eastAsia" w:ascii="宋体" w:hAnsi="宋体" w:eastAsia="宋体" w:cs="宋体"/>
                <w:color w:val="auto"/>
                <w:spacing w:val="-8"/>
                <w:sz w:val="21"/>
                <w:szCs w:val="21"/>
                <w:highlight w:val="none"/>
                <w:lang w:eastAsia="zh-CN"/>
              </w:rPr>
              <w:t>1000kN及以上的大型结构整体顶升、</w:t>
            </w:r>
            <w:r>
              <w:rPr>
                <w:rFonts w:hint="eastAsia" w:ascii="宋体" w:hAnsi="宋体" w:eastAsia="宋体" w:cs="宋体"/>
                <w:color w:val="auto"/>
                <w:spacing w:val="-1"/>
                <w:sz w:val="21"/>
                <w:szCs w:val="21"/>
                <w:highlight w:val="none"/>
                <w:lang w:eastAsia="zh-CN"/>
              </w:rPr>
              <w:t>平移、转体等施工工艺。</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13" w:type="pct"/>
          <w:trHeight w:val="845" w:hRule="atLeast"/>
          <w:jc w:val="center"/>
        </w:trPr>
        <w:tc>
          <w:tcPr>
            <w:tcW w:w="3005" w:type="pct"/>
            <w:noWrap w:val="0"/>
            <w:vAlign w:val="top"/>
          </w:tcPr>
          <w:p>
            <w:pPr>
              <w:pStyle w:val="60"/>
              <w:spacing w:before="128" w:line="346" w:lineRule="auto"/>
              <w:ind w:left="117" w:right="168" w:firstLine="1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2"/>
                <w:sz w:val="21"/>
                <w:szCs w:val="21"/>
                <w:highlight w:val="none"/>
                <w:lang w:eastAsia="zh-CN"/>
              </w:rPr>
              <w:t>（六）采用新技术、新工艺、新材料、新设备</w:t>
            </w:r>
            <w:r>
              <w:rPr>
                <w:rFonts w:hint="eastAsia" w:ascii="宋体" w:hAnsi="宋体" w:eastAsia="宋体" w:cs="宋体"/>
                <w:color w:val="auto"/>
                <w:spacing w:val="-1"/>
                <w:sz w:val="21"/>
                <w:szCs w:val="21"/>
                <w:highlight w:val="none"/>
                <w:lang w:eastAsia="zh-CN"/>
              </w:rPr>
              <w:t>可能影响工程施工安全，尚无国家、行业及地方技术标准的分部分项工程。</w:t>
            </w:r>
          </w:p>
        </w:tc>
        <w:tc>
          <w:tcPr>
            <w:tcW w:w="701"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725" w:type="pct"/>
            <w:noWrap w:val="0"/>
            <w:vAlign w:val="center"/>
          </w:tcPr>
          <w:p>
            <w:pPr>
              <w:spacing w:before="78" w:line="223" w:lineRule="auto"/>
              <w:ind w:left="252"/>
              <w:jc w:val="center"/>
              <w:rPr>
                <w:rFonts w:hint="eastAsia" w:ascii="宋体" w:hAnsi="宋体" w:eastAsia="宋体" w:cs="宋体"/>
                <w:color w:val="auto"/>
                <w:sz w:val="21"/>
                <w:szCs w:val="21"/>
                <w:highlight w:val="none"/>
              </w:rPr>
            </w:pPr>
            <w:r>
              <w:rPr>
                <w:rFonts w:hint="eastAsia" w:ascii="宋体" w:hAnsi="宋体" w:eastAsia="宋体" w:cs="宋体"/>
                <w:color w:val="auto"/>
                <w:spacing w:val="-19"/>
                <w:w w:val="94"/>
                <w:sz w:val="21"/>
                <w:szCs w:val="21"/>
                <w:highlight w:val="none"/>
              </w:rPr>
              <w:t>(</w:t>
            </w:r>
            <w:r>
              <w:rPr>
                <w:rFonts w:hint="eastAsia" w:ascii="宋体" w:hAnsi="宋体" w:eastAsia="宋体" w:cs="宋体"/>
                <w:color w:val="auto"/>
                <w:spacing w:val="2"/>
                <w:sz w:val="21"/>
                <w:szCs w:val="21"/>
                <w:highlight w:val="none"/>
              </w:rPr>
              <w:t xml:space="preserve">    </w:t>
            </w:r>
            <w:r>
              <w:rPr>
                <w:rFonts w:hint="eastAsia" w:ascii="宋体" w:hAnsi="宋体" w:eastAsia="宋体" w:cs="宋体"/>
                <w:color w:val="auto"/>
                <w:spacing w:val="-19"/>
                <w:w w:val="94"/>
                <w:sz w:val="21"/>
                <w:szCs w:val="21"/>
                <w:highlight w:val="none"/>
              </w:rPr>
              <w:t>)</w:t>
            </w:r>
          </w:p>
        </w:tc>
        <w:tc>
          <w:tcPr>
            <w:tcW w:w="554" w:type="pct"/>
            <w:noWrap w:val="0"/>
            <w:vAlign w:val="top"/>
          </w:tcPr>
          <w:p>
            <w:pPr>
              <w:rPr>
                <w:rFonts w:hint="eastAsia" w:ascii="宋体" w:hAnsi="宋体" w:eastAsia="宋体" w:cs="宋体"/>
                <w:color w:val="auto"/>
                <w:sz w:val="21"/>
                <w:szCs w:val="21"/>
                <w:highlight w:val="none"/>
              </w:rPr>
            </w:pPr>
          </w:p>
        </w:tc>
      </w:tr>
    </w:tbl>
    <w:p>
      <w:pPr>
        <w:spacing w:line="289" w:lineRule="auto"/>
        <w:rPr>
          <w:rFonts w:hint="eastAsia" w:ascii="宋体" w:hAnsi="宋体" w:eastAsia="宋体" w:cs="宋体"/>
          <w:color w:val="auto"/>
          <w:sz w:val="21"/>
          <w:highlight w:val="none"/>
        </w:rPr>
      </w:pPr>
    </w:p>
    <w:p>
      <w:pPr>
        <w:pStyle w:val="3"/>
        <w:pageBreakBefore w:val="0"/>
        <w:widowControl/>
        <w:kinsoku/>
        <w:wordWrap/>
        <w:overflowPunct/>
        <w:topLinePunct w:val="0"/>
        <w:autoSpaceDE/>
        <w:autoSpaceDN/>
        <w:bidi w:val="0"/>
        <w:adjustRightInd/>
        <w:snapToGrid/>
        <w:spacing w:line="360" w:lineRule="auto"/>
        <w:ind w:firstLine="13"/>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10"/>
          <w:sz w:val="18"/>
          <w:szCs w:val="18"/>
          <w:highlight w:val="none"/>
        </w:rPr>
        <w:t>备注：1.根据《危险性较大的分部分项工程安全管理</w:t>
      </w:r>
      <w:r>
        <w:rPr>
          <w:rFonts w:hint="eastAsia" w:ascii="宋体" w:hAnsi="宋体" w:eastAsia="宋体" w:cs="宋体"/>
          <w:color w:val="auto"/>
          <w:spacing w:val="9"/>
          <w:sz w:val="18"/>
          <w:szCs w:val="18"/>
          <w:highlight w:val="none"/>
        </w:rPr>
        <w:t>规定》，该《危险性较大的分部分项工程清单及超过一定规模的危险性较大的分部分项工程清单》应由</w:t>
      </w:r>
      <w:r>
        <w:rPr>
          <w:rFonts w:hint="eastAsia" w:ascii="宋体" w:hAnsi="宋体" w:eastAsia="宋体" w:cs="宋体"/>
          <w:b/>
          <w:bCs/>
          <w:color w:val="auto"/>
          <w:spacing w:val="9"/>
          <w:sz w:val="18"/>
          <w:szCs w:val="18"/>
          <w:highlight w:val="none"/>
        </w:rPr>
        <w:t>建设单位</w:t>
      </w:r>
      <w:r>
        <w:rPr>
          <w:rFonts w:hint="eastAsia" w:ascii="宋体" w:hAnsi="宋体" w:eastAsia="宋体" w:cs="宋体"/>
          <w:color w:val="auto"/>
          <w:spacing w:val="9"/>
          <w:sz w:val="18"/>
          <w:szCs w:val="18"/>
          <w:highlight w:val="none"/>
        </w:rPr>
        <w:t>组织勘察、设计等单位</w:t>
      </w:r>
      <w:r>
        <w:rPr>
          <w:rFonts w:hint="eastAsia" w:ascii="宋体" w:hAnsi="宋体" w:eastAsia="宋体" w:cs="宋体"/>
          <w:b/>
          <w:bCs/>
          <w:color w:val="auto"/>
          <w:spacing w:val="9"/>
          <w:sz w:val="18"/>
          <w:szCs w:val="18"/>
          <w:highlight w:val="none"/>
        </w:rPr>
        <w:t>在招标文件</w:t>
      </w:r>
      <w:r>
        <w:rPr>
          <w:rFonts w:hint="eastAsia" w:ascii="宋体" w:hAnsi="宋体" w:eastAsia="宋体" w:cs="宋体"/>
          <w:color w:val="auto"/>
          <w:spacing w:val="8"/>
          <w:sz w:val="18"/>
          <w:szCs w:val="18"/>
          <w:highlight w:val="none"/>
        </w:rPr>
        <w:t>中先行</w:t>
      </w:r>
      <w:r>
        <w:rPr>
          <w:rFonts w:hint="eastAsia" w:ascii="宋体" w:hAnsi="宋体" w:eastAsia="宋体" w:cs="宋体"/>
          <w:color w:val="auto"/>
          <w:spacing w:val="5"/>
          <w:sz w:val="18"/>
          <w:szCs w:val="18"/>
          <w:highlight w:val="none"/>
        </w:rPr>
        <w:t>“勾选（对应项打“√”标识）”危险性较大的分部分项工程。</w:t>
      </w:r>
    </w:p>
    <w:p>
      <w:pPr>
        <w:pStyle w:val="3"/>
        <w:pageBreakBefore w:val="0"/>
        <w:widowControl/>
        <w:kinsoku/>
        <w:wordWrap/>
        <w:overflowPunct/>
        <w:topLinePunct w:val="0"/>
        <w:autoSpaceDE/>
        <w:autoSpaceDN/>
        <w:bidi w:val="0"/>
        <w:adjustRightInd/>
        <w:snapToGrid/>
        <w:spacing w:line="360" w:lineRule="auto"/>
        <w:ind w:left="11" w:firstLine="554"/>
        <w:jc w:val="both"/>
        <w:textAlignment w:val="baseline"/>
        <w:rPr>
          <w:rFonts w:hint="eastAsia" w:ascii="宋体" w:hAnsi="宋体" w:eastAsia="宋体" w:cs="宋体"/>
          <w:color w:val="auto"/>
          <w:sz w:val="18"/>
          <w:szCs w:val="18"/>
          <w:highlight w:val="none"/>
        </w:rPr>
      </w:pPr>
      <w:r>
        <w:rPr>
          <w:rFonts w:hint="eastAsia" w:ascii="宋体" w:hAnsi="宋体" w:eastAsia="宋体" w:cs="宋体"/>
          <w:color w:val="auto"/>
          <w:spacing w:val="8"/>
          <w:sz w:val="18"/>
          <w:szCs w:val="18"/>
          <w:highlight w:val="none"/>
        </w:rPr>
        <w:t>2.该《危险性较大的分部分项工程清单及超过一定规模的危险性较</w:t>
      </w:r>
      <w:r>
        <w:rPr>
          <w:rFonts w:hint="eastAsia" w:ascii="宋体" w:hAnsi="宋体" w:eastAsia="宋体" w:cs="宋体"/>
          <w:color w:val="auto"/>
          <w:spacing w:val="7"/>
          <w:sz w:val="18"/>
          <w:szCs w:val="18"/>
          <w:highlight w:val="none"/>
        </w:rPr>
        <w:t>大的分部分项工程清单》在办理</w:t>
      </w:r>
      <w:r>
        <w:rPr>
          <w:rFonts w:hint="eastAsia" w:ascii="宋体" w:hAnsi="宋体" w:eastAsia="宋体" w:cs="宋体"/>
          <w:color w:val="auto"/>
          <w:spacing w:val="10"/>
          <w:sz w:val="18"/>
          <w:szCs w:val="18"/>
          <w:highlight w:val="none"/>
        </w:rPr>
        <w:t>建设项目施工许可时必须提供，且各地建设行政主管部门可按照《广东省建设工</w:t>
      </w:r>
      <w:r>
        <w:rPr>
          <w:rFonts w:hint="eastAsia" w:ascii="宋体" w:hAnsi="宋体" w:eastAsia="宋体" w:cs="宋体"/>
          <w:color w:val="auto"/>
          <w:spacing w:val="9"/>
          <w:sz w:val="18"/>
          <w:szCs w:val="18"/>
          <w:highlight w:val="none"/>
        </w:rPr>
        <w:t>程项目招标中标后监督</w:t>
      </w:r>
      <w:r>
        <w:rPr>
          <w:rFonts w:hint="eastAsia" w:ascii="宋体" w:hAnsi="宋体" w:eastAsia="宋体" w:cs="宋体"/>
          <w:color w:val="auto"/>
          <w:spacing w:val="8"/>
          <w:sz w:val="18"/>
          <w:szCs w:val="18"/>
          <w:highlight w:val="none"/>
        </w:rPr>
        <w:t>检查办法》相关规定开展检查。</w:t>
      </w:r>
    </w:p>
    <w:p>
      <w:pPr>
        <w:pStyle w:val="7"/>
        <w:pageBreakBefore w:val="0"/>
        <w:widowControl/>
        <w:kinsoku/>
        <w:wordWrap/>
        <w:overflowPunct/>
        <w:topLinePunct w:val="0"/>
        <w:autoSpaceDE/>
        <w:autoSpaceDN/>
        <w:bidi w:val="0"/>
        <w:adjustRightInd/>
        <w:snapToGrid/>
        <w:spacing w:before="0" w:beforeLines="0" w:after="0" w:afterLines="0" w:line="360" w:lineRule="auto"/>
        <w:ind w:firstLine="594" w:firstLineChars="300"/>
        <w:textAlignment w:val="baseline"/>
        <w:rPr>
          <w:rFonts w:hint="eastAsia"/>
          <w:color w:val="auto"/>
          <w:highlight w:val="none"/>
        </w:rPr>
      </w:pPr>
      <w:bookmarkStart w:id="527" w:name="_Toc7813"/>
      <w:r>
        <w:rPr>
          <w:rFonts w:hint="eastAsia" w:ascii="宋体" w:hAnsi="宋体" w:eastAsia="宋体" w:cs="宋体"/>
          <w:color w:val="auto"/>
          <w:spacing w:val="9"/>
          <w:sz w:val="18"/>
          <w:szCs w:val="18"/>
          <w:highlight w:val="none"/>
        </w:rPr>
        <w:t>3.如果需要（如需要通过计算编制专项方案，或者需要专家论证</w:t>
      </w:r>
      <w:r>
        <w:rPr>
          <w:rFonts w:hint="eastAsia" w:ascii="宋体" w:hAnsi="宋体" w:eastAsia="宋体" w:cs="宋体"/>
          <w:color w:val="auto"/>
          <w:spacing w:val="15"/>
          <w:sz w:val="18"/>
          <w:szCs w:val="18"/>
          <w:highlight w:val="none"/>
        </w:rPr>
        <w:t>），</w:t>
      </w:r>
      <w:r>
        <w:rPr>
          <w:rFonts w:hint="eastAsia" w:ascii="宋体" w:hAnsi="宋体" w:eastAsia="宋体" w:cs="宋体"/>
          <w:color w:val="auto"/>
          <w:spacing w:val="9"/>
          <w:sz w:val="18"/>
          <w:szCs w:val="18"/>
          <w:highlight w:val="none"/>
        </w:rPr>
        <w:t>可中</w:t>
      </w:r>
      <w:r>
        <w:rPr>
          <w:rFonts w:hint="eastAsia" w:ascii="宋体" w:hAnsi="宋体" w:eastAsia="宋体" w:cs="宋体"/>
          <w:color w:val="auto"/>
          <w:spacing w:val="8"/>
          <w:sz w:val="18"/>
          <w:szCs w:val="18"/>
          <w:highlight w:val="none"/>
        </w:rPr>
        <w:t>标后提供详细版。</w:t>
      </w:r>
      <w:bookmarkEnd w:id="527"/>
    </w:p>
    <w:p>
      <w:pPr>
        <w:rPr>
          <w:rStyle w:val="20"/>
          <w:rFonts w:hint="eastAsia" w:ascii="Times New Roman" w:hAnsi="宋体" w:eastAsia="宋体" w:cs="Times New Roman"/>
          <w:b/>
          <w:bCs/>
          <w:color w:val="auto"/>
          <w:kern w:val="0"/>
          <w:sz w:val="21"/>
          <w:szCs w:val="21"/>
          <w:highlight w:val="none"/>
          <w:lang w:val="en-US" w:eastAsia="zh-CN" w:bidi="ar-SA"/>
        </w:rPr>
      </w:pPr>
      <w:bookmarkStart w:id="528" w:name="_Toc31994"/>
      <w:bookmarkStart w:id="529" w:name="_Toc3970"/>
      <w:r>
        <w:rPr>
          <w:rStyle w:val="20"/>
          <w:rFonts w:hint="eastAsia" w:ascii="Times New Roman" w:hAnsi="宋体" w:eastAsia="宋体" w:cs="Times New Roman"/>
          <w:b/>
          <w:bCs/>
          <w:color w:val="auto"/>
          <w:kern w:val="0"/>
          <w:sz w:val="21"/>
          <w:szCs w:val="21"/>
          <w:highlight w:val="none"/>
          <w:lang w:val="en-US" w:eastAsia="zh-CN" w:bidi="ar-SA"/>
        </w:rPr>
        <w:br w:type="page"/>
      </w:r>
    </w:p>
    <w:bookmarkEnd w:id="528"/>
    <w:bookmarkEnd w:id="529"/>
    <w:p>
      <w:pPr>
        <w:pStyle w:val="6"/>
        <w:rPr>
          <w:rStyle w:val="56"/>
          <w:rFonts w:hint="eastAsia" w:ascii="宋体" w:hAnsi="宋体" w:eastAsia="宋体" w:cs="宋体"/>
          <w:b/>
          <w:bCs/>
          <w:color w:val="auto"/>
          <w:sz w:val="21"/>
          <w:szCs w:val="21"/>
          <w:highlight w:val="none"/>
          <w:lang w:val="en-US" w:eastAsia="zh-CN"/>
        </w:rPr>
      </w:pPr>
      <w:bookmarkStart w:id="530" w:name="_Toc30092"/>
      <w:bookmarkStart w:id="531" w:name="_Toc26911"/>
      <w:bookmarkStart w:id="532" w:name="_Toc9141"/>
      <w:bookmarkStart w:id="533" w:name="_Toc4456"/>
      <w:bookmarkStart w:id="534" w:name="_Toc31153"/>
      <w:bookmarkStart w:id="535" w:name="_Toc9142"/>
      <w:bookmarkStart w:id="536" w:name="_Toc23839"/>
      <w:bookmarkStart w:id="537" w:name="_Toc14444"/>
      <w:bookmarkStart w:id="538" w:name="_Toc27446"/>
      <w:bookmarkStart w:id="539" w:name="_Toc10942"/>
      <w:bookmarkStart w:id="540" w:name="_Toc30888"/>
      <w:bookmarkStart w:id="541" w:name="_Toc16478"/>
      <w:r>
        <w:rPr>
          <w:rStyle w:val="56"/>
          <w:rFonts w:hint="eastAsia" w:ascii="宋体" w:hAnsi="宋体" w:eastAsia="宋体" w:cs="宋体"/>
          <w:b/>
          <w:bCs/>
          <w:color w:val="auto"/>
          <w:sz w:val="21"/>
          <w:szCs w:val="21"/>
          <w:highlight w:val="none"/>
          <w:lang w:val="en-US" w:eastAsia="zh-CN"/>
        </w:rPr>
        <w:t>格式十五 定标文件封面</w:t>
      </w:r>
      <w:bookmarkEnd w:id="530"/>
      <w:bookmarkEnd w:id="531"/>
    </w:p>
    <w:bookmarkEnd w:id="532"/>
    <w:bookmarkEnd w:id="533"/>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rPr>
          <w:rStyle w:val="20"/>
          <w:rFonts w:hint="eastAsia" w:ascii="宋体" w:hAnsi="宋体" w:eastAsia="宋体" w:cs="宋体"/>
          <w:b/>
          <w:bCs/>
          <w:color w:val="auto"/>
          <w:sz w:val="24"/>
          <w:szCs w:val="24"/>
          <w:highlight w:val="none"/>
        </w:rPr>
      </w:pPr>
    </w:p>
    <w:p>
      <w:pPr>
        <w:pStyle w:val="48"/>
        <w:snapToGrid w:val="0"/>
        <w:spacing w:line="240" w:lineRule="auto"/>
        <w:ind w:firstLine="0"/>
        <w:jc w:val="center"/>
        <w:rPr>
          <w:rStyle w:val="20"/>
          <w:rFonts w:hint="eastAsia" w:ascii="宋体" w:hAnsi="宋体" w:eastAsia="宋体" w:cs="宋体"/>
          <w:b/>
          <w:bCs/>
          <w:color w:val="auto"/>
          <w:sz w:val="48"/>
          <w:szCs w:val="48"/>
          <w:highlight w:val="none"/>
        </w:rPr>
      </w:pPr>
      <w:r>
        <w:rPr>
          <w:rStyle w:val="20"/>
          <w:rFonts w:hint="eastAsia" w:ascii="宋体" w:hAnsi="宋体" w:eastAsia="宋体" w:cs="宋体"/>
          <w:color w:val="auto"/>
          <w:sz w:val="48"/>
          <w:szCs w:val="48"/>
          <w:highlight w:val="none"/>
          <w:u w:val="single"/>
        </w:rPr>
        <w:t xml:space="preserve">             </w:t>
      </w:r>
      <w:r>
        <w:rPr>
          <w:rStyle w:val="20"/>
          <w:rFonts w:hint="eastAsia" w:ascii="宋体" w:hAnsi="宋体" w:eastAsia="宋体" w:cs="宋体"/>
          <w:b/>
          <w:bCs/>
          <w:color w:val="auto"/>
          <w:sz w:val="48"/>
          <w:szCs w:val="48"/>
          <w:highlight w:val="none"/>
        </w:rPr>
        <w:t xml:space="preserve">（工程名称）招标 </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72"/>
          <w:szCs w:val="72"/>
          <w:highlight w:val="none"/>
        </w:rPr>
      </w:pPr>
      <w:r>
        <w:rPr>
          <w:rStyle w:val="20"/>
          <w:rFonts w:hint="eastAsia" w:hAnsi="宋体" w:cs="宋体"/>
          <w:b/>
          <w:bCs/>
          <w:color w:val="auto"/>
          <w:sz w:val="72"/>
          <w:szCs w:val="72"/>
          <w:highlight w:val="none"/>
          <w:lang w:val="en-US" w:eastAsia="zh-CN"/>
        </w:rPr>
        <w:t>定</w:t>
      </w:r>
      <w:r>
        <w:rPr>
          <w:rStyle w:val="20"/>
          <w:rFonts w:hint="eastAsia" w:ascii="宋体" w:hAnsi="宋体" w:eastAsia="宋体" w:cs="宋体"/>
          <w:b/>
          <w:bCs/>
          <w:color w:val="auto"/>
          <w:sz w:val="72"/>
          <w:szCs w:val="72"/>
          <w:highlight w:val="none"/>
        </w:rPr>
        <w:t xml:space="preserve">  标  文  件</w:t>
      </w:r>
    </w:p>
    <w:p>
      <w:pPr>
        <w:pStyle w:val="48"/>
        <w:snapToGrid w:val="0"/>
        <w:spacing w:line="240" w:lineRule="auto"/>
        <w:ind w:firstLine="0"/>
        <w:jc w:val="center"/>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b/>
          <w:bCs/>
          <w:color w:val="auto"/>
          <w:sz w:val="40"/>
          <w:szCs w:val="40"/>
          <w:highlight w:val="none"/>
        </w:rPr>
      </w:pPr>
    </w:p>
    <w:p>
      <w:pPr>
        <w:pStyle w:val="48"/>
        <w:snapToGrid w:val="0"/>
        <w:spacing w:line="240" w:lineRule="auto"/>
        <w:rPr>
          <w:rStyle w:val="20"/>
          <w:rFonts w:hint="eastAsia" w:ascii="宋体" w:hAnsi="宋体" w:eastAsia="宋体" w:cs="宋体"/>
          <w:b/>
          <w:bCs/>
          <w:color w:val="auto"/>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rPr>
          <w:rStyle w:val="20"/>
          <w:rFonts w:hint="eastAsia" w:ascii="宋体" w:hAnsi="宋体" w:eastAsia="宋体" w:cs="宋体"/>
          <w:b/>
          <w:bCs/>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r>
        <w:rPr>
          <w:rStyle w:val="20"/>
          <w:rFonts w:hint="eastAsia" w:ascii="宋体" w:hAnsi="宋体" w:eastAsia="宋体" w:cs="宋体"/>
          <w:color w:val="auto"/>
          <w:sz w:val="32"/>
          <w:szCs w:val="32"/>
          <w:highlight w:val="none"/>
        </w:rPr>
        <w:t>投标人：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（盖单位章）</w:t>
      </w: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rPr>
      </w:pPr>
      <w:r>
        <w:rPr>
          <w:rStyle w:val="20"/>
          <w:rFonts w:hint="eastAsia" w:ascii="宋体" w:hAnsi="宋体" w:eastAsia="宋体" w:cs="宋体"/>
          <w:color w:val="auto"/>
          <w:sz w:val="32"/>
          <w:szCs w:val="32"/>
          <w:highlight w:val="none"/>
        </w:rPr>
        <w:t>法定代表人或其委托代理人：</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（签字或盖章）</w:t>
      </w:r>
    </w:p>
    <w:p>
      <w:pPr>
        <w:pStyle w:val="48"/>
        <w:snapToGrid w:val="0"/>
        <w:spacing w:line="240" w:lineRule="auto"/>
        <w:ind w:firstLine="0"/>
        <w:jc w:val="center"/>
        <w:rPr>
          <w:rStyle w:val="20"/>
          <w:rFonts w:hint="eastAsia" w:ascii="宋体" w:hAnsi="宋体" w:eastAsia="宋体" w:cs="宋体"/>
          <w:color w:val="auto"/>
          <w:sz w:val="32"/>
          <w:szCs w:val="32"/>
          <w:highlight w:val="none"/>
        </w:rPr>
      </w:pPr>
    </w:p>
    <w:p>
      <w:pPr>
        <w:pStyle w:val="48"/>
        <w:snapToGrid w:val="0"/>
        <w:spacing w:line="240" w:lineRule="auto"/>
        <w:ind w:firstLine="0"/>
        <w:jc w:val="center"/>
        <w:rPr>
          <w:rStyle w:val="20"/>
          <w:rFonts w:hint="eastAsia" w:ascii="宋体" w:hAnsi="宋体" w:eastAsia="宋体" w:cs="宋体"/>
          <w:color w:val="auto"/>
          <w:sz w:val="32"/>
          <w:szCs w:val="32"/>
          <w:highlight w:val="none"/>
          <w:u w:val="single"/>
        </w:rPr>
      </w:pPr>
    </w:p>
    <w:p>
      <w:pPr>
        <w:pStyle w:val="48"/>
        <w:snapToGrid w:val="0"/>
        <w:spacing w:line="240" w:lineRule="auto"/>
        <w:ind w:firstLine="0"/>
        <w:jc w:val="center"/>
        <w:rPr>
          <w:rStyle w:val="20"/>
          <w:rFonts w:hint="eastAsia" w:ascii="宋体" w:hAnsi="宋体" w:eastAsia="宋体" w:cs="宋体"/>
          <w:b/>
          <w:bCs/>
          <w:color w:val="auto"/>
          <w:highlight w:val="none"/>
        </w:rPr>
      </w:pP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年</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月</w:t>
      </w:r>
      <w:r>
        <w:rPr>
          <w:rStyle w:val="20"/>
          <w:rFonts w:hint="eastAsia" w:ascii="宋体" w:hAnsi="宋体" w:eastAsia="宋体" w:cs="宋体"/>
          <w:color w:val="auto"/>
          <w:sz w:val="32"/>
          <w:szCs w:val="32"/>
          <w:highlight w:val="none"/>
          <w:u w:val="single"/>
        </w:rPr>
        <w:t xml:space="preserve">      </w:t>
      </w:r>
      <w:r>
        <w:rPr>
          <w:rStyle w:val="20"/>
          <w:rFonts w:hint="eastAsia" w:ascii="宋体" w:hAnsi="宋体" w:eastAsia="宋体" w:cs="宋体"/>
          <w:color w:val="auto"/>
          <w:sz w:val="32"/>
          <w:szCs w:val="32"/>
          <w:highlight w:val="none"/>
        </w:rPr>
        <w:t>日</w:t>
      </w:r>
    </w:p>
    <w:p>
      <w:pPr>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eastAsia="zh-CN"/>
        </w:rPr>
        <w:br w:type="page"/>
      </w:r>
    </w:p>
    <w:p>
      <w:pPr>
        <w:pStyle w:val="6"/>
        <w:rPr>
          <w:rStyle w:val="56"/>
          <w:rFonts w:hint="eastAsia" w:ascii="宋体" w:hAnsi="宋体" w:eastAsia="宋体" w:cs="宋体"/>
          <w:b/>
          <w:bCs/>
          <w:color w:val="auto"/>
          <w:sz w:val="21"/>
          <w:szCs w:val="21"/>
          <w:highlight w:val="none"/>
          <w:lang w:val="en-US" w:eastAsia="zh-CN"/>
        </w:rPr>
      </w:pPr>
      <w:bookmarkStart w:id="542" w:name="_Toc27570"/>
      <w:bookmarkStart w:id="543" w:name="_Toc9943"/>
      <w:r>
        <w:rPr>
          <w:rStyle w:val="56"/>
          <w:rFonts w:hint="eastAsia" w:ascii="宋体" w:hAnsi="宋体" w:eastAsia="宋体" w:cs="宋体"/>
          <w:b/>
          <w:bCs/>
          <w:color w:val="auto"/>
          <w:sz w:val="21"/>
          <w:szCs w:val="21"/>
          <w:highlight w:val="none"/>
          <w:lang w:val="en-US" w:eastAsia="zh-CN"/>
        </w:rPr>
        <w:t xml:space="preserve">格式十六 </w:t>
      </w:r>
      <w:bookmarkEnd w:id="542"/>
      <w:bookmarkEnd w:id="543"/>
      <w:bookmarkStart w:id="544" w:name="_Toc6621"/>
      <w:bookmarkStart w:id="545" w:name="_Toc22084"/>
      <w:r>
        <w:rPr>
          <w:rStyle w:val="56"/>
          <w:rFonts w:hint="eastAsia" w:ascii="宋体" w:hAnsi="宋体" w:eastAsia="宋体" w:cs="宋体"/>
          <w:b/>
          <w:bCs/>
          <w:color w:val="auto"/>
          <w:sz w:val="21"/>
          <w:szCs w:val="21"/>
          <w:highlight w:val="none"/>
          <w:lang w:val="en-US" w:eastAsia="zh-CN"/>
        </w:rPr>
        <w:t xml:space="preserve"> 定标因素评审资料</w:t>
      </w:r>
    </w:p>
    <w:bookmarkEnd w:id="544"/>
    <w:bookmarkEnd w:id="545"/>
    <w:p>
      <w:pPr>
        <w:jc w:val="left"/>
        <w:rPr>
          <w:rFonts w:hint="eastAsia" w:ascii="宋体" w:hAnsi="宋体" w:eastAsia="宋体" w:cs="宋体"/>
          <w:color w:val="auto"/>
          <w:sz w:val="24"/>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outlineLvl w:val="9"/>
        <w:rPr>
          <w:rStyle w:val="20"/>
          <w:rFonts w:hint="eastAsia" w:ascii="宋体" w:hAnsi="宋体" w:eastAsia="宋体" w:cs="宋体"/>
          <w:b/>
          <w:bCs/>
          <w:color w:val="auto"/>
          <w:sz w:val="24"/>
          <w:szCs w:val="24"/>
          <w:highlight w:val="none"/>
        </w:rPr>
      </w:pPr>
      <w:r>
        <w:rPr>
          <w:rFonts w:hint="eastAsia" w:ascii="宋体" w:hAnsi="宋体" w:eastAsia="宋体" w:cs="宋体"/>
          <w:b w:val="0"/>
          <w:bCs w:val="0"/>
          <w:color w:val="auto"/>
          <w:sz w:val="21"/>
          <w:szCs w:val="21"/>
          <w:highlight w:val="none"/>
          <w:lang w:val="en-US" w:eastAsia="zh-CN"/>
        </w:rPr>
        <w:t>投标人根据“</w:t>
      </w:r>
      <w:r>
        <w:rPr>
          <w:rFonts w:hint="eastAsia" w:ascii="宋体" w:hAnsi="宋体" w:eastAsia="宋体" w:cs="宋体"/>
          <w:b w:val="0"/>
          <w:bCs w:val="0"/>
          <w:color w:val="auto"/>
          <w:sz w:val="21"/>
          <w:szCs w:val="21"/>
          <w:highlight w:val="none"/>
        </w:rPr>
        <w:t>第</w:t>
      </w:r>
      <w:r>
        <w:rPr>
          <w:rFonts w:hint="eastAsia" w:ascii="宋体" w:hAnsi="宋体" w:eastAsia="宋体" w:cs="宋体"/>
          <w:b w:val="0"/>
          <w:bCs w:val="0"/>
          <w:color w:val="auto"/>
          <w:sz w:val="21"/>
          <w:szCs w:val="21"/>
          <w:highlight w:val="none"/>
          <w:lang w:val="en-US" w:eastAsia="zh-CN"/>
        </w:rPr>
        <w:t>一</w:t>
      </w:r>
      <w:r>
        <w:rPr>
          <w:rFonts w:hint="eastAsia" w:ascii="宋体" w:hAnsi="宋体" w:eastAsia="宋体" w:cs="宋体"/>
          <w:b w:val="0"/>
          <w:bCs w:val="0"/>
          <w:color w:val="auto"/>
          <w:sz w:val="21"/>
          <w:szCs w:val="21"/>
          <w:highlight w:val="none"/>
        </w:rPr>
        <w:t>章 第</w:t>
      </w:r>
      <w:r>
        <w:rPr>
          <w:rFonts w:hint="eastAsia" w:ascii="宋体" w:hAnsi="宋体" w:eastAsia="宋体" w:cs="宋体"/>
          <w:b w:val="0"/>
          <w:bCs w:val="0"/>
          <w:color w:val="auto"/>
          <w:sz w:val="21"/>
          <w:szCs w:val="21"/>
          <w:highlight w:val="none"/>
          <w:lang w:val="en-US" w:eastAsia="zh-CN"/>
        </w:rPr>
        <w:t>五</w:t>
      </w:r>
      <w:r>
        <w:rPr>
          <w:rFonts w:hint="eastAsia" w:ascii="宋体" w:hAnsi="宋体" w:eastAsia="宋体" w:cs="宋体"/>
          <w:b w:val="0"/>
          <w:bCs w:val="0"/>
          <w:color w:val="auto"/>
          <w:sz w:val="21"/>
          <w:szCs w:val="21"/>
          <w:highlight w:val="none"/>
        </w:rPr>
        <w:t>节 定标</w:t>
      </w:r>
      <w:r>
        <w:rPr>
          <w:rFonts w:hint="eastAsia" w:ascii="宋体" w:hAnsi="宋体" w:eastAsia="宋体" w:cs="宋体"/>
          <w:b w:val="0"/>
          <w:bCs w:val="0"/>
          <w:i w:val="0"/>
          <w:iCs w:val="0"/>
          <w:color w:val="auto"/>
          <w:kern w:val="2"/>
          <w:sz w:val="21"/>
          <w:szCs w:val="21"/>
          <w:highlight w:val="none"/>
          <w:vertAlign w:val="baseline"/>
          <w:lang w:val="en-US" w:eastAsia="zh-CN" w:bidi="ar-SA"/>
        </w:rPr>
        <w:t>规定</w:t>
      </w:r>
      <w:r>
        <w:rPr>
          <w:rFonts w:hint="eastAsia" w:ascii="宋体" w:hAnsi="宋体" w:eastAsia="宋体" w:cs="宋体"/>
          <w:b w:val="0"/>
          <w:bCs w:val="0"/>
          <w:color w:val="auto"/>
          <w:sz w:val="21"/>
          <w:szCs w:val="21"/>
          <w:highlight w:val="none"/>
          <w:lang w:val="en-US" w:eastAsia="zh-CN"/>
        </w:rPr>
        <w:t>及细则”载明的</w:t>
      </w:r>
      <w:r>
        <w:rPr>
          <w:rFonts w:hint="eastAsia" w:ascii="宋体" w:hAnsi="宋体" w:eastAsia="宋体" w:cs="宋体"/>
          <w:b w:val="0"/>
          <w:bCs w:val="0"/>
          <w:color w:val="auto"/>
          <w:sz w:val="21"/>
          <w:szCs w:val="21"/>
          <w:highlight w:val="none"/>
          <w:lang w:eastAsia="zh-CN"/>
        </w:rPr>
        <w:t>定标因素，</w:t>
      </w:r>
      <w:r>
        <w:rPr>
          <w:rFonts w:hint="eastAsia" w:ascii="宋体" w:hAnsi="宋体" w:eastAsia="宋体" w:cs="宋体"/>
          <w:b w:val="0"/>
          <w:bCs w:val="0"/>
          <w:color w:val="auto"/>
          <w:sz w:val="21"/>
          <w:szCs w:val="21"/>
          <w:highlight w:val="none"/>
          <w:lang w:val="en-US" w:eastAsia="zh-CN"/>
        </w:rPr>
        <w:t>提交</w:t>
      </w:r>
      <w:r>
        <w:rPr>
          <w:rFonts w:hint="eastAsia" w:ascii="宋体" w:hAnsi="宋体" w:eastAsia="宋体" w:cs="宋体"/>
          <w:b w:val="0"/>
          <w:bCs w:val="0"/>
          <w:color w:val="auto"/>
          <w:sz w:val="21"/>
          <w:szCs w:val="21"/>
          <w:highlight w:val="none"/>
          <w:lang w:eastAsia="zh-CN"/>
        </w:rPr>
        <w:t>评审资料。</w:t>
      </w:r>
    </w:p>
    <w:p>
      <w:pPr>
        <w:rPr>
          <w:rStyle w:val="20"/>
          <w:rFonts w:hint="eastAsia" w:ascii="宋体" w:hAnsi="宋体" w:eastAsia="宋体" w:cs="宋体"/>
          <w:b/>
          <w:bCs/>
          <w:color w:val="auto"/>
          <w:sz w:val="24"/>
          <w:szCs w:val="24"/>
          <w:highlight w:val="none"/>
        </w:rPr>
      </w:pPr>
      <w:r>
        <w:rPr>
          <w:rStyle w:val="20"/>
          <w:rFonts w:hint="eastAsia" w:ascii="宋体" w:hAnsi="宋体" w:eastAsia="宋体" w:cs="宋体"/>
          <w:b/>
          <w:bCs/>
          <w:color w:val="auto"/>
          <w:sz w:val="24"/>
          <w:szCs w:val="24"/>
          <w:highlight w:val="none"/>
        </w:rPr>
        <w:br w:type="page"/>
      </w:r>
    </w:p>
    <w:p>
      <w:pPr>
        <w:pStyle w:val="23"/>
        <w:snapToGrid w:val="0"/>
        <w:spacing w:line="440" w:lineRule="exact"/>
        <w:jc w:val="center"/>
        <w:outlineLvl w:val="0"/>
        <w:rPr>
          <w:rStyle w:val="20"/>
          <w:rFonts w:hint="eastAsia" w:ascii="宋体" w:hAnsi="宋体" w:eastAsia="宋体" w:cs="宋体"/>
          <w:b/>
          <w:bCs/>
          <w:color w:val="auto"/>
          <w:sz w:val="24"/>
          <w:szCs w:val="24"/>
          <w:highlight w:val="none"/>
        </w:rPr>
      </w:pPr>
      <w:bookmarkStart w:id="546" w:name="_Toc23978"/>
      <w:r>
        <w:rPr>
          <w:rStyle w:val="20"/>
          <w:rFonts w:hint="eastAsia" w:ascii="宋体" w:hAnsi="宋体" w:eastAsia="宋体" w:cs="宋体"/>
          <w:b/>
          <w:bCs/>
          <w:color w:val="auto"/>
          <w:sz w:val="24"/>
          <w:szCs w:val="24"/>
          <w:highlight w:val="none"/>
        </w:rPr>
        <w:t>第七章 建设工程施工合同</w:t>
      </w:r>
      <w:bookmarkEnd w:id="526"/>
      <w:bookmarkEnd w:id="534"/>
      <w:bookmarkEnd w:id="535"/>
      <w:bookmarkEnd w:id="536"/>
      <w:bookmarkEnd w:id="537"/>
      <w:bookmarkEnd w:id="538"/>
      <w:bookmarkEnd w:id="539"/>
      <w:bookmarkEnd w:id="540"/>
      <w:bookmarkEnd w:id="541"/>
      <w:bookmarkEnd w:id="546"/>
    </w:p>
    <w:p>
      <w:pPr>
        <w:snapToGrid w:val="0"/>
        <w:spacing w:line="440" w:lineRule="exact"/>
        <w:rPr>
          <w:rStyle w:val="20"/>
          <w:rFonts w:hint="eastAsia" w:ascii="宋体" w:hAnsi="宋体" w:eastAsia="宋体" w:cs="宋体"/>
          <w:color w:val="auto"/>
          <w:kern w:val="0"/>
          <w:highlight w:val="none"/>
        </w:rPr>
      </w:pPr>
    </w:p>
    <w:p>
      <w:pPr>
        <w:snapToGrid w:val="0"/>
        <w:spacing w:line="440" w:lineRule="exact"/>
        <w:rPr>
          <w:rStyle w:val="20"/>
          <w:rFonts w:hint="eastAsia" w:ascii="宋体" w:hAnsi="宋体" w:eastAsia="宋体" w:cs="宋体"/>
          <w:strike/>
          <w:color w:val="auto"/>
          <w:kern w:val="0"/>
          <w:highlight w:val="none"/>
        </w:rPr>
      </w:pPr>
      <w:r>
        <w:rPr>
          <w:rStyle w:val="20"/>
          <w:rFonts w:hint="eastAsia" w:ascii="宋体" w:hAnsi="宋体" w:eastAsia="宋体" w:cs="宋体"/>
          <w:color w:val="auto"/>
          <w:kern w:val="0"/>
          <w:highlight w:val="none"/>
        </w:rPr>
        <w:t xml:space="preserve">    </w:t>
      </w:r>
      <w:r>
        <w:rPr>
          <w:rFonts w:hint="eastAsia" w:ascii="宋体" w:hAnsi="宋体" w:eastAsia="宋体" w:cs="宋体"/>
          <w:snapToGrid w:val="0"/>
          <w:color w:val="auto"/>
          <w:kern w:val="0"/>
          <w:highlight w:val="none"/>
        </w:rPr>
        <w:t>（略），按《广东省建设工程标准施工合同》（2009年版）执行。</w:t>
      </w:r>
    </w:p>
    <w:p>
      <w:pPr>
        <w:pStyle w:val="22"/>
        <w:ind w:firstLine="480"/>
        <w:rPr>
          <w:rStyle w:val="20"/>
          <w:rFonts w:hint="eastAsia" w:ascii="宋体" w:hAnsi="宋体" w:eastAsia="宋体" w:cs="宋体"/>
          <w:color w:val="auto"/>
          <w:highlight w:val="none"/>
        </w:rPr>
      </w:pPr>
    </w:p>
    <w:p>
      <w:pPr>
        <w:rPr>
          <w:color w:val="auto"/>
          <w:highlight w:val="none"/>
        </w:rPr>
      </w:pPr>
    </w:p>
    <w:sectPr>
      <w:endnotePr>
        <w:numFmt w:val="decimal"/>
      </w:endnotePr>
      <w:pgSz w:w="11906" w:h="16838"/>
      <w:pgMar w:top="1701" w:right="1531" w:bottom="1417" w:left="1531" w:header="850" w:footer="992" w:gutter="0"/>
      <w:cols w:space="720" w:num="1"/>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swiss"/>
    <w:pitch w:val="default"/>
    <w:sig w:usb0="80000287" w:usb1="2ACF3C50" w:usb2="00000016" w:usb3="00000000" w:csb0="0004001F" w:csb1="00000000"/>
  </w:font>
  <w:font w:name="东文宋体">
    <w:altName w:val="宋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Style w:val="20"/>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2"/>
                            <w:rPr>
                              <w:rStyle w:val="20"/>
                            </w:rPr>
                          </w:pPr>
                        </w:p>
                        <w:p>
                          <w:pPr>
                            <w:rPr>
                              <w:rStyle w:val="20"/>
                              <w:rFonts w:cs="Times New Roman"/>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BZpPZA&#10;0gAAAAUBAAAPAAAAAAAAAAEAIAAAACIAAABkcnMvZG93bnJldi54bWxQSwECFAAUAAAACACHTuJA&#10;RCCDNrUBAABzAwAADgAAAAAAAAABACAAAAAhAQAAZHJzL2Uyb0RvYy54bWxQSwUGAAAAAAYABgBZ&#10;AQAASAUAAAAA&#10;">
              <v:fill on="f" focussize="0,0"/>
              <v:stroke on="f"/>
              <v:imagedata o:title=""/>
              <o:lock v:ext="edit" aspectratio="f"/>
              <v:textbox inset="0mm,0mm,0mm,0mm">
                <w:txbxContent>
                  <w:p>
                    <w:pPr>
                      <w:pStyle w:val="12"/>
                      <w:rPr>
                        <w:rStyle w:val="20"/>
                      </w:rPr>
                    </w:pPr>
                  </w:p>
                  <w:p>
                    <w:pPr>
                      <w:rPr>
                        <w:rStyle w:val="20"/>
                        <w:rFonts w:cs="Times New Roma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Style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rPr>
        <w:rStyle w:val="20"/>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50</w:t>
    </w:r>
    <w:r>
      <w:rPr>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3FE1DB"/>
    <w:multiLevelType w:val="singleLevel"/>
    <w:tmpl w:val="DD3FE1DB"/>
    <w:lvl w:ilvl="0" w:tentative="0">
      <w:start w:val="10"/>
      <w:numFmt w:val="decimal"/>
      <w:suff w:val="nothing"/>
      <w:lvlText w:val="%1．"/>
      <w:lvlJc w:val="left"/>
    </w:lvl>
  </w:abstractNum>
  <w:abstractNum w:abstractNumId="1">
    <w:nsid w:val="EF148FC0"/>
    <w:multiLevelType w:val="singleLevel"/>
    <w:tmpl w:val="EF148FC0"/>
    <w:lvl w:ilvl="0" w:tentative="0">
      <w:start w:val="1"/>
      <w:numFmt w:val="decimal"/>
      <w:suff w:val="nothing"/>
      <w:lvlText w:val="（%1）"/>
      <w:lvlJc w:val="left"/>
    </w:lvl>
  </w:abstractNum>
  <w:abstractNum w:abstractNumId="2">
    <w:nsid w:val="00000004"/>
    <w:multiLevelType w:val="singleLevel"/>
    <w:tmpl w:val="00000004"/>
    <w:lvl w:ilvl="0" w:tentative="0">
      <w:start w:val="2"/>
      <w:numFmt w:val="decimal"/>
      <w:suff w:val="nothing"/>
      <w:lvlText w:val="%1．"/>
      <w:lvlJc w:val="left"/>
    </w:lvl>
  </w:abstractNum>
  <w:abstractNum w:abstractNumId="3">
    <w:nsid w:val="1340181E"/>
    <w:multiLevelType w:val="singleLevel"/>
    <w:tmpl w:val="1340181E"/>
    <w:lvl w:ilvl="0" w:tentative="0">
      <w:start w:val="1"/>
      <w:numFmt w:val="decimal"/>
      <w:suff w:val="nothing"/>
      <w:lvlText w:val="（%1）"/>
      <w:lvlJc w:val="left"/>
    </w:lvl>
  </w:abstractNum>
  <w:abstractNum w:abstractNumId="4">
    <w:nsid w:val="24B633F5"/>
    <w:multiLevelType w:val="singleLevel"/>
    <w:tmpl w:val="24B633F5"/>
    <w:lvl w:ilvl="0" w:tentative="0">
      <w:start w:val="1"/>
      <w:numFmt w:val="decimal"/>
      <w:lvlText w:val="%1."/>
      <w:lvlJc w:val="left"/>
      <w:pPr>
        <w:tabs>
          <w:tab w:val="left" w:pos="312"/>
        </w:tabs>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ZjFiZmI5NjQxYzVjYjAzNWI4ODRjMWFkMTZhYWQifQ=="/>
    <w:docVar w:name="KSO_WPS_MARK_KEY" w:val="53da331a-9d95-40b9-9dcd-d93580efb637"/>
  </w:docVars>
  <w:rsids>
    <w:rsidRoot w:val="7F243486"/>
    <w:rsid w:val="00046CA0"/>
    <w:rsid w:val="016A7AEE"/>
    <w:rsid w:val="0198094A"/>
    <w:rsid w:val="019D0F20"/>
    <w:rsid w:val="01AD6E7F"/>
    <w:rsid w:val="02427F54"/>
    <w:rsid w:val="034B0667"/>
    <w:rsid w:val="040E65FA"/>
    <w:rsid w:val="047368F3"/>
    <w:rsid w:val="04F80D9E"/>
    <w:rsid w:val="07EA0E72"/>
    <w:rsid w:val="095C7B4D"/>
    <w:rsid w:val="099A0675"/>
    <w:rsid w:val="0A19121A"/>
    <w:rsid w:val="0A7749D7"/>
    <w:rsid w:val="0B1D4053"/>
    <w:rsid w:val="0CF6390D"/>
    <w:rsid w:val="0ECA5FD4"/>
    <w:rsid w:val="0FC4644C"/>
    <w:rsid w:val="107F7B59"/>
    <w:rsid w:val="11145D2D"/>
    <w:rsid w:val="1249275A"/>
    <w:rsid w:val="13E67EB4"/>
    <w:rsid w:val="14CC6CEF"/>
    <w:rsid w:val="15791A87"/>
    <w:rsid w:val="15B069B4"/>
    <w:rsid w:val="16A364BB"/>
    <w:rsid w:val="16F50DB6"/>
    <w:rsid w:val="17AF1790"/>
    <w:rsid w:val="17BB022D"/>
    <w:rsid w:val="181C0DF5"/>
    <w:rsid w:val="18375D2F"/>
    <w:rsid w:val="184B6186"/>
    <w:rsid w:val="18BD1C8B"/>
    <w:rsid w:val="1A5D54D3"/>
    <w:rsid w:val="1ACD7171"/>
    <w:rsid w:val="1B5508A0"/>
    <w:rsid w:val="1BB91F51"/>
    <w:rsid w:val="1D102CD1"/>
    <w:rsid w:val="1D2917D5"/>
    <w:rsid w:val="1E2D3F8D"/>
    <w:rsid w:val="1EC05F67"/>
    <w:rsid w:val="20137861"/>
    <w:rsid w:val="201C5787"/>
    <w:rsid w:val="219121EB"/>
    <w:rsid w:val="2217065D"/>
    <w:rsid w:val="22C2681B"/>
    <w:rsid w:val="24066BDB"/>
    <w:rsid w:val="24F66C50"/>
    <w:rsid w:val="250B4908"/>
    <w:rsid w:val="261C6242"/>
    <w:rsid w:val="272A1C23"/>
    <w:rsid w:val="27363334"/>
    <w:rsid w:val="2765396F"/>
    <w:rsid w:val="280831E3"/>
    <w:rsid w:val="2B3F7ED0"/>
    <w:rsid w:val="2D420825"/>
    <w:rsid w:val="2EB711FE"/>
    <w:rsid w:val="301D1535"/>
    <w:rsid w:val="320822B0"/>
    <w:rsid w:val="325F6749"/>
    <w:rsid w:val="33A53D1B"/>
    <w:rsid w:val="33DF40AC"/>
    <w:rsid w:val="355400CD"/>
    <w:rsid w:val="36BA5D07"/>
    <w:rsid w:val="393A75ED"/>
    <w:rsid w:val="39433B79"/>
    <w:rsid w:val="3A1E7F2F"/>
    <w:rsid w:val="3C28373B"/>
    <w:rsid w:val="3F03731C"/>
    <w:rsid w:val="3F0874E4"/>
    <w:rsid w:val="41DD4E57"/>
    <w:rsid w:val="42BE5BF2"/>
    <w:rsid w:val="42FA5706"/>
    <w:rsid w:val="43875283"/>
    <w:rsid w:val="445552E9"/>
    <w:rsid w:val="45016A25"/>
    <w:rsid w:val="45837C34"/>
    <w:rsid w:val="45A55DFD"/>
    <w:rsid w:val="45DD7344"/>
    <w:rsid w:val="46AF7568"/>
    <w:rsid w:val="473D549D"/>
    <w:rsid w:val="48AF3319"/>
    <w:rsid w:val="49174FFB"/>
    <w:rsid w:val="49CD78A8"/>
    <w:rsid w:val="4A76098F"/>
    <w:rsid w:val="4BD413DA"/>
    <w:rsid w:val="4BEDCA36"/>
    <w:rsid w:val="4C5109B1"/>
    <w:rsid w:val="4D157D93"/>
    <w:rsid w:val="4F0E67C1"/>
    <w:rsid w:val="4F7D56F4"/>
    <w:rsid w:val="4FD5491B"/>
    <w:rsid w:val="521265C8"/>
    <w:rsid w:val="522C486E"/>
    <w:rsid w:val="527C7EE5"/>
    <w:rsid w:val="53450DE5"/>
    <w:rsid w:val="54707474"/>
    <w:rsid w:val="56764C4B"/>
    <w:rsid w:val="56FA1C3F"/>
    <w:rsid w:val="58044C05"/>
    <w:rsid w:val="583C5EC8"/>
    <w:rsid w:val="585A2A77"/>
    <w:rsid w:val="5A354B99"/>
    <w:rsid w:val="5B446DDF"/>
    <w:rsid w:val="5C2F5FC8"/>
    <w:rsid w:val="5E8F0FA0"/>
    <w:rsid w:val="5EA44A4C"/>
    <w:rsid w:val="5F5C7600"/>
    <w:rsid w:val="5F8672E6"/>
    <w:rsid w:val="5FF3AFD7"/>
    <w:rsid w:val="61B9755A"/>
    <w:rsid w:val="61F73D25"/>
    <w:rsid w:val="64234664"/>
    <w:rsid w:val="644C5248"/>
    <w:rsid w:val="64517F09"/>
    <w:rsid w:val="655D5954"/>
    <w:rsid w:val="656B407E"/>
    <w:rsid w:val="657DCD21"/>
    <w:rsid w:val="66DB1226"/>
    <w:rsid w:val="679F1299"/>
    <w:rsid w:val="67E57DB5"/>
    <w:rsid w:val="684F56B9"/>
    <w:rsid w:val="68B66B55"/>
    <w:rsid w:val="69A16AA6"/>
    <w:rsid w:val="6B754769"/>
    <w:rsid w:val="6C5F0204"/>
    <w:rsid w:val="6C6C7A54"/>
    <w:rsid w:val="6D0D5EB2"/>
    <w:rsid w:val="6D7A3A23"/>
    <w:rsid w:val="6FC80DB9"/>
    <w:rsid w:val="6FE84555"/>
    <w:rsid w:val="709F41DD"/>
    <w:rsid w:val="72C62D8B"/>
    <w:rsid w:val="73D2575F"/>
    <w:rsid w:val="74EE65C9"/>
    <w:rsid w:val="75CB06B8"/>
    <w:rsid w:val="75FD5E70"/>
    <w:rsid w:val="76014400"/>
    <w:rsid w:val="776F38A5"/>
    <w:rsid w:val="77D34C9D"/>
    <w:rsid w:val="78017594"/>
    <w:rsid w:val="7840713B"/>
    <w:rsid w:val="78DD67F1"/>
    <w:rsid w:val="78EC6ABE"/>
    <w:rsid w:val="795E233C"/>
    <w:rsid w:val="7B3075F6"/>
    <w:rsid w:val="7B840096"/>
    <w:rsid w:val="7C7D2C72"/>
    <w:rsid w:val="7C9C65D2"/>
    <w:rsid w:val="7E922582"/>
    <w:rsid w:val="7F237D65"/>
    <w:rsid w:val="7F243486"/>
    <w:rsid w:val="7F753A92"/>
    <w:rsid w:val="7FF5C601"/>
    <w:rsid w:val="7FF61C15"/>
    <w:rsid w:val="A8BF01C8"/>
    <w:rsid w:val="BD6C0A75"/>
    <w:rsid w:val="BFFF4AC0"/>
    <w:rsid w:val="CC755E78"/>
    <w:rsid w:val="D7F6E559"/>
    <w:rsid w:val="DF4F2A6A"/>
    <w:rsid w:val="DF7721A6"/>
    <w:rsid w:val="E167DA68"/>
    <w:rsid w:val="EB678524"/>
    <w:rsid w:val="EE9F18E7"/>
    <w:rsid w:val="F5FFB81F"/>
    <w:rsid w:val="F6FBC1D9"/>
    <w:rsid w:val="F8DAE6BF"/>
    <w:rsid w:val="FBFF624C"/>
    <w:rsid w:val="FFFFBB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qFormat="1" w:unhideWhenUsed="0" w:uiPriority="9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宋体" w:hAnsi="Times New Roman" w:eastAsia="宋体" w:cs="宋体"/>
      <w:kern w:val="2"/>
      <w:sz w:val="24"/>
      <w:szCs w:val="24"/>
      <w:lang w:val="en-US" w:eastAsia="zh-CN" w:bidi="ar-SA"/>
    </w:rPr>
  </w:style>
  <w:style w:type="paragraph" w:styleId="5">
    <w:name w:val="heading 2"/>
    <w:basedOn w:val="1"/>
    <w:next w:val="1"/>
    <w:link w:val="62"/>
    <w:qFormat/>
    <w:uiPriority w:val="0"/>
    <w:pPr>
      <w:keepNext/>
      <w:keepLines/>
      <w:spacing w:before="260" w:beforeLines="0" w:beforeAutospacing="0" w:after="260" w:afterLines="0" w:afterAutospacing="0" w:line="413" w:lineRule="auto"/>
      <w:outlineLvl w:val="1"/>
    </w:pPr>
    <w:rPr>
      <w:rFonts w:ascii="Arial" w:hAnsi="Arial" w:eastAsia="黑体" w:cs="Times New Roman"/>
      <w:b/>
      <w:kern w:val="0"/>
      <w:sz w:val="32"/>
      <w:szCs w:val="20"/>
    </w:rPr>
  </w:style>
  <w:style w:type="paragraph" w:styleId="6">
    <w:name w:val="heading 3"/>
    <w:basedOn w:val="1"/>
    <w:next w:val="1"/>
    <w:qFormat/>
    <w:uiPriority w:val="0"/>
    <w:pPr>
      <w:keepNext/>
      <w:keepLines/>
      <w:spacing w:before="260" w:beforeLines="0" w:beforeAutospacing="0" w:after="260" w:afterLines="0" w:afterAutospacing="0" w:line="413" w:lineRule="auto"/>
      <w:outlineLvl w:val="2"/>
    </w:pPr>
    <w:rPr>
      <w:rFonts w:ascii="Times New Roman" w:cs="Times New Roman"/>
      <w:b/>
      <w:kern w:val="0"/>
      <w:sz w:val="32"/>
      <w:szCs w:val="20"/>
    </w:rPr>
  </w:style>
  <w:style w:type="paragraph" w:styleId="7">
    <w:name w:val="heading 4"/>
    <w:basedOn w:val="1"/>
    <w:next w:val="1"/>
    <w:qFormat/>
    <w:uiPriority w:val="0"/>
    <w:pPr>
      <w:keepNext/>
      <w:keepLines/>
      <w:spacing w:before="280" w:beforeLines="0" w:beforeAutospacing="0" w:after="290" w:afterLines="0" w:afterAutospacing="0" w:line="374" w:lineRule="auto"/>
      <w:outlineLvl w:val="3"/>
    </w:pPr>
    <w:rPr>
      <w:rFonts w:ascii="Arial" w:hAnsi="Arial"/>
      <w:sz w:val="24"/>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spacing w:line="240" w:lineRule="auto"/>
      <w:ind w:firstLine="420" w:firstLineChars="100"/>
    </w:pPr>
    <w:rPr>
      <w:rFonts w:ascii="Times New Roman" w:cs="Times New Roman"/>
      <w:sz w:val="20"/>
      <w:szCs w:val="20"/>
    </w:rPr>
  </w:style>
  <w:style w:type="paragraph" w:styleId="3">
    <w:name w:val="Body Text"/>
    <w:basedOn w:val="1"/>
    <w:next w:val="4"/>
    <w:qFormat/>
    <w:uiPriority w:val="99"/>
    <w:rPr>
      <w:rFonts w:cs="Times New Roman"/>
      <w:kern w:val="0"/>
    </w:rPr>
  </w:style>
  <w:style w:type="paragraph" w:styleId="4">
    <w:name w:val="Body Text 2"/>
    <w:basedOn w:val="1"/>
    <w:next w:val="3"/>
    <w:qFormat/>
    <w:uiPriority w:val="0"/>
    <w:pPr>
      <w:spacing w:line="500" w:lineRule="exact"/>
    </w:pPr>
    <w:rPr>
      <w:rFonts w:eastAsia="Times New Roman"/>
    </w:rPr>
  </w:style>
  <w:style w:type="paragraph" w:styleId="8">
    <w:name w:val="annotation text"/>
    <w:basedOn w:val="1"/>
    <w:qFormat/>
    <w:uiPriority w:val="99"/>
    <w:pPr>
      <w:adjustRightInd w:val="0"/>
      <w:spacing w:line="360" w:lineRule="atLeast"/>
      <w:jc w:val="left"/>
    </w:pPr>
    <w:rPr>
      <w:rFonts w:cs="Times New Roman"/>
      <w:kern w:val="0"/>
    </w:rPr>
  </w:style>
  <w:style w:type="paragraph" w:styleId="9">
    <w:name w:val="Body Text Indent"/>
    <w:basedOn w:val="1"/>
    <w:next w:val="10"/>
    <w:qFormat/>
    <w:uiPriority w:val="0"/>
    <w:pPr>
      <w:ind w:firstLine="560" w:firstLineChars="200"/>
    </w:pPr>
  </w:style>
  <w:style w:type="paragraph" w:styleId="10">
    <w:name w:val="envelope return"/>
    <w:basedOn w:val="1"/>
    <w:qFormat/>
    <w:uiPriority w:val="99"/>
    <w:pPr>
      <w:snapToGrid w:val="0"/>
    </w:pPr>
    <w:rPr>
      <w:rFonts w:ascii="Arial" w:hAnsi="Arial"/>
    </w:rPr>
  </w:style>
  <w:style w:type="paragraph" w:styleId="11">
    <w:name w:val="Body Text Indent 2"/>
    <w:basedOn w:val="1"/>
    <w:qFormat/>
    <w:uiPriority w:val="0"/>
    <w:pPr>
      <w:spacing w:line="480" w:lineRule="auto"/>
      <w:ind w:firstLine="561"/>
    </w:pPr>
    <w:rPr>
      <w:rFonts w:ascii="宋体"/>
    </w:rPr>
  </w:style>
  <w:style w:type="paragraph" w:styleId="12">
    <w:name w:val="footer"/>
    <w:basedOn w:val="1"/>
    <w:qFormat/>
    <w:uiPriority w:val="99"/>
    <w:pPr>
      <w:tabs>
        <w:tab w:val="center" w:pos="4153"/>
        <w:tab w:val="right" w:pos="8306"/>
      </w:tabs>
      <w:snapToGrid w:val="0"/>
      <w:jc w:val="left"/>
    </w:pPr>
    <w:rPr>
      <w:rFonts w:cs="Times New Roman"/>
      <w:kern w:val="0"/>
      <w:sz w:val="18"/>
      <w:szCs w:val="18"/>
    </w:rPr>
  </w:style>
  <w:style w:type="paragraph" w:styleId="13">
    <w:name w:val="toc 1"/>
    <w:basedOn w:val="1"/>
    <w:next w:val="1"/>
    <w:qFormat/>
    <w:uiPriority w:val="99"/>
  </w:style>
  <w:style w:type="paragraph" w:styleId="14">
    <w:name w:val="toc 2"/>
    <w:basedOn w:val="1"/>
    <w:next w:val="1"/>
    <w:qFormat/>
    <w:uiPriority w:val="99"/>
    <w:pPr>
      <w:ind w:left="420" w:leftChars="200"/>
    </w:pPr>
  </w:style>
  <w:style w:type="paragraph" w:styleId="15">
    <w:name w:val="Normal (Web)"/>
    <w:basedOn w:val="1"/>
    <w:unhideWhenUsed/>
    <w:qFormat/>
    <w:uiPriority w:val="99"/>
    <w:pPr>
      <w:widowControl/>
      <w:spacing w:before="100" w:beforeAutospacing="1" w:after="100" w:afterAutospacing="1" w:line="240" w:lineRule="auto"/>
      <w:jc w:val="left"/>
    </w:pPr>
    <w:rPr>
      <w:rFonts w:hAnsi="宋体" w:cs="宋体"/>
      <w:kern w:val="0"/>
      <w:szCs w:val="24"/>
    </w:rPr>
  </w:style>
  <w:style w:type="character" w:styleId="18">
    <w:name w:val="Emphasis"/>
    <w:basedOn w:val="17"/>
    <w:qFormat/>
    <w:uiPriority w:val="0"/>
    <w:rPr>
      <w:i/>
    </w:rPr>
  </w:style>
  <w:style w:type="paragraph" w:customStyle="1" w:styleId="19">
    <w:name w:val="UserStyle_95"/>
    <w:qFormat/>
    <w:uiPriority w:val="99"/>
    <w:pPr>
      <w:jc w:val="both"/>
      <w:textAlignment w:val="baseline"/>
    </w:pPr>
    <w:rPr>
      <w:rFonts w:ascii="Times New Roman" w:hAnsi="Times New Roman" w:eastAsia="楷体_GB2312" w:cs="Times New Roman"/>
      <w:kern w:val="2"/>
      <w:sz w:val="21"/>
      <w:szCs w:val="21"/>
      <w:lang w:val="en-US" w:eastAsia="zh-CN" w:bidi="ar-SA"/>
    </w:rPr>
  </w:style>
  <w:style w:type="character" w:customStyle="1" w:styleId="20">
    <w:name w:val="NormalCharacter"/>
    <w:qFormat/>
    <w:uiPriority w:val="99"/>
  </w:style>
  <w:style w:type="paragraph" w:customStyle="1" w:styleId="21">
    <w:name w:val="UserStyle_43"/>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22">
    <w:name w:val="AnnotationText"/>
    <w:basedOn w:val="1"/>
    <w:qFormat/>
    <w:uiPriority w:val="99"/>
    <w:pPr>
      <w:spacing w:line="360" w:lineRule="atLeast"/>
      <w:jc w:val="left"/>
    </w:pPr>
    <w:rPr>
      <w:kern w:val="0"/>
    </w:rPr>
  </w:style>
  <w:style w:type="paragraph" w:customStyle="1" w:styleId="23">
    <w:name w:val="Heading1"/>
    <w:basedOn w:val="1"/>
    <w:next w:val="1"/>
    <w:qFormat/>
    <w:uiPriority w:val="99"/>
    <w:pPr>
      <w:jc w:val="left"/>
    </w:pPr>
    <w:rPr>
      <w:kern w:val="0"/>
      <w:sz w:val="30"/>
      <w:szCs w:val="30"/>
    </w:rPr>
  </w:style>
  <w:style w:type="paragraph" w:customStyle="1" w:styleId="24">
    <w:name w:val="Heading2"/>
    <w:basedOn w:val="1"/>
    <w:next w:val="1"/>
    <w:qFormat/>
    <w:uiPriority w:val="99"/>
    <w:pPr>
      <w:jc w:val="left"/>
    </w:pPr>
    <w:rPr>
      <w:kern w:val="0"/>
    </w:rPr>
  </w:style>
  <w:style w:type="paragraph" w:customStyle="1" w:styleId="25">
    <w:name w:val="正文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26">
    <w:name w:val="正文 New New New"/>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27">
    <w:name w:val="UserStyle_19"/>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28">
    <w:name w:val="UserStyle_62"/>
    <w:basedOn w:val="1"/>
    <w:next w:val="1"/>
    <w:qFormat/>
    <w:uiPriority w:val="99"/>
    <w:pPr>
      <w:jc w:val="center"/>
    </w:pPr>
    <w:rPr>
      <w:rFonts w:ascii="Times New Roman" w:cs="Times New Roman"/>
      <w:b/>
      <w:bCs/>
    </w:rPr>
  </w:style>
  <w:style w:type="paragraph" w:customStyle="1" w:styleId="29">
    <w:name w:val="正文缩进1"/>
    <w:basedOn w:val="1"/>
    <w:qFormat/>
    <w:uiPriority w:val="0"/>
    <w:pPr>
      <w:widowControl/>
      <w:spacing w:line="360" w:lineRule="auto"/>
      <w:ind w:firstLine="420"/>
      <w:jc w:val="left"/>
    </w:pPr>
    <w:rPr>
      <w:rFonts w:ascii="宋体" w:hAnsi="Times New Roman" w:cs="Times New Roman"/>
      <w:kern w:val="0"/>
      <w:sz w:val="20"/>
      <w:szCs w:val="20"/>
    </w:rPr>
  </w:style>
  <w:style w:type="paragraph" w:customStyle="1" w:styleId="30">
    <w:name w:val="BodyTextIndent"/>
    <w:basedOn w:val="1"/>
    <w:qFormat/>
    <w:uiPriority w:val="99"/>
    <w:pPr>
      <w:ind w:firstLine="560" w:firstLineChars="200"/>
    </w:pPr>
    <w:rPr>
      <w:rFonts w:cs="Times New Roman"/>
    </w:rPr>
  </w:style>
  <w:style w:type="paragraph" w:customStyle="1" w:styleId="31">
    <w:name w:val="样式 宋体 行距: 1.5 倍行距"/>
    <w:basedOn w:val="32"/>
    <w:next w:val="1"/>
    <w:qFormat/>
    <w:uiPriority w:val="99"/>
    <w:pPr>
      <w:jc w:val="center"/>
    </w:pPr>
    <w:rPr>
      <w:rFonts w:ascii="Times New Roman" w:cs="Times New Roman"/>
      <w:b/>
      <w:bCs/>
    </w:rPr>
  </w:style>
  <w:style w:type="paragraph" w:customStyle="1" w:styleId="32">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1"/>
    <w:qFormat/>
    <w:uiPriority w:val="0"/>
    <w:pPr>
      <w:widowControl w:val="0"/>
      <w:jc w:val="both"/>
    </w:pPr>
    <w:rPr>
      <w:rFonts w:ascii="Calibri" w:hAnsi="Calibri" w:eastAsia="宋体" w:cs="黑体"/>
      <w:kern w:val="2"/>
      <w:sz w:val="21"/>
      <w:szCs w:val="24"/>
      <w:lang w:val="en-US" w:eastAsia="zh-CN" w:bidi="ar-SA"/>
    </w:rPr>
  </w:style>
  <w:style w:type="paragraph" w:customStyle="1" w:styleId="33">
    <w:name w:val="正文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4">
    <w:name w:val="正文1"/>
    <w:basedOn w:val="1"/>
    <w:qFormat/>
    <w:uiPriority w:val="0"/>
    <w:rPr>
      <w:rFonts w:hAnsi="Times New Roman" w:cs="Times New Roman"/>
    </w:rPr>
  </w:style>
  <w:style w:type="character" w:customStyle="1" w:styleId="35">
    <w:name w:val="正文文本 (2) + 间距 0 pt3"/>
    <w:qFormat/>
    <w:uiPriority w:val="99"/>
    <w:rPr>
      <w:rFonts w:ascii="MingLiU" w:eastAsia="MingLiU" w:cs="MingLiU"/>
      <w:spacing w:val="0"/>
      <w:sz w:val="22"/>
      <w:szCs w:val="22"/>
      <w:u w:val="none"/>
    </w:rPr>
  </w:style>
  <w:style w:type="paragraph" w:customStyle="1" w:styleId="36">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7">
    <w:name w:val="UserStyle_44"/>
    <w:basedOn w:val="38"/>
    <w:qFormat/>
    <w:uiPriority w:val="99"/>
    <w:rPr>
      <w:sz w:val="24"/>
      <w:szCs w:val="24"/>
    </w:rPr>
  </w:style>
  <w:style w:type="paragraph" w:customStyle="1" w:styleId="38">
    <w:name w:val="UserStyle_33"/>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39">
    <w:name w:val="UserStyle_4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40">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1">
    <w:name w:val="_Style 1"/>
    <w:basedOn w:val="1"/>
    <w:qFormat/>
    <w:uiPriority w:val="0"/>
    <w:pPr>
      <w:spacing w:line="240" w:lineRule="auto"/>
      <w:ind w:firstLine="420" w:firstLineChars="200"/>
    </w:pPr>
    <w:rPr>
      <w:rFonts w:ascii="Calibri" w:hAnsi="Calibri"/>
      <w:sz w:val="21"/>
      <w:szCs w:val="22"/>
    </w:rPr>
  </w:style>
  <w:style w:type="paragraph" w:customStyle="1" w:styleId="42">
    <w:name w:val="标题 3 New New"/>
    <w:basedOn w:val="43"/>
    <w:next w:val="43"/>
    <w:qFormat/>
    <w:uiPriority w:val="0"/>
    <w:pPr>
      <w:keepNext/>
      <w:keepLines/>
      <w:spacing w:before="120" w:beforeLines="0" w:beforeAutospacing="0" w:after="120" w:afterLines="0" w:afterAutospacing="0"/>
      <w:jc w:val="center"/>
      <w:outlineLvl w:val="2"/>
    </w:pPr>
    <w:rPr>
      <w:rFonts w:ascii="Times New Roman" w:hAnsi="Times New Roman" w:eastAsia="宋体" w:cs="Times New Roman"/>
      <w:sz w:val="24"/>
    </w:rPr>
  </w:style>
  <w:style w:type="paragraph" w:customStyle="1" w:styleId="43">
    <w:name w:val="正文缩进 New"/>
    <w:basedOn w:val="44"/>
    <w:qFormat/>
    <w:uiPriority w:val="0"/>
    <w:pPr>
      <w:widowControl/>
      <w:ind w:firstLine="420"/>
      <w:jc w:val="left"/>
    </w:pPr>
    <w:rPr>
      <w:rFonts w:ascii="Times New Roman" w:hAnsi="Times New Roman" w:eastAsia="宋体" w:cs="Times New Roman"/>
      <w:kern w:val="0"/>
      <w:sz w:val="20"/>
    </w:rPr>
  </w:style>
  <w:style w:type="paragraph" w:customStyle="1" w:styleId="44">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5">
    <w:name w:val="UserStyle_90"/>
    <w:basedOn w:val="1"/>
    <w:qFormat/>
    <w:uiPriority w:val="99"/>
    <w:pPr>
      <w:topLinePunct/>
      <w:ind w:firstLine="420" w:firstLineChars="200"/>
    </w:pPr>
    <w:rPr>
      <w:rFonts w:hAnsi="宋体"/>
    </w:rPr>
  </w:style>
  <w:style w:type="paragraph" w:customStyle="1" w:styleId="46">
    <w:name w:val="Heading3"/>
    <w:basedOn w:val="47"/>
    <w:next w:val="47"/>
    <w:qFormat/>
    <w:uiPriority w:val="99"/>
    <w:pPr>
      <w:keepNext/>
      <w:keepLines/>
      <w:spacing w:before="120" w:after="120"/>
      <w:jc w:val="center"/>
    </w:pPr>
    <w:rPr>
      <w:sz w:val="24"/>
      <w:szCs w:val="24"/>
    </w:rPr>
  </w:style>
  <w:style w:type="paragraph" w:customStyle="1" w:styleId="47">
    <w:name w:val="NormalIndent"/>
    <w:basedOn w:val="1"/>
    <w:qFormat/>
    <w:uiPriority w:val="99"/>
    <w:pPr>
      <w:ind w:firstLine="420"/>
      <w:jc w:val="left"/>
    </w:pPr>
    <w:rPr>
      <w:kern w:val="0"/>
      <w:sz w:val="20"/>
      <w:szCs w:val="20"/>
    </w:rPr>
  </w:style>
  <w:style w:type="paragraph" w:customStyle="1" w:styleId="48">
    <w:name w:val="UserStyle_76"/>
    <w:basedOn w:val="49"/>
    <w:qFormat/>
    <w:uiPriority w:val="99"/>
    <w:pPr>
      <w:ind w:firstLine="420"/>
      <w:jc w:val="left"/>
    </w:pPr>
    <w:rPr>
      <w:kern w:val="0"/>
      <w:sz w:val="20"/>
      <w:szCs w:val="20"/>
    </w:rPr>
  </w:style>
  <w:style w:type="paragraph" w:customStyle="1" w:styleId="49">
    <w:name w:val="UserStyle_15"/>
    <w:qFormat/>
    <w:uiPriority w:val="99"/>
    <w:pPr>
      <w:spacing w:line="360" w:lineRule="auto"/>
      <w:jc w:val="both"/>
      <w:textAlignment w:val="baseline"/>
    </w:pPr>
    <w:rPr>
      <w:rFonts w:ascii="宋体" w:hAnsi="Times New Roman" w:eastAsia="宋体" w:cs="宋体"/>
      <w:kern w:val="2"/>
      <w:sz w:val="24"/>
      <w:szCs w:val="24"/>
      <w:lang w:val="en-US" w:eastAsia="zh-CN" w:bidi="ar-SA"/>
    </w:rPr>
  </w:style>
  <w:style w:type="paragraph" w:customStyle="1" w:styleId="50">
    <w:name w:val="标题 2 New"/>
    <w:basedOn w:val="26"/>
    <w:qFormat/>
    <w:uiPriority w:val="0"/>
    <w:pPr>
      <w:widowControl/>
      <w:spacing w:before="100" w:beforeLines="0" w:beforeAutospacing="1" w:after="100" w:afterLines="0" w:afterAutospacing="1"/>
      <w:jc w:val="left"/>
      <w:outlineLvl w:val="1"/>
    </w:pPr>
    <w:rPr>
      <w:rFonts w:ascii="宋体" w:hAnsi="宋体"/>
      <w:b/>
      <w:bCs/>
      <w:kern w:val="0"/>
      <w:sz w:val="24"/>
      <w:szCs w:val="36"/>
    </w:rPr>
  </w:style>
  <w:style w:type="paragraph" w:customStyle="1" w:styleId="51">
    <w:name w:val="正文文本缩进 New"/>
    <w:basedOn w:val="44"/>
    <w:qFormat/>
    <w:uiPriority w:val="0"/>
    <w:pPr>
      <w:ind w:firstLine="560" w:firstLineChars="200"/>
    </w:pPr>
    <w:rPr>
      <w:rFonts w:ascii="宋体"/>
      <w:kern w:val="2"/>
      <w:sz w:val="24"/>
    </w:rPr>
  </w:style>
  <w:style w:type="paragraph" w:customStyle="1" w:styleId="52">
    <w:name w:val="正文 New"/>
    <w:qFormat/>
    <w:uiPriority w:val="0"/>
    <w:pPr>
      <w:widowControl w:val="0"/>
      <w:spacing w:line="360" w:lineRule="auto"/>
      <w:jc w:val="both"/>
    </w:pPr>
    <w:rPr>
      <w:rFonts w:ascii="宋体" w:hAnsi="Calibri" w:eastAsia="微软雅黑" w:cs="Times New Roman"/>
      <w:kern w:val="2"/>
      <w:sz w:val="24"/>
      <w:lang w:val="en-US" w:eastAsia="zh-CN" w:bidi="ar-SA"/>
    </w:rPr>
  </w:style>
  <w:style w:type="paragraph" w:customStyle="1" w:styleId="53">
    <w:name w:val="BodyText"/>
    <w:basedOn w:val="1"/>
    <w:qFormat/>
    <w:uiPriority w:val="99"/>
    <w:pPr>
      <w:spacing w:after="120"/>
    </w:pPr>
  </w:style>
  <w:style w:type="paragraph" w:customStyle="1" w:styleId="54">
    <w:name w:val="UserStyle_60"/>
    <w:qFormat/>
    <w:uiPriority w:val="99"/>
    <w:pPr>
      <w:jc w:val="both"/>
      <w:textAlignment w:val="baseline"/>
    </w:pPr>
    <w:rPr>
      <w:rFonts w:ascii="Times New Roman" w:hAnsi="Times New Roman" w:eastAsia="宋体" w:cs="Times New Roman"/>
      <w:kern w:val="2"/>
      <w:sz w:val="21"/>
      <w:szCs w:val="21"/>
      <w:lang w:val="en-US" w:eastAsia="zh-CN" w:bidi="ar-SA"/>
    </w:rPr>
  </w:style>
  <w:style w:type="paragraph" w:customStyle="1" w:styleId="55">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6">
    <w:name w:val="标题 2 Char"/>
    <w:link w:val="5"/>
    <w:qFormat/>
    <w:uiPriority w:val="0"/>
    <w:rPr>
      <w:rFonts w:ascii="Arial" w:hAnsi="Arial" w:eastAsia="黑体" w:cs="Times New Roman"/>
      <w:b/>
      <w:kern w:val="0"/>
      <w:sz w:val="32"/>
      <w:szCs w:val="20"/>
    </w:rPr>
  </w:style>
  <w:style w:type="paragraph" w:customStyle="1" w:styleId="57">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8">
    <w:name w:val="正文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60">
    <w:name w:val="Table Text"/>
    <w:basedOn w:val="1"/>
    <w:semiHidden/>
    <w:qFormat/>
    <w:uiPriority w:val="0"/>
    <w:rPr>
      <w:rFonts w:ascii="宋体" w:hAnsi="宋体" w:eastAsia="宋体" w:cs="宋体"/>
      <w:sz w:val="19"/>
      <w:szCs w:val="19"/>
      <w:lang w:val="en-US" w:eastAsia="en-US" w:bidi="ar-SA"/>
    </w:rPr>
  </w:style>
  <w:style w:type="table" w:customStyle="1" w:styleId="61">
    <w:name w:val="Table Normal"/>
    <w:unhideWhenUsed/>
    <w:qFormat/>
    <w:uiPriority w:val="0"/>
    <w:tblPr>
      <w:tblCellMar>
        <w:top w:w="0" w:type="dxa"/>
        <w:left w:w="0" w:type="dxa"/>
        <w:bottom w:w="0" w:type="dxa"/>
        <w:right w:w="0" w:type="dxa"/>
      </w:tblCellMar>
    </w:tblPr>
  </w:style>
  <w:style w:type="character" w:customStyle="1" w:styleId="62">
    <w:name w:val="标题 2 字符"/>
    <w:link w:val="5"/>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13.png"/><Relationship Id="rId32" Type="http://schemas.openxmlformats.org/officeDocument/2006/relationships/image" Target="media/image12.wmf"/><Relationship Id="rId31" Type="http://schemas.openxmlformats.org/officeDocument/2006/relationships/oleObject" Target="embeddings/oleObject12.bin"/><Relationship Id="rId30" Type="http://schemas.openxmlformats.org/officeDocument/2006/relationships/image" Target="media/image11.wmf"/><Relationship Id="rId3" Type="http://schemas.openxmlformats.org/officeDocument/2006/relationships/footnotes" Target="footnotes.xml"/><Relationship Id="rId29" Type="http://schemas.openxmlformats.org/officeDocument/2006/relationships/oleObject" Target="embeddings/oleObject11.bin"/><Relationship Id="rId28" Type="http://schemas.openxmlformats.org/officeDocument/2006/relationships/image" Target="media/image10.wmf"/><Relationship Id="rId27" Type="http://schemas.openxmlformats.org/officeDocument/2006/relationships/oleObject" Target="embeddings/oleObject10.bin"/><Relationship Id="rId26" Type="http://schemas.openxmlformats.org/officeDocument/2006/relationships/image" Target="media/image9.wmf"/><Relationship Id="rId25" Type="http://schemas.openxmlformats.org/officeDocument/2006/relationships/oleObject" Target="embeddings/oleObject9.bin"/><Relationship Id="rId24" Type="http://schemas.openxmlformats.org/officeDocument/2006/relationships/image" Target="media/image8.wmf"/><Relationship Id="rId23" Type="http://schemas.openxmlformats.org/officeDocument/2006/relationships/oleObject" Target="embeddings/oleObject8.bin"/><Relationship Id="rId22" Type="http://schemas.openxmlformats.org/officeDocument/2006/relationships/image" Target="media/image7.wmf"/><Relationship Id="rId21" Type="http://schemas.openxmlformats.org/officeDocument/2006/relationships/oleObject" Target="embeddings/oleObject7.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wmf"/><Relationship Id="rId17" Type="http://schemas.openxmlformats.org/officeDocument/2006/relationships/oleObject" Target="embeddings/oleObject5.bin"/><Relationship Id="rId16" Type="http://schemas.openxmlformats.org/officeDocument/2006/relationships/image" Target="media/image4.wmf"/><Relationship Id="rId15" Type="http://schemas.openxmlformats.org/officeDocument/2006/relationships/oleObject" Target="embeddings/oleObject4.bin"/><Relationship Id="rId14" Type="http://schemas.openxmlformats.org/officeDocument/2006/relationships/image" Target="media/image3.wmf"/><Relationship Id="rId13" Type="http://schemas.openxmlformats.org/officeDocument/2006/relationships/oleObject" Target="embeddings/oleObject3.bin"/><Relationship Id="rId12" Type="http://schemas.openxmlformats.org/officeDocument/2006/relationships/image" Target="media/image2.wmf"/><Relationship Id="rId11" Type="http://schemas.openxmlformats.org/officeDocument/2006/relationships/oleObject" Target="embeddings/oleObject2.bin"/><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118</Pages>
  <Words>75798</Words>
  <Characters>79398</Characters>
  <Lines>0</Lines>
  <Paragraphs>0</Paragraphs>
  <TotalTime>0</TotalTime>
  <ScaleCrop>false</ScaleCrop>
  <LinksUpToDate>false</LinksUpToDate>
  <CharactersWithSpaces>83443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2023-09-03T07:49:00Z</dcterms:created>
  <dc:creator>Chen~小璇</dc:creator>
  <cp:lastModifiedBy>Macho</cp:lastModifiedBy>
  <cp:lastPrinted>2026-03-12T00:49:00Z</cp:lastPrinted>
  <dcterms:modified xsi:type="dcterms:W3CDTF">2026-06-15T08:18:53Z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4742BE2E2B664888A68D3B4F350654EC_11</vt:lpwstr>
  </property>
  <property fmtid="{D5CDD505-2E9C-101B-9397-08002B2CF9AE}" pid="4" name="KSOTemplateDocerSaveRecord">
    <vt:lpwstr>eyJoZGlkIjoiNTAzODI3ODExOWNmMGZkMzQwYzVlMTg2ZjljZTJiMTYiLCJ1c2VySWQiOiIyMDY3NjIxMDMifQ==</vt:lpwstr>
  </property>
</Properties>
</file>