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36F2C">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6114415" cy="8651240"/>
            <wp:effectExtent l="0" t="0" r="635" b="16510"/>
            <wp:docPr id="6" name="图片 6" descr="招标文件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招标文件封面_00"/>
                    <pic:cNvPicPr>
                      <a:picLocks noChangeAspect="1"/>
                    </pic:cNvPicPr>
                  </pic:nvPicPr>
                  <pic:blipFill>
                    <a:blip r:embed="rId6"/>
                    <a:stretch>
                      <a:fillRect/>
                    </a:stretch>
                  </pic:blipFill>
                  <pic:spPr>
                    <a:xfrm>
                      <a:off x="0" y="0"/>
                      <a:ext cx="6114415" cy="8651240"/>
                    </a:xfrm>
                    <a:prstGeom prst="rect">
                      <a:avLst/>
                    </a:prstGeom>
                  </pic:spPr>
                </pic:pic>
              </a:graphicData>
            </a:graphic>
          </wp:inline>
        </w:drawing>
      </w:r>
    </w:p>
    <w:p w14:paraId="3EE40CB2">
      <w:pPr>
        <w:rPr>
          <w:rFonts w:hint="eastAsia" w:ascii="宋体" w:hAnsi="宋体" w:eastAsia="宋体" w:cs="宋体"/>
        </w:rPr>
      </w:pPr>
    </w:p>
    <w:p w14:paraId="563F8F74">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sectPr>
          <w:headerReference r:id="rId3" w:type="default"/>
          <w:pgSz w:w="11906" w:h="16839"/>
          <w:pgMar w:top="1134" w:right="1134" w:bottom="1134" w:left="1134"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B0E3D45">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14:paraId="78BAE2AF">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_Toc9284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6E18CDC">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_Toc10972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_Toc10972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8D019C8">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_Toc25818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重要事项时间地点一览表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_Toc25818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525DD0A">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_Toc577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投标人须知正文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3103C0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_Toc19913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4"/>
          <w:sz w:val="24"/>
          <w:szCs w:val="24"/>
          <w:highlight w:val="none"/>
        </w:rPr>
        <w:t>项目概况、招标范围和标段划分、投标费用等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_Toc19913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16E4F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资质要求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980ECF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_Toc27377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w:t>
      </w:r>
      <w:r>
        <w:rPr>
          <w:rFonts w:hint="eastAsia" w:ascii="宋体" w:hAnsi="宋体" w:eastAsia="宋体" w:cs="宋体"/>
          <w:bCs/>
          <w:spacing w:val="-4"/>
          <w:sz w:val="24"/>
          <w:szCs w:val="24"/>
          <w:highlight w:val="none"/>
          <w:lang w:val="en-US" w:eastAsia="zh-CN"/>
        </w:rPr>
        <w:t>.</w:t>
      </w:r>
      <w:r>
        <w:rPr>
          <w:rFonts w:hint="eastAsia" w:ascii="宋体" w:hAnsi="宋体" w:eastAsia="宋体" w:cs="宋体"/>
          <w:bCs/>
          <w:spacing w:val="-4"/>
          <w:sz w:val="24"/>
          <w:szCs w:val="24"/>
          <w:highlight w:val="none"/>
        </w:rPr>
        <w:t>招标文件的获取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_Toc27377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DE6207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_Toc22684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lang w:eastAsia="zh-CN"/>
        </w:rPr>
        <w:t>.</w:t>
      </w:r>
      <w:r>
        <w:rPr>
          <w:rFonts w:hint="eastAsia" w:ascii="宋体" w:hAnsi="宋体" w:eastAsia="宋体" w:cs="宋体"/>
          <w:bCs/>
          <w:spacing w:val="-8"/>
          <w:sz w:val="24"/>
          <w:szCs w:val="24"/>
          <w:highlight w:val="none"/>
        </w:rPr>
        <w:t>工期要求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_Toc22684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8BDD9A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_Toc10840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5"/>
          <w:sz w:val="24"/>
          <w:szCs w:val="24"/>
          <w:highlight w:val="none"/>
        </w:rPr>
        <w:t>质量标准和材料、机械要求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_Toc10840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0A93F6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_Toc2393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6"/>
          <w:sz w:val="24"/>
          <w:szCs w:val="24"/>
          <w:highlight w:val="none"/>
        </w:rPr>
        <w:t>施工条件及现场踏勘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_Toc2393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0B29D3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_Toc16998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1"/>
          <w:sz w:val="24"/>
          <w:szCs w:val="24"/>
          <w:highlight w:val="none"/>
        </w:rPr>
        <w:t>最高投标限价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_Toc16998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5D6853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_Toc23804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8"/>
          <w:sz w:val="24"/>
          <w:szCs w:val="24"/>
          <w:highlight w:val="none"/>
        </w:rPr>
        <w:t>投标报价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_Toc23804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25EBB0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_Toc9270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lang w:eastAsia="zh-CN"/>
        </w:rPr>
        <w:t>.</w:t>
      </w:r>
      <w:r>
        <w:rPr>
          <w:rFonts w:hint="eastAsia" w:ascii="宋体" w:hAnsi="宋体" w:eastAsia="宋体" w:cs="宋体"/>
          <w:bCs/>
          <w:spacing w:val="-6"/>
          <w:sz w:val="24"/>
          <w:szCs w:val="24"/>
          <w:highlight w:val="none"/>
        </w:rPr>
        <w:t>投标文件的编制要求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_Toc9270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7AF75E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_Toc4360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11.电子投标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_Toc4360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D12FA6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_Toc11460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9"/>
          <w:sz w:val="24"/>
          <w:szCs w:val="24"/>
          <w:highlight w:val="none"/>
        </w:rPr>
        <w:t>电子投标及投标解密失败及突发情况的补救方案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_Toc11460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C349D9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_Toc30180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7"/>
          <w:sz w:val="24"/>
          <w:szCs w:val="24"/>
          <w:highlight w:val="none"/>
        </w:rPr>
        <w:t>投标文件的提交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_Toc30180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F15000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_Toc15544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lang w:eastAsia="zh-CN"/>
        </w:rPr>
        <w:t>.</w:t>
      </w:r>
      <w:r>
        <w:rPr>
          <w:rFonts w:hint="eastAsia" w:ascii="宋体" w:hAnsi="宋体" w:eastAsia="宋体" w:cs="宋体"/>
          <w:bCs/>
          <w:spacing w:val="-11"/>
          <w:sz w:val="24"/>
          <w:szCs w:val="24"/>
          <w:highlight w:val="none"/>
        </w:rPr>
        <w:t>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_Toc15544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E9DA47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_Toc23568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11"/>
          <w:sz w:val="24"/>
          <w:szCs w:val="24"/>
          <w:highlight w:val="none"/>
          <w:lang w:val="en-US" w:eastAsia="zh-CN"/>
        </w:rPr>
        <w:t>.</w:t>
      </w:r>
      <w:r>
        <w:rPr>
          <w:rFonts w:hint="eastAsia" w:ascii="宋体" w:hAnsi="宋体" w:eastAsia="宋体" w:cs="宋体"/>
          <w:bCs/>
          <w:spacing w:val="-11"/>
          <w:sz w:val="24"/>
          <w:szCs w:val="24"/>
          <w:highlight w:val="none"/>
        </w:rPr>
        <w:t>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_Toc23568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00B5DC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_Toc21307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7"/>
          <w:sz w:val="24"/>
          <w:szCs w:val="24"/>
          <w:highlight w:val="none"/>
        </w:rPr>
        <w:t>中标候选人公示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_Toc21307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9C7E238">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_Toc7185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否决投标条件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_Toc7185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9543CB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_Toc27832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lang w:eastAsia="zh-CN"/>
        </w:rPr>
        <w:t>.</w:t>
      </w:r>
      <w:r>
        <w:rPr>
          <w:rFonts w:hint="eastAsia" w:ascii="宋体" w:hAnsi="宋体" w:eastAsia="宋体" w:cs="宋体"/>
          <w:bCs/>
          <w:spacing w:val="-8"/>
          <w:sz w:val="24"/>
          <w:szCs w:val="24"/>
          <w:highlight w:val="none"/>
        </w:rPr>
        <w:t>资格评审环节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_Toc27832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74F62D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_Toc5819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7"/>
          <w:sz w:val="24"/>
          <w:szCs w:val="24"/>
          <w:highlight w:val="none"/>
        </w:rPr>
        <w:t>形式评审环节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_Toc5819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84ADBD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_Toc11391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6"/>
          <w:sz w:val="24"/>
          <w:szCs w:val="24"/>
          <w:highlight w:val="none"/>
        </w:rPr>
        <w:t>响应性评审环节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_Toc11391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8CAFF2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_Toc14523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11"/>
          <w:sz w:val="24"/>
          <w:szCs w:val="24"/>
          <w:highlight w:val="none"/>
        </w:rPr>
        <w:t>其他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_Toc14523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921A72A">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_Toc20640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第二章</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中标人须知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_Toc20640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B7480C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_Toc9110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中标通知书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_Toc9110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AEA43D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_Toc10616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中标结果公示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_Toc10616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B71ACB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_Toc28533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履约保证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_Toc28533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1AC8ED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_Toc23236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合同订立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_Toc23236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2BBF16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_Toc21620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5</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放弃中标的处理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_Toc21620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7B80846">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_Toc6714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拟签订合同的主要条款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_Toc6714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583CD5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_Toc16212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工程承包方式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_Toc16212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3D7BB3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_Toc32757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工程结算原则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_Toc32757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7A1D4ED">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_Toc13494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 工程付款办法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_Toc13494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6938881">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_Toc24375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其他专用合同条款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_Toc24375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4E353B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_Toc16211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5.</w:t>
      </w:r>
      <w:r>
        <w:rPr>
          <w:rFonts w:hint="eastAsia" w:ascii="宋体" w:hAnsi="宋体" w:eastAsia="宋体" w:cs="宋体"/>
          <w:bCs/>
          <w:spacing w:val="-11"/>
          <w:sz w:val="24"/>
          <w:szCs w:val="24"/>
          <w:highlight w:val="none"/>
        </w:rPr>
        <w:t>工期进度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_Toc16211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5EE6B4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_Toc4690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6.项目管理机构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_Toc4690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B53312A">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_Toc18634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7.现场管理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_Toc18634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2A21FD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_Toc15027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8.监督实施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_Toc15027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78DC7F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_Toc31222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9.主材的采购和使用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_Toc31222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5D40A1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_Toc15970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10.竣工资料移交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_Toc15970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9B9CDD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_Toc26354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11.质量保证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_Toc26354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7D5F57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_Toc22137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12.不良行为处理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_Toc22137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FA8C00A">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_Toc11310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13.信用评价条款内容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_Toc11310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CFA428D">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_Toc24160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14.其他事项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_Toc24160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896FEA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_Toc3399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15.违约及质量保证条款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_Toc3399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CB5D028">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_Toc20941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第四章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_Toc20941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955DF0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_Toc27517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1.房屋建筑工程建设项目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_Toc27517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507D85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_Toc6102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2.市政基础设施工程建设项目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_Toc6102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CEF26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_Toc22781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3.备查要求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_Toc22781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2EA4154">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_Toc27553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第五章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图纸和招标工程量清单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_Toc27553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BC0B5D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1.图纸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_Toc30554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49CF1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_Toc30574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_Toc30574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16FC137">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_Toc744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第六章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_Toc744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5652A5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_Toc7436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格式一   封面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_Toc7436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06996E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_Toc14807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格式二   投标函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_Toc14807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55B2D3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_Toc32516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格式三   各项承诺一览表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_Toc32516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A7D708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格式四   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_Toc1343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066D21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_Toc14327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格式五   法定代表人身份证明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_Toc14327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75D392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_Toc15233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格式六    投标人基本情况表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_Toc15233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0AA85D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_Toc23039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格式七   项目经理简历表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_Toc23039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E2AD76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_Toc20129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格式八   项目经理任职声明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_Toc20129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6A326C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_Toc24090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格式九   项目技术负责人简历表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_Toc24090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4604D8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_Toc3720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   项目管理机构组成表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_Toc3720 \h </w:instrText>
      </w:r>
      <w:r>
        <w:rPr>
          <w:rFonts w:hint="eastAsia" w:ascii="宋体" w:hAnsi="宋体" w:eastAsia="宋体" w:cs="宋体"/>
          <w:sz w:val="24"/>
          <w:szCs w:val="24"/>
        </w:rPr>
        <w:fldChar w:fldCharType="separate"/>
      </w:r>
      <w:r>
        <w:rPr>
          <w:rFonts w:hint="eastAsia" w:ascii="宋体" w:hAnsi="宋体" w:eastAsia="宋体" w:cs="宋体"/>
          <w:sz w:val="24"/>
          <w:szCs w:val="24"/>
        </w:rPr>
        <w:t>83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B1AFC7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_Toc11234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格式十一   建造师查询页（有效期+建造师签字）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_Toc11234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80CFA0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_Toc9813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格式十二   危险性较大的分部分项工程清单及超过一定规模的危险性较大的分部分项工程清单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_Toc9813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E9BFA3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_Toc25639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格式十三   投标保证金信用承诺函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_Toc25639 \h </w:instrText>
      </w:r>
      <w:r>
        <w:rPr>
          <w:rFonts w:hint="eastAsia" w:ascii="宋体" w:hAnsi="宋体" w:eastAsia="宋体" w:cs="宋体"/>
          <w:sz w:val="24"/>
          <w:szCs w:val="24"/>
        </w:rPr>
        <w:fldChar w:fldCharType="separate"/>
      </w:r>
      <w:r>
        <w:rPr>
          <w:rFonts w:hint="eastAsia" w:ascii="宋体" w:hAnsi="宋体" w:eastAsia="宋体" w:cs="宋体"/>
          <w:sz w:val="24"/>
          <w:szCs w:val="24"/>
        </w:rPr>
        <w:t>87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5B9E90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_Toc29984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格式十四   原件一览表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_Toc29984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047379B">
      <w:pPr>
        <w:pStyle w:val="18"/>
        <w:tabs>
          <w:tab w:val="right" w:leader="dot" w:pos="9638"/>
        </w:tabs>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_Toc11550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第七章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建设工程施工合同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_Toc11550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F9C4B2">
      <w:pPr>
        <w:spacing w:line="240" w:lineRule="auto"/>
        <w:rPr>
          <w:rFonts w:hint="eastAsia" w:ascii="宋体" w:hAnsi="宋体" w:eastAsia="宋体" w:cs="宋体"/>
        </w:rPr>
      </w:pPr>
      <w:r>
        <w:rPr>
          <w:rFonts w:hint="eastAsia" w:ascii="宋体" w:hAnsi="宋体" w:eastAsia="宋体" w:cs="宋体"/>
          <w:color w:val="auto"/>
          <w:szCs w:val="24"/>
          <w:highlight w:val="none"/>
        </w:rPr>
        <w:fldChar w:fldCharType="end"/>
      </w:r>
    </w:p>
    <w:p w14:paraId="38EAEBA2">
      <w:pPr>
        <w:rPr>
          <w:rFonts w:hint="eastAsia" w:ascii="宋体" w:hAnsi="宋体" w:eastAsia="宋体" w:cs="宋体"/>
        </w:rPr>
      </w:pPr>
    </w:p>
    <w:p w14:paraId="4288CBFB">
      <w:pPr>
        <w:rPr>
          <w:rFonts w:hint="eastAsia" w:ascii="宋体" w:hAnsi="宋体" w:eastAsia="宋体" w:cs="宋体"/>
        </w:rPr>
      </w:pPr>
    </w:p>
    <w:p w14:paraId="1F4E4B74">
      <w:pPr>
        <w:rPr>
          <w:rFonts w:hint="eastAsia" w:ascii="宋体" w:hAnsi="宋体" w:eastAsia="宋体" w:cs="宋体"/>
        </w:rPr>
      </w:pPr>
    </w:p>
    <w:p w14:paraId="2737AC15">
      <w:pPr>
        <w:rPr>
          <w:rFonts w:hint="eastAsia" w:ascii="宋体" w:hAnsi="宋体" w:eastAsia="宋体" w:cs="宋体"/>
        </w:rPr>
      </w:pPr>
    </w:p>
    <w:p w14:paraId="0F5BFBC3">
      <w:pPr>
        <w:rPr>
          <w:rFonts w:hint="eastAsia" w:ascii="宋体" w:hAnsi="宋体" w:eastAsia="宋体" w:cs="宋体"/>
        </w:rPr>
      </w:pPr>
    </w:p>
    <w:p w14:paraId="685587E3">
      <w:pPr>
        <w:rPr>
          <w:rFonts w:hint="eastAsia" w:ascii="宋体" w:hAnsi="宋体" w:eastAsia="宋体" w:cs="宋体"/>
        </w:rPr>
      </w:pPr>
    </w:p>
    <w:p w14:paraId="0AE3EDFE">
      <w:pPr>
        <w:rPr>
          <w:rFonts w:hint="eastAsia" w:ascii="宋体" w:hAnsi="宋体" w:eastAsia="宋体" w:cs="宋体"/>
        </w:rPr>
      </w:pPr>
    </w:p>
    <w:p w14:paraId="47E1B3C6">
      <w:pPr>
        <w:rPr>
          <w:rFonts w:hint="eastAsia" w:ascii="宋体" w:hAnsi="宋体" w:eastAsia="宋体" w:cs="宋体"/>
        </w:rPr>
      </w:pPr>
    </w:p>
    <w:p w14:paraId="5AD090C2">
      <w:pPr>
        <w:rPr>
          <w:rFonts w:hint="eastAsia" w:ascii="宋体" w:hAnsi="宋体" w:eastAsia="宋体" w:cs="宋体"/>
        </w:rPr>
      </w:pPr>
    </w:p>
    <w:p w14:paraId="4B611946">
      <w:pPr>
        <w:rPr>
          <w:rFonts w:hint="eastAsia" w:ascii="宋体" w:hAnsi="宋体" w:eastAsia="宋体" w:cs="宋体"/>
        </w:rPr>
      </w:pPr>
    </w:p>
    <w:p w14:paraId="1812CF06">
      <w:pPr>
        <w:rPr>
          <w:rFonts w:hint="eastAsia" w:ascii="宋体" w:hAnsi="宋体" w:eastAsia="宋体" w:cs="宋体"/>
        </w:rPr>
      </w:pPr>
    </w:p>
    <w:p w14:paraId="50FB5DB3">
      <w:pPr>
        <w:rPr>
          <w:rFonts w:hint="eastAsia" w:ascii="宋体" w:hAnsi="宋体" w:eastAsia="宋体" w:cs="宋体"/>
        </w:rPr>
      </w:pPr>
    </w:p>
    <w:p w14:paraId="5755DFF0">
      <w:pPr>
        <w:rPr>
          <w:rFonts w:hint="eastAsia" w:ascii="宋体" w:hAnsi="宋体" w:eastAsia="宋体" w:cs="宋体"/>
        </w:rPr>
      </w:pPr>
    </w:p>
    <w:p w14:paraId="4397A7F6">
      <w:pPr>
        <w:rPr>
          <w:rFonts w:hint="eastAsia" w:ascii="宋体" w:hAnsi="宋体" w:eastAsia="宋体" w:cs="宋体"/>
        </w:rPr>
      </w:pPr>
    </w:p>
    <w:p w14:paraId="0F865B08">
      <w:pPr>
        <w:rPr>
          <w:rFonts w:hint="eastAsia" w:ascii="宋体" w:hAnsi="宋体" w:eastAsia="宋体" w:cs="宋体"/>
        </w:rPr>
      </w:pPr>
    </w:p>
    <w:p w14:paraId="1D521498">
      <w:pPr>
        <w:rPr>
          <w:rFonts w:hint="eastAsia" w:ascii="宋体" w:hAnsi="宋体" w:eastAsia="宋体" w:cs="宋体"/>
        </w:rPr>
      </w:pPr>
    </w:p>
    <w:p w14:paraId="749C5641">
      <w:pPr>
        <w:rPr>
          <w:rFonts w:hint="eastAsia" w:ascii="宋体" w:hAnsi="宋体" w:eastAsia="宋体" w:cs="宋体"/>
        </w:rPr>
      </w:pPr>
    </w:p>
    <w:p w14:paraId="18E797F7">
      <w:pPr>
        <w:rPr>
          <w:rFonts w:hint="eastAsia" w:ascii="宋体" w:hAnsi="宋体" w:eastAsia="宋体" w:cs="宋体"/>
        </w:rPr>
      </w:pPr>
    </w:p>
    <w:p w14:paraId="111E9636">
      <w:pPr>
        <w:rPr>
          <w:rFonts w:hint="eastAsia" w:ascii="宋体" w:hAnsi="宋体" w:eastAsia="宋体" w:cs="宋体"/>
        </w:rPr>
      </w:pPr>
    </w:p>
    <w:p w14:paraId="220DACF8">
      <w:pPr>
        <w:rPr>
          <w:rFonts w:hint="eastAsia" w:ascii="宋体" w:hAnsi="宋体" w:eastAsia="宋体" w:cs="宋体"/>
        </w:rPr>
      </w:pPr>
    </w:p>
    <w:p w14:paraId="03E6E150">
      <w:pPr>
        <w:rPr>
          <w:rFonts w:hint="eastAsia" w:ascii="宋体" w:hAnsi="宋体" w:eastAsia="宋体" w:cs="宋体"/>
        </w:rPr>
      </w:pPr>
    </w:p>
    <w:p w14:paraId="1FF4BC8C">
      <w:pPr>
        <w:rPr>
          <w:rFonts w:hint="eastAsia" w:ascii="宋体" w:hAnsi="宋体" w:eastAsia="宋体" w:cs="宋体"/>
        </w:rPr>
      </w:pPr>
    </w:p>
    <w:p w14:paraId="659E5FA8">
      <w:pPr>
        <w:spacing w:before="78" w:line="360" w:lineRule="auto"/>
        <w:jc w:val="center"/>
        <w:outlineLvl w:val="0"/>
        <w:rPr>
          <w:rFonts w:hint="eastAsia" w:ascii="宋体" w:hAnsi="宋体" w:eastAsia="宋体" w:cs="宋体"/>
          <w:color w:val="auto"/>
          <w:sz w:val="24"/>
          <w:szCs w:val="24"/>
          <w:highlight w:val="none"/>
        </w:rPr>
      </w:pPr>
      <w:bookmarkStart w:id="0" w:name="bookmark1"/>
      <w:bookmarkEnd w:id="0"/>
      <w:bookmarkStart w:id="1" w:name="_Toc9284"/>
      <w:bookmarkStart w:id="2" w:name="_Toc19872"/>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w:t>
      </w:r>
      <w:bookmarkEnd w:id="1"/>
      <w:bookmarkEnd w:id="2"/>
    </w:p>
    <w:p w14:paraId="30EA1A18">
      <w:pPr>
        <w:spacing w:before="156" w:line="360" w:lineRule="auto"/>
        <w:ind w:left="17"/>
        <w:outlineLvl w:val="1"/>
        <w:rPr>
          <w:rFonts w:hint="eastAsia" w:ascii="宋体" w:hAnsi="宋体" w:eastAsia="宋体" w:cs="宋体"/>
          <w:b/>
          <w:bCs/>
          <w:color w:val="auto"/>
          <w:spacing w:val="-3"/>
          <w:sz w:val="24"/>
          <w:szCs w:val="24"/>
          <w:highlight w:val="none"/>
        </w:rPr>
      </w:pPr>
      <w:bookmarkStart w:id="3" w:name="bookmark3"/>
      <w:bookmarkEnd w:id="3"/>
      <w:bookmarkStart w:id="4" w:name="_Toc10972"/>
      <w:bookmarkStart w:id="5" w:name="_Toc23115"/>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投标人须知前附表</w:t>
      </w:r>
      <w:bookmarkEnd w:id="4"/>
      <w:bookmarkEnd w:id="5"/>
    </w:p>
    <w:tbl>
      <w:tblPr>
        <w:tblStyle w:val="25"/>
        <w:tblW w:w="10200"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447"/>
        <w:gridCol w:w="7020"/>
      </w:tblGrid>
      <w:tr w14:paraId="44D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top"/>
          </w:tcPr>
          <w:p w14:paraId="7B2D9F2A">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序号</w:t>
            </w:r>
          </w:p>
        </w:tc>
        <w:tc>
          <w:tcPr>
            <w:tcW w:w="2447" w:type="dxa"/>
            <w:shd w:val="clear" w:color="auto" w:fill="auto"/>
            <w:vAlign w:val="top"/>
          </w:tcPr>
          <w:p w14:paraId="59ADCDC3">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内容</w:t>
            </w:r>
          </w:p>
        </w:tc>
        <w:tc>
          <w:tcPr>
            <w:tcW w:w="7020" w:type="dxa"/>
            <w:shd w:val="clear" w:color="auto" w:fill="auto"/>
            <w:vAlign w:val="top"/>
          </w:tcPr>
          <w:p w14:paraId="0BF5224D">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说明与要求</w:t>
            </w:r>
          </w:p>
        </w:tc>
      </w:tr>
      <w:tr w14:paraId="5992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2F05F5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w:t>
            </w:r>
          </w:p>
        </w:tc>
        <w:tc>
          <w:tcPr>
            <w:tcW w:w="2447" w:type="dxa"/>
            <w:shd w:val="clear" w:color="auto" w:fill="auto"/>
            <w:vAlign w:val="center"/>
          </w:tcPr>
          <w:p w14:paraId="43BE10D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w:t>
            </w:r>
          </w:p>
        </w:tc>
        <w:tc>
          <w:tcPr>
            <w:tcW w:w="7020" w:type="dxa"/>
            <w:shd w:val="clear" w:color="auto" w:fill="auto"/>
            <w:vAlign w:val="center"/>
          </w:tcPr>
          <w:p w14:paraId="105699C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江湾镇武洞至乳源白竹跨镇道路灾后重建项目（水渠工程）</w:t>
            </w:r>
          </w:p>
        </w:tc>
      </w:tr>
      <w:tr w14:paraId="4F4E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321AAA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w:t>
            </w:r>
          </w:p>
        </w:tc>
        <w:tc>
          <w:tcPr>
            <w:tcW w:w="2447" w:type="dxa"/>
            <w:shd w:val="clear" w:color="auto" w:fill="auto"/>
            <w:vAlign w:val="center"/>
          </w:tcPr>
          <w:p w14:paraId="53876A3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项目业主</w:t>
            </w:r>
          </w:p>
        </w:tc>
        <w:tc>
          <w:tcPr>
            <w:tcW w:w="7020" w:type="dxa"/>
            <w:shd w:val="clear" w:color="auto" w:fill="auto"/>
            <w:vAlign w:val="center"/>
          </w:tcPr>
          <w:p w14:paraId="30040E9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韶关市武江区江湾镇人民政府</w:t>
            </w:r>
          </w:p>
        </w:tc>
      </w:tr>
      <w:tr w14:paraId="6008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9F3CC8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w:t>
            </w:r>
          </w:p>
        </w:tc>
        <w:tc>
          <w:tcPr>
            <w:tcW w:w="2447" w:type="dxa"/>
            <w:shd w:val="clear" w:color="auto" w:fill="auto"/>
            <w:vAlign w:val="center"/>
          </w:tcPr>
          <w:p w14:paraId="55EDB83D">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项目批准部门及项目批准文号</w:t>
            </w:r>
          </w:p>
        </w:tc>
        <w:tc>
          <w:tcPr>
            <w:tcW w:w="7020" w:type="dxa"/>
            <w:shd w:val="clear" w:color="auto" w:fill="auto"/>
            <w:vAlign w:val="center"/>
          </w:tcPr>
          <w:p w14:paraId="56FAEB6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韶关市武江区发展和改革局、韶武发改投审〔2025〕53号</w:t>
            </w:r>
          </w:p>
        </w:tc>
      </w:tr>
      <w:tr w14:paraId="5491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DF3EAE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4</w:t>
            </w:r>
          </w:p>
        </w:tc>
        <w:tc>
          <w:tcPr>
            <w:tcW w:w="2447" w:type="dxa"/>
            <w:shd w:val="clear" w:color="auto" w:fill="auto"/>
            <w:vAlign w:val="center"/>
          </w:tcPr>
          <w:p w14:paraId="3642BB6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建设地点</w:t>
            </w:r>
          </w:p>
        </w:tc>
        <w:tc>
          <w:tcPr>
            <w:tcW w:w="7020" w:type="dxa"/>
            <w:shd w:val="clear" w:color="auto" w:fill="auto"/>
            <w:vAlign w:val="center"/>
          </w:tcPr>
          <w:p w14:paraId="365D85B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江湾镇武洞村</w:t>
            </w:r>
          </w:p>
        </w:tc>
      </w:tr>
      <w:tr w14:paraId="31E5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4D2BDB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5</w:t>
            </w:r>
          </w:p>
        </w:tc>
        <w:tc>
          <w:tcPr>
            <w:tcW w:w="2447" w:type="dxa"/>
            <w:shd w:val="clear" w:color="auto" w:fill="auto"/>
            <w:vAlign w:val="center"/>
          </w:tcPr>
          <w:p w14:paraId="4B1C4E29">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项目代码</w:t>
            </w:r>
          </w:p>
        </w:tc>
        <w:tc>
          <w:tcPr>
            <w:tcW w:w="7020" w:type="dxa"/>
            <w:shd w:val="clear" w:color="auto" w:fill="auto"/>
            <w:vAlign w:val="center"/>
          </w:tcPr>
          <w:p w14:paraId="4122AAF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2507-440203-18-01-670306</w:t>
            </w:r>
          </w:p>
        </w:tc>
      </w:tr>
      <w:tr w14:paraId="0CBE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3F1187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6</w:t>
            </w:r>
          </w:p>
        </w:tc>
        <w:tc>
          <w:tcPr>
            <w:tcW w:w="2447" w:type="dxa"/>
            <w:shd w:val="clear" w:color="auto" w:fill="auto"/>
            <w:vAlign w:val="center"/>
          </w:tcPr>
          <w:p w14:paraId="4887C5D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资金来源及落实情况</w:t>
            </w:r>
          </w:p>
        </w:tc>
        <w:tc>
          <w:tcPr>
            <w:tcW w:w="7020" w:type="dxa"/>
            <w:shd w:val="clear" w:color="auto" w:fill="auto"/>
            <w:vAlign w:val="center"/>
          </w:tcPr>
          <w:p w14:paraId="4EF660A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区财政统筹，100%</w:t>
            </w:r>
          </w:p>
        </w:tc>
      </w:tr>
      <w:tr w14:paraId="2AE0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9A6BBB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7</w:t>
            </w:r>
          </w:p>
        </w:tc>
        <w:tc>
          <w:tcPr>
            <w:tcW w:w="2447" w:type="dxa"/>
            <w:shd w:val="clear" w:color="auto" w:fill="auto"/>
            <w:vAlign w:val="center"/>
          </w:tcPr>
          <w:p w14:paraId="3BA0B4CA">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招标人</w:t>
            </w:r>
          </w:p>
        </w:tc>
        <w:tc>
          <w:tcPr>
            <w:tcW w:w="7020" w:type="dxa"/>
            <w:shd w:val="clear" w:color="auto" w:fill="auto"/>
            <w:vAlign w:val="center"/>
          </w:tcPr>
          <w:p w14:paraId="5FD8D3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韶关市武江区江湾镇人民政府</w:t>
            </w:r>
          </w:p>
        </w:tc>
      </w:tr>
      <w:tr w14:paraId="04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B4C612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8</w:t>
            </w:r>
          </w:p>
        </w:tc>
        <w:tc>
          <w:tcPr>
            <w:tcW w:w="2447" w:type="dxa"/>
            <w:shd w:val="clear" w:color="auto" w:fill="auto"/>
            <w:vAlign w:val="center"/>
          </w:tcPr>
          <w:p w14:paraId="69DA39D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招标代理机构</w:t>
            </w:r>
          </w:p>
        </w:tc>
        <w:tc>
          <w:tcPr>
            <w:tcW w:w="7020" w:type="dxa"/>
            <w:shd w:val="clear" w:color="auto" w:fill="auto"/>
            <w:vAlign w:val="center"/>
          </w:tcPr>
          <w:p w14:paraId="3F43251B">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广东明正项目管理有限公司</w:t>
            </w:r>
          </w:p>
        </w:tc>
      </w:tr>
      <w:tr w14:paraId="6AD4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EBA041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9</w:t>
            </w:r>
          </w:p>
        </w:tc>
        <w:tc>
          <w:tcPr>
            <w:tcW w:w="2447" w:type="dxa"/>
            <w:shd w:val="clear" w:color="auto" w:fill="auto"/>
            <w:vAlign w:val="center"/>
          </w:tcPr>
          <w:p w14:paraId="335E946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设计单位</w:t>
            </w:r>
          </w:p>
        </w:tc>
        <w:tc>
          <w:tcPr>
            <w:tcW w:w="7020" w:type="dxa"/>
            <w:shd w:val="clear" w:color="auto" w:fill="auto"/>
            <w:vAlign w:val="center"/>
          </w:tcPr>
          <w:p w14:paraId="49CDB5E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都创工程设计有限公司</w:t>
            </w:r>
          </w:p>
        </w:tc>
      </w:tr>
      <w:tr w14:paraId="68B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844D27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10</w:t>
            </w:r>
          </w:p>
        </w:tc>
        <w:tc>
          <w:tcPr>
            <w:tcW w:w="2447" w:type="dxa"/>
            <w:shd w:val="clear" w:color="auto" w:fill="auto"/>
            <w:vAlign w:val="center"/>
          </w:tcPr>
          <w:p w14:paraId="1CC1852F">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造价咨询单位</w:t>
            </w:r>
          </w:p>
        </w:tc>
        <w:tc>
          <w:tcPr>
            <w:tcW w:w="7020" w:type="dxa"/>
            <w:shd w:val="clear" w:color="auto" w:fill="auto"/>
            <w:vAlign w:val="center"/>
          </w:tcPr>
          <w:p w14:paraId="06D44FB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□全过程造价咨询  ☑非全过程造价咨询</w:t>
            </w:r>
          </w:p>
        </w:tc>
      </w:tr>
      <w:tr w14:paraId="27B4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FF800B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11</w:t>
            </w:r>
          </w:p>
        </w:tc>
        <w:tc>
          <w:tcPr>
            <w:tcW w:w="2447" w:type="dxa"/>
            <w:shd w:val="clear" w:color="auto" w:fill="auto"/>
            <w:vAlign w:val="center"/>
          </w:tcPr>
          <w:p w14:paraId="3EDCB645">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监理单位</w:t>
            </w:r>
          </w:p>
        </w:tc>
        <w:tc>
          <w:tcPr>
            <w:tcW w:w="7020" w:type="dxa"/>
            <w:shd w:val="clear" w:color="auto" w:fill="auto"/>
            <w:vAlign w:val="center"/>
          </w:tcPr>
          <w:p w14:paraId="3ECA6F1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rPr>
              <w:t>已确定监理单位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☑未</w:t>
            </w:r>
            <w:r>
              <w:rPr>
                <w:rFonts w:hint="eastAsia" w:ascii="宋体" w:hAnsi="宋体" w:eastAsia="宋体" w:cs="宋体"/>
                <w:sz w:val="24"/>
                <w:szCs w:val="24"/>
              </w:rPr>
              <w:t>确定监理单位</w:t>
            </w:r>
          </w:p>
        </w:tc>
      </w:tr>
      <w:tr w14:paraId="390E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B1FB57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eastAsia="zh-CN"/>
              </w:rPr>
              <w:t>1</w:t>
            </w:r>
            <w:r>
              <w:rPr>
                <w:rFonts w:hint="eastAsia" w:ascii="宋体" w:hAnsi="宋体" w:eastAsia="宋体" w:cs="宋体"/>
                <w:sz w:val="24"/>
                <w:szCs w:val="24"/>
              </w:rPr>
              <w:t>2</w:t>
            </w:r>
          </w:p>
        </w:tc>
        <w:tc>
          <w:tcPr>
            <w:tcW w:w="2447" w:type="dxa"/>
            <w:shd w:val="clear" w:color="auto" w:fill="auto"/>
            <w:vAlign w:val="center"/>
          </w:tcPr>
          <w:p w14:paraId="52356A5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建设内容和规模</w:t>
            </w:r>
          </w:p>
        </w:tc>
        <w:tc>
          <w:tcPr>
            <w:tcW w:w="7020" w:type="dxa"/>
            <w:shd w:val="clear" w:color="auto" w:fill="auto"/>
            <w:vAlign w:val="center"/>
          </w:tcPr>
          <w:p w14:paraId="33F48A8B">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硬化江湾镇武洞至乳源跨镇道路约244米现状土渠、新建约2900米混凝土渠，新建一个行人候车休息亭。</w:t>
            </w:r>
          </w:p>
        </w:tc>
      </w:tr>
      <w:tr w14:paraId="62A5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C2FF3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13</w:t>
            </w:r>
          </w:p>
        </w:tc>
        <w:tc>
          <w:tcPr>
            <w:tcW w:w="2447" w:type="dxa"/>
            <w:shd w:val="clear" w:color="auto" w:fill="auto"/>
            <w:vAlign w:val="center"/>
          </w:tcPr>
          <w:p w14:paraId="2640CA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项目总投资</w:t>
            </w:r>
          </w:p>
        </w:tc>
        <w:tc>
          <w:tcPr>
            <w:tcW w:w="7020" w:type="dxa"/>
            <w:shd w:val="clear" w:color="auto" w:fill="auto"/>
            <w:vAlign w:val="center"/>
          </w:tcPr>
          <w:p w14:paraId="05F12A89">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项目概算总投资149.92万元，其中工程费用128.96万元，工程建设其他费用13.82万元，预备费用7.14万元。</w:t>
            </w:r>
          </w:p>
        </w:tc>
      </w:tr>
      <w:tr w14:paraId="4469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5183B3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14</w:t>
            </w:r>
          </w:p>
        </w:tc>
        <w:tc>
          <w:tcPr>
            <w:tcW w:w="2447" w:type="dxa"/>
            <w:shd w:val="clear" w:color="auto" w:fill="auto"/>
            <w:vAlign w:val="top"/>
          </w:tcPr>
          <w:p w14:paraId="4B99760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招标范围</w:t>
            </w:r>
          </w:p>
        </w:tc>
        <w:tc>
          <w:tcPr>
            <w:tcW w:w="7020" w:type="dxa"/>
            <w:shd w:val="clear" w:color="auto" w:fill="auto"/>
            <w:vAlign w:val="top"/>
          </w:tcPr>
          <w:p w14:paraId="55D2EF94">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按审查合格的施工图纸及工程量清单内容施工</w:t>
            </w:r>
            <w:r>
              <w:rPr>
                <w:rFonts w:hint="eastAsia" w:ascii="宋体" w:hAnsi="宋体" w:eastAsia="宋体" w:cs="宋体"/>
                <w:sz w:val="24"/>
                <w:szCs w:val="24"/>
                <w:lang w:eastAsia="zh-CN"/>
              </w:rPr>
              <w:t>。</w:t>
            </w:r>
          </w:p>
        </w:tc>
      </w:tr>
      <w:tr w14:paraId="6D93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E9C444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15</w:t>
            </w:r>
          </w:p>
        </w:tc>
        <w:tc>
          <w:tcPr>
            <w:tcW w:w="2447" w:type="dxa"/>
            <w:shd w:val="clear" w:color="auto" w:fill="auto"/>
            <w:vAlign w:val="center"/>
          </w:tcPr>
          <w:p w14:paraId="5ECF0E2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标段划分</w:t>
            </w:r>
          </w:p>
        </w:tc>
        <w:tc>
          <w:tcPr>
            <w:tcW w:w="7020" w:type="dxa"/>
            <w:shd w:val="clear" w:color="auto" w:fill="auto"/>
            <w:vAlign w:val="center"/>
          </w:tcPr>
          <w:p w14:paraId="334CEE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本招标项目不划分标段。</w:t>
            </w:r>
          </w:p>
        </w:tc>
      </w:tr>
      <w:tr w14:paraId="36A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09B7E7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16</w:t>
            </w:r>
          </w:p>
        </w:tc>
        <w:tc>
          <w:tcPr>
            <w:tcW w:w="2447" w:type="dxa"/>
            <w:shd w:val="clear" w:color="auto" w:fill="auto"/>
            <w:vAlign w:val="center"/>
          </w:tcPr>
          <w:p w14:paraId="7F21C96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工期</w:t>
            </w:r>
          </w:p>
        </w:tc>
        <w:tc>
          <w:tcPr>
            <w:tcW w:w="7020" w:type="dxa"/>
            <w:shd w:val="clear" w:color="auto" w:fill="auto"/>
            <w:vAlign w:val="top"/>
          </w:tcPr>
          <w:p w14:paraId="5B72EFA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本招标项目招标工期为个日历天。具体如下：</w:t>
            </w:r>
          </w:p>
          <w:p w14:paraId="0BE99AF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总工期：</w:t>
            </w:r>
            <w:r>
              <w:rPr>
                <w:rFonts w:hint="eastAsia" w:ascii="宋体" w:hAnsi="宋体" w:eastAsia="宋体" w:cs="宋体"/>
                <w:sz w:val="24"/>
                <w:szCs w:val="24"/>
                <w:lang w:val="en-US" w:eastAsia="zh-CN"/>
              </w:rPr>
              <w:t>60天</w:t>
            </w:r>
            <w:r>
              <w:rPr>
                <w:rFonts w:hint="eastAsia" w:ascii="宋体" w:hAnsi="宋体" w:eastAsia="宋体" w:cs="宋体"/>
                <w:sz w:val="24"/>
                <w:szCs w:val="24"/>
              </w:rPr>
              <w:t>（日历天）。</w:t>
            </w:r>
          </w:p>
          <w:p w14:paraId="03B5A72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计划开工日期</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日（具体开工日期以合同为准）</w:t>
            </w:r>
          </w:p>
          <w:p w14:paraId="603B74A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计划竣工日期：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54FEDF04">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□除上述总工期外，发包人还要求以下阶段工期：</w:t>
            </w:r>
          </w:p>
        </w:tc>
      </w:tr>
      <w:tr w14:paraId="1F67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155CB24">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17</w:t>
            </w:r>
          </w:p>
        </w:tc>
        <w:tc>
          <w:tcPr>
            <w:tcW w:w="2447" w:type="dxa"/>
            <w:shd w:val="clear" w:color="auto" w:fill="auto"/>
            <w:vAlign w:val="center"/>
          </w:tcPr>
          <w:p w14:paraId="428AB34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质量标准</w:t>
            </w:r>
          </w:p>
        </w:tc>
        <w:tc>
          <w:tcPr>
            <w:tcW w:w="7020" w:type="dxa"/>
            <w:shd w:val="clear" w:color="auto" w:fill="auto"/>
            <w:vAlign w:val="top"/>
          </w:tcPr>
          <w:p w14:paraId="0EFDB5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☑质量目标：合格</w:t>
            </w:r>
          </w:p>
          <w:p w14:paraId="4DF09D0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☑质量标准：工程质量标准须达到《建筑工程施工质量验收统一标准》(GB50300-2013)合格。</w:t>
            </w:r>
          </w:p>
          <w:p w14:paraId="2773185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□优质工程要求：无/市优/省优/.....</w:t>
            </w:r>
          </w:p>
          <w:p w14:paraId="0F03357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工程优质费：☑无     □有：</w:t>
            </w:r>
          </w:p>
        </w:tc>
      </w:tr>
      <w:tr w14:paraId="426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BBF24D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18</w:t>
            </w:r>
          </w:p>
        </w:tc>
        <w:tc>
          <w:tcPr>
            <w:tcW w:w="2447" w:type="dxa"/>
            <w:shd w:val="clear" w:color="auto" w:fill="auto"/>
            <w:vAlign w:val="center"/>
          </w:tcPr>
          <w:p w14:paraId="49A3AEE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合同类型</w:t>
            </w:r>
          </w:p>
        </w:tc>
        <w:tc>
          <w:tcPr>
            <w:tcW w:w="7020" w:type="dxa"/>
            <w:shd w:val="clear" w:color="auto" w:fill="auto"/>
            <w:vAlign w:val="top"/>
          </w:tcPr>
          <w:p w14:paraId="3C5B102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单价合同：发承包双方约定以工程量清单及其综合单价进行合同价款计算、调整和确认的建设工程施工合同。</w:t>
            </w:r>
          </w:p>
          <w:p w14:paraId="7EDC46A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p w14:paraId="2452E025">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□总价合同：发承包双方约定以施工图及其预算和有关条件进行合同价款计算、调整和确认的建设工程施工合同。</w:t>
            </w:r>
          </w:p>
          <w:p w14:paraId="6CC7D6B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4BB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55AB5E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w:t>
            </w:r>
          </w:p>
        </w:tc>
        <w:tc>
          <w:tcPr>
            <w:tcW w:w="2447" w:type="dxa"/>
            <w:shd w:val="clear" w:color="auto" w:fill="auto"/>
            <w:vAlign w:val="top"/>
          </w:tcPr>
          <w:p w14:paraId="1B27397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房屋建筑工程绿色建筑标准</w:t>
            </w:r>
          </w:p>
        </w:tc>
        <w:tc>
          <w:tcPr>
            <w:tcW w:w="7020" w:type="dxa"/>
            <w:shd w:val="clear" w:color="auto" w:fill="auto"/>
            <w:vAlign w:val="center"/>
          </w:tcPr>
          <w:p w14:paraId="11172871">
            <w:pPr>
              <w:widowControl w:val="0"/>
              <w:spacing w:line="360" w:lineRule="auto"/>
              <w:jc w:val="left"/>
              <w:rPr>
                <w:rFonts w:hint="eastAsia" w:ascii="宋体" w:hAnsi="宋体" w:eastAsia="宋体" w:cs="宋体"/>
                <w:sz w:val="24"/>
                <w:szCs w:val="24"/>
                <w:lang w:val="en-US" w:eastAsia="en-US"/>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纳入绿色建设实施范围</w:t>
            </w:r>
            <w:r>
              <w:rPr>
                <w:rFonts w:hint="eastAsia" w:ascii="宋体" w:hAnsi="宋体" w:eastAsia="宋体" w:cs="宋体"/>
                <w:sz w:val="24"/>
                <w:szCs w:val="24"/>
                <w:lang w:eastAsia="zh-CN"/>
              </w:rPr>
              <w:t>。</w:t>
            </w:r>
          </w:p>
        </w:tc>
      </w:tr>
      <w:tr w14:paraId="669B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33" w:type="dxa"/>
            <w:shd w:val="clear" w:color="auto" w:fill="auto"/>
            <w:vAlign w:val="center"/>
          </w:tcPr>
          <w:p w14:paraId="64E1189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19.1</w:t>
            </w:r>
          </w:p>
        </w:tc>
        <w:tc>
          <w:tcPr>
            <w:tcW w:w="2447" w:type="dxa"/>
            <w:shd w:val="clear" w:color="auto" w:fill="auto"/>
            <w:vAlign w:val="center"/>
          </w:tcPr>
          <w:p w14:paraId="309D3E2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装配式建筑标准</w:t>
            </w:r>
          </w:p>
        </w:tc>
        <w:tc>
          <w:tcPr>
            <w:tcW w:w="7020" w:type="dxa"/>
            <w:shd w:val="clear" w:color="auto" w:fill="auto"/>
            <w:vAlign w:val="center"/>
          </w:tcPr>
          <w:p w14:paraId="77AC63B3">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纳入装配式建造建设实施范围</w:t>
            </w:r>
            <w:r>
              <w:rPr>
                <w:rFonts w:hint="eastAsia" w:ascii="宋体" w:hAnsi="宋体" w:eastAsia="宋体" w:cs="宋体"/>
                <w:sz w:val="24"/>
                <w:szCs w:val="24"/>
                <w:lang w:eastAsia="zh-CN"/>
              </w:rPr>
              <w:t>。</w:t>
            </w:r>
          </w:p>
        </w:tc>
      </w:tr>
      <w:tr w14:paraId="036D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E3E83E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20</w:t>
            </w:r>
          </w:p>
        </w:tc>
        <w:tc>
          <w:tcPr>
            <w:tcW w:w="2447" w:type="dxa"/>
            <w:shd w:val="clear" w:color="auto" w:fill="auto"/>
            <w:vAlign w:val="center"/>
          </w:tcPr>
          <w:p w14:paraId="5132656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发包人提供材料和工程设备</w:t>
            </w:r>
          </w:p>
        </w:tc>
        <w:tc>
          <w:tcPr>
            <w:tcW w:w="7020" w:type="dxa"/>
            <w:shd w:val="clear" w:color="auto" w:fill="auto"/>
            <w:vAlign w:val="center"/>
          </w:tcPr>
          <w:p w14:paraId="0E9A7FE9">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发包人提供材料和工程设备： </w:t>
            </w:r>
            <w:r>
              <w:rPr>
                <w:rFonts w:hint="eastAsia" w:ascii="宋体" w:hAnsi="宋体" w:eastAsia="宋体" w:cs="宋体"/>
                <w:sz w:val="24"/>
                <w:szCs w:val="24"/>
                <w:lang w:eastAsia="zh-CN"/>
              </w:rPr>
              <w:t>☑</w:t>
            </w:r>
            <w:r>
              <w:rPr>
                <w:rFonts w:hint="eastAsia" w:ascii="宋体" w:hAnsi="宋体" w:eastAsia="宋体" w:cs="宋体"/>
                <w:sz w:val="24"/>
                <w:szCs w:val="24"/>
              </w:rPr>
              <w:t xml:space="preserve">无     □有：  </w:t>
            </w:r>
            <w:r>
              <w:rPr>
                <w:rFonts w:hint="eastAsia" w:ascii="宋体" w:hAnsi="宋体" w:eastAsia="宋体" w:cs="宋体"/>
                <w:sz w:val="24"/>
                <w:szCs w:val="24"/>
                <w:lang w:val="en-US" w:eastAsia="zh-CN"/>
              </w:rPr>
              <w:t xml:space="preserve">  /  </w:t>
            </w:r>
            <w:r>
              <w:rPr>
                <w:rFonts w:hint="eastAsia" w:ascii="宋体" w:hAnsi="宋体" w:eastAsia="宋体" w:cs="宋体"/>
                <w:sz w:val="24"/>
                <w:szCs w:val="24"/>
              </w:rPr>
              <w:t xml:space="preserve">   </w:t>
            </w:r>
          </w:p>
        </w:tc>
      </w:tr>
      <w:tr w14:paraId="0AEF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9886C5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21</w:t>
            </w:r>
          </w:p>
        </w:tc>
        <w:tc>
          <w:tcPr>
            <w:tcW w:w="2447" w:type="dxa"/>
            <w:shd w:val="clear" w:color="auto" w:fill="auto"/>
            <w:vAlign w:val="center"/>
          </w:tcPr>
          <w:p w14:paraId="6F7E02A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承包人提供材料和工程设备</w:t>
            </w:r>
          </w:p>
        </w:tc>
        <w:tc>
          <w:tcPr>
            <w:tcW w:w="7020" w:type="dxa"/>
            <w:shd w:val="clear" w:color="auto" w:fill="auto"/>
            <w:vAlign w:val="top"/>
          </w:tcPr>
          <w:p w14:paraId="57BC61F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6E2CD8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□其它说明：鼓励承包人积极采购环保产品进行施工。</w:t>
            </w:r>
          </w:p>
        </w:tc>
      </w:tr>
      <w:tr w14:paraId="1B6F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733" w:type="dxa"/>
            <w:shd w:val="clear" w:color="auto" w:fill="auto"/>
            <w:vAlign w:val="center"/>
          </w:tcPr>
          <w:p w14:paraId="55F0A89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22</w:t>
            </w:r>
          </w:p>
        </w:tc>
        <w:tc>
          <w:tcPr>
            <w:tcW w:w="2447" w:type="dxa"/>
            <w:shd w:val="clear" w:color="auto" w:fill="auto"/>
            <w:vAlign w:val="center"/>
          </w:tcPr>
          <w:p w14:paraId="0040D2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最高投标限价</w:t>
            </w:r>
          </w:p>
        </w:tc>
        <w:tc>
          <w:tcPr>
            <w:tcW w:w="7020" w:type="dxa"/>
            <w:shd w:val="clear" w:color="auto" w:fill="auto"/>
            <w:vAlign w:val="center"/>
          </w:tcPr>
          <w:p w14:paraId="12F4D4DA">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本招标项目最高投标限价、工程量清单、施工图最终以补充公告形式在开标前15天另行发布于相关网站，各投标人可在全国公共资源交易平台（广东省·韶关市）（https://ygp.gdzwfw.gov.cn/ggzy-portal/#/440200/index）自行下载。</w:t>
            </w:r>
          </w:p>
        </w:tc>
      </w:tr>
      <w:tr w14:paraId="52F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29D38D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23</w:t>
            </w:r>
          </w:p>
        </w:tc>
        <w:tc>
          <w:tcPr>
            <w:tcW w:w="2447" w:type="dxa"/>
            <w:shd w:val="clear" w:color="auto" w:fill="auto"/>
            <w:vAlign w:val="center"/>
          </w:tcPr>
          <w:p w14:paraId="527E680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投标人的投标报价</w:t>
            </w:r>
          </w:p>
        </w:tc>
        <w:tc>
          <w:tcPr>
            <w:tcW w:w="7020" w:type="dxa"/>
            <w:shd w:val="clear" w:color="auto" w:fill="auto"/>
            <w:vAlign w:val="center"/>
          </w:tcPr>
          <w:p w14:paraId="16167333">
            <w:pPr>
              <w:widowControl w:val="0"/>
              <w:spacing w:before="117" w:line="360" w:lineRule="auto"/>
              <w:ind w:right="4" w:firstLine="238"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投标人投标时响应招标文件要求所报出的对已标价工程量清单</w:t>
            </w:r>
            <w:r>
              <w:rPr>
                <w:rFonts w:hint="eastAsia" w:ascii="宋体" w:hAnsi="宋体" w:eastAsia="宋体" w:cs="宋体"/>
                <w:color w:val="auto"/>
                <w:sz w:val="24"/>
                <w:szCs w:val="24"/>
                <w:highlight w:val="none"/>
              </w:rPr>
              <w:t>汇总后标明的总价。投标人在投标报价填写</w:t>
            </w:r>
            <w:r>
              <w:rPr>
                <w:rFonts w:hint="eastAsia" w:ascii="宋体" w:hAnsi="宋体" w:eastAsia="宋体" w:cs="宋体"/>
                <w:color w:val="auto"/>
                <w:spacing w:val="-1"/>
                <w:sz w:val="24"/>
                <w:szCs w:val="24"/>
                <w:highlight w:val="none"/>
              </w:rPr>
              <w:t>的工程量清单的项目编</w:t>
            </w:r>
            <w:r>
              <w:rPr>
                <w:rFonts w:hint="eastAsia" w:ascii="宋体" w:hAnsi="宋体" w:eastAsia="宋体" w:cs="宋体"/>
                <w:color w:val="auto"/>
                <w:spacing w:val="-3"/>
                <w:sz w:val="24"/>
                <w:szCs w:val="24"/>
                <w:highlight w:val="none"/>
              </w:rPr>
              <w:t>码、项目名称、项目特征、计量单位、工程数量必须与招标人招标文</w:t>
            </w:r>
            <w:r>
              <w:rPr>
                <w:rFonts w:hint="eastAsia" w:ascii="宋体" w:hAnsi="宋体" w:eastAsia="宋体" w:cs="宋体"/>
                <w:color w:val="auto"/>
                <w:sz w:val="24"/>
                <w:szCs w:val="24"/>
                <w:highlight w:val="none"/>
              </w:rPr>
              <w:t>件中提供的一致，投标价不能低于工程成本</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3"/>
                <w:sz w:val="24"/>
                <w:szCs w:val="24"/>
                <w:highlight w:val="none"/>
              </w:rPr>
              <w:t>高于最高投标限价。</w:t>
            </w:r>
          </w:p>
          <w:p w14:paraId="57CB68D4">
            <w:pPr>
              <w:keepNext w:val="0"/>
              <w:keepLines w:val="0"/>
              <w:pageBreakBefore w:val="0"/>
              <w:widowControl/>
              <w:kinsoku/>
              <w:wordWrap/>
              <w:overflowPunct/>
              <w:topLinePunct w:val="0"/>
              <w:autoSpaceDE/>
              <w:autoSpaceDN/>
              <w:bidi w:val="0"/>
              <w:snapToGrid w:val="0"/>
              <w:spacing w:line="360" w:lineRule="auto"/>
              <w:ind w:firstLine="236" w:firstLineChars="100"/>
              <w:jc w:val="both"/>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rPr>
              <w:t>投标报价方式：</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工程量清单报</w:t>
            </w:r>
            <w:r>
              <w:rPr>
                <w:rFonts w:hint="eastAsia" w:ascii="宋体" w:hAnsi="宋体" w:eastAsia="宋体" w:cs="宋体"/>
                <w:color w:val="auto"/>
                <w:spacing w:val="-2"/>
                <w:sz w:val="24"/>
                <w:szCs w:val="24"/>
                <w:highlight w:val="none"/>
                <w:lang w:val="en-US" w:eastAsia="zh-CN"/>
              </w:rPr>
              <w:t>价</w:t>
            </w:r>
          </w:p>
          <w:p w14:paraId="6921948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color w:val="auto"/>
                <w:spacing w:val="-4"/>
                <w:sz w:val="24"/>
                <w:szCs w:val="24"/>
                <w:highlight w:val="none"/>
                <w:lang w:val="en-US" w:eastAsia="zh-CN"/>
              </w:rPr>
              <w:t>投标报价时，应按《广东省建设工程计价依据（2018）》规定的费率报价，若招标工程量清单明确说明不计算预算包干费或另外确定预算包干费费率的，则按招标工程量清单报价。</w:t>
            </w:r>
          </w:p>
        </w:tc>
      </w:tr>
      <w:tr w14:paraId="2068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B7A0E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24</w:t>
            </w:r>
          </w:p>
        </w:tc>
        <w:tc>
          <w:tcPr>
            <w:tcW w:w="2447" w:type="dxa"/>
            <w:shd w:val="clear" w:color="auto" w:fill="auto"/>
            <w:vAlign w:val="center"/>
          </w:tcPr>
          <w:p w14:paraId="03F6EBC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投标报价风险</w:t>
            </w:r>
          </w:p>
        </w:tc>
        <w:tc>
          <w:tcPr>
            <w:tcW w:w="7020" w:type="dxa"/>
            <w:shd w:val="clear" w:color="auto" w:fill="auto"/>
            <w:vAlign w:val="center"/>
          </w:tcPr>
          <w:p w14:paraId="7B7150D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投标人依据招标文件约定自行考虑风险因素，一旦中标，投标报价（合同价）除合同另有约定外将不因市场变化而调整。</w:t>
            </w:r>
          </w:p>
          <w:p w14:paraId="0F92DFF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投标报价中应包括工程量清单项目所发生的人工费、材料费、机具费、管理费、利润、措施项目费、其它项目费、税金、暂列金额、暂估价以及所有风险、责任等各项费用。</w:t>
            </w:r>
          </w:p>
          <w:p w14:paraId="13528EC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人工费、材料费、机具费、管理费、利润、措施项目费（不含绿色施工安全防护措施费）投标人漏报或不报，招标人视为有关费用已包括在工程量清单项目的其它单价及合价中不予另外增加。</w:t>
            </w:r>
          </w:p>
          <w:p w14:paraId="4DB366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措施项目中的绿色施工安全防护措施费，必须按国家、省级、市级（即工程所在地）行业建设主管部门的规定计算，不得作为竞争性费用。</w:t>
            </w:r>
          </w:p>
          <w:p w14:paraId="3EE6FF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投标人应按照招标文件提供的工程量清单逐项填写单价和合价，投标人未填写的项目，招标人将视为此项费用已包括在工程量清单项目的其它单价及合价中不予另外增加。</w:t>
            </w:r>
          </w:p>
          <w:p w14:paraId="6DDEAE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402BD00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招标人向投标人提供的有关施工现场资料及数据，是招标人现有的能使投标人利用的资料，招标人对投标人据此作出的推论及理解概不负责。</w:t>
            </w:r>
          </w:p>
          <w:p w14:paraId="7CCE333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投标人应依据招标人提供的所有资料和自己对现场查勘来编 制投标文件，并对招标人提供的所有资料的理解、推断和应用负责。在投标人提交其投标文件之前，视为已经考虑了现场及其周围环境的影响，中标后</w:t>
            </w:r>
            <w:r>
              <w:rPr>
                <w:rFonts w:hint="eastAsia" w:ascii="宋体" w:hAnsi="宋体" w:eastAsia="宋体" w:cs="宋体"/>
                <w:sz w:val="24"/>
                <w:szCs w:val="24"/>
                <w:lang w:eastAsia="zh-CN"/>
              </w:rPr>
              <w:t>，</w:t>
            </w:r>
            <w:r>
              <w:rPr>
                <w:rFonts w:hint="eastAsia" w:ascii="宋体" w:hAnsi="宋体" w:eastAsia="宋体" w:cs="宋体"/>
                <w:sz w:val="24"/>
                <w:szCs w:val="24"/>
              </w:rPr>
              <w:t>不得以不完全了解现场情况为理由提出追加款项或者延长工期等索赔的要求。</w:t>
            </w:r>
          </w:p>
          <w:p w14:paraId="45FEF91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w:t>
            </w:r>
            <w:r>
              <w:rPr>
                <w:rFonts w:hint="eastAsia" w:ascii="宋体" w:hAnsi="宋体" w:eastAsia="宋体" w:cs="宋体"/>
                <w:sz w:val="24"/>
                <w:szCs w:val="24"/>
              </w:rPr>
              <w:t>错漏项的认定。中标人已标价工程量清单中，任一清单项目未填报价格或价格为零的，招标人将视为此项费用已包括在工程量清单项目的其它单价及合价中不予另外增加。</w:t>
            </w:r>
          </w:p>
        </w:tc>
      </w:tr>
      <w:tr w14:paraId="709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C233C0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25</w:t>
            </w:r>
          </w:p>
        </w:tc>
        <w:tc>
          <w:tcPr>
            <w:tcW w:w="2447" w:type="dxa"/>
            <w:shd w:val="clear" w:color="auto" w:fill="auto"/>
            <w:vAlign w:val="top"/>
          </w:tcPr>
          <w:p w14:paraId="2D1B82A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投标费用</w:t>
            </w:r>
          </w:p>
        </w:tc>
        <w:tc>
          <w:tcPr>
            <w:tcW w:w="7020" w:type="dxa"/>
            <w:shd w:val="clear" w:color="auto" w:fill="auto"/>
            <w:vAlign w:val="top"/>
          </w:tcPr>
          <w:p w14:paraId="7CDA74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投标人自行承担编制与递交投标文件的一切费用。</w:t>
            </w:r>
          </w:p>
        </w:tc>
      </w:tr>
      <w:tr w14:paraId="58AF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1CB935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26</w:t>
            </w:r>
          </w:p>
        </w:tc>
        <w:tc>
          <w:tcPr>
            <w:tcW w:w="2447" w:type="dxa"/>
            <w:shd w:val="clear" w:color="auto" w:fill="auto"/>
            <w:vAlign w:val="center"/>
          </w:tcPr>
          <w:p w14:paraId="149F19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投标人资格要求</w:t>
            </w:r>
          </w:p>
        </w:tc>
        <w:tc>
          <w:tcPr>
            <w:tcW w:w="7020" w:type="dxa"/>
            <w:shd w:val="clear" w:color="auto" w:fill="auto"/>
            <w:vAlign w:val="center"/>
          </w:tcPr>
          <w:p w14:paraId="6F4A32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1.本工程不接受联合体投标。</w:t>
            </w:r>
          </w:p>
          <w:p w14:paraId="4510D3D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资质要求</w:t>
            </w:r>
          </w:p>
          <w:p w14:paraId="2B169A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2.1投标人须具备独立法人资格，按国家法律经营。</w:t>
            </w:r>
          </w:p>
          <w:p w14:paraId="77FFCE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2.2投标人须持有建设行政主管部门颁发的企业资质证书及安全生产许可证。</w:t>
            </w:r>
          </w:p>
          <w:p w14:paraId="4BED6B5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2.3投标人须具备以下资质：市政公用工程施工总承包叁级以上（含叁级）资质。</w:t>
            </w:r>
          </w:p>
          <w:p w14:paraId="693E621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相关人员要求</w:t>
            </w:r>
          </w:p>
          <w:p w14:paraId="171995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3.1拟派项目经理为市政公用工程专业一级或二级注册建造师，应持有住建部门印发的在使用有效期内的有效电子注册证书（根据广东省住房和城乡建设厅（粤建市函〔2023〕469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号）文件精神，二级注册建造师可随注册企业在全国范围内执业）。同时均须具备有效安全生产考核合格证明（B证），且未担任其他在施（包括已中标未开工、已开工未竣工）建设工程项目的项目经理。</w:t>
            </w:r>
          </w:p>
          <w:p w14:paraId="2D5CF81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3.2</w:t>
            </w:r>
            <w:r>
              <w:rPr>
                <w:rFonts w:hint="eastAsia" w:ascii="宋体" w:hAnsi="宋体" w:eastAsia="宋体" w:cs="宋体"/>
                <w:sz w:val="24"/>
                <w:szCs w:val="24"/>
                <w:lang w:eastAsia="zh-CN"/>
              </w:rPr>
              <w:t>拟派项目技术负责人须具备中级或以上技术职称</w:t>
            </w:r>
            <w:r>
              <w:rPr>
                <w:rFonts w:hint="eastAsia" w:ascii="宋体" w:hAnsi="宋体" w:eastAsia="宋体" w:cs="宋体"/>
                <w:sz w:val="24"/>
                <w:szCs w:val="24"/>
              </w:rPr>
              <w:t>。</w:t>
            </w:r>
          </w:p>
          <w:p w14:paraId="6ADA23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3.3投标人拟派专职安全生产管理人员须具备有效安全生产考核合格证明（C证，安全生产考核合格证书或“广东省建筑施工企业管理人员安全生产考核系统”考核合格信息打印页），且不少于1人。</w:t>
            </w:r>
          </w:p>
          <w:p w14:paraId="4D9877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3.4投标人与其拟派往本项目管理机构的所有人员之间必须具备合法、唯一的劳动聘用关系。拟派人员中具备注册执业资格的，其注册单位须与投标人保持一致。</w:t>
            </w:r>
          </w:p>
          <w:p w14:paraId="76FD9CE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禁止投标条款：</w:t>
            </w:r>
          </w:p>
          <w:p w14:paraId="46BB98F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4.1投标人不得存在下列情形之一：</w:t>
            </w:r>
          </w:p>
          <w:p w14:paraId="4D3F079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（1）为招标人不具有独立法人资格的附属机构（单位）；</w:t>
            </w:r>
          </w:p>
          <w:p w14:paraId="080C98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（2）为本招标项目前期准备提供设计或咨询服务的；</w:t>
            </w:r>
          </w:p>
          <w:p w14:paraId="65CE113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（3）与本招标项目的其他投标人为同一个单位负责人；</w:t>
            </w:r>
          </w:p>
          <w:p w14:paraId="0D422C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（4）与本招标项目的其他投标人存在控股、管理关系；</w:t>
            </w:r>
          </w:p>
          <w:p w14:paraId="78B892B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（5）为本招标项目的监理人；</w:t>
            </w:r>
          </w:p>
          <w:p w14:paraId="00FB88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（6）为本招标项目的代建人；</w:t>
            </w:r>
          </w:p>
          <w:p w14:paraId="411AE4A6">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（7）为本招标项目的招标代理机构；</w:t>
            </w:r>
          </w:p>
          <w:p w14:paraId="71B8800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（8）与本招标项目的监理人或代建人或招标代理机构同为一个法定代表人；</w:t>
            </w:r>
          </w:p>
          <w:p w14:paraId="63E618F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（9）与本招标项目的监理人或代建人或招标代理机构存在控股或参股关系；</w:t>
            </w:r>
          </w:p>
          <w:p w14:paraId="075846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（10）与本招标项目的监理人或代建人或招标代理机构存在相互任职或工作关系；</w:t>
            </w:r>
          </w:p>
          <w:p w14:paraId="652052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（11）被依法暂停或者取消投标资格；</w:t>
            </w:r>
          </w:p>
          <w:p w14:paraId="028733A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（12）被责令停产停业、暂扣或者吊销许可证、暂扣或者吊销执照；</w:t>
            </w:r>
          </w:p>
          <w:p w14:paraId="088AE53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（13）进入清算程序，或被宣告破产，或其他丧失履约能力的情形；</w:t>
            </w:r>
          </w:p>
          <w:p w14:paraId="0563E1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（14）在最近三年内发生重大工程质量或安全问题（以相关行业主管部门的行政处罚决定或司法机关出具的有关法律文书为准）；</w:t>
            </w:r>
          </w:p>
          <w:p w14:paraId="68C2655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（15）被“信用中国 ”网站（https://www.creditchina.gov.cn）发布的《法人和非法人组织公共信用信息报告》列为严重失信主体名单的。</w:t>
            </w:r>
          </w:p>
          <w:p w14:paraId="13EF03F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4.2招标人拒绝以下名单中的单位参加本次投标：</w:t>
            </w:r>
          </w:p>
          <w:tbl>
            <w:tblPr>
              <w:tblStyle w:val="24"/>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367"/>
              <w:gridCol w:w="2581"/>
            </w:tblGrid>
            <w:tr w14:paraId="146E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6" w:type="dxa"/>
                  <w:noWrap w:val="0"/>
                  <w:vAlign w:val="center"/>
                </w:tcPr>
                <w:p w14:paraId="4BB0658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3367" w:type="dxa"/>
                  <w:noWrap w:val="0"/>
                  <w:vAlign w:val="center"/>
                </w:tcPr>
                <w:p w14:paraId="7E5B010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2581" w:type="dxa"/>
                  <w:noWrap w:val="0"/>
                  <w:vAlign w:val="center"/>
                </w:tcPr>
                <w:p w14:paraId="7DDD6B2B">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拒绝原因</w:t>
                  </w:r>
                </w:p>
              </w:tc>
            </w:tr>
            <w:tr w14:paraId="4CAA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16" w:type="dxa"/>
                  <w:noWrap w:val="0"/>
                  <w:vAlign w:val="center"/>
                </w:tcPr>
                <w:p w14:paraId="6344DF3A">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367" w:type="dxa"/>
                  <w:noWrap w:val="0"/>
                  <w:vAlign w:val="center"/>
                </w:tcPr>
                <w:p w14:paraId="4AA45830">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韶关市武江区江湾镇人民政府</w:t>
                  </w:r>
                </w:p>
              </w:tc>
              <w:tc>
                <w:tcPr>
                  <w:tcW w:w="2581" w:type="dxa"/>
                  <w:noWrap w:val="0"/>
                  <w:vAlign w:val="center"/>
                </w:tcPr>
                <w:p w14:paraId="3B7C97B4">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为本招标项目的业主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招标人</w:t>
                  </w:r>
                </w:p>
              </w:tc>
            </w:tr>
            <w:tr w14:paraId="5BD9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16" w:type="dxa"/>
                  <w:noWrap w:val="0"/>
                  <w:vAlign w:val="center"/>
                </w:tcPr>
                <w:p w14:paraId="3AC364B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3367" w:type="dxa"/>
                  <w:shd w:val="clear" w:color="auto" w:fill="auto"/>
                  <w:noWrap w:val="0"/>
                  <w:vAlign w:val="center"/>
                </w:tcPr>
                <w:p w14:paraId="3AA962D6">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广东明正项目管理有限公司</w:t>
                  </w:r>
                </w:p>
              </w:tc>
              <w:tc>
                <w:tcPr>
                  <w:tcW w:w="2581" w:type="dxa"/>
                  <w:shd w:val="clear" w:color="auto" w:fill="auto"/>
                  <w:noWrap w:val="0"/>
                  <w:vAlign w:val="center"/>
                </w:tcPr>
                <w:p w14:paraId="64DEBD20">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为本招标项目的招标代理机构</w:t>
                  </w:r>
                </w:p>
              </w:tc>
            </w:tr>
            <w:tr w14:paraId="34F4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16" w:type="dxa"/>
                  <w:noWrap w:val="0"/>
                  <w:vAlign w:val="center"/>
                </w:tcPr>
                <w:p w14:paraId="101F92F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3367" w:type="dxa"/>
                  <w:shd w:val="clear" w:color="auto" w:fill="auto"/>
                  <w:noWrap w:val="0"/>
                  <w:vAlign w:val="center"/>
                </w:tcPr>
                <w:p w14:paraId="17D2AB23">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广东省华源建设项目管理有限公司</w:t>
                  </w:r>
                </w:p>
              </w:tc>
              <w:tc>
                <w:tcPr>
                  <w:tcW w:w="2581" w:type="dxa"/>
                  <w:shd w:val="clear" w:color="auto" w:fill="auto"/>
                  <w:noWrap w:val="0"/>
                  <w:vAlign w:val="center"/>
                </w:tcPr>
                <w:p w14:paraId="059548B1">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为本招标项目的可研编制单位</w:t>
                  </w:r>
                </w:p>
              </w:tc>
            </w:tr>
            <w:tr w14:paraId="6C25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16" w:type="dxa"/>
                  <w:noWrap w:val="0"/>
                  <w:vAlign w:val="center"/>
                </w:tcPr>
                <w:p w14:paraId="2A04E63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367" w:type="dxa"/>
                  <w:shd w:val="clear" w:color="auto" w:fill="auto"/>
                  <w:noWrap w:val="0"/>
                  <w:vAlign w:val="center"/>
                </w:tcPr>
                <w:p w14:paraId="58C5707C">
                  <w:pPr>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海通国际设计有限公司</w:t>
                  </w:r>
                </w:p>
              </w:tc>
              <w:tc>
                <w:tcPr>
                  <w:tcW w:w="2581" w:type="dxa"/>
                  <w:shd w:val="clear" w:color="auto" w:fill="auto"/>
                  <w:noWrap w:val="0"/>
                  <w:vAlign w:val="center"/>
                </w:tcPr>
                <w:p w14:paraId="3F40428E">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工程造价</w:t>
                  </w:r>
                  <w:r>
                    <w:rPr>
                      <w:rFonts w:hint="eastAsia" w:ascii="宋体" w:hAnsi="宋体" w:eastAsia="宋体" w:cs="宋体"/>
                      <w:sz w:val="24"/>
                      <w:szCs w:val="24"/>
                      <w:lang w:val="en-US" w:eastAsia="en-US"/>
                    </w:rPr>
                    <w:t>单位</w:t>
                  </w:r>
                </w:p>
              </w:tc>
            </w:tr>
            <w:tr w14:paraId="2C5F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16" w:type="dxa"/>
                  <w:noWrap w:val="0"/>
                  <w:vAlign w:val="center"/>
                </w:tcPr>
                <w:p w14:paraId="7A22C078">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367" w:type="dxa"/>
                  <w:shd w:val="clear" w:color="auto" w:fill="auto"/>
                  <w:noWrap w:val="0"/>
                  <w:vAlign w:val="center"/>
                </w:tcPr>
                <w:p w14:paraId="7FB2D2E1">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都创工程设计有限公司</w:t>
                  </w:r>
                </w:p>
              </w:tc>
              <w:tc>
                <w:tcPr>
                  <w:tcW w:w="2581" w:type="dxa"/>
                  <w:shd w:val="clear" w:color="auto" w:fill="auto"/>
                  <w:noWrap w:val="0"/>
                  <w:vAlign w:val="center"/>
                </w:tcPr>
                <w:p w14:paraId="1843D1EA">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设计单位</w:t>
                  </w:r>
                </w:p>
              </w:tc>
            </w:tr>
          </w:tbl>
          <w:p w14:paraId="3ECF328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其他要求</w:t>
            </w:r>
          </w:p>
          <w:p w14:paraId="03177DF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450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599E04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27</w:t>
            </w:r>
          </w:p>
        </w:tc>
        <w:tc>
          <w:tcPr>
            <w:tcW w:w="2447" w:type="dxa"/>
            <w:shd w:val="clear" w:color="auto" w:fill="auto"/>
            <w:vAlign w:val="top"/>
          </w:tcPr>
          <w:p w14:paraId="1996812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投标有效期</w:t>
            </w:r>
          </w:p>
        </w:tc>
        <w:tc>
          <w:tcPr>
            <w:tcW w:w="7020" w:type="dxa"/>
            <w:shd w:val="clear" w:color="auto" w:fill="auto"/>
            <w:vAlign w:val="top"/>
          </w:tcPr>
          <w:p w14:paraId="3CCC57B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本次招标的投标有效期为</w:t>
            </w:r>
            <w:r>
              <w:rPr>
                <w:rFonts w:hint="eastAsia" w:ascii="宋体" w:hAnsi="宋体" w:eastAsia="宋体" w:cs="宋体"/>
                <w:sz w:val="24"/>
                <w:szCs w:val="24"/>
                <w:lang w:eastAsia="zh-CN"/>
              </w:rPr>
              <w:t>90</w:t>
            </w:r>
            <w:r>
              <w:rPr>
                <w:rFonts w:hint="eastAsia" w:ascii="宋体" w:hAnsi="宋体" w:eastAsia="宋体" w:cs="宋体"/>
                <w:sz w:val="24"/>
                <w:szCs w:val="24"/>
              </w:rPr>
              <w:t>个日历天。</w:t>
            </w:r>
          </w:p>
        </w:tc>
      </w:tr>
      <w:tr w14:paraId="55C2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1A2D2C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28</w:t>
            </w:r>
          </w:p>
        </w:tc>
        <w:tc>
          <w:tcPr>
            <w:tcW w:w="2447" w:type="dxa"/>
            <w:shd w:val="clear" w:color="auto" w:fill="auto"/>
            <w:vAlign w:val="center"/>
          </w:tcPr>
          <w:p w14:paraId="726C8184">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投标文件</w:t>
            </w:r>
            <w:r>
              <w:rPr>
                <w:rFonts w:hint="eastAsia" w:ascii="宋体" w:hAnsi="宋体" w:eastAsia="宋体" w:cs="宋体"/>
                <w:sz w:val="24"/>
                <w:szCs w:val="24"/>
                <w:lang w:eastAsia="zh-CN"/>
              </w:rPr>
              <w:t>组成</w:t>
            </w:r>
          </w:p>
        </w:tc>
        <w:tc>
          <w:tcPr>
            <w:tcW w:w="7020" w:type="dxa"/>
            <w:shd w:val="clear" w:color="auto" w:fill="auto"/>
            <w:vAlign w:val="top"/>
          </w:tcPr>
          <w:p w14:paraId="47A6D59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投标文件包括商务标书、经济标书、施工组织设计三个分册。</w:t>
            </w:r>
          </w:p>
        </w:tc>
      </w:tr>
      <w:tr w14:paraId="6427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33" w:type="dxa"/>
            <w:shd w:val="clear" w:color="auto" w:fill="auto"/>
            <w:vAlign w:val="center"/>
          </w:tcPr>
          <w:p w14:paraId="310ECC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29</w:t>
            </w:r>
          </w:p>
        </w:tc>
        <w:tc>
          <w:tcPr>
            <w:tcW w:w="2447" w:type="dxa"/>
            <w:shd w:val="clear" w:color="auto" w:fill="auto"/>
            <w:vAlign w:val="center"/>
          </w:tcPr>
          <w:p w14:paraId="0FCFC049">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施工组织设计</w:t>
            </w:r>
          </w:p>
          <w:p w14:paraId="14C92DF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评审方式</w:t>
            </w:r>
          </w:p>
        </w:tc>
        <w:tc>
          <w:tcPr>
            <w:tcW w:w="7020" w:type="dxa"/>
            <w:shd w:val="clear" w:color="auto" w:fill="auto"/>
            <w:vAlign w:val="center"/>
          </w:tcPr>
          <w:p w14:paraId="0A751A86">
            <w:pPr>
              <w:widowControl w:val="0"/>
              <w:spacing w:line="360" w:lineRule="auto"/>
              <w:jc w:val="left"/>
              <w:rPr>
                <w:rFonts w:hint="eastAsia" w:ascii="宋体" w:hAnsi="宋体" w:eastAsia="宋体" w:cs="宋体"/>
                <w:sz w:val="24"/>
                <w:szCs w:val="24"/>
                <w:lang w:val="en-US" w:eastAsia="en-US"/>
              </w:rPr>
            </w:pPr>
            <w:r>
              <w:rPr>
                <w:rFonts w:hint="eastAsia" w:ascii="宋体" w:hAnsi="宋体" w:eastAsia="宋体" w:cs="宋体"/>
                <w:sz w:val="24"/>
                <w:szCs w:val="24"/>
              </w:rPr>
              <w:t>本次招标施工组织设计不采用“暗标”方式进行评审。</w:t>
            </w:r>
          </w:p>
        </w:tc>
      </w:tr>
      <w:tr w14:paraId="736B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3B0A8D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30</w:t>
            </w:r>
          </w:p>
        </w:tc>
        <w:tc>
          <w:tcPr>
            <w:tcW w:w="2447" w:type="dxa"/>
            <w:shd w:val="clear" w:color="auto" w:fill="auto"/>
            <w:vAlign w:val="center"/>
          </w:tcPr>
          <w:p w14:paraId="2455FFE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评标委员会</w:t>
            </w:r>
          </w:p>
        </w:tc>
        <w:tc>
          <w:tcPr>
            <w:tcW w:w="7020" w:type="dxa"/>
            <w:shd w:val="clear" w:color="auto" w:fill="auto"/>
            <w:vAlign w:val="top"/>
          </w:tcPr>
          <w:p w14:paraId="5A2AA7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评标委员会由5人组成，其中招标人代表0人，专家5人。专家从广东省综合评标评审专家库-韶关区域中随机抽取，其中技术类专家3人，经济类专家2人。</w:t>
            </w:r>
          </w:p>
        </w:tc>
      </w:tr>
      <w:tr w14:paraId="3A89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65D23A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31</w:t>
            </w:r>
          </w:p>
        </w:tc>
        <w:tc>
          <w:tcPr>
            <w:tcW w:w="2447" w:type="dxa"/>
            <w:shd w:val="clear" w:color="auto" w:fill="auto"/>
            <w:vAlign w:val="center"/>
          </w:tcPr>
          <w:p w14:paraId="594609B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评标方法</w:t>
            </w:r>
          </w:p>
        </w:tc>
        <w:tc>
          <w:tcPr>
            <w:tcW w:w="7020" w:type="dxa"/>
            <w:shd w:val="clear" w:color="auto" w:fill="auto"/>
            <w:vAlign w:val="top"/>
          </w:tcPr>
          <w:p w14:paraId="1779EDB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□A＋B值评标法   □经评审的最低投标价法    </w:t>
            </w:r>
            <w:r>
              <w:rPr>
                <w:rFonts w:hint="eastAsia" w:ascii="宋体" w:hAnsi="宋体" w:eastAsia="宋体" w:cs="宋体"/>
                <w:sz w:val="24"/>
                <w:szCs w:val="24"/>
                <w:lang w:eastAsia="zh-CN"/>
              </w:rPr>
              <w:t>☑</w:t>
            </w:r>
            <w:r>
              <w:rPr>
                <w:rFonts w:hint="eastAsia" w:ascii="宋体" w:hAnsi="宋体" w:eastAsia="宋体" w:cs="宋体"/>
                <w:sz w:val="24"/>
                <w:szCs w:val="24"/>
              </w:rPr>
              <w:t>综合评估法</w:t>
            </w:r>
          </w:p>
        </w:tc>
      </w:tr>
      <w:tr w14:paraId="09C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69888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32</w:t>
            </w:r>
          </w:p>
        </w:tc>
        <w:tc>
          <w:tcPr>
            <w:tcW w:w="2447" w:type="dxa"/>
            <w:shd w:val="clear" w:color="auto" w:fill="auto"/>
            <w:vAlign w:val="center"/>
          </w:tcPr>
          <w:p w14:paraId="0616331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招标文件要求提交的用于评审的证书、证件、证明原件</w:t>
            </w:r>
          </w:p>
        </w:tc>
        <w:tc>
          <w:tcPr>
            <w:tcW w:w="7020" w:type="dxa"/>
            <w:shd w:val="clear" w:color="auto" w:fill="auto"/>
            <w:vAlign w:val="top"/>
          </w:tcPr>
          <w:p w14:paraId="34CDEF8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投标人在提交用于评审的证书、证件、证明原件的，投标人应自行将所需原件密封于文件袋（箱）中，并自行准备两张“原件一览表”(详见格式</w:t>
            </w:r>
            <w:r>
              <w:rPr>
                <w:rFonts w:hint="eastAsia" w:ascii="宋体" w:hAnsi="宋体" w:eastAsia="宋体" w:cs="宋体"/>
                <w:sz w:val="24"/>
                <w:szCs w:val="24"/>
                <w:lang w:eastAsia="zh-CN"/>
              </w:rPr>
              <w:t>十四</w:t>
            </w:r>
            <w:r>
              <w:rPr>
                <w:rFonts w:hint="eastAsia" w:ascii="宋体" w:hAnsi="宋体" w:eastAsia="宋体" w:cs="宋体"/>
                <w:sz w:val="24"/>
                <w:szCs w:val="24"/>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1B25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7E0A92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2447" w:type="dxa"/>
            <w:shd w:val="clear" w:color="auto" w:fill="auto"/>
            <w:vAlign w:val="center"/>
          </w:tcPr>
          <w:p w14:paraId="28EA2522">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招标人</w:t>
            </w:r>
          </w:p>
          <w:p w14:paraId="69D92E9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7020" w:type="dxa"/>
            <w:shd w:val="clear" w:color="auto" w:fill="auto"/>
            <w:vAlign w:val="center"/>
          </w:tcPr>
          <w:p w14:paraId="16EDCF1E">
            <w:pPr>
              <w:widowControl w:val="0"/>
              <w:wordWrap w:val="0"/>
              <w:spacing w:line="360" w:lineRule="auto"/>
              <w:jc w:val="both"/>
              <w:rPr>
                <w:rFonts w:hint="eastAsia" w:ascii="宋体" w:hAnsi="宋体" w:eastAsia="宋体" w:cs="宋体"/>
                <w:sz w:val="24"/>
                <w:szCs w:val="24"/>
              </w:rPr>
            </w:pPr>
            <w:r>
              <w:rPr>
                <w:rFonts w:hint="eastAsia" w:ascii="宋体" w:hAnsi="宋体" w:eastAsia="宋体" w:cs="宋体"/>
                <w:sz w:val="24"/>
                <w:szCs w:val="24"/>
              </w:rPr>
              <w:t>单位名称：韶关市武江区江湾镇人民政府</w:t>
            </w:r>
          </w:p>
          <w:p w14:paraId="04F523CA">
            <w:pPr>
              <w:widowControl w:val="0"/>
              <w:wordWrap w:val="0"/>
              <w:spacing w:line="360" w:lineRule="auto"/>
              <w:jc w:val="both"/>
              <w:rPr>
                <w:rFonts w:hint="eastAsia" w:ascii="宋体" w:hAnsi="宋体" w:eastAsia="宋体" w:cs="宋体"/>
                <w:sz w:val="24"/>
                <w:szCs w:val="24"/>
              </w:rPr>
            </w:pPr>
            <w:r>
              <w:rPr>
                <w:rFonts w:hint="eastAsia" w:ascii="宋体" w:hAnsi="宋体" w:eastAsia="宋体" w:cs="宋体"/>
                <w:sz w:val="24"/>
                <w:szCs w:val="24"/>
              </w:rPr>
              <w:t>办公地址：韶关市武江区江湾街6号</w:t>
            </w:r>
          </w:p>
          <w:p w14:paraId="31E9F212">
            <w:pPr>
              <w:widowControl w:val="0"/>
              <w:wordWrap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rPr>
              <w:t>联系人（部门）：</w:t>
            </w:r>
            <w:r>
              <w:rPr>
                <w:rFonts w:hint="eastAsia" w:ascii="宋体" w:hAnsi="宋体" w:eastAsia="宋体" w:cs="宋体"/>
                <w:sz w:val="24"/>
                <w:szCs w:val="24"/>
                <w:lang w:eastAsia="zh-CN"/>
              </w:rPr>
              <w:t>董工</w:t>
            </w:r>
          </w:p>
          <w:p w14:paraId="5FC00B7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联系电话：0751-6446388</w:t>
            </w:r>
          </w:p>
        </w:tc>
      </w:tr>
      <w:tr w14:paraId="483B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3FB576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4</w:t>
            </w:r>
          </w:p>
        </w:tc>
        <w:tc>
          <w:tcPr>
            <w:tcW w:w="2447" w:type="dxa"/>
            <w:shd w:val="clear" w:color="auto" w:fill="auto"/>
            <w:vAlign w:val="center"/>
          </w:tcPr>
          <w:p w14:paraId="2F48F80F">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招标代理机构</w:t>
            </w:r>
          </w:p>
          <w:p w14:paraId="3818F3A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7020" w:type="dxa"/>
            <w:shd w:val="clear" w:color="auto" w:fill="auto"/>
            <w:vAlign w:val="center"/>
          </w:tcPr>
          <w:p w14:paraId="5ED6A83F">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单位名称：广东明正项目管理有限公司</w:t>
            </w:r>
          </w:p>
          <w:p w14:paraId="50A090A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办公地址：韶关市武江区惠民北路428号7楼</w:t>
            </w:r>
          </w:p>
          <w:p w14:paraId="2726A17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联系人：杨工、潘工</w:t>
            </w:r>
          </w:p>
          <w:p w14:paraId="4CC0E68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联系电话：0751-8606998</w:t>
            </w:r>
          </w:p>
        </w:tc>
      </w:tr>
      <w:tr w14:paraId="569D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DA0C3A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5</w:t>
            </w:r>
          </w:p>
        </w:tc>
        <w:tc>
          <w:tcPr>
            <w:tcW w:w="2447" w:type="dxa"/>
            <w:shd w:val="clear" w:color="auto" w:fill="auto"/>
            <w:vAlign w:val="center"/>
          </w:tcPr>
          <w:p w14:paraId="564881A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交易场所联系方式</w:t>
            </w:r>
          </w:p>
        </w:tc>
        <w:tc>
          <w:tcPr>
            <w:tcW w:w="7020" w:type="dxa"/>
            <w:shd w:val="clear" w:color="auto" w:fill="auto"/>
            <w:vAlign w:val="center"/>
          </w:tcPr>
          <w:p w14:paraId="22007D5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单位名称：韶关市公共资源交易中心</w:t>
            </w:r>
          </w:p>
          <w:p w14:paraId="5D20F9A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 xml:space="preserve">办公地址：广东省韶关市武江区西联镇 </w:t>
            </w:r>
          </w:p>
          <w:p w14:paraId="189A43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联系人（部门）：工程交易部</w:t>
            </w:r>
          </w:p>
          <w:p w14:paraId="360E3C3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联系电话：0751-8633071、0751-8633211</w:t>
            </w:r>
          </w:p>
        </w:tc>
      </w:tr>
      <w:tr w14:paraId="5203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97DD533">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2447" w:type="dxa"/>
            <w:shd w:val="clear" w:color="auto" w:fill="auto"/>
            <w:vAlign w:val="center"/>
          </w:tcPr>
          <w:p w14:paraId="088F7714">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行政监督部</w:t>
            </w:r>
          </w:p>
          <w:p w14:paraId="57BFA0F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门联系方式</w:t>
            </w:r>
          </w:p>
        </w:tc>
        <w:tc>
          <w:tcPr>
            <w:tcW w:w="7020" w:type="dxa"/>
            <w:shd w:val="clear" w:color="auto" w:fill="auto"/>
            <w:vAlign w:val="center"/>
          </w:tcPr>
          <w:p w14:paraId="010A1D3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单位名称：韶关市住房和城乡建设管理局</w:t>
            </w:r>
          </w:p>
          <w:p w14:paraId="527AAA19">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办公地址：广东省韶关市武江区芙蓉东路5号</w:t>
            </w:r>
          </w:p>
          <w:p w14:paraId="61E1EC4B">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联系人(部门)：建筑业市场管理科</w:t>
            </w:r>
          </w:p>
          <w:p w14:paraId="6D99CA04">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napToGrid w:val="0"/>
                <w:color w:val="auto"/>
                <w:kern w:val="0"/>
                <w:sz w:val="24"/>
                <w:szCs w:val="24"/>
                <w:highlight w:val="none"/>
                <w:lang w:val="en-US" w:eastAsia="zh-CN"/>
              </w:rPr>
              <w:t>联系电话：0751</w:t>
            </w:r>
            <w:r>
              <w:rPr>
                <w:rFonts w:hint="eastAsia"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8892601</w:t>
            </w:r>
          </w:p>
        </w:tc>
      </w:tr>
    </w:tbl>
    <w:p w14:paraId="3D217AD7">
      <w:pPr>
        <w:rPr>
          <w:rFonts w:hint="eastAsia" w:ascii="宋体" w:hAnsi="宋体" w:eastAsia="宋体" w:cs="宋体"/>
        </w:rPr>
      </w:pPr>
    </w:p>
    <w:p w14:paraId="202FDF33">
      <w:pPr>
        <w:rPr>
          <w:rFonts w:hint="eastAsia" w:ascii="宋体" w:hAnsi="宋体" w:eastAsia="宋体" w:cs="宋体"/>
        </w:rPr>
      </w:pPr>
    </w:p>
    <w:p w14:paraId="6FFDB034">
      <w:pPr>
        <w:rPr>
          <w:rFonts w:hint="eastAsia" w:ascii="宋体" w:hAnsi="宋体" w:eastAsia="宋体" w:cs="宋体"/>
        </w:rPr>
      </w:pPr>
    </w:p>
    <w:p w14:paraId="23F190A9">
      <w:pPr>
        <w:rPr>
          <w:rFonts w:hint="eastAsia" w:ascii="宋体" w:hAnsi="宋体" w:eastAsia="宋体" w:cs="宋体"/>
        </w:rPr>
      </w:pPr>
    </w:p>
    <w:p w14:paraId="63CC66DC">
      <w:pPr>
        <w:rPr>
          <w:rFonts w:hint="eastAsia" w:ascii="宋体" w:hAnsi="宋体" w:eastAsia="宋体" w:cs="宋体"/>
        </w:rPr>
      </w:pPr>
      <w:bookmarkStart w:id="6" w:name="bookmark115"/>
      <w:bookmarkEnd w:id="6"/>
      <w:bookmarkStart w:id="7" w:name="_Toc10868"/>
    </w:p>
    <w:p w14:paraId="549EB851">
      <w:pPr>
        <w:rPr>
          <w:rFonts w:hint="eastAsia" w:ascii="宋体" w:hAnsi="宋体" w:eastAsia="宋体" w:cs="宋体"/>
        </w:rPr>
      </w:pPr>
    </w:p>
    <w:p w14:paraId="4B648D6F">
      <w:pPr>
        <w:rPr>
          <w:rFonts w:hint="eastAsia" w:ascii="宋体" w:hAnsi="宋体" w:eastAsia="宋体" w:cs="宋体"/>
        </w:rPr>
      </w:pPr>
    </w:p>
    <w:p w14:paraId="015242A9">
      <w:pPr>
        <w:rPr>
          <w:rFonts w:hint="eastAsia" w:ascii="宋体" w:hAnsi="宋体" w:eastAsia="宋体" w:cs="宋体"/>
        </w:rPr>
      </w:pPr>
    </w:p>
    <w:p w14:paraId="4E25646E">
      <w:pPr>
        <w:pStyle w:val="2"/>
        <w:rPr>
          <w:rFonts w:hint="eastAsia"/>
        </w:rPr>
      </w:pPr>
    </w:p>
    <w:p w14:paraId="0C998B8F">
      <w:pPr>
        <w:rPr>
          <w:rFonts w:hint="eastAsia" w:ascii="宋体" w:hAnsi="宋体" w:eastAsia="宋体" w:cs="宋体"/>
        </w:rPr>
      </w:pPr>
    </w:p>
    <w:p w14:paraId="304367D7">
      <w:pPr>
        <w:rPr>
          <w:rFonts w:hint="eastAsia" w:ascii="宋体" w:hAnsi="宋体" w:eastAsia="宋体" w:cs="宋体"/>
        </w:rPr>
      </w:pPr>
    </w:p>
    <w:p w14:paraId="2406AF5C">
      <w:pPr>
        <w:rPr>
          <w:rFonts w:hint="eastAsia" w:ascii="宋体" w:hAnsi="宋体" w:eastAsia="宋体" w:cs="宋体"/>
        </w:rPr>
      </w:pPr>
    </w:p>
    <w:p w14:paraId="18575C25">
      <w:pPr>
        <w:rPr>
          <w:rFonts w:hint="eastAsia" w:ascii="宋体" w:hAnsi="宋体" w:eastAsia="宋体" w:cs="宋体"/>
        </w:rPr>
      </w:pPr>
    </w:p>
    <w:p w14:paraId="6F84E037">
      <w:pPr>
        <w:rPr>
          <w:rFonts w:hint="eastAsia" w:ascii="宋体" w:hAnsi="宋体" w:eastAsia="宋体" w:cs="宋体"/>
        </w:rPr>
      </w:pPr>
    </w:p>
    <w:p w14:paraId="185FA4A9">
      <w:pPr>
        <w:spacing w:before="156" w:line="360" w:lineRule="auto"/>
        <w:ind w:left="17"/>
        <w:outlineLvl w:val="1"/>
        <w:rPr>
          <w:rFonts w:hint="eastAsia" w:ascii="宋体" w:hAnsi="宋体" w:eastAsia="宋体" w:cs="宋体"/>
          <w:b/>
          <w:bCs/>
          <w:color w:val="auto"/>
          <w:spacing w:val="-3"/>
          <w:sz w:val="24"/>
          <w:szCs w:val="24"/>
          <w:highlight w:val="none"/>
        </w:rPr>
      </w:pPr>
      <w:bookmarkStart w:id="8" w:name="_Toc25818"/>
      <w:r>
        <w:rPr>
          <w:rFonts w:hint="eastAsia" w:ascii="宋体" w:hAnsi="宋体" w:eastAsia="宋体" w:cs="宋体"/>
          <w:b/>
          <w:bCs/>
          <w:color w:val="auto"/>
          <w:spacing w:val="-3"/>
          <w:sz w:val="24"/>
          <w:szCs w:val="24"/>
          <w:highlight w:val="none"/>
        </w:rPr>
        <w:t>第二节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重要事项时间地点一览表</w:t>
      </w:r>
      <w:bookmarkEnd w:id="7"/>
      <w:bookmarkEnd w:id="8"/>
    </w:p>
    <w:tbl>
      <w:tblPr>
        <w:tblStyle w:val="24"/>
        <w:tblW w:w="985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527"/>
        <w:gridCol w:w="7726"/>
      </w:tblGrid>
      <w:tr w14:paraId="71599B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74F5C4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A4F2023">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4F7CFA9B">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F68EC28">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08</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29</w:t>
            </w:r>
            <w:r>
              <w:rPr>
                <w:rFonts w:hint="eastAsia" w:ascii="宋体" w:hAnsi="宋体" w:eastAsia="宋体" w:cs="宋体"/>
                <w:snapToGrid w:val="0"/>
                <w:color w:val="auto"/>
                <w:kern w:val="0"/>
                <w:sz w:val="24"/>
                <w:highlight w:val="none"/>
                <w:lang w:val="en-US" w:eastAsia="zh-CN"/>
              </w:rPr>
              <w:t>日</w:t>
            </w:r>
            <w:r>
              <w:rPr>
                <w:rFonts w:hint="eastAsia" w:ascii="宋体" w:hAnsi="宋体" w:cs="宋体"/>
                <w:snapToGrid w:val="0"/>
                <w:color w:val="auto"/>
                <w:kern w:val="0"/>
                <w:sz w:val="24"/>
                <w:highlight w:val="none"/>
                <w:lang w:val="en-US" w:eastAsia="zh-CN"/>
              </w:rPr>
              <w:t>17</w:t>
            </w:r>
            <w:r>
              <w:rPr>
                <w:rFonts w:hint="eastAsia" w:ascii="宋体" w:hAnsi="宋体" w:eastAsia="宋体" w:cs="宋体"/>
                <w:snapToGrid w:val="0"/>
                <w:color w:val="auto"/>
                <w:kern w:val="0"/>
                <w:sz w:val="24"/>
                <w:highlight w:val="none"/>
                <w:lang w:val="en-US" w:eastAsia="zh-CN"/>
              </w:rPr>
              <w:t>时</w:t>
            </w:r>
            <w:r>
              <w:rPr>
                <w:rFonts w:hint="eastAsia" w:ascii="宋体" w:hAnsi="宋体" w:cs="宋体"/>
                <w:snapToGrid w:val="0"/>
                <w:color w:val="auto"/>
                <w:kern w:val="0"/>
                <w:sz w:val="24"/>
                <w:highlight w:val="none"/>
                <w:lang w:val="en-US" w:eastAsia="zh-CN"/>
              </w:rPr>
              <w:t>00</w:t>
            </w:r>
            <w:r>
              <w:rPr>
                <w:rFonts w:hint="eastAsia" w:ascii="宋体" w:hAnsi="宋体" w:eastAsia="宋体" w:cs="宋体"/>
                <w:snapToGrid w:val="0"/>
                <w:color w:val="auto"/>
                <w:kern w:val="0"/>
                <w:sz w:val="24"/>
                <w:highlight w:val="none"/>
                <w:lang w:val="en-US" w:eastAsia="zh-CN"/>
              </w:rPr>
              <w:t>分</w:t>
            </w:r>
          </w:p>
        </w:tc>
      </w:tr>
      <w:tr w14:paraId="201827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5E66AA9F">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7AB2F580">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w:t>
            </w:r>
          </w:p>
          <w:p w14:paraId="0394C5DD">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773B1D0A">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23</w:t>
            </w:r>
            <w:r>
              <w:rPr>
                <w:rFonts w:hint="eastAsia" w:ascii="宋体" w:hAnsi="宋体" w:eastAsia="宋体" w:cs="宋体"/>
                <w:snapToGrid w:val="0"/>
                <w:color w:val="auto"/>
                <w:kern w:val="0"/>
                <w:sz w:val="24"/>
                <w:highlight w:val="none"/>
                <w:lang w:val="en-US" w:eastAsia="zh-CN"/>
              </w:rPr>
              <w:t>日09时30分</w:t>
            </w:r>
          </w:p>
        </w:tc>
      </w:tr>
      <w:tr w14:paraId="25C28D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52C94F6">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962995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45B8CAE5">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EE57C6A">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13</w:t>
            </w:r>
            <w:r>
              <w:rPr>
                <w:rFonts w:hint="eastAsia" w:ascii="宋体" w:hAnsi="宋体" w:eastAsia="宋体" w:cs="宋体"/>
                <w:snapToGrid w:val="0"/>
                <w:color w:val="auto"/>
                <w:kern w:val="0"/>
                <w:sz w:val="24"/>
                <w:highlight w:val="none"/>
                <w:lang w:val="en-US" w:eastAsia="zh-CN"/>
              </w:rPr>
              <w:t>日16时00分</w:t>
            </w:r>
          </w:p>
        </w:tc>
      </w:tr>
      <w:tr w14:paraId="4DF328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73A734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ADEFF61">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7BD92372">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C2D5569">
            <w:pPr>
              <w:pStyle w:val="34"/>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13</w:t>
            </w:r>
            <w:r>
              <w:rPr>
                <w:rFonts w:hint="eastAsia" w:ascii="宋体" w:hAnsi="宋体" w:eastAsia="宋体" w:cs="宋体"/>
                <w:snapToGrid w:val="0"/>
                <w:color w:val="auto"/>
                <w:kern w:val="0"/>
                <w:sz w:val="24"/>
                <w:highlight w:val="none"/>
                <w:lang w:val="en-US" w:eastAsia="zh-CN"/>
              </w:rPr>
              <w:t>日16时30分</w:t>
            </w:r>
            <w:r>
              <w:rPr>
                <w:rFonts w:hint="eastAsia" w:ascii="宋体" w:hAnsi="宋体" w:eastAsia="宋体" w:cs="宋体"/>
                <w:snapToGrid w:val="0"/>
                <w:color w:val="auto"/>
                <w:kern w:val="0"/>
                <w:sz w:val="24"/>
                <w:szCs w:val="24"/>
                <w:highlight w:val="none"/>
                <w:u w:val="none"/>
              </w:rPr>
              <w:t>至</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16</w:t>
            </w:r>
            <w:r>
              <w:rPr>
                <w:rFonts w:hint="eastAsia" w:ascii="宋体" w:hAnsi="宋体" w:eastAsia="宋体" w:cs="宋体"/>
                <w:snapToGrid w:val="0"/>
                <w:color w:val="auto"/>
                <w:kern w:val="0"/>
                <w:sz w:val="24"/>
                <w:highlight w:val="none"/>
                <w:lang w:val="en-US" w:eastAsia="zh-CN"/>
              </w:rPr>
              <w:t>日16时00分</w:t>
            </w:r>
          </w:p>
        </w:tc>
      </w:tr>
      <w:tr w14:paraId="4CEC3A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7"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1730499">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5B21FAAC">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61124B54">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1ADC98A9">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投标保证金到账截止时间：</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22</w:t>
            </w:r>
            <w:r>
              <w:rPr>
                <w:rFonts w:hint="eastAsia" w:ascii="宋体" w:hAnsi="宋体" w:eastAsia="宋体" w:cs="宋体"/>
                <w:snapToGrid w:val="0"/>
                <w:color w:val="auto"/>
                <w:kern w:val="0"/>
                <w:sz w:val="24"/>
                <w:highlight w:val="none"/>
                <w:lang w:val="en-US" w:eastAsia="zh-CN"/>
              </w:rPr>
              <w:t>日09时30分</w:t>
            </w:r>
          </w:p>
          <w:p w14:paraId="461BA50F">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投标保证担保上传截止时间：</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22</w:t>
            </w:r>
            <w:r>
              <w:rPr>
                <w:rFonts w:hint="eastAsia" w:ascii="宋体" w:hAnsi="宋体" w:eastAsia="宋体" w:cs="宋体"/>
                <w:snapToGrid w:val="0"/>
                <w:color w:val="auto"/>
                <w:kern w:val="0"/>
                <w:sz w:val="24"/>
                <w:highlight w:val="none"/>
                <w:lang w:val="en-US" w:eastAsia="zh-CN"/>
              </w:rPr>
              <w:t>日09时30分</w:t>
            </w:r>
          </w:p>
          <w:p w14:paraId="1DEB2FA3">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投标保证保险投保截止时间：</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22</w:t>
            </w:r>
            <w:r>
              <w:rPr>
                <w:rFonts w:hint="eastAsia" w:ascii="宋体" w:hAnsi="宋体" w:eastAsia="宋体" w:cs="宋体"/>
                <w:snapToGrid w:val="0"/>
                <w:color w:val="auto"/>
                <w:kern w:val="0"/>
                <w:sz w:val="24"/>
                <w:highlight w:val="none"/>
                <w:lang w:val="en-US" w:eastAsia="zh-CN"/>
              </w:rPr>
              <w:t>日09时30分</w:t>
            </w:r>
          </w:p>
        </w:tc>
      </w:tr>
      <w:tr w14:paraId="012438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7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94AC2B7">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E2A5C91">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电子投标</w:t>
            </w:r>
          </w:p>
          <w:p w14:paraId="260E1535">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C0C367C">
            <w:pPr>
              <w:pStyle w:val="34"/>
              <w:wordWrap w:val="0"/>
              <w:adjustRightInd w:val="0"/>
              <w:snapToGrid w:val="0"/>
              <w:spacing w:line="360" w:lineRule="auto"/>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szCs w:val="24"/>
                <w:highlight w:val="none"/>
                <w:u w:val="none"/>
                <w:lang w:val="en-US" w:eastAsia="zh-CN"/>
              </w:rPr>
              <w:t xml:space="preserve">  </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23</w:t>
            </w:r>
            <w:r>
              <w:rPr>
                <w:rFonts w:hint="eastAsia" w:ascii="宋体" w:hAnsi="宋体" w:eastAsia="宋体" w:cs="宋体"/>
                <w:snapToGrid w:val="0"/>
                <w:color w:val="auto"/>
                <w:kern w:val="0"/>
                <w:sz w:val="24"/>
                <w:highlight w:val="none"/>
                <w:lang w:val="en-US" w:eastAsia="zh-CN"/>
              </w:rPr>
              <w:t>日09时30分</w:t>
            </w:r>
          </w:p>
        </w:tc>
      </w:tr>
      <w:tr w14:paraId="390BB3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4"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61F09BB2">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26F03A7">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8FBCF9">
            <w:pPr>
              <w:pStyle w:val="34"/>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23</w:t>
            </w:r>
            <w:r>
              <w:rPr>
                <w:rFonts w:hint="eastAsia" w:ascii="宋体" w:hAnsi="宋体" w:eastAsia="宋体" w:cs="宋体"/>
                <w:snapToGrid w:val="0"/>
                <w:color w:val="auto"/>
                <w:kern w:val="0"/>
                <w:sz w:val="24"/>
                <w:highlight w:val="none"/>
                <w:lang w:val="en-US" w:eastAsia="zh-CN"/>
              </w:rPr>
              <w:t>日09时00分</w:t>
            </w:r>
            <w:r>
              <w:rPr>
                <w:rFonts w:hint="eastAsia" w:ascii="宋体" w:hAnsi="宋体" w:eastAsia="宋体" w:cs="宋体"/>
                <w:snapToGrid w:val="0"/>
                <w:color w:val="auto"/>
                <w:kern w:val="0"/>
                <w:sz w:val="24"/>
                <w:szCs w:val="24"/>
                <w:highlight w:val="none"/>
                <w:u w:val="none"/>
              </w:rPr>
              <w:t>至</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23</w:t>
            </w:r>
            <w:r>
              <w:rPr>
                <w:rFonts w:hint="eastAsia" w:ascii="宋体" w:hAnsi="宋体" w:eastAsia="宋体" w:cs="宋体"/>
                <w:snapToGrid w:val="0"/>
                <w:color w:val="auto"/>
                <w:kern w:val="0"/>
                <w:sz w:val="24"/>
                <w:highlight w:val="none"/>
                <w:lang w:val="en-US" w:eastAsia="zh-CN"/>
              </w:rPr>
              <w:t>日09时30分</w:t>
            </w:r>
          </w:p>
        </w:tc>
      </w:tr>
      <w:tr w14:paraId="2D1D25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72BCF6AA">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D65EBA6">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4D932D98">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lang w:eastAsia="zh-CN"/>
              </w:rPr>
              <w:t>递交</w:t>
            </w:r>
            <w:r>
              <w:rPr>
                <w:rFonts w:hint="eastAsia" w:ascii="宋体" w:hAnsi="宋体" w:eastAsia="宋体" w:cs="宋体"/>
                <w:snapToGrid w:val="0"/>
                <w:color w:val="auto"/>
                <w:kern w:val="0"/>
                <w:sz w:val="24"/>
                <w:szCs w:val="24"/>
                <w:highlight w:val="none"/>
                <w:u w:val="none"/>
              </w:rPr>
              <w:t>场所：</w:t>
            </w:r>
            <w:r>
              <w:rPr>
                <w:rFonts w:hint="eastAsia" w:ascii="宋体" w:hAnsi="宋体" w:eastAsia="宋体" w:cs="宋体"/>
                <w:snapToGrid w:val="0"/>
                <w:color w:val="auto"/>
                <w:kern w:val="0"/>
                <w:sz w:val="24"/>
                <w:szCs w:val="24"/>
                <w:highlight w:val="none"/>
                <w:u w:val="none"/>
                <w:lang w:val="en-US" w:eastAsia="zh-CN"/>
              </w:rPr>
              <w:t>韶关市公共资源交易中心</w:t>
            </w:r>
          </w:p>
          <w:p w14:paraId="6164DD43">
            <w:pPr>
              <w:pStyle w:val="49"/>
              <w:widowControl w:val="0"/>
              <w:wordWrap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rPr>
              <w:t>地址：</w:t>
            </w:r>
            <w:r>
              <w:rPr>
                <w:rFonts w:hint="eastAsia" w:ascii="宋体" w:hAnsi="宋体" w:eastAsia="宋体" w:cs="宋体"/>
                <w:snapToGrid w:val="0"/>
                <w:color w:val="auto"/>
                <w:kern w:val="0"/>
                <w:sz w:val="24"/>
                <w:szCs w:val="24"/>
                <w:highlight w:val="none"/>
              </w:rPr>
              <w:t>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r>
              <w:rPr>
                <w:rFonts w:hint="eastAsia" w:ascii="宋体" w:hAnsi="宋体" w:eastAsia="宋体" w:cs="宋体"/>
                <w:snapToGrid w:val="0"/>
                <w:color w:val="auto"/>
                <w:kern w:val="0"/>
                <w:sz w:val="24"/>
                <w:szCs w:val="24"/>
                <w:highlight w:val="none"/>
                <w:lang w:eastAsia="zh-CN"/>
              </w:rPr>
              <w:t>。</w:t>
            </w:r>
          </w:p>
        </w:tc>
      </w:tr>
      <w:tr w14:paraId="1C05BF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9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CD38B72">
            <w:pPr>
              <w:pStyle w:val="34"/>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97BBC34">
            <w:pPr>
              <w:pStyle w:val="34"/>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开标时间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B807D9F">
            <w:pPr>
              <w:pStyle w:val="34"/>
              <w:wordWrap w:val="0"/>
              <w:adjustRightInd w:val="0"/>
              <w:snapToGrid w:val="0"/>
              <w:spacing w:line="360" w:lineRule="auto"/>
              <w:jc w:val="both"/>
              <w:rPr>
                <w:rFonts w:hint="eastAsia" w:ascii="宋体" w:hAnsi="宋体" w:eastAsia="宋体" w:cs="宋体"/>
                <w:snapToGrid w:val="0"/>
                <w:color w:val="auto"/>
                <w:kern w:val="0"/>
                <w:sz w:val="24"/>
                <w:highlight w:val="none"/>
              </w:rPr>
            </w:pPr>
            <w:r>
              <w:rPr>
                <w:rFonts w:hint="eastAsia" w:ascii="宋体" w:hAnsi="宋体" w:cs="宋体"/>
                <w:snapToGrid w:val="0"/>
                <w:color w:val="auto"/>
                <w:kern w:val="0"/>
                <w:sz w:val="24"/>
                <w:szCs w:val="24"/>
                <w:highlight w:val="none"/>
                <w:u w:val="none"/>
                <w:lang w:val="en-US" w:eastAsia="zh-CN"/>
              </w:rPr>
              <w:t xml:space="preserve">  </w:t>
            </w:r>
            <w:bookmarkStart w:id="359" w:name="_GoBack"/>
            <w:bookmarkEnd w:id="359"/>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23</w:t>
            </w:r>
            <w:r>
              <w:rPr>
                <w:rFonts w:hint="eastAsia" w:ascii="宋体" w:hAnsi="宋体" w:eastAsia="宋体" w:cs="宋体"/>
                <w:snapToGrid w:val="0"/>
                <w:color w:val="auto"/>
                <w:kern w:val="0"/>
                <w:sz w:val="24"/>
                <w:highlight w:val="none"/>
                <w:lang w:val="en-US" w:eastAsia="zh-CN"/>
              </w:rPr>
              <w:t>日09时30分</w:t>
            </w:r>
          </w:p>
        </w:tc>
      </w:tr>
      <w:tr w14:paraId="5BB941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2"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E6761C9">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6ACC4E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0EB6ACD">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开标场所：</w:t>
            </w:r>
            <w:r>
              <w:rPr>
                <w:rFonts w:hint="eastAsia" w:ascii="宋体" w:hAnsi="宋体" w:eastAsia="宋体" w:cs="宋体"/>
                <w:snapToGrid w:val="0"/>
                <w:color w:val="auto"/>
                <w:kern w:val="0"/>
                <w:sz w:val="24"/>
                <w:szCs w:val="24"/>
                <w:highlight w:val="none"/>
                <w:lang w:val="en-US" w:eastAsia="zh-CN"/>
              </w:rPr>
              <w:t>韶关市公共资源交易中心</w:t>
            </w:r>
          </w:p>
          <w:p w14:paraId="59F1C8C1">
            <w:pPr>
              <w:pStyle w:val="49"/>
              <w:widowControl w:val="0"/>
              <w:wordWrap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p>
        </w:tc>
      </w:tr>
      <w:tr w14:paraId="5D5E8F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83"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B2B6B00">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FFA4335">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其他</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484FFA">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783CCCE4">
      <w:pPr>
        <w:rPr>
          <w:rFonts w:hint="eastAsia" w:ascii="宋体" w:hAnsi="宋体" w:eastAsia="宋体" w:cs="宋体"/>
        </w:rPr>
      </w:pPr>
    </w:p>
    <w:p w14:paraId="0C391831">
      <w:pPr>
        <w:rPr>
          <w:rFonts w:hint="eastAsia" w:ascii="宋体" w:hAnsi="宋体" w:eastAsia="宋体" w:cs="宋体"/>
        </w:rPr>
      </w:pPr>
    </w:p>
    <w:p w14:paraId="06F3CE5A">
      <w:pPr>
        <w:rPr>
          <w:rFonts w:hint="eastAsia" w:ascii="宋体" w:hAnsi="宋体" w:eastAsia="宋体" w:cs="宋体"/>
        </w:rPr>
      </w:pPr>
    </w:p>
    <w:p w14:paraId="10FF82C7">
      <w:pPr>
        <w:rPr>
          <w:rFonts w:hint="eastAsia" w:ascii="宋体" w:hAnsi="宋体" w:eastAsia="宋体" w:cs="宋体"/>
        </w:rPr>
      </w:pPr>
    </w:p>
    <w:p w14:paraId="4740C1D3">
      <w:pPr>
        <w:rPr>
          <w:rFonts w:hint="eastAsia" w:ascii="宋体" w:hAnsi="宋体" w:eastAsia="宋体" w:cs="宋体"/>
        </w:rPr>
      </w:pPr>
    </w:p>
    <w:p w14:paraId="10825357">
      <w:pPr>
        <w:rPr>
          <w:rFonts w:hint="eastAsia" w:ascii="宋体" w:hAnsi="宋体" w:eastAsia="宋体" w:cs="宋体"/>
        </w:rPr>
      </w:pPr>
    </w:p>
    <w:p w14:paraId="4E3F0761">
      <w:pPr>
        <w:rPr>
          <w:rFonts w:hint="eastAsia" w:ascii="宋体" w:hAnsi="宋体" w:eastAsia="宋体" w:cs="宋体"/>
        </w:rPr>
      </w:pPr>
    </w:p>
    <w:p w14:paraId="73C561D0">
      <w:pPr>
        <w:rPr>
          <w:rFonts w:hint="eastAsia" w:ascii="宋体" w:hAnsi="宋体" w:eastAsia="宋体" w:cs="宋体"/>
        </w:rPr>
      </w:pPr>
      <w:bookmarkStart w:id="9" w:name="_Toc29292"/>
    </w:p>
    <w:p w14:paraId="12CA5012">
      <w:pPr>
        <w:spacing w:before="156" w:line="360" w:lineRule="auto"/>
        <w:ind w:left="17"/>
        <w:outlineLvl w:val="1"/>
        <w:rPr>
          <w:rFonts w:hint="eastAsia" w:ascii="宋体" w:hAnsi="宋体" w:eastAsia="宋体" w:cs="宋体"/>
          <w:b/>
          <w:bCs/>
          <w:color w:val="auto"/>
          <w:spacing w:val="-3"/>
          <w:sz w:val="24"/>
          <w:szCs w:val="24"/>
          <w:highlight w:val="none"/>
        </w:rPr>
      </w:pPr>
      <w:bookmarkStart w:id="10" w:name="_Toc577"/>
      <w:r>
        <w:rPr>
          <w:rFonts w:hint="eastAsia" w:ascii="宋体" w:hAnsi="宋体" w:eastAsia="宋体" w:cs="宋体"/>
          <w:b/>
          <w:bCs/>
          <w:color w:val="auto"/>
          <w:spacing w:val="-3"/>
          <w:sz w:val="24"/>
          <w:szCs w:val="24"/>
          <w:highlight w:val="none"/>
        </w:rPr>
        <w:t>第三节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投标人须知正文</w:t>
      </w:r>
      <w:bookmarkEnd w:id="9"/>
      <w:bookmarkEnd w:id="10"/>
    </w:p>
    <w:p w14:paraId="4094FC0C">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napToGrid w:val="0"/>
          <w:color w:val="auto"/>
          <w:sz w:val="24"/>
          <w:szCs w:val="24"/>
          <w:highlight w:val="none"/>
        </w:rPr>
      </w:pPr>
      <w:bookmarkStart w:id="11" w:name="_Toc24668"/>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江湾镇武洞至乳源白竹跨镇道路灾后重建项目（水渠工程）</w:t>
      </w:r>
      <w:r>
        <w:rPr>
          <w:rFonts w:hint="eastAsia" w:ascii="宋体" w:hAnsi="宋体" w:eastAsia="宋体" w:cs="宋体"/>
          <w:b w:val="0"/>
          <w:bCs w:val="0"/>
          <w:caps w:val="0"/>
          <w:smallCaps w:val="0"/>
          <w:snapToGrid w:val="0"/>
          <w:color w:val="auto"/>
          <w:spacing w:val="0"/>
          <w:kern w:val="0"/>
          <w:sz w:val="24"/>
          <w:szCs w:val="24"/>
          <w:highlight w:val="none"/>
          <w:lang w:val="en-US" w:eastAsia="zh-CN"/>
        </w:rPr>
        <w:t>经</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w:t>
      </w:r>
      <w:r>
        <w:rPr>
          <w:rFonts w:hint="eastAsia" w:ascii="宋体" w:hAnsi="宋体" w:eastAsia="宋体" w:cs="宋体"/>
          <w:b w:val="0"/>
          <w:bCs w:val="0"/>
          <w:caps w:val="0"/>
          <w:smallCaps w:val="0"/>
          <w:snapToGrid w:val="0"/>
          <w:color w:val="auto"/>
          <w:spacing w:val="0"/>
          <w:kern w:val="0"/>
          <w:sz w:val="24"/>
          <w:szCs w:val="24"/>
          <w:highlight w:val="none"/>
          <w:lang w:val="en-US" w:eastAsia="zh-CN"/>
        </w:rPr>
        <w:t>以</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《韶关市武江区发展和改革局关于江湾镇武洞至乳源白竹跨镇道路灾后重建项目（水渠工程）初步设计概算的批复》</w:t>
      </w:r>
      <w:r>
        <w:rPr>
          <w:rFonts w:hint="eastAsia" w:ascii="宋体" w:hAnsi="宋体" w:eastAsia="宋体" w:cs="宋体"/>
          <w:b w:val="0"/>
          <w:bCs w:val="0"/>
          <w:caps w:val="0"/>
          <w:smallCaps w:val="0"/>
          <w:snapToGrid w:val="0"/>
          <w:color w:val="auto"/>
          <w:spacing w:val="0"/>
          <w:kern w:val="0"/>
          <w:sz w:val="24"/>
          <w:szCs w:val="24"/>
          <w:highlight w:val="none"/>
          <w:lang w:val="en-US" w:eastAsia="zh-CN"/>
        </w:rPr>
        <w:t>批准招标，项目批准文号为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韶武发改投审〔2025〕53号</w:t>
      </w:r>
      <w:r>
        <w:rPr>
          <w:rFonts w:hint="eastAsia" w:ascii="宋体" w:hAnsi="宋体" w:eastAsia="宋体" w:cs="宋体"/>
          <w:b w:val="0"/>
          <w:bCs w:val="0"/>
          <w:caps w:val="0"/>
          <w:smallCaps w:val="0"/>
          <w:snapToGrid w:val="0"/>
          <w:color w:val="auto"/>
          <w:spacing w:val="0"/>
          <w:kern w:val="0"/>
          <w:sz w:val="24"/>
          <w:szCs w:val="24"/>
          <w:highlight w:val="none"/>
          <w:lang w:val="en-US" w:eastAsia="zh-CN"/>
        </w:rPr>
        <w:t>，项目代码为</w:t>
      </w:r>
      <w:r>
        <w:rPr>
          <w:rFonts w:hint="eastAsia" w:ascii="宋体" w:hAnsi="宋体" w:eastAsia="宋体" w:cs="宋体"/>
          <w:snapToGrid w:val="0"/>
          <w:color w:val="auto"/>
          <w:kern w:val="0"/>
          <w:sz w:val="24"/>
          <w:szCs w:val="24"/>
          <w:highlight w:val="none"/>
          <w:u w:val="single"/>
          <w:lang w:eastAsia="zh-CN"/>
        </w:rPr>
        <w:t>2507-440203-18-01-670306</w:t>
      </w:r>
      <w:r>
        <w:rPr>
          <w:rFonts w:hint="eastAsia" w:ascii="宋体" w:hAnsi="宋体" w:eastAsia="宋体" w:cs="宋体"/>
          <w:b w:val="0"/>
          <w:bCs w:val="0"/>
          <w:caps w:val="0"/>
          <w:smallCaps w:val="0"/>
          <w:snapToGrid w:val="0"/>
          <w:color w:val="auto"/>
          <w:spacing w:val="0"/>
          <w:kern w:val="0"/>
          <w:sz w:val="24"/>
          <w:szCs w:val="24"/>
          <w:highlight w:val="none"/>
          <w:lang w:val="en-US" w:eastAsia="zh-CN"/>
        </w:rPr>
        <w:t>，本工程项目业主为</w:t>
      </w:r>
      <w:r>
        <w:rPr>
          <w:rFonts w:hint="eastAsia" w:ascii="宋体" w:hAnsi="宋体" w:eastAsia="宋体" w:cs="宋体"/>
          <w:snapToGrid w:val="0"/>
          <w:color w:val="auto"/>
          <w:kern w:val="0"/>
          <w:sz w:val="24"/>
          <w:szCs w:val="24"/>
          <w:highlight w:val="none"/>
          <w:u w:val="single"/>
          <w:lang w:eastAsia="zh-CN"/>
        </w:rPr>
        <w:t>韶关市武江区江湾镇人民政府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，建设资金来自</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区财政统筹</w:t>
      </w:r>
      <w:r>
        <w:rPr>
          <w:rFonts w:hint="eastAsia" w:ascii="宋体" w:hAnsi="宋体" w:eastAsia="宋体" w:cs="宋体"/>
          <w:b w:val="0"/>
          <w:bCs w:val="0"/>
          <w:caps w:val="0"/>
          <w:smallCaps w:val="0"/>
          <w:snapToGrid w:val="0"/>
          <w:color w:val="auto"/>
          <w:spacing w:val="0"/>
          <w:kern w:val="0"/>
          <w:sz w:val="24"/>
          <w:szCs w:val="24"/>
          <w:highlight w:val="none"/>
          <w:lang w:val="en-US" w:eastAsia="zh-CN"/>
        </w:rPr>
        <w:t>，出资比例为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100%</w:t>
      </w:r>
      <w:r>
        <w:rPr>
          <w:rFonts w:hint="eastAsia" w:ascii="宋体" w:hAnsi="宋体" w:eastAsia="宋体" w:cs="宋体"/>
          <w:b w:val="0"/>
          <w:bCs w:val="0"/>
          <w:caps w:val="0"/>
          <w:smallCaps w:val="0"/>
          <w:snapToGrid w:val="0"/>
          <w:color w:val="auto"/>
          <w:spacing w:val="0"/>
          <w:kern w:val="0"/>
          <w:sz w:val="24"/>
          <w:szCs w:val="24"/>
          <w:highlight w:val="none"/>
          <w:lang w:val="en-US" w:eastAsia="zh-CN"/>
        </w:rPr>
        <w:t>，招标人为</w:t>
      </w:r>
      <w:r>
        <w:rPr>
          <w:rFonts w:hint="eastAsia" w:ascii="宋体" w:hAnsi="宋体" w:eastAsia="宋体" w:cs="宋体"/>
          <w:snapToGrid w:val="0"/>
          <w:color w:val="auto"/>
          <w:kern w:val="0"/>
          <w:sz w:val="24"/>
          <w:szCs w:val="24"/>
          <w:highlight w:val="none"/>
          <w:u w:val="single"/>
          <w:lang w:eastAsia="zh-CN"/>
        </w:rPr>
        <w:t>韶关市武江区江湾镇人民政府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snapToGrid w:val="0"/>
          <w:color w:val="auto"/>
          <w:kern w:val="0"/>
          <w:sz w:val="24"/>
          <w:szCs w:val="24"/>
          <w:highlight w:val="none"/>
          <w:u w:val="single"/>
          <w:lang w:eastAsia="zh-CN"/>
        </w:rPr>
        <w:t>广东明正项目管理有限公司</w:t>
      </w:r>
      <w:r>
        <w:rPr>
          <w:rFonts w:hint="eastAsia" w:ascii="宋体" w:hAnsi="宋体" w:eastAsia="宋体" w:cs="宋体"/>
          <w:snapToGrid w:val="0"/>
          <w:color w:val="auto"/>
          <w:kern w:val="0"/>
          <w:sz w:val="24"/>
          <w:szCs w:val="24"/>
          <w:highlight w:val="none"/>
        </w:rPr>
        <w:t>。项目已具备招标条件，现对</w:t>
      </w:r>
      <w:r>
        <w:rPr>
          <w:rFonts w:hint="eastAsia" w:ascii="宋体" w:hAnsi="宋体" w:eastAsia="宋体" w:cs="宋体"/>
          <w:snapToGrid w:val="0"/>
          <w:color w:val="auto"/>
          <w:kern w:val="0"/>
          <w:sz w:val="24"/>
          <w:szCs w:val="24"/>
          <w:highlight w:val="none"/>
          <w:u w:val="none"/>
          <w:lang w:val="en-US" w:eastAsia="zh-CN"/>
        </w:rPr>
        <w:t>该项目</w:t>
      </w:r>
      <w:r>
        <w:rPr>
          <w:rFonts w:hint="eastAsia" w:ascii="宋体" w:hAnsi="宋体" w:eastAsia="宋体" w:cs="宋体"/>
          <w:snapToGrid w:val="0"/>
          <w:color w:val="auto"/>
          <w:kern w:val="0"/>
          <w:sz w:val="24"/>
          <w:szCs w:val="24"/>
          <w:highlight w:val="none"/>
          <w:u w:val="single"/>
          <w:lang w:val="en-US" w:eastAsia="zh-CN"/>
        </w:rPr>
        <w:t>施工</w:t>
      </w:r>
      <w:r>
        <w:rPr>
          <w:rFonts w:hint="eastAsia" w:ascii="宋体" w:hAnsi="宋体" w:eastAsia="宋体" w:cs="宋体"/>
          <w:snapToGrid w:val="0"/>
          <w:color w:val="auto"/>
          <w:kern w:val="0"/>
          <w:sz w:val="24"/>
          <w:szCs w:val="24"/>
          <w:highlight w:val="none"/>
        </w:rPr>
        <w:t>进行公开招标。</w:t>
      </w:r>
    </w:p>
    <w:p w14:paraId="55C36900">
      <w:pPr>
        <w:spacing w:before="78" w:line="360" w:lineRule="auto"/>
        <w:ind w:left="496"/>
        <w:outlineLvl w:val="2"/>
        <w:rPr>
          <w:rFonts w:hint="eastAsia" w:ascii="宋体" w:hAnsi="宋体" w:eastAsia="宋体" w:cs="宋体"/>
          <w:color w:val="auto"/>
          <w:sz w:val="24"/>
          <w:szCs w:val="24"/>
          <w:highlight w:val="none"/>
        </w:rPr>
      </w:pPr>
      <w:bookmarkStart w:id="12" w:name="_Toc1991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6512D44E">
      <w:pPr>
        <w:numPr>
          <w:ilvl w:val="1"/>
          <w:numId w:val="0"/>
        </w:numPr>
        <w:spacing w:before="151" w:line="360" w:lineRule="auto"/>
        <w:ind w:left="496" w:leftChars="0" w:firstLine="0" w:firstLineChars="0"/>
        <w:rPr>
          <w:rFonts w:hint="eastAsia" w:ascii="宋体" w:hAnsi="宋体" w:eastAsia="宋体" w:cs="宋体"/>
          <w:color w:val="auto"/>
          <w:spacing w:val="-5"/>
          <w:sz w:val="24"/>
          <w:szCs w:val="24"/>
          <w:highlight w:val="none"/>
        </w:rPr>
      </w:pPr>
      <w:r>
        <w:rPr>
          <w:rFonts w:hint="eastAsia" w:ascii="宋体" w:hAnsi="宋体" w:eastAsia="宋体" w:cs="宋体"/>
          <w:b/>
          <w:bCs/>
          <w:snapToGrid w:val="0"/>
          <w:color w:val="auto"/>
          <w:spacing w:val="-5"/>
          <w:sz w:val="24"/>
          <w:szCs w:val="24"/>
          <w:lang w:val="en-US" w:eastAsia="en-US" w:bidi="ar-SA"/>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b/>
          <w:bCs/>
          <w:color w:val="auto"/>
          <w:spacing w:val="9"/>
          <w:sz w:val="24"/>
          <w:szCs w:val="24"/>
          <w:highlight w:val="none"/>
          <w:lang w:val="en-US" w:eastAsia="zh-CN"/>
        </w:rPr>
        <w:t xml:space="preserve"> </w:t>
      </w:r>
      <w:r>
        <w:rPr>
          <w:rFonts w:hint="eastAsia" w:ascii="宋体" w:hAnsi="宋体" w:eastAsia="宋体" w:cs="宋体"/>
          <w:color w:val="auto"/>
          <w:spacing w:val="-5"/>
          <w:sz w:val="24"/>
          <w:szCs w:val="24"/>
          <w:highlight w:val="none"/>
        </w:rPr>
        <w:t>项目概况</w:t>
      </w:r>
    </w:p>
    <w:p w14:paraId="6C0E213B">
      <w:pPr>
        <w:numPr>
          <w:ilvl w:val="0"/>
          <w:numId w:val="0"/>
        </w:numPr>
        <w:spacing w:before="151" w:line="360" w:lineRule="auto"/>
        <w:ind w:left="496" w:left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江湾镇武洞村</w:t>
      </w:r>
      <w:r>
        <w:rPr>
          <w:rFonts w:hint="eastAsia" w:ascii="宋体" w:hAnsi="宋体" w:eastAsia="宋体" w:cs="宋体"/>
          <w:color w:val="auto"/>
          <w:sz w:val="24"/>
          <w:szCs w:val="24"/>
          <w:highlight w:val="none"/>
          <w:u w:val="none"/>
          <w:lang w:val="en-US" w:eastAsia="zh-CN"/>
        </w:rPr>
        <w:t>。</w:t>
      </w:r>
    </w:p>
    <w:p w14:paraId="4FB7DEF3">
      <w:pPr>
        <w:pStyle w:val="58"/>
        <w:tabs>
          <w:tab w:val="left" w:pos="7020"/>
        </w:tabs>
        <w:spacing w:line="360" w:lineRule="auto"/>
        <w:ind w:firstLine="524" w:firstLineChars="221"/>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hAnsi="宋体" w:cs="宋体"/>
          <w:color w:val="auto"/>
          <w:spacing w:val="-2"/>
          <w:sz w:val="24"/>
          <w:szCs w:val="24"/>
          <w:highlight w:val="none"/>
          <w:u w:val="single"/>
          <w:lang w:val="en-US" w:eastAsia="zh-CN"/>
        </w:rPr>
        <w:t>硬化江湾镇武洞至乳源跨镇道路约244米现状土渠、新建约2900米混凝土渠，新建一个行人候车休息亭。</w:t>
      </w:r>
    </w:p>
    <w:p w14:paraId="0402EAEE">
      <w:pPr>
        <w:spacing w:line="360" w:lineRule="auto"/>
        <w:ind w:firstLine="474" w:firstLineChars="200"/>
        <w:rPr>
          <w:rFonts w:hint="eastAsia" w:ascii="宋体" w:hAnsi="宋体" w:eastAsia="宋体" w:cs="宋体"/>
          <w:sz w:val="24"/>
          <w:szCs w:val="24"/>
          <w:lang w:val="en-US" w:eastAsia="zh-CN"/>
        </w:rPr>
      </w:pPr>
      <w:r>
        <w:rPr>
          <w:rFonts w:hint="eastAsia" w:ascii="宋体" w:hAnsi="宋体" w:eastAsia="宋体" w:cs="宋体"/>
          <w:b/>
          <w:bCs/>
          <w:color w:val="auto"/>
          <w:spacing w:val="-2"/>
          <w:sz w:val="24"/>
          <w:szCs w:val="24"/>
          <w:highlight w:val="none"/>
        </w:rPr>
        <w:t>1.1.3</w:t>
      </w:r>
      <w:r>
        <w:rPr>
          <w:rFonts w:hint="eastAsia" w:ascii="宋体" w:hAnsi="宋体" w:eastAsia="宋体" w:cs="宋体"/>
          <w:color w:val="auto"/>
          <w:spacing w:val="-2"/>
          <w:sz w:val="24"/>
          <w:szCs w:val="24"/>
          <w:highlight w:val="none"/>
        </w:rPr>
        <w:t xml:space="preserve">  项目总投资</w:t>
      </w:r>
      <w:r>
        <w:rPr>
          <w:rFonts w:hint="eastAsia" w:ascii="宋体" w:hAnsi="宋体" w:eastAsia="宋体" w:cs="宋体"/>
          <w:color w:val="auto"/>
          <w:spacing w:val="-2"/>
          <w:sz w:val="24"/>
          <w:szCs w:val="24"/>
          <w:highlight w:val="none"/>
          <w:lang w:val="en-US" w:eastAsia="zh-CN"/>
        </w:rPr>
        <w:t>：项目概算总投资149.92万元，其中工程费用128.96万元，工</w:t>
      </w:r>
      <w:r>
        <w:rPr>
          <w:rFonts w:hint="eastAsia" w:ascii="宋体" w:hAnsi="宋体" w:eastAsia="宋体" w:cs="宋体"/>
          <w:sz w:val="24"/>
          <w:szCs w:val="24"/>
          <w:lang w:val="en-US" w:eastAsia="zh-CN"/>
        </w:rPr>
        <w:t>程建设其他费用13.82万元，预备费用7.14万元。</w:t>
      </w:r>
    </w:p>
    <w:p w14:paraId="5F1DBCD4">
      <w:pPr>
        <w:spacing w:before="15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  </w:t>
      </w:r>
      <w:r>
        <w:rPr>
          <w:rFonts w:hint="eastAsia" w:ascii="宋体" w:hAnsi="宋体" w:eastAsia="宋体" w:cs="宋体"/>
          <w:color w:val="auto"/>
          <w:spacing w:val="-2"/>
          <w:sz w:val="24"/>
          <w:szCs w:val="24"/>
          <w:highlight w:val="none"/>
        </w:rPr>
        <w:t>招标范围和标段划分</w:t>
      </w:r>
    </w:p>
    <w:p w14:paraId="3AAF1533">
      <w:pPr>
        <w:spacing w:before="152" w:line="360" w:lineRule="auto"/>
        <w:ind w:left="496"/>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E6C1E53">
      <w:pPr>
        <w:spacing w:before="151" w:line="360" w:lineRule="auto"/>
        <w:ind w:left="13" w:right="65" w:firstLine="533"/>
        <w:rPr>
          <w:rFonts w:hint="eastAsia" w:ascii="宋体" w:hAnsi="宋体" w:eastAsia="宋体" w:cs="宋体"/>
          <w:b w:val="0"/>
          <w:bCs w:val="0"/>
          <w:color w:val="auto"/>
          <w:spacing w:val="-1"/>
          <w:sz w:val="24"/>
          <w:szCs w:val="24"/>
          <w:highlight w:val="none"/>
        </w:rPr>
      </w:pPr>
      <w:bookmarkStart w:id="13" w:name="_Toc20855"/>
      <w:bookmarkStart w:id="14" w:name="_Toc30251"/>
      <w:bookmarkStart w:id="15" w:name="_Toc28202"/>
      <w:bookmarkStart w:id="16" w:name="_Toc14190"/>
      <w:r>
        <w:rPr>
          <w:rFonts w:hint="eastAsia" w:ascii="宋体" w:hAnsi="宋体" w:eastAsia="宋体" w:cs="宋体"/>
          <w:b/>
          <w:bCs/>
          <w:color w:val="auto"/>
          <w:spacing w:val="-1"/>
          <w:sz w:val="24"/>
          <w:szCs w:val="24"/>
          <w:highlight w:val="none"/>
        </w:rPr>
        <w:t xml:space="preserve">1.2.2  </w:t>
      </w:r>
      <w:r>
        <w:rPr>
          <w:rFonts w:hint="eastAsia" w:ascii="宋体" w:hAnsi="宋体" w:eastAsia="宋体" w:cs="宋体"/>
          <w:b w:val="0"/>
          <w:bCs w:val="0"/>
          <w:color w:val="auto"/>
          <w:spacing w:val="-1"/>
          <w:sz w:val="24"/>
          <w:szCs w:val="24"/>
          <w:highlight w:val="none"/>
        </w:rPr>
        <w:t>标段划分：本招标项目不划分标段。</w:t>
      </w:r>
      <w:bookmarkEnd w:id="13"/>
      <w:bookmarkEnd w:id="14"/>
      <w:bookmarkEnd w:id="15"/>
      <w:bookmarkEnd w:id="16"/>
    </w:p>
    <w:p w14:paraId="3E431764">
      <w:pPr>
        <w:spacing w:before="151" w:line="360" w:lineRule="auto"/>
        <w:ind w:left="13" w:right="65" w:firstLine="53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712CC623">
      <w:pPr>
        <w:spacing w:before="2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31FCE6E">
      <w:pPr>
        <w:wordWrap w:val="0"/>
        <w:adjustRightInd w:val="0"/>
        <w:snapToGrid w:val="0"/>
        <w:spacing w:line="360" w:lineRule="auto"/>
        <w:ind w:firstLine="482" w:firstLineChars="200"/>
        <w:jc w:val="left"/>
        <w:outlineLvl w:val="2"/>
        <w:rPr>
          <w:rFonts w:hint="eastAsia" w:ascii="宋体" w:hAnsi="宋体" w:eastAsia="宋体" w:cs="宋体"/>
          <w:b/>
          <w:bCs/>
          <w:color w:val="auto"/>
          <w:sz w:val="24"/>
          <w:szCs w:val="24"/>
          <w:highlight w:val="none"/>
        </w:rPr>
      </w:pPr>
      <w:bookmarkStart w:id="17" w:name="_Toc826"/>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资质要求</w:t>
      </w:r>
      <w:bookmarkEnd w:id="17"/>
    </w:p>
    <w:p w14:paraId="2C1CD63E">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lang w:val="en-US" w:eastAsia="zh-CN"/>
        </w:rPr>
        <w:t>2.</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本次招标</w:t>
      </w:r>
      <w:r>
        <w:rPr>
          <w:rStyle w:val="48"/>
          <w:rFonts w:hint="eastAsia" w:ascii="宋体" w:hAnsi="宋体" w:eastAsia="宋体" w:cs="宋体"/>
          <w:color w:val="auto"/>
          <w:kern w:val="0"/>
          <w:sz w:val="24"/>
          <w:szCs w:val="24"/>
          <w:highlight w:val="none"/>
          <w:u w:val="single"/>
          <w:lang w:eastAsia="zh-CN"/>
        </w:rPr>
        <w:t>不接受</w:t>
      </w:r>
      <w:r>
        <w:rPr>
          <w:rStyle w:val="48"/>
          <w:rFonts w:hint="eastAsia" w:ascii="宋体" w:hAnsi="宋体" w:eastAsia="宋体" w:cs="宋体"/>
          <w:color w:val="auto"/>
          <w:kern w:val="0"/>
          <w:sz w:val="24"/>
          <w:szCs w:val="24"/>
          <w:highlight w:val="none"/>
          <w:lang w:eastAsia="zh-CN"/>
        </w:rPr>
        <w:t>联合体投标。</w:t>
      </w:r>
    </w:p>
    <w:p w14:paraId="522C5F58">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val="en-US" w:eastAsia="zh-CN"/>
        </w:rPr>
      </w:pPr>
      <w:r>
        <w:rPr>
          <w:rStyle w:val="48"/>
          <w:rFonts w:hint="eastAsia" w:ascii="宋体" w:hAnsi="宋体" w:eastAsia="宋体" w:cs="宋体"/>
          <w:b/>
          <w:bCs/>
          <w:color w:val="auto"/>
          <w:kern w:val="0"/>
          <w:sz w:val="24"/>
          <w:szCs w:val="24"/>
          <w:highlight w:val="none"/>
          <w:lang w:val="en-US" w:eastAsia="zh-CN"/>
        </w:rPr>
        <w:t>2.2</w:t>
      </w:r>
      <w:r>
        <w:rPr>
          <w:rStyle w:val="48"/>
          <w:rFonts w:hint="eastAsia" w:ascii="宋体" w:hAnsi="宋体" w:eastAsia="宋体" w:cs="宋体"/>
          <w:color w:val="auto"/>
          <w:kern w:val="0"/>
          <w:sz w:val="24"/>
          <w:szCs w:val="24"/>
          <w:highlight w:val="none"/>
          <w:lang w:val="en-US" w:eastAsia="zh-CN"/>
        </w:rPr>
        <w:t>资格资质要求</w:t>
      </w:r>
    </w:p>
    <w:p w14:paraId="7F8C533F">
      <w:pPr>
        <w:pStyle w:val="7"/>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投标人须具备独立法人资格，按国家法律经营。</w:t>
      </w:r>
    </w:p>
    <w:p w14:paraId="3D9D6AF2">
      <w:pPr>
        <w:pStyle w:val="7"/>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投标人须持有建设行政主管部门颁发的企业资质证书及安全生产许可证。</w:t>
      </w:r>
    </w:p>
    <w:p w14:paraId="31719858">
      <w:pPr>
        <w:pStyle w:val="7"/>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2.3</w:t>
      </w:r>
      <w:r>
        <w:rPr>
          <w:rFonts w:hint="eastAsia" w:ascii="宋体" w:hAnsi="宋体" w:eastAsia="宋体" w:cs="宋体"/>
          <w:color w:val="auto"/>
          <w:sz w:val="24"/>
          <w:szCs w:val="24"/>
          <w:highlight w:val="none"/>
        </w:rPr>
        <w:t xml:space="preserve"> 投标人须具备以下资质：</w:t>
      </w:r>
      <w:r>
        <w:rPr>
          <w:rFonts w:hint="eastAsia" w:ascii="宋体" w:hAnsi="宋体" w:eastAsia="宋体" w:cs="宋体"/>
          <w:color w:val="auto"/>
          <w:sz w:val="24"/>
          <w:szCs w:val="24"/>
          <w:highlight w:val="none"/>
          <w:u w:val="single"/>
        </w:rPr>
        <w:t>市政公用工程施工总承包叁级以上（含叁级）资质</w:t>
      </w:r>
      <w:r>
        <w:rPr>
          <w:rFonts w:hint="eastAsia" w:ascii="宋体" w:hAnsi="宋体" w:eastAsia="宋体" w:cs="宋体"/>
          <w:color w:val="auto"/>
          <w:sz w:val="24"/>
          <w:szCs w:val="24"/>
          <w:highlight w:val="none"/>
        </w:rPr>
        <w:t>。</w:t>
      </w:r>
    </w:p>
    <w:p w14:paraId="1DE6637B">
      <w:pPr>
        <w:spacing w:before="78" w:line="360" w:lineRule="auto"/>
        <w:ind w:left="489"/>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3</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val="0"/>
          <w:bCs w:val="0"/>
          <w:color w:val="auto"/>
          <w:spacing w:val="-1"/>
          <w:sz w:val="24"/>
          <w:szCs w:val="24"/>
          <w:highlight w:val="none"/>
        </w:rPr>
        <w:t>相关人员要求</w:t>
      </w:r>
    </w:p>
    <w:p w14:paraId="51E60F3F">
      <w:pPr>
        <w:widowControl/>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0"/>
          <w:sz w:val="24"/>
          <w:szCs w:val="24"/>
          <w:highlight w:val="none"/>
          <w:lang w:bidi="ar"/>
        </w:rPr>
        <w:t>拟派项目经理为</w:t>
      </w:r>
      <w:r>
        <w:rPr>
          <w:rFonts w:hint="eastAsia" w:ascii="宋体" w:hAnsi="宋体" w:eastAsia="宋体" w:cs="宋体"/>
          <w:color w:val="auto"/>
          <w:kern w:val="0"/>
          <w:sz w:val="24"/>
          <w:szCs w:val="24"/>
          <w:highlight w:val="none"/>
          <w:u w:val="single"/>
          <w:lang w:bidi="ar"/>
        </w:rPr>
        <w:t>市政公用工程</w:t>
      </w:r>
      <w:r>
        <w:rPr>
          <w:rFonts w:hint="eastAsia" w:ascii="宋体" w:hAnsi="宋体" w:eastAsia="宋体" w:cs="宋体"/>
          <w:color w:val="auto"/>
          <w:kern w:val="0"/>
          <w:sz w:val="24"/>
          <w:szCs w:val="24"/>
          <w:highlight w:val="none"/>
          <w:lang w:bidi="ar"/>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且未担任其他在施（包括已中标未开工、已开工未竣工）建设工程项目的项目经理。</w:t>
      </w:r>
    </w:p>
    <w:p w14:paraId="16B50FA1">
      <w:pPr>
        <w:widowControl/>
        <w:spacing w:line="360" w:lineRule="auto"/>
        <w:ind w:firstLine="482"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bidi="ar"/>
        </w:rPr>
        <w:t>3.2</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拟派项目技术负责人须具备中级或以上技术职称。</w:t>
      </w:r>
    </w:p>
    <w:p w14:paraId="37B17EBC">
      <w:pPr>
        <w:widowControl/>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3.3</w:t>
      </w:r>
      <w:r>
        <w:rPr>
          <w:rFonts w:hint="eastAsia" w:ascii="宋体" w:hAnsi="宋体" w:eastAsia="宋体" w:cs="宋体"/>
          <w:color w:val="auto"/>
          <w:sz w:val="24"/>
          <w:szCs w:val="24"/>
          <w:highlight w:val="none"/>
        </w:rPr>
        <w:t xml:space="preserve"> 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人。</w:t>
      </w:r>
    </w:p>
    <w:p w14:paraId="663CCED1">
      <w:pPr>
        <w:wordWrap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 xml:space="preserve"> 投标人与其拟派往本项目管理机构的所有人员之间必须具备合法、唯一的劳动聘用关系。拟派人员中具备注册执业资格的，其注册单位须与投标人保持一致。</w:t>
      </w:r>
    </w:p>
    <w:p w14:paraId="4D73ADC8">
      <w:pPr>
        <w:spacing w:before="78"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65C506C1">
      <w:pPr>
        <w:spacing w:before="153"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57058069">
      <w:pPr>
        <w:spacing w:before="153"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770C7F52">
      <w:pPr>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4593DC">
      <w:pPr>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1569B005">
      <w:pPr>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129D7125">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5AF1187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37029DB6">
      <w:pPr>
        <w:keepNext w:val="0"/>
        <w:keepLines w:val="0"/>
        <w:pageBreakBefore w:val="0"/>
        <w:widowControl w:val="0"/>
        <w:overflowPunct/>
        <w:topLinePunct w:val="0"/>
        <w:bidi w:val="0"/>
        <w:adjustRightInd w:val="0"/>
        <w:snapToGrid w:val="0"/>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166289D">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0C5F291D">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1754781E">
      <w:pPr>
        <w:keepNext w:val="0"/>
        <w:keepLines w:val="0"/>
        <w:pageBreakBefore w:val="0"/>
        <w:widowControl w:val="0"/>
        <w:overflowPunct/>
        <w:topLinePunct w:val="0"/>
        <w:bidi w:val="0"/>
        <w:adjustRightInd w:val="0"/>
        <w:snapToGrid w:val="0"/>
        <w:spacing w:before="155" w:line="360"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E4D3A29">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4540A86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204F9BEE">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bookmarkStart w:id="18" w:name="bookmark116"/>
      <w:bookmarkEnd w:id="18"/>
      <w:r>
        <w:rPr>
          <w:rFonts w:hint="eastAsia" w:ascii="宋体" w:hAnsi="宋体" w:eastAsia="宋体" w:cs="宋体"/>
          <w:snapToGrid w:val="0"/>
          <w:color w:val="auto"/>
          <w:kern w:val="0"/>
          <w:sz w:val="24"/>
          <w:highlight w:val="none"/>
        </w:rPr>
        <w:t>处罚决定或司法机关出具的有关法律文书为准）；</w:t>
      </w:r>
    </w:p>
    <w:p w14:paraId="1BA42F11">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1601A147">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（15）被“信用中国”网站（https://www.creditchina.gov.cn）发布的《法人和非法人组织公共信用信息报告》列为严重失信主体名单的。</w:t>
      </w:r>
    </w:p>
    <w:p w14:paraId="356AECBA">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2.4.2  招标人拒绝以下名单中的单位参加本次投标：</w:t>
      </w:r>
    </w:p>
    <w:tbl>
      <w:tblPr>
        <w:tblStyle w:val="24"/>
        <w:tblW w:w="1004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5077"/>
        <w:gridCol w:w="3892"/>
      </w:tblGrid>
      <w:tr w14:paraId="4C25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6" w:type="dxa"/>
            <w:noWrap w:val="0"/>
            <w:vAlign w:val="center"/>
          </w:tcPr>
          <w:p w14:paraId="0E9219F5">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3367" w:type="dxa"/>
            <w:noWrap w:val="0"/>
            <w:vAlign w:val="center"/>
          </w:tcPr>
          <w:p w14:paraId="65A06269">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2581" w:type="dxa"/>
            <w:noWrap w:val="0"/>
            <w:vAlign w:val="center"/>
          </w:tcPr>
          <w:p w14:paraId="21190669">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拒绝原因</w:t>
            </w:r>
          </w:p>
        </w:tc>
      </w:tr>
      <w:tr w14:paraId="3D3B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5AAFC26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367" w:type="dxa"/>
            <w:noWrap w:val="0"/>
            <w:vAlign w:val="center"/>
          </w:tcPr>
          <w:p w14:paraId="2C5E31E7">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韶关市武江区江湾镇人民政府</w:t>
            </w:r>
          </w:p>
        </w:tc>
        <w:tc>
          <w:tcPr>
            <w:tcW w:w="2581" w:type="dxa"/>
            <w:noWrap w:val="0"/>
            <w:vAlign w:val="center"/>
          </w:tcPr>
          <w:p w14:paraId="5BFB8223">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为本招标项目的业主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招标人</w:t>
            </w:r>
          </w:p>
        </w:tc>
      </w:tr>
      <w:tr w14:paraId="72CB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759540BE">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3367" w:type="dxa"/>
            <w:shd w:val="clear" w:color="auto" w:fill="auto"/>
            <w:noWrap w:val="0"/>
            <w:vAlign w:val="center"/>
          </w:tcPr>
          <w:p w14:paraId="542BCB39">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广东明正项目管理有限公司</w:t>
            </w:r>
          </w:p>
        </w:tc>
        <w:tc>
          <w:tcPr>
            <w:tcW w:w="2581" w:type="dxa"/>
            <w:shd w:val="clear" w:color="auto" w:fill="auto"/>
            <w:noWrap w:val="0"/>
            <w:vAlign w:val="center"/>
          </w:tcPr>
          <w:p w14:paraId="6A9CDB86">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为本招标项目的招标代理机构</w:t>
            </w:r>
          </w:p>
        </w:tc>
      </w:tr>
      <w:tr w14:paraId="3EC8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378E9DA8">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3367" w:type="dxa"/>
            <w:shd w:val="clear" w:color="auto" w:fill="auto"/>
            <w:noWrap w:val="0"/>
            <w:vAlign w:val="center"/>
          </w:tcPr>
          <w:p w14:paraId="12D83FCF">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广东省华源建设项目管理有限公司</w:t>
            </w:r>
          </w:p>
        </w:tc>
        <w:tc>
          <w:tcPr>
            <w:tcW w:w="2581" w:type="dxa"/>
            <w:shd w:val="clear" w:color="auto" w:fill="auto"/>
            <w:noWrap w:val="0"/>
            <w:vAlign w:val="center"/>
          </w:tcPr>
          <w:p w14:paraId="198E777D">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为本招标项目的可研编制单位</w:t>
            </w:r>
          </w:p>
        </w:tc>
      </w:tr>
      <w:tr w14:paraId="30C9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1B4FD6E0">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367" w:type="dxa"/>
            <w:shd w:val="clear" w:color="auto" w:fill="auto"/>
            <w:noWrap w:val="0"/>
            <w:vAlign w:val="center"/>
          </w:tcPr>
          <w:p w14:paraId="332670D1">
            <w:pPr>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海通国际设计有限公司</w:t>
            </w:r>
          </w:p>
        </w:tc>
        <w:tc>
          <w:tcPr>
            <w:tcW w:w="2581" w:type="dxa"/>
            <w:shd w:val="clear" w:color="auto" w:fill="auto"/>
            <w:noWrap w:val="0"/>
            <w:vAlign w:val="center"/>
          </w:tcPr>
          <w:p w14:paraId="0E1ADD88">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工程造价</w:t>
            </w:r>
            <w:r>
              <w:rPr>
                <w:rFonts w:hint="eastAsia" w:ascii="宋体" w:hAnsi="宋体" w:eastAsia="宋体" w:cs="宋体"/>
                <w:sz w:val="24"/>
                <w:szCs w:val="24"/>
                <w:lang w:val="en-US" w:eastAsia="en-US"/>
              </w:rPr>
              <w:t>单位</w:t>
            </w:r>
          </w:p>
        </w:tc>
      </w:tr>
      <w:tr w14:paraId="592C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79ABABE3">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367" w:type="dxa"/>
            <w:shd w:val="clear" w:color="auto" w:fill="auto"/>
            <w:noWrap w:val="0"/>
            <w:vAlign w:val="center"/>
          </w:tcPr>
          <w:p w14:paraId="75AC665F">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都创工程设计有限公司</w:t>
            </w:r>
          </w:p>
        </w:tc>
        <w:tc>
          <w:tcPr>
            <w:tcW w:w="2581" w:type="dxa"/>
            <w:shd w:val="clear" w:color="auto" w:fill="auto"/>
            <w:noWrap w:val="0"/>
            <w:vAlign w:val="center"/>
          </w:tcPr>
          <w:p w14:paraId="0888B23B">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设计单位</w:t>
            </w:r>
          </w:p>
        </w:tc>
      </w:tr>
    </w:tbl>
    <w:p w14:paraId="5D1C8E36">
      <w:pPr>
        <w:spacing w:before="153" w:line="360"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A84FD35">
      <w:pPr>
        <w:spacing w:before="150" w:line="360"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pacing w:val="-4"/>
          <w:sz w:val="24"/>
          <w:szCs w:val="24"/>
          <w:highlight w:val="none"/>
        </w:rPr>
        <w:t>52号）规定在“进粤企业和人员诚信信息登记平台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BDE96C7">
      <w:pPr>
        <w:spacing w:before="79" w:line="360" w:lineRule="auto"/>
        <w:ind w:left="715"/>
        <w:outlineLvl w:val="2"/>
        <w:rPr>
          <w:rFonts w:hint="eastAsia" w:ascii="宋体" w:hAnsi="宋体" w:eastAsia="宋体" w:cs="宋体"/>
          <w:color w:val="auto"/>
          <w:sz w:val="24"/>
          <w:szCs w:val="24"/>
          <w:highlight w:val="none"/>
        </w:rPr>
      </w:pPr>
      <w:bookmarkStart w:id="19" w:name="_Toc27377"/>
      <w:bookmarkStart w:id="20" w:name="_Toc10655"/>
      <w:r>
        <w:rPr>
          <w:rFonts w:hint="eastAsia" w:ascii="宋体" w:hAnsi="宋体" w:eastAsia="宋体" w:cs="宋体"/>
          <w:b/>
          <w:bCs/>
          <w:color w:val="auto"/>
          <w:spacing w:val="-4"/>
          <w:sz w:val="24"/>
          <w:szCs w:val="24"/>
          <w:highlight w:val="none"/>
        </w:rPr>
        <w:t>3</w:t>
      </w:r>
      <w:r>
        <w:rPr>
          <w:rFonts w:hint="eastAsia" w:ascii="宋体" w:hAnsi="宋体" w:eastAsia="宋体" w:cs="宋体"/>
          <w:b/>
          <w:bCs/>
          <w:color w:val="auto"/>
          <w:spacing w:val="-4"/>
          <w:sz w:val="24"/>
          <w:szCs w:val="24"/>
          <w:highlight w:val="none"/>
          <w:lang w:val="en-US" w:eastAsia="zh-CN"/>
        </w:rPr>
        <w:t>.</w:t>
      </w:r>
      <w:r>
        <w:rPr>
          <w:rFonts w:hint="eastAsia" w:ascii="宋体" w:hAnsi="宋体" w:eastAsia="宋体" w:cs="宋体"/>
          <w:b/>
          <w:bCs/>
          <w:color w:val="auto"/>
          <w:spacing w:val="-4"/>
          <w:sz w:val="24"/>
          <w:szCs w:val="24"/>
          <w:highlight w:val="none"/>
        </w:rPr>
        <w:t>招标文件的获取</w:t>
      </w:r>
      <w:bookmarkEnd w:id="19"/>
      <w:bookmarkEnd w:id="20"/>
    </w:p>
    <w:p w14:paraId="10B325F2">
      <w:pPr>
        <w:spacing w:before="182" w:line="360"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116295C5">
      <w:pPr>
        <w:spacing w:before="178" w:line="360"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785339EF">
      <w:pPr>
        <w:spacing w:before="142" w:line="36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76B73CD5">
      <w:pPr>
        <w:spacing w:before="32" w:line="360"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015DEDBB">
      <w:pPr>
        <w:spacing w:before="37" w:line="360"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p>
    <w:p w14:paraId="692B4BF1">
      <w:pPr>
        <w:spacing w:before="33" w:line="360"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6C5D9CE5">
      <w:pPr>
        <w:spacing w:before="33"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28028499">
      <w:pPr>
        <w:spacing w:before="152" w:line="36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lang w:val="en-US" w:eastAsia="zh-CN"/>
        </w:rPr>
        <w:t>2000</w:t>
      </w:r>
      <w:r>
        <w:rPr>
          <w:rFonts w:hint="eastAsia" w:ascii="宋体" w:hAnsi="宋体" w:eastAsia="宋体" w:cs="宋体"/>
          <w:color w:val="auto"/>
          <w:spacing w:val="-1"/>
          <w:sz w:val="24"/>
          <w:szCs w:val="24"/>
          <w:highlight w:val="none"/>
          <w:u w:val="none"/>
          <w:lang w:eastAsia="zh-CN"/>
        </w:rPr>
        <w:t>元</w:t>
      </w:r>
      <w:r>
        <w:rPr>
          <w:rFonts w:hint="eastAsia" w:ascii="宋体" w:hAnsi="宋体" w:eastAsia="宋体" w:cs="宋体"/>
          <w:color w:val="auto"/>
          <w:spacing w:val="-1"/>
          <w:sz w:val="24"/>
          <w:szCs w:val="24"/>
          <w:highlight w:val="none"/>
        </w:rPr>
        <w:t>人民币的投标保证</w:t>
      </w:r>
      <w:r>
        <w:rPr>
          <w:rFonts w:hint="eastAsia" w:ascii="宋体" w:hAnsi="宋体" w:eastAsia="宋体" w:cs="宋体"/>
          <w:color w:val="auto"/>
          <w:spacing w:val="-1"/>
          <w:sz w:val="24"/>
          <w:szCs w:val="24"/>
          <w:highlight w:val="none"/>
          <w:lang w:eastAsia="zh-CN"/>
        </w:rPr>
        <w:t>金</w:t>
      </w:r>
      <w:r>
        <w:rPr>
          <w:rFonts w:hint="eastAsia" w:ascii="宋体" w:hAnsi="宋体" w:eastAsia="宋体" w:cs="宋体"/>
          <w:color w:val="auto"/>
          <w:spacing w:val="-1"/>
          <w:sz w:val="24"/>
          <w:szCs w:val="24"/>
          <w:highlight w:val="none"/>
        </w:rPr>
        <w:t>。</w:t>
      </w:r>
    </w:p>
    <w:p w14:paraId="2F6E27F3">
      <w:pPr>
        <w:spacing w:before="35" w:line="360"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2A4547A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4AB78A7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0FB57550">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），在【服务指南】栏目中下载《建设工程网上交易系统保险保证金缴纳操作指南》，了解网上投保具体操作流程。逾期投保的，其投标无效。</w:t>
      </w:r>
    </w:p>
    <w:p w14:paraId="433D883D">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CA2428D">
      <w:pPr>
        <w:spacing w:before="78" w:line="360" w:lineRule="auto"/>
        <w:ind w:left="12" w:right="2" w:firstLine="490"/>
        <w:jc w:val="both"/>
        <w:rPr>
          <w:rFonts w:hint="eastAsia" w:ascii="宋体" w:hAnsi="宋体" w:eastAsia="宋体" w:cs="宋体"/>
          <w:color w:val="auto"/>
          <w:highlight w:val="none"/>
        </w:rPr>
      </w:pPr>
      <w:r>
        <w:rPr>
          <w:rFonts w:hint="eastAsia" w:ascii="宋体" w:hAnsi="宋体" w:eastAsia="宋体" w:cs="宋体"/>
          <w:color w:val="auto"/>
          <w:spacing w:val="-3"/>
          <w:sz w:val="24"/>
          <w:szCs w:val="24"/>
          <w:highlight w:val="none"/>
        </w:rPr>
        <w:t>3.4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63EDD81B">
      <w:pPr>
        <w:spacing w:before="79" w:line="360" w:lineRule="auto"/>
        <w:ind w:left="487"/>
        <w:outlineLvl w:val="2"/>
        <w:rPr>
          <w:rFonts w:hint="eastAsia" w:ascii="宋体" w:hAnsi="宋体" w:eastAsia="宋体" w:cs="宋体"/>
          <w:color w:val="auto"/>
          <w:sz w:val="24"/>
          <w:szCs w:val="24"/>
          <w:highlight w:val="none"/>
        </w:rPr>
      </w:pPr>
      <w:bookmarkStart w:id="22" w:name="bookmark64"/>
      <w:bookmarkEnd w:id="22"/>
      <w:bookmarkStart w:id="23" w:name="bookmark78"/>
      <w:bookmarkEnd w:id="23"/>
      <w:bookmarkStart w:id="24" w:name="_Toc22684"/>
      <w:bookmarkStart w:id="25" w:name="_Toc27100"/>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b/>
          <w:bCs/>
          <w:color w:val="auto"/>
          <w:spacing w:val="-8"/>
          <w:sz w:val="24"/>
          <w:szCs w:val="24"/>
          <w:highlight w:val="none"/>
        </w:rPr>
        <w:t>工期要求</w:t>
      </w:r>
      <w:bookmarkEnd w:id="24"/>
      <w:bookmarkEnd w:id="25"/>
    </w:p>
    <w:p w14:paraId="6373A964">
      <w:pPr>
        <w:spacing w:before="153" w:line="360"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60个日历天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7C2E502E">
      <w:pPr>
        <w:spacing w:before="78" w:line="360" w:lineRule="auto"/>
        <w:ind w:left="488"/>
        <w:outlineLvl w:val="2"/>
        <w:rPr>
          <w:rFonts w:hint="eastAsia" w:ascii="宋体" w:hAnsi="宋体" w:eastAsia="宋体" w:cs="宋体"/>
          <w:color w:val="auto"/>
          <w:sz w:val="24"/>
          <w:szCs w:val="24"/>
          <w:highlight w:val="none"/>
        </w:rPr>
      </w:pPr>
      <w:bookmarkStart w:id="26" w:name="_Toc3173"/>
      <w:bookmarkStart w:id="27" w:name="_Toc10840"/>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5"/>
          <w:sz w:val="24"/>
          <w:szCs w:val="24"/>
          <w:highlight w:val="none"/>
        </w:rPr>
        <w:t>质量标准和材料、机械要求</w:t>
      </w:r>
      <w:bookmarkEnd w:id="26"/>
      <w:bookmarkEnd w:id="27"/>
    </w:p>
    <w:p w14:paraId="1AAE31B9">
      <w:pPr>
        <w:spacing w:before="154" w:line="360"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snapToGrid w:val="0"/>
          <w:color w:val="auto"/>
          <w:kern w:val="0"/>
          <w:sz w:val="24"/>
          <w:szCs w:val="24"/>
          <w:highlight w:val="none"/>
        </w:rPr>
        <w:t>施工工艺严格按照国家和广东省的有关现行施工技术规范及标准执行，工程质量标准须</w:t>
      </w:r>
      <w:r>
        <w:rPr>
          <w:rFonts w:hint="eastAsia" w:ascii="宋体" w:hAnsi="宋体" w:eastAsia="宋体" w:cs="宋体"/>
          <w:snapToGrid w:val="0"/>
          <w:color w:val="auto"/>
          <w:kern w:val="0"/>
          <w:sz w:val="24"/>
          <w:szCs w:val="24"/>
          <w:highlight w:val="none"/>
          <w:u w:val="single"/>
        </w:rPr>
        <w:t>达到《建筑工程施工质量验收统一标准》(GB50300-2013)合格</w:t>
      </w:r>
      <w:r>
        <w:rPr>
          <w:rFonts w:hint="eastAsia" w:ascii="宋体" w:hAnsi="宋体" w:eastAsia="宋体" w:cs="宋体"/>
          <w:color w:val="auto"/>
          <w:sz w:val="24"/>
          <w:szCs w:val="24"/>
          <w:highlight w:val="none"/>
        </w:rPr>
        <w:t>。</w:t>
      </w:r>
    </w:p>
    <w:p w14:paraId="792ACDC1">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36DDB4F7">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00B7EA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本招标项目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纳入绿色建筑实施范围</w:t>
      </w:r>
      <w:r>
        <w:rPr>
          <w:rFonts w:hint="eastAsia" w:ascii="宋体" w:hAnsi="宋体" w:eastAsia="宋体" w:cs="宋体"/>
          <w:color w:val="auto"/>
          <w:spacing w:val="-1"/>
          <w:sz w:val="24"/>
          <w:szCs w:val="24"/>
          <w:highlight w:val="none"/>
          <w:lang w:eastAsia="zh-CN"/>
        </w:rPr>
        <w:t>。</w:t>
      </w:r>
    </w:p>
    <w:p w14:paraId="0876B684">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纳入装配式建造建设实施范围。</w:t>
      </w:r>
    </w:p>
    <w:p w14:paraId="0FC3B7C0">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5F44612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5B497438">
      <w:pPr>
        <w:spacing w:before="78" w:line="360" w:lineRule="auto"/>
        <w:ind w:left="489"/>
        <w:outlineLvl w:val="2"/>
        <w:rPr>
          <w:rFonts w:hint="eastAsia" w:ascii="宋体" w:hAnsi="宋体" w:eastAsia="宋体" w:cs="宋体"/>
          <w:color w:val="auto"/>
          <w:sz w:val="24"/>
          <w:szCs w:val="24"/>
          <w:highlight w:val="none"/>
        </w:rPr>
      </w:pPr>
      <w:bookmarkStart w:id="28" w:name="_Toc20271"/>
      <w:bookmarkStart w:id="29" w:name="_Toc239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6"/>
          <w:sz w:val="24"/>
          <w:szCs w:val="24"/>
          <w:highlight w:val="none"/>
        </w:rPr>
        <w:t>施工条件及现场踏勘</w:t>
      </w:r>
      <w:bookmarkEnd w:id="28"/>
      <w:bookmarkEnd w:id="29"/>
    </w:p>
    <w:p w14:paraId="5C5E2D5D">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095FC4ED">
      <w:pPr>
        <w:spacing w:before="155" w:line="360"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7AC90E75">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0EEB5CBB">
      <w:pPr>
        <w:spacing w:before="155" w:line="360" w:lineRule="auto"/>
        <w:ind w:left="12" w:right="99"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施工用水、用电各提供一驳接点到现场边缘。要求中标人单独安装水表、电表，其水、电费按项目所在地韶关市/</w:t>
      </w:r>
      <w:r>
        <w:rPr>
          <w:rFonts w:hint="eastAsia" w:ascii="宋体" w:hAnsi="宋体" w:eastAsia="宋体" w:cs="宋体"/>
          <w:color w:val="auto"/>
          <w:spacing w:val="-2"/>
          <w:sz w:val="24"/>
          <w:szCs w:val="24"/>
          <w:highlight w:val="none"/>
          <w:lang w:eastAsia="zh-CN"/>
        </w:rPr>
        <w:t>武江区</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658065E1">
      <w:pPr>
        <w:spacing w:before="154"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1B519EF0">
      <w:pPr>
        <w:spacing w:before="153"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77BF35A0">
      <w:pPr>
        <w:spacing w:before="153" w:line="360" w:lineRule="auto"/>
        <w:ind w:left="568"/>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bookmarkStart w:id="31" w:name="bookmark69"/>
      <w:bookmarkEnd w:id="31"/>
      <w:bookmarkStart w:id="32" w:name="bookmark67"/>
      <w:bookmarkEnd w:id="32"/>
      <w:bookmarkStart w:id="33" w:name="bookmark81"/>
      <w:bookmarkEnd w:id="33"/>
      <w:bookmarkStart w:id="34" w:name="_Toc9426"/>
    </w:p>
    <w:p w14:paraId="33A6D60D">
      <w:pPr>
        <w:spacing w:before="153" w:line="360" w:lineRule="auto"/>
        <w:ind w:left="568"/>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rPr>
        <w:t>招标文件的提问和答疑</w:t>
      </w:r>
      <w:bookmarkEnd w:id="34"/>
    </w:p>
    <w:p w14:paraId="141D04EB">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16" w:firstLine="47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B0B037">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9" w:right="16"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A685D8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firstLine="478" w:firstLineChars="20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4A158916">
      <w:pPr>
        <w:spacing w:before="79" w:line="360" w:lineRule="auto"/>
        <w:ind w:left="488"/>
        <w:outlineLvl w:val="2"/>
        <w:rPr>
          <w:rFonts w:hint="eastAsia" w:ascii="宋体" w:hAnsi="宋体" w:eastAsia="宋体" w:cs="宋体"/>
          <w:b/>
          <w:bCs/>
          <w:color w:val="auto"/>
          <w:spacing w:val="-1"/>
          <w:sz w:val="24"/>
          <w:szCs w:val="24"/>
          <w:highlight w:val="none"/>
        </w:rPr>
      </w:pPr>
      <w:bookmarkStart w:id="35" w:name="_Toc16998"/>
      <w:bookmarkStart w:id="36" w:name="_Toc12890"/>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1"/>
          <w:sz w:val="24"/>
          <w:szCs w:val="24"/>
          <w:highlight w:val="none"/>
        </w:rPr>
        <w:t>最高投标限价</w:t>
      </w:r>
      <w:bookmarkEnd w:id="35"/>
      <w:bookmarkEnd w:id="36"/>
    </w:p>
    <w:p w14:paraId="7D8411BA">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w:t>
      </w:r>
      <w:r>
        <w:rPr>
          <w:rFonts w:hint="eastAsia" w:ascii="宋体" w:hAnsi="宋体" w:eastAsia="宋体" w:cs="宋体"/>
          <w:b/>
          <w:bCs/>
          <w:color w:val="auto"/>
          <w:spacing w:val="-1"/>
          <w:sz w:val="24"/>
          <w:szCs w:val="24"/>
          <w:highlight w:val="none"/>
        </w:rPr>
        <w:t>价</w:t>
      </w:r>
      <w:r>
        <w:rPr>
          <w:rFonts w:hint="eastAsia" w:ascii="宋体" w:hAnsi="宋体" w:eastAsia="宋体" w:cs="宋体"/>
          <w:color w:val="auto"/>
          <w:spacing w:val="-1"/>
          <w:sz w:val="24"/>
          <w:szCs w:val="24"/>
          <w:highlight w:val="none"/>
        </w:rPr>
        <w:t>：</w:t>
      </w:r>
    </w:p>
    <w:p w14:paraId="7771E585">
      <w:pPr>
        <w:spacing w:before="157"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p>
    <w:p w14:paraId="37010A3E">
      <w:pPr>
        <w:spacing w:before="153" w:line="360" w:lineRule="auto"/>
        <w:ind w:left="9" w:right="1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3143AC53">
      <w:pPr>
        <w:spacing w:before="154"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26942C9D">
      <w:pPr>
        <w:spacing w:before="78" w:line="360" w:lineRule="auto"/>
        <w:ind w:left="502"/>
        <w:rPr>
          <w:rFonts w:hint="eastAsia" w:ascii="宋体" w:hAnsi="宋体" w:eastAsia="宋体" w:cs="宋体"/>
          <w:color w:val="auto"/>
          <w:sz w:val="24"/>
          <w:szCs w:val="24"/>
          <w:highlight w:val="none"/>
        </w:rPr>
      </w:pPr>
      <w:bookmarkStart w:id="37" w:name="bookmark119"/>
      <w:bookmarkEnd w:id="37"/>
      <w:r>
        <w:rPr>
          <w:rFonts w:hint="eastAsia" w:ascii="宋体" w:hAnsi="宋体" w:eastAsia="宋体" w:cs="宋体"/>
          <w:color w:val="auto"/>
          <w:spacing w:val="-2"/>
          <w:sz w:val="24"/>
          <w:szCs w:val="24"/>
          <w:highlight w:val="none"/>
        </w:rPr>
        <w:t>（4）招标文件及招标工程量清单；</w:t>
      </w:r>
    </w:p>
    <w:p w14:paraId="4C7E7F6F">
      <w:pPr>
        <w:spacing w:before="155"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4D821E47">
      <w:pPr>
        <w:spacing w:before="153" w:line="360" w:lineRule="auto"/>
        <w:ind w:left="12" w:right="136"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8839E0D">
      <w:pPr>
        <w:spacing w:before="157"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5E405D0D">
      <w:pPr>
        <w:spacing w:before="79" w:line="360" w:lineRule="auto"/>
        <w:ind w:left="11" w:firstLine="479"/>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本招标项目最高投标限价、工程量清单、施工图最终以补充公告形式在开标前15天另行发布于相关网站，各投标人可在全国公共资源交易平台（广东省·韶关市）（https://ygp.gdzwfw.gov.cn/ggzy-portal/#/440200/index）自行下载。</w:t>
      </w:r>
    </w:p>
    <w:p w14:paraId="29778293">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left="11" w:firstLine="479"/>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69F5C58">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D1A87E1">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当暂估价项目的内容、标准、要求在项目实施过程中得以深化、明确、固定后，按以下原则发包：</w:t>
      </w:r>
    </w:p>
    <w:p w14:paraId="33109C8D">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（1）暂估价项目按工程、货物（指材料或工程设备，下同）的类别分类汇总的金额，达到必须招标规模标准的，由中标人招标，招标人参与管理，确定专业工程承包人（或材料、工程 设备供应商）和合同价格。</w:t>
      </w:r>
    </w:p>
    <w:p w14:paraId="64DAAE36">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76EC6FD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5C652789">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33A9C25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9" w:right="66"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2166C88B">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10" w:right="65" w:firstLine="478"/>
        <w:jc w:val="both"/>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8912A05">
      <w:pPr>
        <w:spacing w:before="79" w:line="360" w:lineRule="auto"/>
        <w:ind w:left="487"/>
        <w:outlineLvl w:val="2"/>
        <w:rPr>
          <w:rFonts w:hint="eastAsia" w:ascii="宋体" w:hAnsi="宋体" w:eastAsia="宋体" w:cs="宋体"/>
          <w:color w:val="auto"/>
          <w:sz w:val="24"/>
          <w:szCs w:val="24"/>
          <w:highlight w:val="none"/>
        </w:rPr>
      </w:pPr>
      <w:bookmarkStart w:id="38" w:name="_Toc23804"/>
      <w:bookmarkStart w:id="39" w:name="_Toc25884"/>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8"/>
          <w:sz w:val="24"/>
          <w:szCs w:val="24"/>
          <w:highlight w:val="none"/>
        </w:rPr>
        <w:t>投标报价</w:t>
      </w:r>
      <w:bookmarkEnd w:id="38"/>
      <w:bookmarkEnd w:id="39"/>
    </w:p>
    <w:p w14:paraId="36361E61">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4F06C9F5">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r>
        <w:rPr>
          <w:rFonts w:hint="eastAsia" w:ascii="宋体" w:hAnsi="宋体" w:eastAsia="宋体" w:cs="宋体"/>
          <w:color w:val="auto"/>
          <w:spacing w:val="4"/>
          <w:sz w:val="24"/>
          <w:szCs w:val="24"/>
          <w:highlight w:val="none"/>
        </w:rPr>
        <w:t>）；</w:t>
      </w:r>
    </w:p>
    <w:p w14:paraId="6C7C7907">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65"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6DA419D1">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501"/>
        <w:textAlignment w:val="baseline"/>
        <w:rPr>
          <w:rFonts w:hint="eastAsia" w:ascii="宋体" w:hAnsi="宋体" w:eastAsia="宋体" w:cs="宋体"/>
          <w:color w:val="auto"/>
          <w:sz w:val="24"/>
          <w:szCs w:val="24"/>
          <w:highlight w:val="none"/>
        </w:rPr>
      </w:pPr>
      <w:bookmarkStart w:id="40" w:name="bookmark120"/>
      <w:bookmarkEnd w:id="40"/>
      <w:r>
        <w:rPr>
          <w:rFonts w:hint="eastAsia" w:ascii="宋体" w:hAnsi="宋体" w:eastAsia="宋体" w:cs="宋体"/>
          <w:color w:val="auto"/>
          <w:spacing w:val="-3"/>
          <w:sz w:val="24"/>
          <w:szCs w:val="24"/>
          <w:highlight w:val="none"/>
        </w:rPr>
        <w:t>（3）企业定额；</w:t>
      </w:r>
    </w:p>
    <w:p w14:paraId="2A1D6921">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1E239EF3">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4805DE51">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4E1DCFFE">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5825D2D8">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1BDA0FF0">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8" w:right="150"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1D39A523">
      <w:pPr>
        <w:spacing w:before="152" w:line="360"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40D7449B">
      <w:pPr>
        <w:spacing w:before="155" w:line="360"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FF17A23">
      <w:pPr>
        <w:spacing w:before="154" w:line="360"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18DC44D4">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9" w:right="150" w:firstLine="55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259ACCC">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7" w:right="120" w:firstLine="480"/>
        <w:textAlignment w:val="baseline"/>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D9785B9">
      <w:pPr>
        <w:keepNext w:val="0"/>
        <w:keepLines w:val="0"/>
        <w:pageBreakBefore w:val="0"/>
        <w:widowControl w:val="0"/>
        <w:kinsoku w:val="0"/>
        <w:wordWrap/>
        <w:overflowPunct/>
        <w:topLinePunct w:val="0"/>
        <w:autoSpaceDE w:val="0"/>
        <w:autoSpaceDN w:val="0"/>
        <w:bidi w:val="0"/>
        <w:adjustRightInd w:val="0"/>
        <w:snapToGrid w:val="0"/>
        <w:textAlignment w:val="baseline"/>
        <w:rPr>
          <w:rFonts w:hint="eastAsia" w:ascii="宋体" w:hAnsi="宋体" w:eastAsia="宋体" w:cs="宋体"/>
          <w:b/>
          <w:bCs/>
          <w:snapToGrid w:val="0"/>
          <w:color w:val="auto"/>
          <w:spacing w:val="1"/>
          <w:sz w:val="24"/>
          <w:szCs w:val="24"/>
          <w:highlight w:val="none"/>
          <w:lang w:val="en-US" w:eastAsia="zh-CN" w:bidi="ar-SA"/>
        </w:rPr>
      </w:pPr>
      <w:bookmarkStart w:id="41" w:name="_Toc22704"/>
      <w:r>
        <w:rPr>
          <w:rFonts w:hint="eastAsia" w:ascii="宋体" w:hAnsi="宋体" w:eastAsia="宋体" w:cs="宋体"/>
          <w:b/>
          <w:bCs/>
          <w:snapToGrid w:val="0"/>
          <w:color w:val="auto"/>
          <w:spacing w:val="1"/>
          <w:sz w:val="24"/>
          <w:szCs w:val="24"/>
          <w:highlight w:val="none"/>
          <w:lang w:val="en-US" w:eastAsia="zh-CN" w:bidi="ar-SA"/>
        </w:rPr>
        <w:t>投标总价下浮率=（1-投标总价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招标控制价）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100%</w:t>
      </w:r>
      <w:bookmarkEnd w:id="41"/>
    </w:p>
    <w:p w14:paraId="4DC38C7E">
      <w:pPr>
        <w:keepNext w:val="0"/>
        <w:keepLines w:val="0"/>
        <w:pageBreakBefore w:val="0"/>
        <w:widowControl w:val="0"/>
        <w:kinsoku w:val="0"/>
        <w:wordWrap/>
        <w:overflowPunct/>
        <w:topLinePunct w:val="0"/>
        <w:autoSpaceDE w:val="0"/>
        <w:autoSpaceDN w:val="0"/>
        <w:bidi w:val="0"/>
        <w:adjustRightInd w:val="0"/>
        <w:snapToGrid w:val="0"/>
        <w:spacing w:before="146" w:line="360" w:lineRule="auto"/>
        <w:ind w:left="29" w:right="153" w:firstLine="4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投标人的绿色施工安全防护措施费报价必须达到或超过</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的绿色施工安全防护措施费。</w:t>
      </w:r>
    </w:p>
    <w:p w14:paraId="1D4AD06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right="99"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6365E107">
      <w:pPr>
        <w:spacing w:before="78" w:line="360" w:lineRule="auto"/>
        <w:ind w:right="99" w:firstLine="478"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pacing w:val="-1"/>
          <w:sz w:val="24"/>
          <w:szCs w:val="24"/>
          <w:highlight w:val="none"/>
        </w:rPr>
        <w:t>9.10</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w:t>
      </w:r>
      <w:r>
        <w:rPr>
          <w:rFonts w:hint="eastAsia" w:ascii="宋体" w:hAnsi="宋体" w:eastAsia="宋体" w:cs="宋体"/>
          <w:color w:val="auto"/>
          <w:spacing w:val="-7"/>
          <w:sz w:val="24"/>
          <w:szCs w:val="24"/>
          <w:highlight w:val="none"/>
        </w:rPr>
        <w:t>圾外运等。投标报价时，应按《广东省建设工程计价依据（2018）》规定的费率报价，</w:t>
      </w:r>
      <w:r>
        <w:rPr>
          <w:rFonts w:hint="eastAsia" w:ascii="宋体" w:hAnsi="宋体" w:eastAsia="宋体" w:cs="宋体"/>
          <w:color w:val="auto"/>
          <w:spacing w:val="-2"/>
          <w:sz w:val="24"/>
          <w:szCs w:val="24"/>
          <w:highlight w:val="none"/>
        </w:rPr>
        <w:t>若招标工程量清单明确说明不计算预算包干费或</w:t>
      </w:r>
      <w:r>
        <w:rPr>
          <w:rFonts w:hint="eastAsia" w:ascii="宋体" w:hAnsi="宋体" w:eastAsia="宋体" w:cs="宋体"/>
          <w:color w:val="auto"/>
          <w:spacing w:val="-3"/>
          <w:sz w:val="24"/>
          <w:szCs w:val="24"/>
          <w:highlight w:val="none"/>
        </w:rPr>
        <w:t>另外确定预算包干费费率的，则按招</w:t>
      </w:r>
      <w:r>
        <w:rPr>
          <w:rFonts w:hint="eastAsia" w:ascii="宋体" w:hAnsi="宋体" w:eastAsia="宋体" w:cs="宋体"/>
          <w:color w:val="auto"/>
          <w:spacing w:val="-3"/>
          <w:sz w:val="24"/>
          <w:szCs w:val="24"/>
          <w:highlight w:val="none"/>
          <w:lang w:eastAsia="zh-CN"/>
        </w:rPr>
        <w:t>标工程量清单报价。</w:t>
      </w:r>
    </w:p>
    <w:p w14:paraId="3CE024D8">
      <w:pPr>
        <w:pageBreakBefore w:val="0"/>
        <w:kinsoku/>
        <w:overflowPunct/>
        <w:topLinePunct w:val="0"/>
        <w:autoSpaceDE/>
        <w:autoSpaceDN/>
        <w:bidi w:val="0"/>
        <w:snapToGrid w:val="0"/>
        <w:spacing w:line="360" w:lineRule="auto"/>
        <w:ind w:firstLine="482"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z w:val="24"/>
          <w:szCs w:val="24"/>
          <w:lang w:val="en-US" w:eastAsia="zh-CN"/>
        </w:rPr>
        <w:t>9.11</w:t>
      </w:r>
      <w:r>
        <w:rPr>
          <w:rFonts w:hint="eastAsia" w:ascii="宋体" w:hAnsi="宋体" w:eastAsia="宋体" w:cs="宋体"/>
          <w:color w:val="auto"/>
          <w:sz w:val="24"/>
          <w:szCs w:val="24"/>
          <w:lang w:eastAsia="zh-CN"/>
        </w:rPr>
        <w:t>招标代理费和评标专家酬劳的支付：本工程的招标代理费和评标专家酬劳由中标人支付，该费用不再另行报价，由投标人在投标报价时综合考虑在内。中标人在领取中标通知书前须向招标代理机构一次性支付（评标专家酬劳包括食宿费用、交通费、专家评审劳务费等。）</w:t>
      </w:r>
    </w:p>
    <w:p w14:paraId="03BA4414">
      <w:pPr>
        <w:spacing w:before="78" w:line="360" w:lineRule="auto"/>
        <w:ind w:left="496"/>
        <w:outlineLvl w:val="2"/>
        <w:rPr>
          <w:rFonts w:hint="eastAsia" w:ascii="宋体" w:hAnsi="宋体" w:eastAsia="宋体" w:cs="宋体"/>
          <w:color w:val="auto"/>
          <w:sz w:val="24"/>
          <w:szCs w:val="24"/>
          <w:highlight w:val="none"/>
        </w:rPr>
      </w:pPr>
      <w:bookmarkStart w:id="42" w:name="_Toc9270"/>
      <w:bookmarkStart w:id="43" w:name="_Toc26296"/>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lang w:eastAsia="zh-CN"/>
        </w:rPr>
        <w:t>.</w:t>
      </w:r>
      <w:r>
        <w:rPr>
          <w:rFonts w:hint="eastAsia" w:ascii="宋体" w:hAnsi="宋体" w:eastAsia="宋体" w:cs="宋体"/>
          <w:b/>
          <w:bCs/>
          <w:color w:val="auto"/>
          <w:spacing w:val="-6"/>
          <w:sz w:val="24"/>
          <w:szCs w:val="24"/>
          <w:highlight w:val="none"/>
        </w:rPr>
        <w:t>投标文件的编制要求</w:t>
      </w:r>
      <w:bookmarkEnd w:id="42"/>
      <w:bookmarkEnd w:id="43"/>
    </w:p>
    <w:p w14:paraId="0C191376">
      <w:pPr>
        <w:spacing w:before="68" w:line="360" w:lineRule="auto"/>
        <w:ind w:left="11" w:right="99" w:firstLine="563"/>
        <w:rPr>
          <w:rFonts w:hint="eastAsia" w:ascii="宋体" w:hAnsi="宋体" w:eastAsia="宋体" w:cs="宋体"/>
          <w:b w:val="0"/>
          <w:bCs w:val="0"/>
          <w:color w:val="auto"/>
          <w:spacing w:val="-3"/>
          <w:sz w:val="24"/>
          <w:szCs w:val="24"/>
          <w:highlight w:val="none"/>
        </w:rPr>
      </w:pPr>
      <w:bookmarkStart w:id="44" w:name="_Toc20590"/>
      <w:bookmarkStart w:id="45" w:name="_Toc25990"/>
      <w:r>
        <w:rPr>
          <w:rFonts w:hint="eastAsia" w:ascii="宋体" w:hAnsi="宋体" w:eastAsia="宋体" w:cs="宋体"/>
          <w:b/>
          <w:bCs/>
          <w:color w:val="auto"/>
          <w:spacing w:val="-3"/>
          <w:sz w:val="24"/>
          <w:szCs w:val="24"/>
          <w:highlight w:val="none"/>
        </w:rPr>
        <w:t xml:space="preserve">10.1  </w:t>
      </w:r>
      <w:r>
        <w:rPr>
          <w:rFonts w:hint="eastAsia" w:ascii="宋体" w:hAnsi="宋体" w:eastAsia="宋体" w:cs="宋体"/>
          <w:b w:val="0"/>
          <w:bCs w:val="0"/>
          <w:color w:val="auto"/>
          <w:spacing w:val="-3"/>
          <w:sz w:val="24"/>
          <w:szCs w:val="24"/>
          <w:highlight w:val="none"/>
        </w:rPr>
        <w:t>一般要求</w:t>
      </w:r>
      <w:bookmarkEnd w:id="44"/>
      <w:bookmarkEnd w:id="45"/>
    </w:p>
    <w:p w14:paraId="7DC17D36">
      <w:pPr>
        <w:spacing w:before="118" w:line="360"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00D2071A">
      <w:pPr>
        <w:spacing w:before="68" w:line="360"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6CE89948">
      <w:pPr>
        <w:spacing w:before="123" w:line="36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56ED9FEA">
      <w:pPr>
        <w:spacing w:before="1" w:line="360"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09125407">
      <w:pPr>
        <w:spacing w:before="111" w:line="360"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6844991">
      <w:pPr>
        <w:spacing w:before="112" w:line="360"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56A0EC54">
      <w:pPr>
        <w:spacing w:before="146" w:line="360"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4F952D25">
      <w:pPr>
        <w:spacing w:before="155" w:line="360" w:lineRule="auto"/>
        <w:ind w:left="16" w:right="133" w:firstLine="562"/>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10.1.3.4</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联合体投标的，除《联合体协议书》外，由联合体牵头人按以上要求签</w:t>
      </w:r>
      <w:r>
        <w:rPr>
          <w:rFonts w:hint="eastAsia" w:ascii="宋体" w:hAnsi="宋体" w:eastAsia="宋体" w:cs="宋体"/>
          <w:color w:val="auto"/>
          <w:spacing w:val="-1"/>
          <w:sz w:val="24"/>
          <w:szCs w:val="24"/>
          <w:highlight w:val="none"/>
        </w:rPr>
        <w:t>亲笔署名或签章（电子印章）即可。</w:t>
      </w:r>
      <w:bookmarkStart w:id="46" w:name="_Toc15948"/>
      <w:bookmarkStart w:id="47" w:name="_Toc21271"/>
    </w:p>
    <w:p w14:paraId="3FEDC4B5">
      <w:pPr>
        <w:spacing w:before="155" w:line="360" w:lineRule="auto"/>
        <w:ind w:left="16" w:right="133" w:firstLine="56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6"/>
      <w:bookmarkEnd w:id="47"/>
    </w:p>
    <w:p w14:paraId="0F56AEDA">
      <w:pPr>
        <w:keepNext w:val="0"/>
        <w:keepLines w:val="0"/>
        <w:pageBreakBefore w:val="0"/>
        <w:widowControl w:val="0"/>
        <w:overflowPunct/>
        <w:topLinePunct w:val="0"/>
        <w:bidi w:val="0"/>
        <w:adjustRightInd w:val="0"/>
        <w:snapToGrid w:val="0"/>
        <w:spacing w:before="157" w:line="360" w:lineRule="auto"/>
        <w:ind w:left="58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0AA1DC9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48" w:name="bookmark121"/>
      <w:bookmarkEnd w:id="48"/>
      <w:r>
        <w:rPr>
          <w:rFonts w:hint="eastAsia" w:ascii="宋体" w:hAnsi="宋体" w:eastAsia="宋体" w:cs="宋体"/>
          <w:snapToGrid w:val="0"/>
          <w:color w:val="auto"/>
          <w:kern w:val="0"/>
          <w:sz w:val="24"/>
          <w:szCs w:val="24"/>
          <w:highlight w:val="none"/>
        </w:rPr>
        <w:t>（1）封面（格式一）；</w:t>
      </w:r>
    </w:p>
    <w:p w14:paraId="68911AF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67F406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083F24D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5C538F9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017A17A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770EFBD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snapToGrid w:val="0"/>
          <w:color w:val="auto"/>
          <w:kern w:val="0"/>
          <w:sz w:val="24"/>
          <w:szCs w:val="24"/>
          <w:highlight w:val="none"/>
          <w:lang w:val="en-US" w:eastAsia="zh-CN"/>
        </w:rPr>
        <w:t>《韶关市公共资源交易一体化平台保证金缴纳信息》页面截图）</w:t>
      </w:r>
      <w:r>
        <w:rPr>
          <w:rFonts w:hint="eastAsia" w:ascii="宋体" w:hAnsi="宋体" w:eastAsia="宋体" w:cs="宋体"/>
          <w:snapToGrid w:val="0"/>
          <w:color w:val="auto"/>
          <w:kern w:val="0"/>
          <w:sz w:val="24"/>
          <w:szCs w:val="24"/>
          <w:highlight w:val="none"/>
          <w:lang w:val="en-US" w:eastAsia="zh-CN"/>
        </w:rPr>
        <w:t>；</w:t>
      </w:r>
    </w:p>
    <w:p w14:paraId="6345F3A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w:t>
      </w:r>
      <w:r>
        <w:rPr>
          <w:rFonts w:hint="eastAsia" w:ascii="宋体" w:hAnsi="宋体" w:eastAsia="宋体" w:cs="宋体"/>
          <w:snapToGrid w:val="0"/>
          <w:color w:val="auto"/>
          <w:kern w:val="0"/>
          <w:sz w:val="24"/>
          <w:szCs w:val="24"/>
          <w:highlight w:val="none"/>
          <w:lang w:val="en-US" w:eastAsia="zh-CN"/>
        </w:rPr>
        <w:t>六</w:t>
      </w:r>
      <w:r>
        <w:rPr>
          <w:rFonts w:hint="eastAsia" w:ascii="宋体" w:hAnsi="宋体" w:eastAsia="宋体" w:cs="宋体"/>
          <w:snapToGrid w:val="0"/>
          <w:color w:val="auto"/>
          <w:kern w:val="0"/>
          <w:sz w:val="24"/>
          <w:szCs w:val="24"/>
          <w:highlight w:val="none"/>
        </w:rPr>
        <w:t>）及所附资料；</w:t>
      </w:r>
    </w:p>
    <w:p w14:paraId="77AE3B5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w:t>
      </w:r>
      <w:r>
        <w:rPr>
          <w:rFonts w:hint="eastAsia" w:ascii="宋体" w:hAnsi="宋体" w:eastAsia="宋体" w:cs="宋体"/>
          <w:snapToGrid w:val="0"/>
          <w:color w:val="auto"/>
          <w:kern w:val="0"/>
          <w:sz w:val="24"/>
          <w:szCs w:val="24"/>
          <w:highlight w:val="none"/>
          <w:lang w:val="en-US" w:eastAsia="zh-CN"/>
        </w:rPr>
        <w:t>七</w:t>
      </w:r>
      <w:r>
        <w:rPr>
          <w:rFonts w:hint="eastAsia" w:ascii="宋体" w:hAnsi="宋体" w:eastAsia="宋体" w:cs="宋体"/>
          <w:snapToGrid w:val="0"/>
          <w:color w:val="auto"/>
          <w:kern w:val="0"/>
          <w:sz w:val="24"/>
          <w:szCs w:val="24"/>
          <w:highlight w:val="none"/>
        </w:rPr>
        <w:t>）及所附资料；</w:t>
      </w:r>
    </w:p>
    <w:p w14:paraId="2B6A637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w:t>
      </w:r>
      <w:r>
        <w:rPr>
          <w:rFonts w:hint="eastAsia" w:ascii="宋体" w:hAnsi="宋体" w:eastAsia="宋体" w:cs="宋体"/>
          <w:snapToGrid w:val="0"/>
          <w:color w:val="auto"/>
          <w:kern w:val="0"/>
          <w:sz w:val="24"/>
          <w:szCs w:val="24"/>
          <w:highlight w:val="none"/>
          <w:lang w:val="en-US" w:eastAsia="zh-CN"/>
        </w:rPr>
        <w:t>八</w:t>
      </w:r>
      <w:r>
        <w:rPr>
          <w:rFonts w:hint="eastAsia" w:ascii="宋体" w:hAnsi="宋体" w:eastAsia="宋体" w:cs="宋体"/>
          <w:snapToGrid w:val="0"/>
          <w:color w:val="auto"/>
          <w:kern w:val="0"/>
          <w:sz w:val="24"/>
          <w:szCs w:val="24"/>
          <w:highlight w:val="none"/>
        </w:rPr>
        <w:t>）；</w:t>
      </w:r>
    </w:p>
    <w:p w14:paraId="275FFD0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w:t>
      </w:r>
      <w:r>
        <w:rPr>
          <w:rFonts w:hint="eastAsia" w:ascii="宋体" w:hAnsi="宋体" w:eastAsia="宋体" w:cs="宋体"/>
          <w:snapToGrid w:val="0"/>
          <w:color w:val="auto"/>
          <w:kern w:val="0"/>
          <w:sz w:val="24"/>
          <w:szCs w:val="24"/>
          <w:highlight w:val="none"/>
          <w:lang w:val="en-US" w:eastAsia="zh-CN"/>
        </w:rPr>
        <w:t>九</w:t>
      </w:r>
      <w:r>
        <w:rPr>
          <w:rFonts w:hint="eastAsia" w:ascii="宋体" w:hAnsi="宋体" w:eastAsia="宋体" w:cs="宋体"/>
          <w:snapToGrid w:val="0"/>
          <w:color w:val="auto"/>
          <w:kern w:val="0"/>
          <w:sz w:val="24"/>
          <w:szCs w:val="24"/>
          <w:highlight w:val="none"/>
        </w:rPr>
        <w:t>）及所附资料；</w:t>
      </w:r>
    </w:p>
    <w:p w14:paraId="78DB844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）《项目管理机构组成表》（格式十）及所附资料；</w:t>
      </w:r>
    </w:p>
    <w:p w14:paraId="775CFAF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）本节“评标方法”要求提供的评审资料；</w:t>
      </w:r>
    </w:p>
    <w:p w14:paraId="239977E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宋体" w:hAnsi="宋体" w:eastAsia="宋体" w:cs="宋体"/>
          <w:b/>
          <w:bCs/>
          <w:snapToGrid w:val="0"/>
          <w:color w:val="auto"/>
          <w:kern w:val="0"/>
          <w:sz w:val="24"/>
          <w:szCs w:val="24"/>
          <w:highlight w:val="none"/>
        </w:rPr>
        <w:t>企业所在省、地级市住建部门或其授权的组织（机构）关于企业资质、人员资格有效期自动顺延或延期办理的相关文件等）</w:t>
      </w:r>
      <w:r>
        <w:rPr>
          <w:rFonts w:hint="eastAsia" w:ascii="宋体" w:hAnsi="宋体" w:eastAsia="宋体" w:cs="宋体"/>
          <w:snapToGrid w:val="0"/>
          <w:color w:val="auto"/>
          <w:kern w:val="0"/>
          <w:sz w:val="24"/>
          <w:szCs w:val="24"/>
          <w:highlight w:val="none"/>
        </w:rPr>
        <w:t>。</w:t>
      </w:r>
    </w:p>
    <w:p w14:paraId="6B288ED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p>
    <w:p w14:paraId="2AC83DC3">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商务标书的组成内容按本节第</w:t>
      </w:r>
      <w:r>
        <w:rPr>
          <w:rFonts w:hint="eastAsia" w:ascii="宋体" w:hAnsi="宋体" w:eastAsia="宋体" w:cs="宋体"/>
          <w:b/>
          <w:snapToGrid w:val="0"/>
          <w:color w:val="auto"/>
          <w:kern w:val="0"/>
          <w:sz w:val="24"/>
          <w:szCs w:val="24"/>
          <w:highlight w:val="none"/>
        </w:rPr>
        <w:t>10.2.1</w:t>
      </w:r>
      <w:r>
        <w:rPr>
          <w:rFonts w:hint="eastAsia" w:ascii="宋体" w:hAnsi="宋体" w:eastAsia="宋体" w:cs="宋体"/>
          <w:bCs/>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rPr>
        <w:t>，作成一个PDF格式电子文件</w:t>
      </w:r>
      <w:r>
        <w:rPr>
          <w:rFonts w:hint="eastAsia" w:ascii="宋体" w:hAnsi="宋体" w:eastAsia="宋体" w:cs="宋体"/>
          <w:bCs/>
          <w:snapToGrid w:val="0"/>
          <w:color w:val="auto"/>
          <w:kern w:val="0"/>
          <w:sz w:val="24"/>
          <w:szCs w:val="24"/>
          <w:highlight w:val="none"/>
        </w:rPr>
        <w:t>。</w:t>
      </w:r>
      <w:bookmarkStart w:id="49" w:name="_Hlt69670029"/>
      <w:bookmarkEnd w:id="49"/>
      <w:bookmarkStart w:id="50" w:name="_Hlt87783273"/>
      <w:bookmarkEnd w:id="50"/>
      <w:bookmarkStart w:id="51" w:name="_Toc274313881"/>
    </w:p>
    <w:p w14:paraId="722C6DEB">
      <w:pPr>
        <w:spacing w:before="155" w:line="360" w:lineRule="auto"/>
        <w:ind w:left="16" w:right="133" w:firstLine="562"/>
        <w:rPr>
          <w:rFonts w:hint="eastAsia" w:ascii="宋体" w:hAnsi="宋体" w:eastAsia="宋体" w:cs="宋体"/>
          <w:b/>
          <w:bCs/>
          <w:color w:val="auto"/>
          <w:spacing w:val="-2"/>
          <w:sz w:val="24"/>
          <w:szCs w:val="24"/>
          <w:highlight w:val="none"/>
        </w:rPr>
      </w:pPr>
      <w:bookmarkStart w:id="52" w:name="_Toc20435"/>
      <w:bookmarkStart w:id="53" w:name="_Toc1207"/>
      <w:r>
        <w:rPr>
          <w:rFonts w:hint="eastAsia" w:ascii="宋体" w:hAnsi="宋体" w:eastAsia="宋体" w:cs="宋体"/>
          <w:b/>
          <w:bCs/>
          <w:color w:val="auto"/>
          <w:spacing w:val="-2"/>
          <w:sz w:val="24"/>
          <w:szCs w:val="24"/>
          <w:highlight w:val="none"/>
        </w:rPr>
        <w:t>10.3</w:t>
      </w:r>
      <w:bookmarkStart w:id="54" w:name="_Hlt69670035"/>
      <w:bookmarkEnd w:id="54"/>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b w:val="0"/>
          <w:bCs w:val="0"/>
          <w:color w:val="auto"/>
          <w:spacing w:val="-2"/>
          <w:sz w:val="24"/>
          <w:szCs w:val="24"/>
          <w:highlight w:val="none"/>
        </w:rPr>
        <w:t>经济标书的编制要求</w:t>
      </w:r>
      <w:bookmarkEnd w:id="51"/>
      <w:bookmarkEnd w:id="52"/>
      <w:bookmarkEnd w:id="53"/>
    </w:p>
    <w:p w14:paraId="3316F8E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00F2E6C5">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46828E4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0EEB171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bookmarkStart w:id="55" w:name="_Hlt69699579"/>
      <w:bookmarkEnd w:id="55"/>
      <w:r>
        <w:rPr>
          <w:rFonts w:hint="eastAsia" w:ascii="宋体" w:hAnsi="宋体" w:eastAsia="宋体" w:cs="宋体"/>
          <w:color w:val="auto"/>
          <w:sz w:val="24"/>
          <w:szCs w:val="24"/>
          <w:highlight w:val="none"/>
        </w:rPr>
        <w:t>（3）《投标总价》；</w:t>
      </w:r>
    </w:p>
    <w:p w14:paraId="1D1AD6A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5D6703B">
      <w:pPr>
        <w:keepNext w:val="0"/>
        <w:keepLines w:val="0"/>
        <w:pageBreakBefore w:val="0"/>
        <w:widowControl/>
        <w:suppressLineNumbers w:val="0"/>
        <w:kinsoku/>
        <w:overflowPunct/>
        <w:autoSpaceDE/>
        <w:autoSpaceDN/>
        <w:bidi w:val="0"/>
        <w:spacing w:line="360" w:lineRule="auto"/>
        <w:ind w:firstLine="723" w:firstLineChars="3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7A6CACCD">
      <w:pPr>
        <w:keepNext w:val="0"/>
        <w:keepLines w:val="0"/>
        <w:pageBreakBefore w:val="0"/>
        <w:kinsoku/>
        <w:wordWrap w:val="0"/>
        <w:overflowPunct/>
        <w:autoSpaceDE/>
        <w:autoSpaceDN/>
        <w:bidi w:val="0"/>
        <w:adjustRightInd w:val="0"/>
        <w:snapToGrid w:val="0"/>
        <w:spacing w:line="360" w:lineRule="auto"/>
        <w:ind w:firstLine="723" w:firstLineChars="3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2CA8CB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56" w:name="_Hlt145127239"/>
      <w:bookmarkEnd w:id="56"/>
      <w:r>
        <w:rPr>
          <w:rFonts w:hint="eastAsia" w:ascii="宋体" w:hAnsi="宋体" w:eastAsia="宋体" w:cs="宋体"/>
          <w:snapToGrid w:val="0"/>
          <w:color w:val="auto"/>
          <w:kern w:val="0"/>
          <w:sz w:val="24"/>
          <w:szCs w:val="24"/>
          <w:highlight w:val="none"/>
        </w:rPr>
        <w:t>。</w:t>
      </w:r>
    </w:p>
    <w:p w14:paraId="2A012BEE">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kern w:val="0"/>
          <w:sz w:val="24"/>
          <w:szCs w:val="24"/>
          <w:highlight w:val="none"/>
        </w:rPr>
        <w:t xml:space="preserve">10.3.3 </w:t>
      </w:r>
      <w:r>
        <w:rPr>
          <w:rFonts w:hint="eastAsia" w:ascii="宋体" w:hAnsi="宋体" w:eastAsia="宋体" w:cs="宋体"/>
          <w:snapToGrid w:val="0"/>
          <w:color w:val="auto"/>
          <w:kern w:val="0"/>
          <w:sz w:val="24"/>
          <w:szCs w:val="24"/>
          <w:highlight w:val="none"/>
        </w:rPr>
        <w:t>经济标书的组成内容应按本节第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lang w:val="en-US" w:eastAsia="zh-CN" w:bidi="ar-SA"/>
        </w:rPr>
        <w:t>，作成一个PDF格式电子文件</w:t>
      </w:r>
      <w:r>
        <w:rPr>
          <w:rFonts w:hint="eastAsia" w:ascii="宋体" w:hAnsi="宋体" w:eastAsia="宋体" w:cs="宋体"/>
          <w:snapToGrid w:val="0"/>
          <w:color w:val="auto"/>
          <w:kern w:val="0"/>
          <w:sz w:val="24"/>
          <w:szCs w:val="24"/>
          <w:highlight w:val="none"/>
        </w:rPr>
        <w:t>。</w:t>
      </w:r>
    </w:p>
    <w:p w14:paraId="274133CF">
      <w:pPr>
        <w:spacing w:before="155" w:line="360" w:lineRule="auto"/>
        <w:ind w:left="16" w:right="133" w:firstLine="562"/>
        <w:rPr>
          <w:rFonts w:hint="eastAsia" w:ascii="宋体" w:hAnsi="宋体" w:eastAsia="宋体" w:cs="宋体"/>
          <w:b w:val="0"/>
          <w:bCs w:val="0"/>
          <w:color w:val="auto"/>
          <w:spacing w:val="-2"/>
          <w:sz w:val="24"/>
          <w:szCs w:val="24"/>
          <w:highlight w:val="none"/>
        </w:rPr>
      </w:pPr>
      <w:bookmarkStart w:id="57" w:name="_Toc538"/>
      <w:bookmarkStart w:id="58" w:name="_Toc13483"/>
      <w:r>
        <w:rPr>
          <w:rFonts w:hint="eastAsia" w:ascii="宋体" w:hAnsi="宋体" w:eastAsia="宋体" w:cs="宋体"/>
          <w:b/>
          <w:bCs/>
          <w:color w:val="auto"/>
          <w:spacing w:val="-2"/>
          <w:sz w:val="24"/>
          <w:szCs w:val="24"/>
          <w:highlight w:val="none"/>
        </w:rPr>
        <w:t xml:space="preserve">10.4 </w:t>
      </w:r>
      <w:r>
        <w:rPr>
          <w:rFonts w:hint="eastAsia" w:ascii="宋体" w:hAnsi="宋体" w:eastAsia="宋体" w:cs="宋体"/>
          <w:b w:val="0"/>
          <w:bCs w:val="0"/>
          <w:color w:val="auto"/>
          <w:spacing w:val="-2"/>
          <w:sz w:val="24"/>
          <w:szCs w:val="24"/>
          <w:highlight w:val="none"/>
        </w:rPr>
        <w:t>施工组织设计的编制要求</w:t>
      </w:r>
      <w:bookmarkEnd w:id="57"/>
      <w:bookmarkEnd w:id="58"/>
    </w:p>
    <w:p w14:paraId="3B8C9E46">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38F6ED61">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5410F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69F87FA0">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58BB025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E83AE7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8DD6349">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61A6557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40FEEB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6D78AC2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7F9B099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A07B24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A6AFA0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5DD833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3F9F3D4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应对建设单位组织的勘察设计等单位在施工招标文件中列出的危大工程清单(详见格式十</w:t>
      </w:r>
      <w:r>
        <w:rPr>
          <w:rFonts w:hint="eastAsia" w:ascii="宋体" w:hAnsi="宋体" w:eastAsia="宋体" w:cs="宋体"/>
          <w:b/>
          <w:bCs/>
          <w:snapToGrid w:val="0"/>
          <w:color w:val="auto"/>
          <w:kern w:val="0"/>
          <w:sz w:val="24"/>
          <w:szCs w:val="24"/>
          <w:highlight w:val="none"/>
          <w:lang w:val="en-US" w:eastAsia="zh-CN"/>
        </w:rPr>
        <w:t>二</w:t>
      </w:r>
      <w:r>
        <w:rPr>
          <w:rFonts w:hint="eastAsia" w:ascii="宋体" w:hAnsi="宋体" w:eastAsia="宋体" w:cs="宋体"/>
          <w:b/>
          <w:bCs/>
          <w:snapToGrid w:val="0"/>
          <w:color w:val="auto"/>
          <w:kern w:val="0"/>
          <w:sz w:val="24"/>
          <w:szCs w:val="24"/>
          <w:highlight w:val="none"/>
        </w:rPr>
        <w:t>)进行投标文件回应</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p>
    <w:p w14:paraId="29E32A1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w:t>
      </w:r>
      <w:r>
        <w:rPr>
          <w:rFonts w:hint="eastAsia" w:ascii="宋体" w:hAnsi="宋体" w:eastAsia="宋体" w:cs="宋体"/>
          <w:snapToGrid w:val="0"/>
          <w:color w:val="auto"/>
          <w:kern w:val="0"/>
          <w:sz w:val="24"/>
          <w:szCs w:val="24"/>
          <w:highlight w:val="none"/>
          <w:lang w:val="en-US" w:eastAsia="zh-CN"/>
        </w:rPr>
        <w:t>、设备及仓储、供电、供水、卫生、生活、道路、消防等设施的情况和布置）</w:t>
      </w:r>
      <w:r>
        <w:rPr>
          <w:rFonts w:hint="eastAsia" w:ascii="宋体" w:hAnsi="宋体" w:eastAsia="宋体" w:cs="宋体"/>
          <w:snapToGrid w:val="0"/>
          <w:color w:val="auto"/>
          <w:kern w:val="0"/>
          <w:sz w:val="24"/>
          <w:szCs w:val="24"/>
          <w:highlight w:val="none"/>
        </w:rPr>
        <w:t>；</w:t>
      </w:r>
    </w:p>
    <w:p w14:paraId="3B5DA2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9D4DD9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28BCE066">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4098E7F">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施工组织设计的组成内容按本节第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目规定的顺序整理、编排后，逐页（页码起始从封面开始）连续标记页码。</w:t>
      </w:r>
    </w:p>
    <w:p w14:paraId="3324639D">
      <w:pPr>
        <w:spacing w:before="78" w:line="360" w:lineRule="auto"/>
        <w:ind w:left="496"/>
        <w:outlineLvl w:val="2"/>
        <w:rPr>
          <w:rFonts w:hint="eastAsia" w:ascii="宋体" w:hAnsi="宋体" w:eastAsia="宋体" w:cs="宋体"/>
          <w:color w:val="auto"/>
          <w:sz w:val="24"/>
          <w:szCs w:val="24"/>
          <w:highlight w:val="none"/>
        </w:rPr>
      </w:pPr>
      <w:bookmarkStart w:id="59" w:name="_Toc4360"/>
      <w:bookmarkStart w:id="60" w:name="_Toc29307"/>
      <w:r>
        <w:rPr>
          <w:rFonts w:hint="eastAsia" w:ascii="宋体" w:hAnsi="宋体" w:eastAsia="宋体" w:cs="宋体"/>
          <w:b/>
          <w:bCs/>
          <w:color w:val="auto"/>
          <w:spacing w:val="-9"/>
          <w:sz w:val="24"/>
          <w:szCs w:val="24"/>
          <w:highlight w:val="none"/>
        </w:rPr>
        <w:t>11.电子投标</w:t>
      </w:r>
      <w:bookmarkEnd w:id="59"/>
      <w:bookmarkEnd w:id="60"/>
    </w:p>
    <w:p w14:paraId="25CDC026">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left="10" w:firstLine="48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书对投标文件进行文件加密，形成加密的投标文件并提交标书。</w:t>
      </w:r>
    </w:p>
    <w:p w14:paraId="35865D1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10" w:right="81" w:firstLine="485"/>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28C93B4D">
      <w:pPr>
        <w:spacing w:before="78" w:line="360" w:lineRule="auto"/>
        <w:ind w:left="496"/>
        <w:outlineLvl w:val="2"/>
        <w:rPr>
          <w:rFonts w:hint="eastAsia" w:ascii="宋体" w:hAnsi="宋体" w:eastAsia="宋体" w:cs="宋体"/>
          <w:b/>
          <w:bCs/>
          <w:color w:val="auto"/>
          <w:spacing w:val="-9"/>
          <w:sz w:val="24"/>
          <w:szCs w:val="24"/>
          <w:highlight w:val="none"/>
        </w:rPr>
      </w:pPr>
      <w:bookmarkStart w:id="61" w:name="_Toc15963"/>
      <w:bookmarkStart w:id="62" w:name="_Toc11460"/>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9"/>
          <w:sz w:val="24"/>
          <w:szCs w:val="24"/>
          <w:highlight w:val="none"/>
        </w:rPr>
        <w:t>电子投标及投标解密失败及突发情况的补救方案</w:t>
      </w:r>
      <w:bookmarkEnd w:id="61"/>
      <w:bookmarkEnd w:id="62"/>
    </w:p>
    <w:p w14:paraId="7139F667">
      <w:pPr>
        <w:spacing w:before="78" w:line="360" w:lineRule="auto"/>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pacing w:val="-1"/>
          <w:sz w:val="24"/>
          <w:szCs w:val="24"/>
          <w:highlight w:val="none"/>
        </w:rPr>
        <w:t>0200/index）服务指南栏目发布的最新版操作指引。</w:t>
      </w:r>
    </w:p>
    <w:p w14:paraId="150DE32F">
      <w:pPr>
        <w:spacing w:before="11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2CAE9A68">
      <w:pPr>
        <w:spacing w:before="115"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76763BF4">
      <w:pPr>
        <w:spacing w:before="115" w:line="360"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63" w:name="bookmark122"/>
      <w:bookmarkEnd w:id="63"/>
      <w:r>
        <w:rPr>
          <w:rFonts w:hint="eastAsia" w:ascii="宋体" w:hAnsi="宋体" w:eastAsia="宋体" w:cs="宋体"/>
          <w:color w:val="auto"/>
          <w:spacing w:val="-1"/>
          <w:sz w:val="24"/>
          <w:szCs w:val="24"/>
          <w:highlight w:val="none"/>
        </w:rPr>
        <w:t>重新提交投标文件继续开标程序。</w:t>
      </w:r>
    </w:p>
    <w:p w14:paraId="400C2A13">
      <w:pPr>
        <w:spacing w:before="114"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5C5AD13B">
      <w:pPr>
        <w:spacing w:before="114" w:line="360"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露与评标有关的任何信息与情况。</w:t>
      </w:r>
    </w:p>
    <w:p w14:paraId="13DA5277">
      <w:pPr>
        <w:spacing w:before="69" w:line="360"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392F6788">
      <w:pPr>
        <w:spacing w:before="78" w:line="360" w:lineRule="auto"/>
        <w:ind w:left="496"/>
        <w:outlineLvl w:val="2"/>
        <w:rPr>
          <w:rFonts w:hint="eastAsia" w:ascii="宋体" w:hAnsi="宋体" w:eastAsia="宋体" w:cs="宋体"/>
          <w:color w:val="auto"/>
          <w:sz w:val="24"/>
          <w:szCs w:val="24"/>
          <w:highlight w:val="none"/>
        </w:rPr>
      </w:pPr>
      <w:bookmarkStart w:id="64" w:name="_Toc30180"/>
      <w:bookmarkStart w:id="65" w:name="_Toc100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7"/>
          <w:sz w:val="24"/>
          <w:szCs w:val="24"/>
          <w:highlight w:val="none"/>
        </w:rPr>
        <w:t>投标文件的提交</w:t>
      </w:r>
      <w:bookmarkEnd w:id="64"/>
      <w:bookmarkEnd w:id="65"/>
    </w:p>
    <w:p w14:paraId="1C80FDFD">
      <w:pPr>
        <w:keepNext w:val="0"/>
        <w:keepLines w:val="0"/>
        <w:pageBreakBefore w:val="0"/>
        <w:widowControl w:val="0"/>
        <w:kinsoku w:val="0"/>
        <w:wordWrap/>
        <w:overflowPunct/>
        <w:topLinePunct w:val="0"/>
        <w:autoSpaceDE w:val="0"/>
        <w:autoSpaceDN w:val="0"/>
        <w:bidi w:val="0"/>
        <w:adjustRightInd w:val="0"/>
        <w:snapToGrid w:val="0"/>
        <w:spacing w:before="123" w:line="360" w:lineRule="auto"/>
        <w:ind w:left="13" w:right="81"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3E632623">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26334082">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2BD6F997">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firstLine="478"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8873B8F">
      <w:pPr>
        <w:keepNext w:val="0"/>
        <w:keepLines w:val="0"/>
        <w:pageBreakBefore w:val="0"/>
        <w:widowControl w:val="0"/>
        <w:kinsoku w:val="0"/>
        <w:wordWrap/>
        <w:overflowPunct/>
        <w:topLinePunct w:val="0"/>
        <w:autoSpaceDE w:val="0"/>
        <w:autoSpaceDN w:val="0"/>
        <w:bidi w:val="0"/>
        <w:adjustRightInd w:val="0"/>
        <w:snapToGrid w:val="0"/>
        <w:spacing w:before="11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00777998">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1E2C7ED">
      <w:pPr>
        <w:keepNext w:val="0"/>
        <w:keepLines w:val="0"/>
        <w:pageBreakBefore w:val="0"/>
        <w:widowControl w:val="0"/>
        <w:kinsoku w:val="0"/>
        <w:wordWrap/>
        <w:overflowPunct/>
        <w:topLinePunct w:val="0"/>
        <w:autoSpaceDE w:val="0"/>
        <w:autoSpaceDN w:val="0"/>
        <w:bidi w:val="0"/>
        <w:adjustRightInd w:val="0"/>
        <w:snapToGrid w:val="0"/>
        <w:spacing w:before="114"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0092CD8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41D97A6E">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12BB32A9">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71293AB0">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05BD3EFA">
      <w:pPr>
        <w:spacing w:before="145" w:line="360" w:lineRule="auto"/>
        <w:ind w:left="496"/>
        <w:outlineLvl w:val="2"/>
        <w:rPr>
          <w:rFonts w:hint="eastAsia" w:ascii="宋体" w:hAnsi="宋体" w:eastAsia="宋体" w:cs="宋体"/>
          <w:color w:val="auto"/>
          <w:sz w:val="24"/>
          <w:szCs w:val="24"/>
          <w:highlight w:val="none"/>
        </w:rPr>
      </w:pPr>
      <w:bookmarkStart w:id="66" w:name="_Toc15544"/>
      <w:bookmarkStart w:id="67" w:name="_Toc7252"/>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lang w:eastAsia="zh-CN"/>
        </w:rPr>
        <w:t>.</w:t>
      </w:r>
      <w:r>
        <w:rPr>
          <w:rFonts w:hint="eastAsia" w:ascii="宋体" w:hAnsi="宋体" w:eastAsia="宋体" w:cs="宋体"/>
          <w:b/>
          <w:bCs/>
          <w:color w:val="auto"/>
          <w:spacing w:val="-11"/>
          <w:sz w:val="24"/>
          <w:szCs w:val="24"/>
          <w:highlight w:val="none"/>
        </w:rPr>
        <w:t>开标</w:t>
      </w:r>
      <w:bookmarkEnd w:id="66"/>
      <w:bookmarkEnd w:id="67"/>
    </w:p>
    <w:p w14:paraId="49780A9B">
      <w:pPr>
        <w:keepNext w:val="0"/>
        <w:keepLines w:val="0"/>
        <w:pageBreakBefore w:val="0"/>
        <w:widowControl w:val="0"/>
        <w:kinsoku w:val="0"/>
        <w:overflowPunct/>
        <w:topLinePunct w:val="0"/>
        <w:autoSpaceDE w:val="0"/>
        <w:autoSpaceDN w:val="0"/>
        <w:bidi w:val="0"/>
        <w:adjustRightInd w:val="0"/>
        <w:snapToGrid w:val="0"/>
        <w:spacing w:before="155" w:line="360" w:lineRule="auto"/>
        <w:ind w:left="10" w:right="81" w:firstLine="485"/>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8" w:name="bookmark123"/>
      <w:bookmarkEnd w:id="68"/>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B04BEF9">
      <w:pPr>
        <w:keepNext w:val="0"/>
        <w:keepLines w:val="0"/>
        <w:pageBreakBefore w:val="0"/>
        <w:widowControl w:val="0"/>
        <w:kinsoku w:val="0"/>
        <w:overflowPunct/>
        <w:topLinePunct w:val="0"/>
        <w:autoSpaceDE w:val="0"/>
        <w:autoSpaceDN w:val="0"/>
        <w:bidi w:val="0"/>
        <w:adjustRightInd w:val="0"/>
        <w:snapToGrid w:val="0"/>
        <w:spacing w:before="15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45F6F777">
      <w:pPr>
        <w:keepNext w:val="0"/>
        <w:keepLines w:val="0"/>
        <w:pageBreakBefore w:val="0"/>
        <w:widowControl w:val="0"/>
        <w:kinsoku w:val="0"/>
        <w:wordWrap w:val="0"/>
        <w:overflowPunct/>
        <w:topLinePunct w:val="0"/>
        <w:autoSpaceDE w:val="0"/>
        <w:autoSpaceDN w:val="0"/>
        <w:bidi w:val="0"/>
        <w:adjustRightInd w:val="0"/>
        <w:snapToGrid w:val="0"/>
        <w:spacing w:before="153" w:line="36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ggzy-portal/#/440200/index）查询是否发布了取</w:t>
      </w:r>
      <w:r>
        <w:rPr>
          <w:rFonts w:hint="eastAsia" w:ascii="宋体" w:hAnsi="宋体" w:eastAsia="宋体" w:cs="宋体"/>
          <w:color w:val="auto"/>
          <w:spacing w:val="-1"/>
          <w:sz w:val="24"/>
          <w:szCs w:val="24"/>
          <w:highlight w:val="none"/>
        </w:rPr>
        <w:t>消开标活动的相关信息。</w:t>
      </w:r>
    </w:p>
    <w:p w14:paraId="3FC91C7D">
      <w:pPr>
        <w:keepNext w:val="0"/>
        <w:keepLines w:val="0"/>
        <w:pageBreakBefore w:val="0"/>
        <w:widowControl w:val="0"/>
        <w:kinsoku w:val="0"/>
        <w:overflowPunct/>
        <w:topLinePunct w:val="0"/>
        <w:autoSpaceDE w:val="0"/>
        <w:autoSpaceDN w:val="0"/>
        <w:bidi w:val="0"/>
        <w:adjustRightInd w:val="0"/>
        <w:snapToGrid w:val="0"/>
        <w:spacing w:before="159" w:line="360" w:lineRule="auto"/>
        <w:ind w:left="10" w:right="80" w:firstLine="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形导致投标无效的，由投标人自行负责。</w:t>
      </w:r>
    </w:p>
    <w:p w14:paraId="0F9F51F4">
      <w:pPr>
        <w:keepNext w:val="0"/>
        <w:keepLines w:val="0"/>
        <w:pageBreakBefore w:val="0"/>
        <w:widowControl w:val="0"/>
        <w:kinsoku w:val="0"/>
        <w:overflowPunct/>
        <w:topLinePunct w:val="0"/>
        <w:autoSpaceDE w:val="0"/>
        <w:autoSpaceDN w:val="0"/>
        <w:bidi w:val="0"/>
        <w:adjustRightInd w:val="0"/>
        <w:snapToGrid w:val="0"/>
        <w:spacing w:before="152"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20240125">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69" w:name="_Toc10291"/>
      <w:bookmarkStart w:id="70" w:name="_Toc10685"/>
      <w:bookmarkStart w:id="71" w:name="_Toc15587"/>
      <w:bookmarkStart w:id="72" w:name="_Toc7725"/>
      <w:r>
        <w:rPr>
          <w:rFonts w:hint="eastAsia" w:ascii="宋体" w:hAnsi="宋体" w:eastAsia="宋体" w:cs="宋体"/>
          <w:sz w:val="24"/>
          <w:szCs w:val="24"/>
        </w:rPr>
        <w:t>（1）主持人（招标人代表或招标人授权的招标代理机构人员）宣读开标纪律。</w:t>
      </w:r>
      <w:bookmarkEnd w:id="69"/>
      <w:bookmarkEnd w:id="70"/>
      <w:bookmarkEnd w:id="71"/>
      <w:bookmarkEnd w:id="72"/>
    </w:p>
    <w:p w14:paraId="42D5FB59">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3" w:name="_Toc2011"/>
      <w:bookmarkStart w:id="74" w:name="_Toc16292"/>
      <w:bookmarkStart w:id="75" w:name="_Toc20238"/>
      <w:bookmarkStart w:id="76" w:name="_Toc16768"/>
      <w:r>
        <w:rPr>
          <w:rFonts w:hint="eastAsia" w:ascii="宋体" w:hAnsi="宋体" w:eastAsia="宋体" w:cs="宋体"/>
          <w:sz w:val="24"/>
          <w:szCs w:val="24"/>
        </w:rPr>
        <w:t>（2）主持人宣布唱标人、记录人、见证人、监督人等有关人员姓名。</w:t>
      </w:r>
      <w:bookmarkEnd w:id="73"/>
      <w:bookmarkEnd w:id="74"/>
      <w:bookmarkEnd w:id="75"/>
      <w:bookmarkEnd w:id="76"/>
    </w:p>
    <w:p w14:paraId="26AA2E9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7" w:name="_Toc17462"/>
      <w:bookmarkStart w:id="78" w:name="_Toc31716"/>
      <w:bookmarkStart w:id="79" w:name="_Toc1974"/>
      <w:bookmarkStart w:id="80" w:name="_Toc7714"/>
      <w:r>
        <w:rPr>
          <w:rFonts w:hint="eastAsia" w:ascii="宋体" w:hAnsi="宋体" w:eastAsia="宋体" w:cs="宋体"/>
          <w:sz w:val="24"/>
          <w:szCs w:val="24"/>
        </w:rPr>
        <w:t>（3）唱标人公布在投标截止时间前进行投标文件的投标人数量和名称</w:t>
      </w:r>
      <w:bookmarkEnd w:id="77"/>
      <w:bookmarkEnd w:id="78"/>
      <w:bookmarkEnd w:id="79"/>
      <w:bookmarkEnd w:id="80"/>
    </w:p>
    <w:p w14:paraId="4A3BFA42">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81" w:name="_Toc32728"/>
      <w:bookmarkStart w:id="82" w:name="_Toc20559"/>
      <w:bookmarkStart w:id="83" w:name="_Toc15860"/>
      <w:bookmarkStart w:id="84" w:name="_Toc27967"/>
      <w:r>
        <w:rPr>
          <w:rFonts w:hint="eastAsia" w:ascii="宋体" w:hAnsi="宋体" w:eastAsia="宋体" w:cs="宋体"/>
          <w:sz w:val="24"/>
          <w:szCs w:val="24"/>
        </w:rPr>
        <w:t>（4）招标代理机构会同交易场所工作人员对投标人的电子投标信息进行解密，</w:t>
      </w:r>
      <w:bookmarkEnd w:id="81"/>
      <w:bookmarkEnd w:id="82"/>
      <w:bookmarkEnd w:id="83"/>
      <w:bookmarkEnd w:id="84"/>
    </w:p>
    <w:p w14:paraId="61CFADF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建设工程交易系统自动生成《投标保证缴纳情况表》和《开标一览表》。</w:t>
      </w:r>
    </w:p>
    <w:p w14:paraId="34D54FFD">
      <w:pPr>
        <w:keepNext w:val="0"/>
        <w:keepLines w:val="0"/>
        <w:pageBreakBefore w:val="0"/>
        <w:widowControl w:val="0"/>
        <w:kinsoku w:val="0"/>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
          <w:bCs/>
          <w:sz w:val="24"/>
          <w:szCs w:val="24"/>
        </w:rPr>
      </w:pPr>
      <w:bookmarkStart w:id="85" w:name="_Toc28266"/>
      <w:bookmarkStart w:id="86" w:name="_Toc28812"/>
      <w:bookmarkStart w:id="87" w:name="_Toc2199"/>
      <w:bookmarkStart w:id="88" w:name="_Toc20884"/>
      <w:r>
        <w:rPr>
          <w:rFonts w:hint="eastAsia" w:ascii="宋体" w:hAnsi="宋体" w:eastAsia="宋体" w:cs="宋体"/>
          <w:b/>
          <w:bCs/>
          <w:sz w:val="24"/>
          <w:szCs w:val="24"/>
        </w:rPr>
        <w:t>温馨提示：因本项目实行全流程电子化招标投标，投标人无须进行现场签到，可</w:t>
      </w:r>
      <w:bookmarkEnd w:id="85"/>
      <w:bookmarkEnd w:id="86"/>
      <w:bookmarkEnd w:id="87"/>
      <w:r>
        <w:rPr>
          <w:rFonts w:hint="eastAsia" w:ascii="宋体" w:hAnsi="宋体" w:eastAsia="宋体" w:cs="宋体"/>
          <w:b/>
          <w:bCs/>
          <w:sz w:val="24"/>
          <w:szCs w:val="24"/>
        </w:rPr>
        <w:t>登录交易平台观看开标实况、提出异议或进行澄清、确认等操作，对开标事项的异议未在开标期间提出的，招标</w:t>
      </w:r>
      <w:r>
        <w:rPr>
          <w:rFonts w:hint="eastAsia" w:ascii="宋体" w:hAnsi="宋体" w:eastAsia="宋体" w:cs="宋体"/>
          <w:b/>
          <w:bCs/>
          <w:sz w:val="24"/>
          <w:szCs w:val="24"/>
          <w:lang w:eastAsia="zh-CN"/>
        </w:rPr>
        <w:t>人不</w:t>
      </w:r>
      <w:r>
        <w:rPr>
          <w:rFonts w:hint="eastAsia" w:ascii="宋体" w:hAnsi="宋体" w:eastAsia="宋体" w:cs="宋体"/>
          <w:b/>
          <w:bCs/>
          <w:sz w:val="24"/>
          <w:szCs w:val="24"/>
        </w:rPr>
        <w:t>予受理。具体按招标文件和系统操作手册为准。</w:t>
      </w:r>
      <w:bookmarkEnd w:id="88"/>
    </w:p>
    <w:p w14:paraId="71121C40">
      <w:pPr>
        <w:spacing w:before="143" w:line="360"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429DB52E">
      <w:pPr>
        <w:spacing w:before="155" w:line="360"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14.4</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332FDB46">
      <w:pPr>
        <w:spacing w:before="78" w:line="360" w:lineRule="auto"/>
        <w:ind w:left="496"/>
        <w:outlineLvl w:val="2"/>
        <w:rPr>
          <w:rFonts w:hint="eastAsia" w:ascii="宋体" w:hAnsi="宋体" w:eastAsia="宋体" w:cs="宋体"/>
          <w:color w:val="auto"/>
          <w:highlight w:val="none"/>
        </w:rPr>
      </w:pPr>
      <w:bookmarkStart w:id="89" w:name="_Toc23568"/>
      <w:bookmarkStart w:id="90" w:name="_Toc31540"/>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11"/>
          <w:sz w:val="24"/>
          <w:szCs w:val="24"/>
          <w:highlight w:val="none"/>
          <w:lang w:val="en-US" w:eastAsia="zh-CN"/>
        </w:rPr>
        <w:t>.</w:t>
      </w:r>
      <w:r>
        <w:rPr>
          <w:rFonts w:hint="eastAsia" w:ascii="宋体" w:hAnsi="宋体" w:eastAsia="宋体" w:cs="宋体"/>
          <w:b/>
          <w:bCs/>
          <w:color w:val="auto"/>
          <w:spacing w:val="-11"/>
          <w:sz w:val="24"/>
          <w:szCs w:val="24"/>
          <w:highlight w:val="none"/>
        </w:rPr>
        <w:t>评标</w:t>
      </w:r>
      <w:bookmarkEnd w:id="89"/>
      <w:bookmarkEnd w:id="90"/>
    </w:p>
    <w:p w14:paraId="09BD37D5">
      <w:pPr>
        <w:spacing w:before="78" w:line="360" w:lineRule="auto"/>
        <w:ind w:left="8" w:right="65" w:firstLine="480"/>
        <w:rPr>
          <w:rFonts w:hint="eastAsia" w:ascii="宋体" w:hAnsi="宋体" w:eastAsia="宋体" w:cs="宋体"/>
          <w:color w:val="auto"/>
          <w:sz w:val="24"/>
          <w:szCs w:val="24"/>
          <w:highlight w:val="none"/>
        </w:rPr>
      </w:pPr>
      <w:bookmarkStart w:id="91" w:name="bookmark124"/>
      <w:bookmarkEnd w:id="91"/>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51680ABE">
      <w:pPr>
        <w:spacing w:before="38"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5F51F9F7">
      <w:pPr>
        <w:spacing w:before="155" w:line="360"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广东省综合评标评审专家库-韶关区域</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标委员会的其他成员有同等的表决权。</w:t>
      </w:r>
    </w:p>
    <w:p w14:paraId="571A515E">
      <w:pPr>
        <w:spacing w:before="32" w:line="36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3843C5CE">
      <w:pPr>
        <w:spacing w:before="154"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59A4A5C">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3E73D76B">
      <w:pPr>
        <w:spacing w:before="155"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1AD07FB9">
      <w:pPr>
        <w:spacing w:before="153" w:line="360"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4310F5B">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3598CEA3">
      <w:pPr>
        <w:spacing w:before="154" w:line="360"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F2818F3">
      <w:pPr>
        <w:spacing w:before="157" w:line="360"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5AEA3030">
      <w:pPr>
        <w:spacing w:before="156" w:line="360"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707E1AFC">
      <w:pPr>
        <w:spacing w:before="79" w:line="360"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5F03C3DF">
      <w:pPr>
        <w:spacing w:before="78" w:line="360" w:lineRule="auto"/>
        <w:ind w:left="231" w:right="181" w:firstLine="560"/>
        <w:rPr>
          <w:rFonts w:hint="eastAsia" w:ascii="宋体" w:hAnsi="宋体" w:eastAsia="宋体" w:cs="宋体"/>
          <w:color w:val="auto"/>
          <w:highlight w:val="none"/>
        </w:rPr>
      </w:pPr>
      <w:bookmarkStart w:id="92" w:name="bookmark125"/>
      <w:bookmarkEnd w:id="92"/>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综合评估法</w:t>
      </w:r>
      <w:r>
        <w:rPr>
          <w:rFonts w:hint="eastAsia" w:ascii="宋体" w:hAnsi="宋体" w:eastAsia="宋体" w:cs="宋体"/>
          <w:color w:val="auto"/>
          <w:spacing w:val="-1"/>
          <w:sz w:val="24"/>
          <w:szCs w:val="24"/>
          <w:highlight w:val="none"/>
        </w:rPr>
        <w:t>进行评标。</w:t>
      </w:r>
    </w:p>
    <w:p w14:paraId="307CD212">
      <w:pPr>
        <w:spacing w:before="154" w:line="360"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37A0E03F">
      <w:pPr>
        <w:spacing w:before="153" w:line="36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081480D6">
      <w:pPr>
        <w:spacing w:before="153" w:line="36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3D9CFCBF">
      <w:pPr>
        <w:keepNext w:val="0"/>
        <w:keepLines w:val="0"/>
        <w:pageBreakBefore w:val="0"/>
        <w:widowControl w:val="0"/>
        <w:overflowPunct/>
        <w:topLinePunct w:val="0"/>
        <w:bidi w:val="0"/>
        <w:adjustRightInd w:val="0"/>
        <w:snapToGrid w:val="0"/>
        <w:spacing w:before="155" w:line="360" w:lineRule="auto"/>
        <w:ind w:left="719" w:right="6303" w:hanging="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3"/>
          <w:sz w:val="24"/>
          <w:szCs w:val="24"/>
          <w:highlight w:val="none"/>
        </w:rPr>
        <w:t>资格评审</w:t>
      </w:r>
      <w:r>
        <w:rPr>
          <w:rFonts w:hint="eastAsia" w:ascii="宋体" w:hAnsi="宋体" w:eastAsia="宋体" w:cs="宋体"/>
          <w:color w:val="auto"/>
          <w:spacing w:val="-3"/>
          <w:sz w:val="24"/>
          <w:szCs w:val="24"/>
          <w:highlight w:val="none"/>
          <w:lang w:eastAsia="zh-CN"/>
        </w:rPr>
        <w:t>环</w:t>
      </w:r>
      <w:r>
        <w:rPr>
          <w:rFonts w:hint="eastAsia" w:ascii="宋体" w:hAnsi="宋体" w:eastAsia="宋体" w:cs="宋体"/>
          <w:color w:val="auto"/>
          <w:spacing w:val="-3"/>
          <w:sz w:val="24"/>
          <w:szCs w:val="24"/>
          <w:highlight w:val="none"/>
        </w:rPr>
        <w:t>节资格评审事项包括</w:t>
      </w:r>
      <w:r>
        <w:rPr>
          <w:rFonts w:hint="eastAsia" w:ascii="宋体" w:hAnsi="宋体" w:eastAsia="宋体" w:cs="宋体"/>
          <w:color w:val="auto"/>
          <w:spacing w:val="-3"/>
          <w:sz w:val="24"/>
          <w:szCs w:val="24"/>
          <w:highlight w:val="none"/>
          <w:lang w:val="en-US" w:eastAsia="zh-CN"/>
        </w:rPr>
        <w:t>:</w:t>
      </w:r>
    </w:p>
    <w:p w14:paraId="713B8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（1）投标人不是本次招标禁止投标条款中的单位，没有本次招标禁止投标条款中规定的任何一种情形。</w:t>
      </w:r>
    </w:p>
    <w:p w14:paraId="354177D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27BC09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w:t>
      </w:r>
      <w:r>
        <w:rPr>
          <w:rFonts w:hint="eastAsia" w:ascii="宋体" w:hAnsi="宋体" w:eastAsia="宋体" w:cs="宋体"/>
          <w:snapToGrid w:val="0"/>
          <w:color w:val="auto"/>
          <w:kern w:val="0"/>
          <w:sz w:val="24"/>
          <w:szCs w:val="24"/>
          <w:highlight w:val="none"/>
          <w:lang w:val="en-US" w:eastAsia="zh-CN"/>
        </w:rPr>
        <w:t>（含实时网页查询页，可参考网址https://zlaq.mohurd.gov.cn/fwmh/bjxcjgl/fwh/pages/construction_safety/qyaqscxkz/qyaqscxkz）</w:t>
      </w:r>
      <w:r>
        <w:rPr>
          <w:rFonts w:hint="eastAsia" w:ascii="宋体" w:hAnsi="宋体" w:eastAsia="宋体" w:cs="宋体"/>
          <w:snapToGrid w:val="0"/>
          <w:color w:val="auto"/>
          <w:kern w:val="0"/>
          <w:sz w:val="24"/>
          <w:szCs w:val="24"/>
          <w:highlight w:val="none"/>
        </w:rPr>
        <w:t>是否合法、有效、准确。</w:t>
      </w:r>
    </w:p>
    <w:p w14:paraId="6323BE1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14:paraId="0A6C8D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val="en-US" w:eastAsia="zh-CN"/>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5E22324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Style w:val="48"/>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1902FFE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bookmarkStart w:id="93" w:name="_Toc15213"/>
      <w:r>
        <w:rPr>
          <w:rFonts w:hint="eastAsia" w:ascii="宋体" w:hAnsi="宋体" w:eastAsia="宋体" w:cs="宋体"/>
          <w:b/>
          <w:bCs/>
          <w:snapToGrid w:val="0"/>
          <w:color w:val="auto"/>
          <w:kern w:val="0"/>
          <w:sz w:val="24"/>
          <w:szCs w:val="24"/>
          <w:highlight w:val="none"/>
        </w:rPr>
        <w:t xml:space="preserve">15.4.2  </w:t>
      </w:r>
      <w:r>
        <w:rPr>
          <w:rFonts w:hint="eastAsia" w:ascii="宋体" w:hAnsi="宋体" w:eastAsia="宋体" w:cs="宋体"/>
          <w:snapToGrid w:val="0"/>
          <w:color w:val="auto"/>
          <w:kern w:val="0"/>
          <w:sz w:val="24"/>
          <w:szCs w:val="24"/>
          <w:highlight w:val="none"/>
        </w:rPr>
        <w:t>形式评审环节</w:t>
      </w:r>
    </w:p>
    <w:p w14:paraId="53B5F00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形式评审事</w:t>
      </w:r>
      <w:r>
        <w:rPr>
          <w:rFonts w:hint="eastAsia" w:ascii="宋体" w:hAnsi="宋体" w:eastAsia="宋体" w:cs="宋体"/>
          <w:snapToGrid w:val="0"/>
          <w:color w:val="auto"/>
          <w:kern w:val="0"/>
          <w:sz w:val="24"/>
          <w:szCs w:val="24"/>
          <w:highlight w:val="none"/>
          <w:lang w:eastAsia="zh-CN"/>
        </w:rPr>
        <w:t>项包括</w:t>
      </w:r>
      <w:bookmarkEnd w:id="93"/>
      <w:bookmarkStart w:id="94" w:name="_Toc32114"/>
      <w:bookmarkStart w:id="95" w:name="_Toc19814"/>
      <w:bookmarkStart w:id="96" w:name="_Toc18204"/>
      <w:r>
        <w:rPr>
          <w:rFonts w:hint="eastAsia" w:ascii="宋体" w:hAnsi="宋体" w:eastAsia="宋体" w:cs="宋体"/>
          <w:snapToGrid w:val="0"/>
          <w:color w:val="auto"/>
          <w:kern w:val="0"/>
          <w:sz w:val="24"/>
          <w:szCs w:val="24"/>
          <w:highlight w:val="none"/>
          <w:lang w:eastAsia="zh-CN"/>
        </w:rPr>
        <w:t>：</w:t>
      </w:r>
    </w:p>
    <w:p w14:paraId="0A446BAB">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97" w:name="_Toc13304"/>
      <w:bookmarkStart w:id="98" w:name="_Toc23632"/>
      <w:bookmarkStart w:id="99" w:name="_Toc20481"/>
      <w:r>
        <w:rPr>
          <w:rFonts w:hint="eastAsia" w:ascii="宋体" w:hAnsi="宋体" w:eastAsia="宋体" w:cs="宋体"/>
          <w:snapToGrid w:val="0"/>
          <w:color w:val="auto"/>
          <w:kern w:val="0"/>
          <w:sz w:val="24"/>
          <w:szCs w:val="24"/>
          <w:highlight w:val="none"/>
          <w:lang w:val="en-US" w:eastAsia="en-US"/>
        </w:rPr>
        <w:t>（1）</w:t>
      </w:r>
      <w:r>
        <w:rPr>
          <w:rFonts w:hint="eastAsia" w:ascii="宋体" w:hAnsi="宋体" w:eastAsia="宋体" w:cs="宋体"/>
          <w:snapToGrid w:val="0"/>
          <w:color w:val="auto"/>
          <w:kern w:val="0"/>
          <w:sz w:val="24"/>
          <w:szCs w:val="24"/>
          <w:highlight w:val="none"/>
        </w:rPr>
        <w:t>各分册是否按招标文件规定加盖电子印章。</w:t>
      </w:r>
      <w:bookmarkEnd w:id="97"/>
      <w:bookmarkEnd w:id="98"/>
      <w:bookmarkEnd w:id="99"/>
      <w:bookmarkStart w:id="100" w:name="_Toc10806"/>
      <w:bookmarkStart w:id="101" w:name="_Toc27432"/>
      <w:bookmarkStart w:id="102" w:name="_Toc28409"/>
    </w:p>
    <w:p w14:paraId="68C4E8E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 10.2.2  目、第 10.3.2  目、第 10.4.3  目中规定的“所有投标人均应提</w:t>
      </w:r>
      <w:bookmarkEnd w:id="100"/>
      <w:bookmarkEnd w:id="101"/>
      <w:bookmarkEnd w:id="102"/>
      <w:r>
        <w:rPr>
          <w:rFonts w:hint="eastAsia" w:ascii="宋体" w:hAnsi="宋体" w:eastAsia="宋体" w:cs="宋体"/>
          <w:snapToGrid w:val="0"/>
          <w:color w:val="auto"/>
          <w:kern w:val="0"/>
          <w:sz w:val="24"/>
          <w:szCs w:val="24"/>
          <w:highlight w:val="none"/>
        </w:rPr>
        <w:t>供 ”的组成内容（包括该组成内容的所附资料）是否完整、齐全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bookmarkStart w:id="103" w:name="_Toc9581"/>
      <w:bookmarkStart w:id="104" w:name="_Toc17918"/>
      <w:bookmarkStart w:id="105" w:name="_Toc22691"/>
    </w:p>
    <w:bookmarkEnd w:id="103"/>
    <w:bookmarkEnd w:id="104"/>
    <w:bookmarkEnd w:id="105"/>
    <w:p w14:paraId="06446360">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15.4.3  </w:t>
      </w:r>
      <w:r>
        <w:rPr>
          <w:rFonts w:hint="eastAsia" w:ascii="宋体" w:hAnsi="宋体" w:eastAsia="宋体" w:cs="宋体"/>
          <w:snapToGrid w:val="0"/>
          <w:color w:val="auto"/>
          <w:kern w:val="0"/>
          <w:sz w:val="24"/>
          <w:szCs w:val="24"/>
          <w:highlight w:val="none"/>
        </w:rPr>
        <w:t>响应性评审环节</w:t>
      </w:r>
    </w:p>
    <w:p w14:paraId="5ACF1BBA">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725402C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34EA999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6A4EB75F">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（3）投标人委托造价咨询单位编制《投标总价》的，是否在</w:t>
      </w:r>
      <w:r>
        <w:rPr>
          <w:rFonts w:hint="eastAsia" w:ascii="宋体" w:hAnsi="宋体" w:eastAsia="宋体" w:cs="宋体"/>
          <w:snapToGrid w:val="0"/>
          <w:color w:val="auto"/>
          <w:kern w:val="0"/>
          <w:sz w:val="24"/>
          <w:szCs w:val="24"/>
          <w:highlight w:val="none"/>
          <w:lang w:val="en-US" w:eastAsia="zh-CN"/>
        </w:rPr>
        <w:t>《投标总价扉页》（即扉—3）“投标人”栏目加盖造价咨询人公章；是否提供造价咨询人的营业执照副本彩色扫描件；</w:t>
      </w:r>
    </w:p>
    <w:p w14:paraId="203652E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276AED6">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75995BAD">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106" w:name="_Toc14163"/>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施工组织设计的质量、进度保障措施是否符合国家和省市现行有关规范、规定、标准，是否能实现工程质量、进度管理目标。</w:t>
      </w:r>
      <w:bookmarkEnd w:id="106"/>
    </w:p>
    <w:p w14:paraId="76DDDEA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rPr>
      </w:pPr>
      <w:bookmarkStart w:id="107" w:name="_Toc29261"/>
      <w:r>
        <w:rPr>
          <w:rFonts w:hint="eastAsia" w:ascii="宋体" w:hAnsi="宋体" w:eastAsia="宋体" w:cs="宋体"/>
          <w:b/>
          <w:bCs/>
          <w:snapToGrid w:val="0"/>
          <w:color w:val="auto"/>
          <w:kern w:val="0"/>
          <w:sz w:val="24"/>
          <w:szCs w:val="24"/>
          <w:highlight w:val="none"/>
        </w:rPr>
        <w:t xml:space="preserve">15.4.4  </w:t>
      </w:r>
      <w:r>
        <w:rPr>
          <w:rFonts w:hint="eastAsia" w:ascii="宋体" w:hAnsi="宋体" w:eastAsia="宋体" w:cs="宋体"/>
          <w:b w:val="0"/>
          <w:bCs w:val="0"/>
          <w:snapToGrid w:val="0"/>
          <w:color w:val="auto"/>
          <w:kern w:val="0"/>
          <w:sz w:val="24"/>
          <w:szCs w:val="24"/>
          <w:highlight w:val="none"/>
        </w:rPr>
        <w:t>否决投标说明</w:t>
      </w:r>
      <w:bookmarkEnd w:id="94"/>
      <w:bookmarkEnd w:id="95"/>
      <w:bookmarkEnd w:id="96"/>
      <w:bookmarkEnd w:id="107"/>
    </w:p>
    <w:p w14:paraId="23A70E99">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1AC88C47">
      <w:pPr>
        <w:pStyle w:val="12"/>
        <w:keepNext w:val="0"/>
        <w:keepLines w:val="0"/>
        <w:pageBreakBefore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3BC85C8">
      <w:pPr>
        <w:spacing w:before="78" w:line="360" w:lineRule="auto"/>
        <w:ind w:left="5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0" distR="0" simplePos="0" relativeHeight="251659264"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1" name="IM 46"/>
            <wp:cNvGraphicFramePr/>
            <a:graphic xmlns:a="http://schemas.openxmlformats.org/drawingml/2006/main">
              <a:graphicData uri="http://schemas.openxmlformats.org/drawingml/2006/picture">
                <pic:pic xmlns:pic="http://schemas.openxmlformats.org/drawingml/2006/picture">
                  <pic:nvPicPr>
                    <pic:cNvPr id="1" name="IM 46"/>
                    <pic:cNvPicPr/>
                  </pic:nvPicPr>
                  <pic:blipFill>
                    <a:blip r:embed="rId7"/>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434E402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rPr>
      </w:pPr>
      <w:bookmarkStart w:id="109" w:name="_Toc1868"/>
      <w:bookmarkStart w:id="110" w:name="_Toc4119"/>
      <w:bookmarkStart w:id="111" w:name="_Toc10503"/>
      <w:bookmarkStart w:id="112" w:name="_Toc28572"/>
      <w:r>
        <w:rPr>
          <w:rFonts w:hint="eastAsia" w:ascii="宋体" w:hAnsi="宋体" w:eastAsia="宋体" w:cs="宋体"/>
          <w:b/>
          <w:bCs/>
          <w:snapToGrid w:val="0"/>
          <w:color w:val="auto"/>
          <w:kern w:val="0"/>
          <w:sz w:val="24"/>
          <w:szCs w:val="24"/>
          <w:highlight w:val="none"/>
        </w:rPr>
        <w:t xml:space="preserve">15.5.1  </w:t>
      </w:r>
      <w:r>
        <w:rPr>
          <w:rFonts w:hint="eastAsia" w:ascii="宋体" w:hAnsi="宋体" w:eastAsia="宋体" w:cs="宋体"/>
          <w:b w:val="0"/>
          <w:bCs w:val="0"/>
          <w:snapToGrid w:val="0"/>
          <w:color w:val="auto"/>
          <w:kern w:val="0"/>
          <w:sz w:val="24"/>
          <w:szCs w:val="24"/>
          <w:highlight w:val="none"/>
        </w:rPr>
        <w:t>“综合评估法 ”评审程序</w:t>
      </w:r>
      <w:bookmarkEnd w:id="109"/>
      <w:bookmarkEnd w:id="110"/>
      <w:bookmarkEnd w:id="111"/>
      <w:bookmarkEnd w:id="112"/>
    </w:p>
    <w:p w14:paraId="67130DFF">
      <w:pPr>
        <w:spacing w:before="152" w:line="360"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%；投标报价满分100分，权重为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。两大部分权重之和应为100%。</w:t>
      </w:r>
    </w:p>
    <w:p w14:paraId="3867D301">
      <w:pPr>
        <w:spacing w:before="153" w:line="360"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1EA660">
      <w:pPr>
        <w:spacing w:before="152" w:line="360" w:lineRule="auto"/>
        <w:ind w:left="14" w:right="81" w:firstLine="476"/>
        <w:rPr>
          <w:rFonts w:hint="eastAsia" w:ascii="宋体" w:hAnsi="宋体" w:eastAsia="宋体" w:cs="宋体"/>
          <w:color w:val="auto"/>
          <w:spacing w:val="-1"/>
          <w:sz w:val="24"/>
          <w:szCs w:val="24"/>
          <w:highlight w:val="none"/>
        </w:rPr>
      </w:pPr>
      <w:bookmarkStart w:id="113" w:name="_Toc16570"/>
      <w:bookmarkStart w:id="114" w:name="_Toc17510"/>
      <w:bookmarkStart w:id="115" w:name="_Toc22949"/>
      <w:bookmarkStart w:id="116" w:name="_Toc18029"/>
      <w:r>
        <w:rPr>
          <w:rFonts w:hint="eastAsia" w:ascii="宋体" w:hAnsi="宋体" w:eastAsia="宋体" w:cs="宋体"/>
          <w:color w:val="auto"/>
          <w:spacing w:val="-1"/>
          <w:sz w:val="24"/>
          <w:szCs w:val="24"/>
          <w:highlight w:val="none"/>
        </w:rPr>
        <w:t>（1）商务技术得分 M</w:t>
      </w:r>
      <w:bookmarkEnd w:id="113"/>
      <w:bookmarkEnd w:id="114"/>
      <w:bookmarkEnd w:id="115"/>
      <w:bookmarkEnd w:id="116"/>
    </w:p>
    <w:p w14:paraId="2876E1BE">
      <w:pPr>
        <w:spacing w:before="153" w:line="360"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w:t>
      </w:r>
    </w:p>
    <w:p w14:paraId="563951AA">
      <w:pPr>
        <w:spacing w:before="154" w:line="360"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w:t>
      </w:r>
    </w:p>
    <w:p w14:paraId="2053FBB2">
      <w:pPr>
        <w:spacing w:before="155" w:line="360" w:lineRule="auto"/>
        <w:ind w:left="491"/>
        <w:rPr>
          <w:rFonts w:hint="eastAsia" w:ascii="宋体" w:hAnsi="宋体" w:eastAsia="宋体" w:cs="宋体"/>
          <w:color w:val="auto"/>
          <w:sz w:val="24"/>
          <w:szCs w:val="24"/>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24"/>
          <w:szCs w:val="24"/>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24"/>
          <w:szCs w:val="24"/>
          <w:highlight w:val="none"/>
        </w:rPr>
        <w:t>2</w:t>
      </w:r>
    </w:p>
    <w:p w14:paraId="2874B8C1">
      <w:pPr>
        <w:spacing w:before="139" w:line="36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BE6EBBE">
      <w:pPr>
        <w:spacing w:before="106" w:line="360" w:lineRule="auto"/>
        <w:ind w:left="7" w:right="17" w:firstLine="489"/>
        <w:rPr>
          <w:rFonts w:hint="eastAsia" w:ascii="宋体" w:hAnsi="宋体" w:eastAsia="宋体" w:cs="宋体"/>
          <w:color w:val="auto"/>
          <w:spacing w:val="-9"/>
          <w:sz w:val="24"/>
          <w:szCs w:val="24"/>
          <w:highlight w:val="none"/>
        </w:rPr>
      </w:pPr>
      <w:bookmarkStart w:id="117" w:name="_Toc16136"/>
      <w:bookmarkStart w:id="118" w:name="_Toc27609"/>
      <w:bookmarkStart w:id="119" w:name="_Toc3958"/>
      <w:bookmarkStart w:id="120" w:name="_Toc3234"/>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2</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投标报价得分 N</w:t>
      </w:r>
      <w:bookmarkEnd w:id="117"/>
      <w:bookmarkEnd w:id="118"/>
      <w:bookmarkEnd w:id="119"/>
      <w:bookmarkEnd w:id="120"/>
    </w:p>
    <w:p w14:paraId="39B5AE92">
      <w:pPr>
        <w:spacing w:before="106" w:line="360" w:lineRule="auto"/>
        <w:ind w:left="7" w:right="17" w:firstLine="489"/>
        <w:rPr>
          <w:rFonts w:hint="eastAsia" w:ascii="宋体" w:hAnsi="宋体" w:eastAsia="宋体" w:cs="宋体"/>
          <w:color w:val="auto"/>
          <w:spacing w:val="-9"/>
          <w:sz w:val="24"/>
          <w:szCs w:val="24"/>
          <w:highlight w:val="none"/>
        </w:rPr>
      </w:pPr>
      <w:r>
        <w:rPr>
          <w:rFonts w:hint="eastAsia" w:ascii="宋体" w:hAnsi="宋体" w:eastAsia="宋体" w:cs="宋体"/>
          <w:b/>
          <w:bCs/>
          <w:color w:val="auto"/>
          <w:spacing w:val="-9"/>
          <w:sz w:val="24"/>
          <w:szCs w:val="24"/>
          <w:highlight w:val="none"/>
        </w:rPr>
        <w:t>a</w:t>
      </w:r>
      <w:r>
        <w:rPr>
          <w:rFonts w:hint="eastAsia" w:ascii="宋体" w:hAnsi="宋体" w:eastAsia="宋体" w:cs="宋体"/>
          <w:b/>
          <w:bCs/>
          <w:color w:val="auto"/>
          <w:spacing w:val="-9"/>
          <w:sz w:val="24"/>
          <w:szCs w:val="24"/>
          <w:highlight w:val="none"/>
          <w:lang w:eastAsia="zh-CN"/>
        </w:rPr>
        <w:t>.</w:t>
      </w:r>
      <w:r>
        <w:rPr>
          <w:rFonts w:hint="eastAsia" w:ascii="宋体" w:hAnsi="宋体" w:eastAsia="宋体" w:cs="宋体"/>
          <w:color w:val="auto"/>
          <w:spacing w:val="-9"/>
          <w:sz w:val="24"/>
          <w:szCs w:val="24"/>
          <w:highlight w:val="none"/>
        </w:rPr>
        <w:t>评标委员会按照《综合评分表》投标报价部分指定的方法计算评标基准价D。</w:t>
      </w:r>
    </w:p>
    <w:p w14:paraId="67AD0E8C">
      <w:pPr>
        <w:spacing w:before="155" w:line="360"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1A1D4778">
      <w:pPr>
        <w:spacing w:before="118" w:line="360" w:lineRule="auto"/>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30B0BB24">
      <w:pPr>
        <w:spacing w:before="106" w:line="360"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val="0"/>
          <w:bCs w:val="0"/>
          <w:color w:val="auto"/>
          <w:spacing w:val="-8"/>
          <w:sz w:val="24"/>
          <w:szCs w:val="24"/>
          <w:highlight w:val="none"/>
        </w:rPr>
        <w:t>1</w:t>
      </w:r>
      <w:r>
        <w:rPr>
          <w:rFonts w:hint="eastAsia" w:ascii="宋体" w:hAnsi="宋体" w:eastAsia="宋体" w:cs="宋体"/>
          <w:b w:val="0"/>
          <w:bCs w:val="0"/>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b w:val="0"/>
          <w:bCs w:val="0"/>
          <w:color w:val="auto"/>
          <w:spacing w:val="-8"/>
          <w:sz w:val="24"/>
          <w:szCs w:val="24"/>
          <w:highlight w:val="none"/>
        </w:rPr>
        <w:t>0.5</w:t>
      </w:r>
      <w:r>
        <w:rPr>
          <w:rFonts w:hint="eastAsia" w:ascii="宋体" w:hAnsi="宋体" w:eastAsia="宋体" w:cs="宋体"/>
          <w:b/>
          <w:bCs/>
          <w:color w:val="auto"/>
          <w:spacing w:val="-8"/>
          <w:sz w:val="24"/>
          <w:szCs w:val="24"/>
          <w:highlight w:val="none"/>
        </w:rPr>
        <w:t>。</w:t>
      </w:r>
    </w:p>
    <w:p w14:paraId="3235F073">
      <w:pPr>
        <w:spacing w:before="152" w:line="360" w:lineRule="auto"/>
        <w:ind w:left="14" w:right="81" w:firstLine="476"/>
        <w:rPr>
          <w:rFonts w:hint="eastAsia" w:ascii="宋体" w:hAnsi="宋体" w:eastAsia="宋体" w:cs="宋体"/>
          <w:color w:val="auto"/>
          <w:spacing w:val="-1"/>
          <w:sz w:val="24"/>
          <w:szCs w:val="24"/>
          <w:highlight w:val="none"/>
          <w:lang w:eastAsia="zh-CN"/>
        </w:rPr>
      </w:pPr>
      <w:bookmarkStart w:id="121" w:name="_Toc7915"/>
      <w:bookmarkStart w:id="122" w:name="_Toc3861"/>
      <w:bookmarkStart w:id="123" w:name="_Toc4990"/>
      <w:bookmarkStart w:id="124" w:name="_Toc23551"/>
      <w:r>
        <w:rPr>
          <w:rFonts w:hint="eastAsia" w:ascii="宋体" w:hAnsi="宋体" w:eastAsia="宋体" w:cs="宋体"/>
          <w:color w:val="auto"/>
          <w:spacing w:val="-1"/>
          <w:sz w:val="24"/>
          <w:szCs w:val="24"/>
          <w:highlight w:val="none"/>
          <w:lang w:eastAsia="zh-CN"/>
        </w:rPr>
        <w:t>（3）综合得分</w:t>
      </w:r>
      <w:bookmarkEnd w:id="121"/>
      <w:bookmarkEnd w:id="122"/>
      <w:bookmarkEnd w:id="123"/>
      <w:bookmarkEnd w:id="124"/>
    </w:p>
    <w:p w14:paraId="1249D688">
      <w:pPr>
        <w:spacing w:before="153" w:line="36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8A23B7A">
      <w:pPr>
        <w:spacing w:before="155" w:line="360"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 xml:space="preserve">×商务技术权重＋N×投标报价权重式中：M </w:t>
      </w:r>
      <w:r>
        <w:rPr>
          <w:rFonts w:hint="eastAsia" w:ascii="宋体" w:hAnsi="宋体" w:eastAsia="宋体" w:cs="宋体"/>
          <w:color w:val="auto"/>
          <w:sz w:val="24"/>
          <w:szCs w:val="24"/>
          <w:highlight w:val="none"/>
        </w:rPr>
        <w:t>为商务技术得分，N 为投标报价得分。</w:t>
      </w:r>
    </w:p>
    <w:p w14:paraId="7F055B59">
      <w:pPr>
        <w:spacing w:line="360" w:lineRule="auto"/>
        <w:ind w:firstLine="480" w:firstLineChars="200"/>
        <w:rPr>
          <w:rFonts w:hint="eastAsia" w:ascii="宋体" w:hAnsi="宋体" w:eastAsia="宋体" w:cs="宋体"/>
          <w:sz w:val="24"/>
          <w:szCs w:val="24"/>
        </w:rPr>
      </w:pPr>
      <w:bookmarkStart w:id="125" w:name="_Toc30671"/>
      <w:bookmarkStart w:id="126" w:name="_Toc16789"/>
      <w:bookmarkStart w:id="127" w:name="_Toc2885"/>
      <w:bookmarkStart w:id="128" w:name="_Toc25214"/>
      <w:r>
        <w:rPr>
          <w:rFonts w:hint="eastAsia" w:ascii="宋体" w:hAnsi="宋体" w:eastAsia="宋体" w:cs="宋体"/>
          <w:sz w:val="24"/>
          <w:szCs w:val="24"/>
        </w:rPr>
        <w:t>（4）评标委员会汇总、比较所有投标人的综合得分后，取综合得分最高的投标</w:t>
      </w:r>
      <w:bookmarkEnd w:id="125"/>
      <w:bookmarkEnd w:id="126"/>
      <w:bookmarkEnd w:id="127"/>
      <w:bookmarkEnd w:id="128"/>
      <w:r>
        <w:rPr>
          <w:rFonts w:hint="eastAsia" w:ascii="宋体" w:hAnsi="宋体" w:eastAsia="宋体" w:cs="宋体"/>
          <w:sz w:val="24"/>
          <w:szCs w:val="24"/>
        </w:rPr>
        <w:t>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7B2696B7">
      <w:pPr>
        <w:rPr>
          <w:rFonts w:hint="eastAsia" w:ascii="宋体" w:hAnsi="宋体" w:eastAsia="宋体" w:cs="宋体"/>
        </w:rPr>
      </w:pPr>
    </w:p>
    <w:p w14:paraId="2DDFF6F0">
      <w:pPr>
        <w:rPr>
          <w:rFonts w:hint="eastAsia" w:ascii="宋体" w:hAnsi="宋体" w:eastAsia="宋体" w:cs="宋体"/>
        </w:rPr>
      </w:pPr>
    </w:p>
    <w:p w14:paraId="3F251AEE">
      <w:pPr>
        <w:rPr>
          <w:rFonts w:hint="eastAsia" w:ascii="宋体" w:hAnsi="宋体" w:eastAsia="宋体" w:cs="宋体"/>
        </w:rPr>
      </w:pPr>
    </w:p>
    <w:p w14:paraId="24B071AD">
      <w:pPr>
        <w:rPr>
          <w:rFonts w:hint="eastAsia" w:ascii="宋体" w:hAnsi="宋体" w:eastAsia="宋体" w:cs="宋体"/>
        </w:rPr>
      </w:pPr>
    </w:p>
    <w:p w14:paraId="5C5F14BB">
      <w:pPr>
        <w:rPr>
          <w:rFonts w:hint="eastAsia" w:ascii="宋体" w:hAnsi="宋体" w:eastAsia="宋体" w:cs="宋体"/>
        </w:rPr>
      </w:pPr>
    </w:p>
    <w:p w14:paraId="28D6ABEB">
      <w:pPr>
        <w:rPr>
          <w:rFonts w:hint="eastAsia" w:ascii="宋体" w:hAnsi="宋体" w:eastAsia="宋体" w:cs="宋体"/>
        </w:rPr>
      </w:pPr>
    </w:p>
    <w:p w14:paraId="47C0F882">
      <w:pPr>
        <w:rPr>
          <w:rFonts w:hint="eastAsia" w:ascii="宋体" w:hAnsi="宋体" w:eastAsia="宋体" w:cs="宋体"/>
        </w:rPr>
      </w:pPr>
    </w:p>
    <w:p w14:paraId="6710EB83">
      <w:pPr>
        <w:rPr>
          <w:rFonts w:hint="eastAsia" w:ascii="宋体" w:hAnsi="宋体" w:eastAsia="宋体" w:cs="宋体"/>
        </w:rPr>
      </w:pPr>
    </w:p>
    <w:p w14:paraId="7D0F7DDC">
      <w:pPr>
        <w:rPr>
          <w:rFonts w:hint="eastAsia" w:ascii="宋体" w:hAnsi="宋体" w:eastAsia="宋体" w:cs="宋体"/>
        </w:rPr>
      </w:pPr>
    </w:p>
    <w:p w14:paraId="02693387">
      <w:pPr>
        <w:rPr>
          <w:rFonts w:hint="eastAsia" w:ascii="宋体" w:hAnsi="宋体" w:eastAsia="宋体" w:cs="宋体"/>
        </w:rPr>
      </w:pPr>
    </w:p>
    <w:p w14:paraId="19E281BA">
      <w:pPr>
        <w:rPr>
          <w:rFonts w:hint="eastAsia" w:ascii="宋体" w:hAnsi="宋体" w:eastAsia="宋体" w:cs="宋体"/>
        </w:rPr>
      </w:pPr>
    </w:p>
    <w:p w14:paraId="02FE3D1C">
      <w:pPr>
        <w:rPr>
          <w:rFonts w:hint="eastAsia" w:ascii="宋体" w:hAnsi="宋体" w:eastAsia="宋体" w:cs="宋体"/>
        </w:rPr>
      </w:pPr>
    </w:p>
    <w:p w14:paraId="4FFAC1F8">
      <w:pPr>
        <w:rPr>
          <w:rFonts w:hint="eastAsia" w:ascii="宋体" w:hAnsi="宋体" w:eastAsia="宋体" w:cs="宋体"/>
        </w:rPr>
      </w:pPr>
    </w:p>
    <w:p w14:paraId="6B3EE430">
      <w:pPr>
        <w:pStyle w:val="2"/>
        <w:rPr>
          <w:rFonts w:hint="eastAsia" w:ascii="宋体" w:hAnsi="宋体" w:eastAsia="宋体" w:cs="宋体"/>
        </w:rPr>
      </w:pPr>
    </w:p>
    <w:p w14:paraId="40297A24">
      <w:pPr>
        <w:rPr>
          <w:rFonts w:hint="eastAsia" w:ascii="宋体" w:hAnsi="宋体" w:eastAsia="宋体" w:cs="宋体"/>
        </w:rPr>
      </w:pPr>
    </w:p>
    <w:p w14:paraId="0E3EB317">
      <w:pPr>
        <w:pStyle w:val="2"/>
        <w:rPr>
          <w:rFonts w:hint="eastAsia" w:ascii="宋体" w:hAnsi="宋体" w:eastAsia="宋体" w:cs="宋体"/>
        </w:rPr>
      </w:pPr>
    </w:p>
    <w:p w14:paraId="0AC4B513">
      <w:pPr>
        <w:rPr>
          <w:rFonts w:hint="eastAsia" w:ascii="宋体" w:hAnsi="宋体" w:eastAsia="宋体" w:cs="宋体"/>
        </w:rPr>
      </w:pPr>
    </w:p>
    <w:p w14:paraId="21515695">
      <w:pPr>
        <w:pStyle w:val="2"/>
        <w:rPr>
          <w:rFonts w:hint="eastAsia" w:ascii="宋体" w:hAnsi="宋体" w:eastAsia="宋体" w:cs="宋体"/>
        </w:rPr>
      </w:pPr>
    </w:p>
    <w:p w14:paraId="4D88E782">
      <w:pPr>
        <w:rPr>
          <w:rFonts w:hint="eastAsia" w:ascii="宋体" w:hAnsi="宋体" w:eastAsia="宋体" w:cs="宋体"/>
        </w:rPr>
      </w:pPr>
    </w:p>
    <w:p w14:paraId="550DACA2">
      <w:pPr>
        <w:pStyle w:val="2"/>
        <w:rPr>
          <w:rFonts w:hint="eastAsia"/>
        </w:rPr>
      </w:pPr>
    </w:p>
    <w:p w14:paraId="4FE20EB0">
      <w:pPr>
        <w:rPr>
          <w:rFonts w:hint="eastAsia" w:ascii="宋体" w:hAnsi="宋体" w:eastAsia="宋体" w:cs="宋体"/>
        </w:rPr>
      </w:pPr>
    </w:p>
    <w:p w14:paraId="78B19505">
      <w:pPr>
        <w:rPr>
          <w:rFonts w:hint="eastAsia" w:ascii="宋体" w:hAnsi="宋体" w:eastAsia="宋体" w:cs="宋体"/>
        </w:rPr>
      </w:pPr>
    </w:p>
    <w:p w14:paraId="60C409A5">
      <w:pPr>
        <w:rPr>
          <w:rFonts w:hint="eastAsia" w:ascii="宋体" w:hAnsi="宋体" w:eastAsia="宋体" w:cs="宋体"/>
        </w:rPr>
      </w:pPr>
    </w:p>
    <w:p w14:paraId="0C3033A6">
      <w:pPr>
        <w:rPr>
          <w:rFonts w:hint="eastAsia" w:ascii="宋体" w:hAnsi="宋体" w:eastAsia="宋体" w:cs="宋体"/>
        </w:rPr>
      </w:pPr>
    </w:p>
    <w:p w14:paraId="3CB730AD">
      <w:pPr>
        <w:rPr>
          <w:rFonts w:hint="eastAsia" w:ascii="宋体" w:hAnsi="宋体" w:eastAsia="宋体" w:cs="宋体"/>
        </w:rPr>
      </w:pPr>
    </w:p>
    <w:p w14:paraId="083C9085">
      <w:pPr>
        <w:rPr>
          <w:rFonts w:hint="eastAsia" w:ascii="宋体" w:hAnsi="宋体" w:eastAsia="宋体" w:cs="宋体"/>
        </w:rPr>
      </w:pPr>
    </w:p>
    <w:p w14:paraId="57CFBC69">
      <w:pPr>
        <w:rPr>
          <w:rFonts w:hint="eastAsia" w:ascii="宋体" w:hAnsi="宋体" w:eastAsia="宋体" w:cs="宋体"/>
        </w:rPr>
      </w:pPr>
    </w:p>
    <w:p w14:paraId="6500CD87">
      <w:pPr>
        <w:rPr>
          <w:rFonts w:hint="eastAsia" w:ascii="宋体" w:hAnsi="宋体" w:eastAsia="宋体" w:cs="宋体"/>
        </w:rPr>
      </w:pPr>
    </w:p>
    <w:p w14:paraId="0209616B">
      <w:pPr>
        <w:rPr>
          <w:rFonts w:hint="eastAsia" w:ascii="宋体" w:hAnsi="宋体" w:eastAsia="宋体" w:cs="宋体"/>
        </w:rPr>
      </w:pPr>
    </w:p>
    <w:p w14:paraId="26FEE077">
      <w:pPr>
        <w:spacing w:before="152" w:line="360" w:lineRule="auto"/>
        <w:ind w:left="14" w:right="81" w:firstLine="476"/>
        <w:jc w:val="center"/>
        <w:rPr>
          <w:rFonts w:hint="eastAsia" w:ascii="宋体" w:hAnsi="宋体" w:eastAsia="宋体" w:cs="宋体"/>
          <w:b/>
          <w:bCs/>
          <w:color w:val="auto"/>
          <w:spacing w:val="-1"/>
          <w:sz w:val="28"/>
          <w:szCs w:val="28"/>
          <w:highlight w:val="none"/>
          <w:lang w:eastAsia="zh-CN"/>
        </w:rPr>
      </w:pPr>
      <w:bookmarkStart w:id="129" w:name="_Toc3020"/>
      <w:bookmarkStart w:id="130" w:name="_Toc16801"/>
      <w:bookmarkStart w:id="131" w:name="_Toc17375"/>
      <w:bookmarkStart w:id="132" w:name="_Toc3839"/>
      <w:r>
        <w:rPr>
          <w:rFonts w:hint="eastAsia" w:ascii="宋体" w:hAnsi="宋体" w:eastAsia="宋体" w:cs="宋体"/>
          <w:b/>
          <w:bCs/>
          <w:color w:val="auto"/>
          <w:spacing w:val="-1"/>
          <w:sz w:val="28"/>
          <w:szCs w:val="28"/>
          <w:highlight w:val="none"/>
        </w:rPr>
        <w:t>综合评分表</w:t>
      </w:r>
      <w:bookmarkEnd w:id="129"/>
      <w:bookmarkEnd w:id="130"/>
      <w:bookmarkEnd w:id="131"/>
      <w:bookmarkEnd w:id="132"/>
    </w:p>
    <w:tbl>
      <w:tblPr>
        <w:tblStyle w:val="24"/>
        <w:tblW w:w="9941" w:type="dxa"/>
        <w:jc w:val="center"/>
        <w:tblLayout w:type="fixed"/>
        <w:tblCellMar>
          <w:top w:w="0" w:type="dxa"/>
          <w:left w:w="108" w:type="dxa"/>
          <w:bottom w:w="0" w:type="dxa"/>
          <w:right w:w="108" w:type="dxa"/>
        </w:tblCellMar>
      </w:tblPr>
      <w:tblGrid>
        <w:gridCol w:w="1447"/>
        <w:gridCol w:w="3850"/>
        <w:gridCol w:w="4644"/>
      </w:tblGrid>
      <w:tr w14:paraId="52BCC6D3">
        <w:tblPrEx>
          <w:tblCellMar>
            <w:top w:w="0" w:type="dxa"/>
            <w:left w:w="108" w:type="dxa"/>
            <w:bottom w:w="0" w:type="dxa"/>
            <w:right w:w="108" w:type="dxa"/>
          </w:tblCellMar>
        </w:tblPrEx>
        <w:trPr>
          <w:trHeight w:val="511" w:hRule="atLeast"/>
          <w:jc w:val="center"/>
        </w:trPr>
        <w:tc>
          <w:tcPr>
            <w:tcW w:w="9941"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23BF7383">
            <w:pPr>
              <w:pStyle w:val="8"/>
              <w:wordWrap w:val="0"/>
              <w:adjustRightInd w:val="0"/>
              <w:snapToGrid w:val="0"/>
              <w:spacing w:after="0" w:line="240" w:lineRule="auto"/>
              <w:rPr>
                <w:rFonts w:hint="eastAsia" w:ascii="宋体" w:hAnsi="宋体" w:eastAsia="宋体" w:cs="宋体"/>
                <w:color w:val="auto"/>
                <w:sz w:val="24"/>
                <w:szCs w:val="24"/>
                <w:highlight w:val="none"/>
                <w:lang w:val="en-US" w:eastAsia="zh-CN"/>
              </w:rPr>
            </w:pPr>
            <w:bookmarkStart w:id="133" w:name="_Toc9725"/>
            <w:bookmarkStart w:id="134" w:name="_Toc31744"/>
            <w:bookmarkStart w:id="135" w:name="_Toc5769"/>
            <w:bookmarkStart w:id="136" w:name="_Toc178"/>
            <w:r>
              <w:rPr>
                <w:rFonts w:hint="eastAsia" w:ascii="宋体" w:hAnsi="宋体" w:eastAsia="宋体" w:cs="宋体"/>
                <w:b/>
                <w:bCs/>
                <w:color w:val="auto"/>
                <w:sz w:val="24"/>
                <w:szCs w:val="24"/>
                <w:highlight w:val="none"/>
                <w:lang w:val="en-US" w:eastAsia="zh-CN"/>
              </w:rPr>
              <w:t>商务部分，满分：</w:t>
            </w:r>
            <w:r>
              <w:rPr>
                <w:rFonts w:hint="eastAsia" w:ascii="宋体" w:hAnsi="宋体" w:eastAsia="宋体" w:cs="宋体"/>
                <w:b/>
                <w:bCs/>
                <w:color w:val="auto"/>
                <w:sz w:val="24"/>
                <w:szCs w:val="24"/>
                <w:highlight w:val="none"/>
                <w:u w:val="single"/>
                <w:lang w:val="en-US" w:eastAsia="zh-CN"/>
              </w:rPr>
              <w:t>80</w:t>
            </w:r>
            <w:r>
              <w:rPr>
                <w:rFonts w:hint="eastAsia" w:ascii="宋体" w:hAnsi="宋体" w:eastAsia="宋体" w:cs="宋体"/>
                <w:b/>
                <w:bCs/>
                <w:color w:val="auto"/>
                <w:sz w:val="24"/>
                <w:szCs w:val="24"/>
                <w:highlight w:val="none"/>
                <w:lang w:val="en-US" w:eastAsia="zh-CN"/>
              </w:rPr>
              <w:t>分。</w:t>
            </w:r>
          </w:p>
        </w:tc>
      </w:tr>
      <w:tr w14:paraId="5CBA6801">
        <w:tblPrEx>
          <w:tblCellMar>
            <w:top w:w="0" w:type="dxa"/>
            <w:left w:w="108" w:type="dxa"/>
            <w:bottom w:w="0" w:type="dxa"/>
            <w:right w:w="108" w:type="dxa"/>
          </w:tblCellMar>
        </w:tblPrEx>
        <w:trPr>
          <w:trHeight w:val="526"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52D2749">
            <w:pPr>
              <w:pStyle w:val="8"/>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评分因素</w:t>
            </w:r>
          </w:p>
        </w:tc>
        <w:tc>
          <w:tcPr>
            <w:tcW w:w="3850" w:type="dxa"/>
            <w:tcBorders>
              <w:top w:val="single" w:color="auto" w:sz="4" w:space="0"/>
              <w:left w:val="nil"/>
              <w:bottom w:val="single" w:color="auto" w:sz="4" w:space="0"/>
              <w:right w:val="single" w:color="auto" w:sz="4" w:space="0"/>
            </w:tcBorders>
            <w:noWrap w:val="0"/>
            <w:vAlign w:val="center"/>
          </w:tcPr>
          <w:p w14:paraId="2EF0E9FF">
            <w:pPr>
              <w:pStyle w:val="8"/>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评分标准</w:t>
            </w:r>
          </w:p>
        </w:tc>
        <w:tc>
          <w:tcPr>
            <w:tcW w:w="4644" w:type="dxa"/>
            <w:tcBorders>
              <w:top w:val="single" w:color="auto" w:sz="4" w:space="0"/>
              <w:left w:val="nil"/>
              <w:bottom w:val="single" w:color="auto" w:sz="4" w:space="0"/>
              <w:right w:val="single" w:color="auto" w:sz="4" w:space="0"/>
            </w:tcBorders>
            <w:noWrap w:val="0"/>
            <w:vAlign w:val="center"/>
          </w:tcPr>
          <w:p w14:paraId="5E7FBB43">
            <w:pPr>
              <w:pStyle w:val="8"/>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p>
        </w:tc>
      </w:tr>
      <w:tr w14:paraId="5FEFF93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FC3ECD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企业奖项</w:t>
            </w:r>
          </w:p>
          <w:p w14:paraId="0C5974B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850" w:type="dxa"/>
            <w:tcBorders>
              <w:top w:val="single" w:color="auto" w:sz="4" w:space="0"/>
              <w:left w:val="nil"/>
              <w:bottom w:val="single" w:color="auto" w:sz="4" w:space="0"/>
              <w:right w:val="single" w:color="auto" w:sz="4" w:space="0"/>
            </w:tcBorders>
            <w:noWrap w:val="0"/>
            <w:vAlign w:val="center"/>
          </w:tcPr>
          <w:p w14:paraId="66681049">
            <w:pPr>
              <w:wordWrap w:val="0"/>
              <w:adjustRightInd w:val="0"/>
              <w:snapToGrid w:val="0"/>
              <w:spacing w:line="400" w:lineRule="exact"/>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企业近 5 年来（20</w:t>
            </w:r>
            <w:r>
              <w:rPr>
                <w:rFonts w:hint="eastAsia" w:ascii="宋体" w:hAnsi="宋体" w:eastAsia="宋体" w:cs="宋体"/>
                <w:snapToGrid w:val="0"/>
                <w:color w:val="auto"/>
                <w:kern w:val="0"/>
                <w:sz w:val="24"/>
                <w:szCs w:val="24"/>
                <w:highlight w:val="none"/>
                <w:lang w:val="en-US" w:eastAsia="zh-CN"/>
              </w:rPr>
              <w:t>20</w:t>
            </w:r>
            <w:r>
              <w:rPr>
                <w:rFonts w:hint="eastAsia" w:ascii="宋体" w:hAnsi="宋体" w:eastAsia="宋体" w:cs="宋体"/>
                <w:snapToGrid w:val="0"/>
                <w:color w:val="auto"/>
                <w:kern w:val="0"/>
                <w:sz w:val="24"/>
                <w:szCs w:val="24"/>
                <w:highlight w:val="none"/>
              </w:rPr>
              <w:t>年1月1日至今）获得工程类奖项情况：</w:t>
            </w:r>
          </w:p>
          <w:p w14:paraId="0F7457CA">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1．获得国家级奖项的，每个得8分。</w:t>
            </w:r>
          </w:p>
          <w:p w14:paraId="1F0BC4EE">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2．获得省级奖项的，每个得6分。</w:t>
            </w:r>
          </w:p>
          <w:p w14:paraId="11F8F6D7">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3．获得地市级奖项的，每个得4分。</w:t>
            </w:r>
          </w:p>
          <w:p w14:paraId="01AA6E4C">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4．以上奖项均未获得的，不予计分。</w:t>
            </w:r>
          </w:p>
          <w:p w14:paraId="3778FDBB">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5．本项最高得10分。</w:t>
            </w:r>
          </w:p>
          <w:p w14:paraId="17F244A5">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p>
        </w:tc>
        <w:tc>
          <w:tcPr>
            <w:tcW w:w="4644" w:type="dxa"/>
            <w:tcBorders>
              <w:top w:val="single" w:color="auto" w:sz="4" w:space="0"/>
              <w:left w:val="nil"/>
              <w:bottom w:val="single" w:color="auto" w:sz="4" w:space="0"/>
              <w:right w:val="single" w:color="auto" w:sz="4" w:space="0"/>
            </w:tcBorders>
            <w:noWrap w:val="0"/>
            <w:vAlign w:val="center"/>
          </w:tcPr>
          <w:p w14:paraId="637F82F1">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1．允许投标人提交多个业绩（含参建项目），但同一业绩只按最高级别奖项计分一次，不同业绩按照各自最高获奖等级的得分累加。</w:t>
            </w:r>
          </w:p>
          <w:p w14:paraId="1222A735">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2．需附有关奖项证明彩色扫描件，同时提供原件供核对。</w:t>
            </w:r>
          </w:p>
          <w:p w14:paraId="7F3C446D">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3．颁发机构限定以下范围：</w:t>
            </w:r>
          </w:p>
          <w:p w14:paraId="64FB6976">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①国家级奖项：国务院、住建部、中国建筑行业协会、中国市政行业协会、中国建筑安全协会；</w:t>
            </w:r>
          </w:p>
          <w:p w14:paraId="7E2275AD">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②省级奖项：省级人民政府、省级住建部门、省级建筑行业协会、省级市政行业协会、省级建筑安全协会；</w:t>
            </w:r>
          </w:p>
          <w:p w14:paraId="4D9DA49E">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③地市级奖项：地市级人民政府、地市级住建部门、地市级建筑行业协会、地市级市政行业协会、地市级建筑安全协会。</w:t>
            </w:r>
          </w:p>
          <w:p w14:paraId="779ADC3D">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4．获奖时间以奖项证明的落款日期为准。</w:t>
            </w:r>
          </w:p>
          <w:p w14:paraId="19658D4D">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b w:val="0"/>
                <w:bCs w:val="0"/>
                <w:snapToGrid w:val="0"/>
                <w:color w:val="auto"/>
                <w:kern w:val="0"/>
                <w:sz w:val="24"/>
                <w:szCs w:val="24"/>
                <w:highlight w:val="none"/>
                <w:lang w:val="en-US" w:eastAsia="zh-CN"/>
              </w:rPr>
              <w:t>．任一奖项有以下情形之一的，该奖项视为无效，不予计分：</w:t>
            </w:r>
          </w:p>
          <w:p w14:paraId="2E5BAF6F">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①未提供奖项原件的；</w:t>
            </w:r>
          </w:p>
          <w:p w14:paraId="43FD4FFD">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②奖项不属于指定类别的；</w:t>
            </w:r>
          </w:p>
          <w:p w14:paraId="13C35E43">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③颁发机构不符合要求的；</w:t>
            </w:r>
          </w:p>
          <w:p w14:paraId="27373718">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④获奖时间不符合要求的</w:t>
            </w:r>
            <w:r>
              <w:rPr>
                <w:rFonts w:hint="eastAsia" w:ascii="宋体" w:hAnsi="宋体" w:eastAsia="宋体" w:cs="宋体"/>
                <w:snapToGrid w:val="0"/>
                <w:color w:val="auto"/>
                <w:kern w:val="0"/>
                <w:sz w:val="24"/>
                <w:szCs w:val="24"/>
                <w:highlight w:val="none"/>
                <w:lang w:val="en-US" w:eastAsia="zh-CN"/>
              </w:rPr>
              <w:t>。</w:t>
            </w:r>
          </w:p>
          <w:p w14:paraId="75062A88">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说明：以上所称“要求”均指本表评分标准及备注的要求，下同。</w:t>
            </w:r>
          </w:p>
        </w:tc>
      </w:tr>
      <w:tr w14:paraId="146D4AB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6BA1842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5EC1728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综合素质</w:t>
            </w:r>
          </w:p>
          <w:p w14:paraId="782FA2D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10分</w:t>
            </w:r>
            <w:r>
              <w:rPr>
                <w:rFonts w:hint="eastAsia" w:ascii="宋体" w:hAnsi="宋体" w:eastAsia="宋体" w:cs="宋体"/>
                <w:snapToGrid w:val="0"/>
                <w:color w:val="auto"/>
                <w:kern w:val="0"/>
                <w:sz w:val="24"/>
                <w:szCs w:val="24"/>
                <w:highlight w:val="none"/>
                <w:lang w:eastAsia="zh-CN"/>
              </w:rPr>
              <w:t>）</w:t>
            </w:r>
          </w:p>
        </w:tc>
        <w:tc>
          <w:tcPr>
            <w:tcW w:w="3850" w:type="dxa"/>
            <w:tcBorders>
              <w:top w:val="single" w:color="auto" w:sz="4" w:space="0"/>
              <w:left w:val="nil"/>
              <w:bottom w:val="single" w:color="auto" w:sz="4" w:space="0"/>
              <w:right w:val="single" w:color="auto" w:sz="4" w:space="0"/>
            </w:tcBorders>
            <w:noWrap w:val="0"/>
            <w:vAlign w:val="center"/>
          </w:tcPr>
          <w:p w14:paraId="0B5A3959">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项目经理工程类技术职称情况：</w:t>
            </w:r>
          </w:p>
          <w:p w14:paraId="1564673C">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1.具备工程师或以上职称的，得10分。</w:t>
            </w:r>
          </w:p>
          <w:p w14:paraId="3FE34264">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2.具备助理工程师职称的，得5分。</w:t>
            </w:r>
          </w:p>
          <w:p w14:paraId="6D0240FA">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3.不具备以上职称的，或未提供职称证原件的，不予计分。</w:t>
            </w:r>
          </w:p>
        </w:tc>
        <w:tc>
          <w:tcPr>
            <w:tcW w:w="4644" w:type="dxa"/>
            <w:tcBorders>
              <w:top w:val="single" w:color="auto" w:sz="4" w:space="0"/>
              <w:left w:val="nil"/>
              <w:bottom w:val="single" w:color="auto" w:sz="4" w:space="0"/>
              <w:right w:val="single" w:color="auto" w:sz="4" w:space="0"/>
            </w:tcBorders>
            <w:noWrap w:val="0"/>
            <w:vAlign w:val="center"/>
          </w:tcPr>
          <w:p w14:paraId="39E0056C">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eastAsia="zh-CN"/>
              </w:rPr>
            </w:pPr>
          </w:p>
          <w:p w14:paraId="19CD3A6F">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需附职称证</w:t>
            </w:r>
            <w:r>
              <w:rPr>
                <w:rFonts w:hint="eastAsia" w:ascii="宋体" w:hAnsi="宋体" w:eastAsia="宋体" w:cs="宋体"/>
                <w:snapToGrid w:val="0"/>
                <w:color w:val="auto"/>
                <w:kern w:val="0"/>
                <w:sz w:val="24"/>
                <w:szCs w:val="24"/>
                <w:highlight w:val="none"/>
                <w:lang w:val="en-US" w:eastAsia="zh-CN"/>
              </w:rPr>
              <w:t>彩色</w:t>
            </w:r>
            <w:r>
              <w:rPr>
                <w:rFonts w:hint="eastAsia" w:ascii="宋体" w:hAnsi="宋体" w:eastAsia="宋体" w:cs="宋体"/>
                <w:snapToGrid w:val="0"/>
                <w:color w:val="auto"/>
                <w:kern w:val="0"/>
                <w:sz w:val="24"/>
                <w:szCs w:val="24"/>
                <w:highlight w:val="none"/>
                <w:lang w:eastAsia="zh-CN"/>
              </w:rPr>
              <w:t>扫描件</w:t>
            </w:r>
            <w:r>
              <w:rPr>
                <w:rFonts w:hint="eastAsia" w:ascii="宋体" w:hAnsi="宋体" w:eastAsia="宋体" w:cs="宋体"/>
                <w:snapToGrid w:val="0"/>
                <w:color w:val="auto"/>
                <w:kern w:val="0"/>
                <w:sz w:val="24"/>
                <w:szCs w:val="24"/>
                <w:highlight w:val="none"/>
                <w:lang w:val="en-US" w:eastAsia="zh-CN"/>
              </w:rPr>
              <w:t>或电子证书</w:t>
            </w:r>
            <w:r>
              <w:rPr>
                <w:rFonts w:hint="eastAsia" w:ascii="宋体" w:hAnsi="宋体" w:eastAsia="宋体" w:cs="宋体"/>
                <w:snapToGrid w:val="0"/>
                <w:color w:val="auto"/>
                <w:kern w:val="0"/>
                <w:sz w:val="24"/>
                <w:szCs w:val="24"/>
                <w:highlight w:val="none"/>
              </w:rPr>
              <w:t>，同时提供原件供核对（职称证为电子证书的除外）。</w:t>
            </w:r>
          </w:p>
        </w:tc>
      </w:tr>
      <w:tr w14:paraId="16D67B3C">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2F78FB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企业业绩</w:t>
            </w:r>
          </w:p>
          <w:p w14:paraId="4D848DB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850" w:type="dxa"/>
            <w:tcBorders>
              <w:top w:val="single" w:color="auto" w:sz="4" w:space="0"/>
              <w:left w:val="nil"/>
              <w:bottom w:val="single" w:color="auto" w:sz="4" w:space="0"/>
              <w:right w:val="single" w:color="auto" w:sz="4" w:space="0"/>
            </w:tcBorders>
            <w:noWrap w:val="0"/>
            <w:vAlign w:val="center"/>
          </w:tcPr>
          <w:p w14:paraId="79836650">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企业近5年来（2020年1月1日至今）业绩情况：</w:t>
            </w:r>
          </w:p>
          <w:p w14:paraId="3FEA6CA7">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1.承接过类似工程的，每个得5分。</w:t>
            </w:r>
          </w:p>
          <w:p w14:paraId="62C33D4A">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2.未承接过类似工程的，不予计分。</w:t>
            </w:r>
          </w:p>
          <w:p w14:paraId="3954EC62">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3．本项最高得10分。</w:t>
            </w:r>
          </w:p>
        </w:tc>
        <w:tc>
          <w:tcPr>
            <w:tcW w:w="4644" w:type="dxa"/>
            <w:tcBorders>
              <w:top w:val="single" w:color="auto" w:sz="4" w:space="0"/>
              <w:left w:val="nil"/>
              <w:bottom w:val="single" w:color="auto" w:sz="4" w:space="0"/>
              <w:right w:val="single" w:color="auto" w:sz="4" w:space="0"/>
            </w:tcBorders>
            <w:noWrap w:val="0"/>
            <w:vAlign w:val="center"/>
          </w:tcPr>
          <w:p w14:paraId="1A8785FB">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lang w:val="en-US"/>
              </w:rPr>
              <w:t>1</w:t>
            </w:r>
            <w:r>
              <w:rPr>
                <w:rFonts w:hint="eastAsia" w:ascii="宋体" w:hAnsi="宋体" w:eastAsia="宋体" w:cs="宋体"/>
                <w:b w:val="0"/>
                <w:bCs w:val="0"/>
                <w:snapToGrid w:val="0"/>
                <w:color w:val="auto"/>
                <w:kern w:val="0"/>
                <w:sz w:val="24"/>
                <w:szCs w:val="24"/>
                <w:highlight w:val="none"/>
              </w:rPr>
              <w:t>．类似工程指：</w:t>
            </w:r>
            <w:r>
              <w:rPr>
                <w:rFonts w:hint="eastAsia" w:ascii="宋体" w:hAnsi="宋体" w:eastAsia="宋体" w:cs="宋体"/>
                <w:b w:val="0"/>
                <w:bCs w:val="0"/>
                <w:snapToGrid w:val="0"/>
                <w:color w:val="auto"/>
                <w:kern w:val="0"/>
                <w:sz w:val="24"/>
                <w:szCs w:val="24"/>
                <w:highlight w:val="none"/>
                <w:lang w:val="en-US" w:eastAsia="zh-CN"/>
              </w:rPr>
              <w:t>市政公用工程</w:t>
            </w:r>
            <w:r>
              <w:rPr>
                <w:rFonts w:hint="eastAsia" w:ascii="宋体" w:hAnsi="宋体" w:eastAsia="宋体" w:cs="宋体"/>
                <w:b w:val="0"/>
                <w:bCs w:val="0"/>
                <w:snapToGrid w:val="0"/>
                <w:color w:val="auto"/>
                <w:kern w:val="0"/>
                <w:sz w:val="24"/>
                <w:szCs w:val="24"/>
                <w:highlight w:val="none"/>
              </w:rPr>
              <w:t>。</w:t>
            </w:r>
          </w:p>
          <w:p w14:paraId="5C513AD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rPr>
              <w:t>．需附有关业绩（仅限于以施工总承包单位身份</w:t>
            </w:r>
            <w:r>
              <w:rPr>
                <w:rFonts w:hint="eastAsia" w:ascii="宋体" w:hAnsi="宋体" w:eastAsia="宋体" w:cs="宋体"/>
                <w:b w:val="0"/>
                <w:bCs w:val="0"/>
                <w:snapToGrid w:val="0"/>
                <w:color w:val="auto"/>
                <w:kern w:val="0"/>
                <w:sz w:val="24"/>
                <w:szCs w:val="24"/>
                <w:highlight w:val="none"/>
                <w:lang w:val="en-US" w:eastAsia="zh-CN"/>
              </w:rPr>
              <w:t>参</w:t>
            </w:r>
            <w:r>
              <w:rPr>
                <w:rFonts w:hint="eastAsia" w:ascii="宋体" w:hAnsi="宋体" w:eastAsia="宋体" w:cs="宋体"/>
                <w:b w:val="0"/>
                <w:bCs w:val="0"/>
                <w:snapToGrid w:val="0"/>
                <w:color w:val="auto"/>
                <w:kern w:val="0"/>
                <w:sz w:val="24"/>
                <w:szCs w:val="24"/>
                <w:highlight w:val="none"/>
              </w:rPr>
              <w:t>建的项目）合同协议书</w:t>
            </w:r>
            <w:r>
              <w:rPr>
                <w:rFonts w:hint="eastAsia" w:ascii="宋体" w:hAnsi="宋体" w:eastAsia="宋体" w:cs="宋体"/>
                <w:b w:val="0"/>
                <w:bCs w:val="0"/>
                <w:snapToGrid w:val="0"/>
                <w:color w:val="auto"/>
                <w:kern w:val="0"/>
                <w:sz w:val="24"/>
                <w:szCs w:val="24"/>
                <w:highlight w:val="none"/>
                <w:lang w:eastAsia="zh-CN"/>
              </w:rPr>
              <w:t>关键页</w:t>
            </w:r>
            <w:r>
              <w:rPr>
                <w:rFonts w:hint="eastAsia" w:ascii="宋体" w:hAnsi="宋体" w:eastAsia="宋体" w:cs="宋体"/>
                <w:b w:val="0"/>
                <w:bCs w:val="0"/>
                <w:snapToGrid w:val="0"/>
                <w:color w:val="auto"/>
                <w:kern w:val="0"/>
                <w:sz w:val="24"/>
                <w:szCs w:val="24"/>
                <w:highlight w:val="none"/>
              </w:rPr>
              <w:t>的</w:t>
            </w:r>
            <w:r>
              <w:rPr>
                <w:rFonts w:hint="eastAsia" w:ascii="宋体" w:hAnsi="宋体" w:eastAsia="宋体" w:cs="宋体"/>
                <w:b w:val="0"/>
                <w:bCs w:val="0"/>
                <w:snapToGrid w:val="0"/>
                <w:color w:val="auto"/>
                <w:kern w:val="0"/>
                <w:sz w:val="24"/>
                <w:szCs w:val="24"/>
                <w:highlight w:val="none"/>
                <w:lang w:val="en-US" w:eastAsia="zh-CN"/>
              </w:rPr>
              <w:t>彩色</w:t>
            </w:r>
            <w:r>
              <w:rPr>
                <w:rFonts w:hint="eastAsia" w:ascii="宋体" w:hAnsi="宋体" w:eastAsia="宋体" w:cs="宋体"/>
                <w:b w:val="0"/>
                <w:bCs w:val="0"/>
                <w:snapToGrid w:val="0"/>
                <w:color w:val="auto"/>
                <w:kern w:val="0"/>
                <w:sz w:val="24"/>
                <w:szCs w:val="24"/>
                <w:highlight w:val="none"/>
                <w:lang w:eastAsia="zh-CN"/>
              </w:rPr>
              <w:t>扫描件</w:t>
            </w:r>
            <w:r>
              <w:rPr>
                <w:rFonts w:hint="eastAsia" w:ascii="宋体" w:hAnsi="宋体" w:eastAsia="宋体" w:cs="宋体"/>
                <w:b w:val="0"/>
                <w:bCs w:val="0"/>
                <w:snapToGrid w:val="0"/>
                <w:color w:val="auto"/>
                <w:kern w:val="0"/>
                <w:sz w:val="24"/>
                <w:szCs w:val="24"/>
                <w:highlight w:val="none"/>
              </w:rPr>
              <w:t>，同时提供原件供核对。</w:t>
            </w:r>
          </w:p>
          <w:p w14:paraId="4E72E4BA">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3</w:t>
            </w:r>
            <w:r>
              <w:rPr>
                <w:rFonts w:hint="eastAsia" w:ascii="宋体" w:hAnsi="宋体" w:eastAsia="宋体" w:cs="宋体"/>
                <w:b w:val="0"/>
                <w:bCs w:val="0"/>
                <w:snapToGrid w:val="0"/>
                <w:color w:val="auto"/>
                <w:kern w:val="0"/>
                <w:sz w:val="24"/>
                <w:szCs w:val="24"/>
                <w:highlight w:val="none"/>
              </w:rPr>
              <w:t>．业绩时间以合同协议书日期为准。</w:t>
            </w:r>
          </w:p>
          <w:p w14:paraId="06DF7919">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lang w:val="en-US"/>
              </w:rPr>
              <w:t>4</w:t>
            </w:r>
            <w:r>
              <w:rPr>
                <w:rFonts w:hint="eastAsia" w:ascii="宋体" w:hAnsi="宋体" w:eastAsia="宋体" w:cs="宋体"/>
                <w:b w:val="0"/>
                <w:bCs w:val="0"/>
                <w:snapToGrid w:val="0"/>
                <w:color w:val="auto"/>
                <w:kern w:val="0"/>
                <w:sz w:val="24"/>
                <w:szCs w:val="24"/>
                <w:highlight w:val="none"/>
              </w:rPr>
              <w:t>．任一业绩有以下情形之一的，该业绩视为无效，不予计分：</w:t>
            </w:r>
          </w:p>
          <w:p w14:paraId="6A624DE6">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rPr>
              <w:t>①未提供业绩证明材料原件的；</w:t>
            </w:r>
          </w:p>
          <w:p w14:paraId="04A747B7">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②业绩不属于类似工程的；</w:t>
            </w:r>
          </w:p>
          <w:p w14:paraId="49B421E8">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lang w:val="en-US"/>
              </w:rPr>
              <w:t>③不是以指定身份参建的；</w:t>
            </w:r>
          </w:p>
          <w:p w14:paraId="72180080">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④业绩时间不符合要求的。</w:t>
            </w:r>
          </w:p>
        </w:tc>
      </w:tr>
      <w:tr w14:paraId="3BF3158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46262A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企业银行资信评级</w:t>
            </w:r>
          </w:p>
          <w:p w14:paraId="5651885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3850" w:type="dxa"/>
            <w:tcBorders>
              <w:top w:val="single" w:color="auto" w:sz="4" w:space="0"/>
              <w:left w:val="nil"/>
              <w:bottom w:val="single" w:color="auto" w:sz="4" w:space="0"/>
              <w:right w:val="single" w:color="auto" w:sz="4" w:space="0"/>
            </w:tcBorders>
            <w:noWrap w:val="0"/>
            <w:vAlign w:val="center"/>
          </w:tcPr>
          <w:p w14:paraId="493AA113">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1．银行资信评级AA(含AA+、AA-)或aa(含aa+、aa-)或以上的，得 5 分。</w:t>
            </w:r>
          </w:p>
          <w:p w14:paraId="040E8E36">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2．银行资信评级A(含A+、A-)或a(含a+、a-)得 2 分。</w:t>
            </w:r>
          </w:p>
          <w:p w14:paraId="7C29F683">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3．未获得过以上评级的，或评级证书（证明）无效的，不予计分。</w:t>
            </w:r>
          </w:p>
          <w:p w14:paraId="5E5D2228">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4.本项最高得5分。</w:t>
            </w:r>
          </w:p>
        </w:tc>
        <w:tc>
          <w:tcPr>
            <w:tcW w:w="4644" w:type="dxa"/>
            <w:tcBorders>
              <w:top w:val="single" w:color="auto" w:sz="4" w:space="0"/>
              <w:left w:val="nil"/>
              <w:bottom w:val="single" w:color="auto" w:sz="4" w:space="0"/>
              <w:right w:val="single" w:color="auto" w:sz="4" w:space="0"/>
            </w:tcBorders>
            <w:noWrap w:val="0"/>
            <w:vAlign w:val="center"/>
          </w:tcPr>
          <w:p w14:paraId="74491B56">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1．需附在有效期内的资信评级证书（证明）</w:t>
            </w:r>
            <w:r>
              <w:rPr>
                <w:rFonts w:hint="eastAsia" w:ascii="宋体" w:hAnsi="宋体" w:eastAsia="宋体" w:cs="宋体"/>
                <w:b w:val="0"/>
                <w:bCs w:val="0"/>
                <w:snapToGrid w:val="0"/>
                <w:color w:val="auto"/>
                <w:kern w:val="0"/>
                <w:sz w:val="24"/>
                <w:szCs w:val="24"/>
                <w:highlight w:val="none"/>
                <w:lang w:val="en-US" w:eastAsia="zh-CN"/>
              </w:rPr>
              <w:t>彩色</w:t>
            </w:r>
            <w:r>
              <w:rPr>
                <w:rFonts w:hint="eastAsia" w:ascii="宋体" w:hAnsi="宋体" w:eastAsia="宋体" w:cs="宋体"/>
                <w:b w:val="0"/>
                <w:bCs w:val="0"/>
                <w:snapToGrid w:val="0"/>
                <w:color w:val="auto"/>
                <w:kern w:val="0"/>
                <w:sz w:val="24"/>
                <w:szCs w:val="24"/>
                <w:highlight w:val="none"/>
              </w:rPr>
              <w:t>扫描件，同时提供原件供核对。</w:t>
            </w:r>
          </w:p>
          <w:p w14:paraId="568723D9">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2．评级证书须由企业基本账户开户银行 出具。</w:t>
            </w:r>
          </w:p>
          <w:p w14:paraId="7F159367">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3．评级证书（证明）有以下情形之一的，视为无效：</w:t>
            </w:r>
          </w:p>
          <w:p w14:paraId="322B63A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①未提供评级证书（证明）原件的；</w:t>
            </w:r>
          </w:p>
          <w:p w14:paraId="1497F300">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②评级证书（证明）不在有效期内的；</w:t>
            </w:r>
          </w:p>
          <w:p w14:paraId="533CD029">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③出具机构不符合要求的。</w:t>
            </w:r>
          </w:p>
        </w:tc>
      </w:tr>
      <w:tr w14:paraId="77CF06FE">
        <w:tblPrEx>
          <w:tblCellMar>
            <w:top w:w="0" w:type="dxa"/>
            <w:left w:w="108" w:type="dxa"/>
            <w:bottom w:w="0" w:type="dxa"/>
            <w:right w:w="108" w:type="dxa"/>
          </w:tblCellMar>
        </w:tblPrEx>
        <w:trPr>
          <w:trHeight w:val="2259"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4D552C9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企业管理</w:t>
            </w:r>
          </w:p>
          <w:p w14:paraId="2CD179A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体系认证</w:t>
            </w:r>
          </w:p>
          <w:p w14:paraId="089B30D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850" w:type="dxa"/>
            <w:tcBorders>
              <w:top w:val="single" w:color="auto" w:sz="4" w:space="0"/>
              <w:left w:val="nil"/>
              <w:bottom w:val="single" w:color="auto" w:sz="4" w:space="0"/>
              <w:right w:val="single" w:color="auto" w:sz="4" w:space="0"/>
            </w:tcBorders>
            <w:noWrap w:val="0"/>
            <w:vAlign w:val="center"/>
          </w:tcPr>
          <w:p w14:paraId="6D3E14B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1.质量管理体系认证、职业健康安全管理体系认证、环境管理体系认证中，每获得1项认证得3分，最高得9分。</w:t>
            </w:r>
          </w:p>
          <w:p w14:paraId="1DA9B450">
            <w:pPr>
              <w:widowControl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color w:val="auto"/>
                <w:sz w:val="24"/>
                <w:szCs w:val="24"/>
                <w:lang w:val="en-US" w:eastAsia="zh-CN"/>
              </w:rPr>
              <w:t>2.未获得以上认证的，不予计分。</w:t>
            </w:r>
          </w:p>
        </w:tc>
        <w:tc>
          <w:tcPr>
            <w:tcW w:w="4644" w:type="dxa"/>
            <w:tcBorders>
              <w:top w:val="single" w:color="auto" w:sz="4" w:space="0"/>
              <w:left w:val="nil"/>
              <w:bottom w:val="single" w:color="auto" w:sz="4" w:space="0"/>
              <w:right w:val="single" w:color="auto" w:sz="4" w:space="0"/>
            </w:tcBorders>
            <w:noWrap w:val="0"/>
            <w:vAlign w:val="center"/>
          </w:tcPr>
          <w:p w14:paraId="0B579735">
            <w:pPr>
              <w:widowControl w:val="0"/>
              <w:spacing w:line="360" w:lineRule="auto"/>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1.需附在有效期内的认证证书彩色扫描件，同时提供原件供核对（证书为电子证书的除外）。</w:t>
            </w:r>
          </w:p>
          <w:p w14:paraId="13ABF85C">
            <w:pPr>
              <w:widowControl w:val="0"/>
              <w:spacing w:line="360" w:lineRule="auto"/>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2.任一认证证书有以下情形之一的，该认证证书视为无效，不予计分：</w:t>
            </w:r>
          </w:p>
          <w:p w14:paraId="2B1E0361">
            <w:pPr>
              <w:widowControl w:val="0"/>
              <w:spacing w:line="360" w:lineRule="auto"/>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①未提供认证证书原件的；</w:t>
            </w:r>
          </w:p>
          <w:p w14:paraId="420F319D">
            <w:pPr>
              <w:widowControl w:val="0"/>
              <w:spacing w:line="360" w:lineRule="auto"/>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color w:val="auto"/>
                <w:sz w:val="24"/>
                <w:szCs w:val="24"/>
                <w:lang w:val="en-US" w:eastAsia="zh-CN"/>
              </w:rPr>
              <w:t>②认证证书不在有效期内的。</w:t>
            </w:r>
          </w:p>
        </w:tc>
      </w:tr>
      <w:tr w14:paraId="272DACAD">
        <w:tblPrEx>
          <w:tblCellMar>
            <w:top w:w="0" w:type="dxa"/>
            <w:left w:w="108" w:type="dxa"/>
            <w:bottom w:w="0" w:type="dxa"/>
            <w:right w:w="108" w:type="dxa"/>
          </w:tblCellMar>
        </w:tblPrEx>
        <w:trPr>
          <w:trHeight w:val="1521"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9BC4E71">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企业财务状况（</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tc>
        <w:tc>
          <w:tcPr>
            <w:tcW w:w="3850" w:type="dxa"/>
            <w:tcBorders>
              <w:top w:val="single" w:color="auto" w:sz="4" w:space="0"/>
              <w:left w:val="nil"/>
              <w:bottom w:val="single" w:color="auto" w:sz="4" w:space="0"/>
              <w:right w:val="single" w:color="auto" w:sz="4" w:space="0"/>
            </w:tcBorders>
            <w:noWrap w:val="0"/>
            <w:vAlign w:val="center"/>
          </w:tcPr>
          <w:p w14:paraId="0EED1D40">
            <w:pPr>
              <w:wordWrap w:val="0"/>
              <w:adjustRightInd w:val="0"/>
              <w:snapToGrid w:val="0"/>
              <w:spacing w:line="400" w:lineRule="exact"/>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提供不少于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50</w:t>
            </w:r>
            <w:r>
              <w:rPr>
                <w:rFonts w:hint="eastAsia" w:ascii="宋体" w:hAnsi="宋体" w:eastAsia="宋体" w:cs="宋体"/>
                <w:snapToGrid w:val="0"/>
                <w:color w:val="auto"/>
                <w:kern w:val="0"/>
                <w:sz w:val="24"/>
                <w:szCs w:val="24"/>
                <w:highlight w:val="none"/>
                <w:u w:val="single"/>
                <w:lang w:eastAsia="zh-CN"/>
              </w:rPr>
              <w:t xml:space="preserve"> </w:t>
            </w:r>
            <w:r>
              <w:rPr>
                <w:rFonts w:hint="eastAsia" w:ascii="宋体" w:hAnsi="宋体" w:eastAsia="宋体" w:cs="宋体"/>
                <w:snapToGrid w:val="0"/>
                <w:color w:val="auto"/>
                <w:kern w:val="0"/>
                <w:sz w:val="24"/>
                <w:szCs w:val="24"/>
                <w:highlight w:val="none"/>
              </w:rPr>
              <w:t>万元银行授信证明的，得</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p w14:paraId="71880340">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p>
        </w:tc>
        <w:tc>
          <w:tcPr>
            <w:tcW w:w="4644" w:type="dxa"/>
            <w:tcBorders>
              <w:top w:val="single" w:color="auto" w:sz="4" w:space="0"/>
              <w:left w:val="nil"/>
              <w:bottom w:val="single" w:color="auto" w:sz="4" w:space="0"/>
              <w:right w:val="single" w:color="auto" w:sz="4" w:space="0"/>
            </w:tcBorders>
            <w:noWrap w:val="0"/>
            <w:vAlign w:val="center"/>
          </w:tcPr>
          <w:p w14:paraId="6B59F14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1．需附在有效期内的有关证明</w:t>
            </w:r>
            <w:r>
              <w:rPr>
                <w:rFonts w:hint="eastAsia" w:ascii="宋体" w:hAnsi="宋体" w:eastAsia="宋体" w:cs="宋体"/>
                <w:b w:val="0"/>
                <w:bCs w:val="0"/>
                <w:snapToGrid w:val="0"/>
                <w:color w:val="auto"/>
                <w:kern w:val="0"/>
                <w:sz w:val="24"/>
                <w:szCs w:val="24"/>
                <w:highlight w:val="none"/>
                <w:lang w:val="en-US" w:eastAsia="zh-CN"/>
              </w:rPr>
              <w:t>彩色</w:t>
            </w:r>
            <w:r>
              <w:rPr>
                <w:rFonts w:hint="eastAsia" w:ascii="宋体" w:hAnsi="宋体" w:eastAsia="宋体" w:cs="宋体"/>
                <w:b w:val="0"/>
                <w:bCs w:val="0"/>
                <w:snapToGrid w:val="0"/>
                <w:color w:val="auto"/>
                <w:kern w:val="0"/>
                <w:sz w:val="24"/>
                <w:szCs w:val="24"/>
                <w:highlight w:val="none"/>
              </w:rPr>
              <w:t>扫描件，同时提供原件供核对。</w:t>
            </w:r>
          </w:p>
          <w:p w14:paraId="67FF35B7">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2．银行授信证明有以下情形之一的，视为无效，不予计分：</w:t>
            </w:r>
          </w:p>
          <w:p w14:paraId="47CEFA5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①未提供授信证明原件的；</w:t>
            </w:r>
          </w:p>
          <w:p w14:paraId="4C637063">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②授信证明不在有效期内的；</w:t>
            </w:r>
          </w:p>
          <w:p w14:paraId="1ED21F73">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③授信额度不符合要求的</w:t>
            </w:r>
            <w:r>
              <w:rPr>
                <w:rFonts w:hint="eastAsia" w:ascii="宋体" w:hAnsi="宋体" w:eastAsia="宋体" w:cs="宋体"/>
                <w:b w:val="0"/>
                <w:bCs w:val="0"/>
                <w:snapToGrid w:val="0"/>
                <w:color w:val="auto"/>
                <w:kern w:val="0"/>
                <w:sz w:val="24"/>
                <w:szCs w:val="24"/>
                <w:highlight w:val="none"/>
                <w:lang w:eastAsia="zh-CN"/>
              </w:rPr>
              <w:t>。</w:t>
            </w:r>
          </w:p>
        </w:tc>
      </w:tr>
      <w:tr w14:paraId="176CF187">
        <w:tblPrEx>
          <w:tblCellMar>
            <w:top w:w="0" w:type="dxa"/>
            <w:left w:w="108" w:type="dxa"/>
            <w:bottom w:w="0" w:type="dxa"/>
            <w:right w:w="108" w:type="dxa"/>
          </w:tblCellMar>
        </w:tblPrEx>
        <w:trPr>
          <w:trHeight w:val="23" w:hRule="atLeast"/>
          <w:jc w:val="center"/>
        </w:trPr>
        <w:tc>
          <w:tcPr>
            <w:tcW w:w="1447" w:type="dxa"/>
            <w:vMerge w:val="restart"/>
            <w:tcBorders>
              <w:top w:val="single" w:color="auto" w:sz="4" w:space="0"/>
              <w:left w:val="single" w:color="auto" w:sz="4" w:space="0"/>
              <w:right w:val="single" w:color="auto" w:sz="4" w:space="0"/>
            </w:tcBorders>
            <w:noWrap w:val="0"/>
            <w:vAlign w:val="center"/>
          </w:tcPr>
          <w:p w14:paraId="626EC73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w:t>
            </w:r>
          </w:p>
          <w:p w14:paraId="6DF1AB01">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自选项</w:t>
            </w:r>
          </w:p>
          <w:p w14:paraId="07F4339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（30分）</w:t>
            </w:r>
          </w:p>
        </w:tc>
        <w:tc>
          <w:tcPr>
            <w:tcW w:w="3850" w:type="dxa"/>
            <w:tcBorders>
              <w:top w:val="single" w:color="auto" w:sz="4" w:space="0"/>
              <w:left w:val="nil"/>
              <w:bottom w:val="single" w:color="auto" w:sz="4" w:space="0"/>
              <w:right w:val="single" w:color="auto" w:sz="4" w:space="0"/>
            </w:tcBorders>
            <w:noWrap w:val="0"/>
            <w:vAlign w:val="center"/>
          </w:tcPr>
          <w:p w14:paraId="4A397D7C">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投标人（2020年至今）连续2年或以上（含2年，其中必须有2023年度）企业获得地级市或以上建筑协会颁发的“优秀典型施工企业”得5分。</w:t>
            </w:r>
          </w:p>
        </w:tc>
        <w:tc>
          <w:tcPr>
            <w:tcW w:w="4644" w:type="dxa"/>
            <w:tcBorders>
              <w:top w:val="single" w:color="auto" w:sz="4" w:space="0"/>
              <w:left w:val="nil"/>
              <w:bottom w:val="single" w:color="auto" w:sz="4" w:space="0"/>
              <w:right w:val="single" w:color="auto" w:sz="4" w:space="0"/>
            </w:tcBorders>
            <w:noWrap w:val="0"/>
            <w:vAlign w:val="center"/>
          </w:tcPr>
          <w:p w14:paraId="0BAA9957">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1.需提供证书彩色扫描件，同时提供证书原件供核对（证书为电子证书的除外）,否则不得分。</w:t>
            </w:r>
          </w:p>
          <w:p w14:paraId="0069AAFD">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2.需提供地级市及以上建设行政主管部门或地级市及以上建筑协会网站截图打印页,否则不得分。</w:t>
            </w:r>
          </w:p>
          <w:p w14:paraId="60184920">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（相关协会需经民政部门备案）</w:t>
            </w:r>
          </w:p>
        </w:tc>
      </w:tr>
      <w:tr w14:paraId="2B7B2B25">
        <w:tblPrEx>
          <w:tblCellMar>
            <w:top w:w="0" w:type="dxa"/>
            <w:left w:w="108" w:type="dxa"/>
            <w:bottom w:w="0" w:type="dxa"/>
            <w:right w:w="108" w:type="dxa"/>
          </w:tblCellMar>
        </w:tblPrEx>
        <w:trPr>
          <w:trHeight w:val="23" w:hRule="atLeast"/>
          <w:jc w:val="center"/>
        </w:trPr>
        <w:tc>
          <w:tcPr>
            <w:tcW w:w="1447" w:type="dxa"/>
            <w:vMerge w:val="continue"/>
            <w:tcBorders>
              <w:left w:val="single" w:color="auto" w:sz="4" w:space="0"/>
              <w:right w:val="single" w:color="auto" w:sz="4" w:space="0"/>
            </w:tcBorders>
            <w:noWrap w:val="0"/>
            <w:vAlign w:val="center"/>
          </w:tcPr>
          <w:p w14:paraId="6C48A6F3">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850" w:type="dxa"/>
            <w:tcBorders>
              <w:top w:val="single" w:color="auto" w:sz="4" w:space="0"/>
              <w:left w:val="nil"/>
              <w:bottom w:val="single" w:color="auto" w:sz="4" w:space="0"/>
              <w:right w:val="single" w:color="auto" w:sz="4" w:space="0"/>
            </w:tcBorders>
            <w:noWrap w:val="0"/>
            <w:vAlign w:val="center"/>
          </w:tcPr>
          <w:p w14:paraId="5F99E162">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投标人（2020</w:t>
            </w:r>
            <w:r>
              <w:rPr>
                <w:rFonts w:hint="eastAsia" w:ascii="宋体" w:hAnsi="宋体" w:eastAsia="宋体" w:cs="宋体"/>
                <w:snapToGrid w:val="0"/>
                <w:color w:val="auto"/>
                <w:kern w:val="0"/>
                <w:sz w:val="24"/>
                <w:szCs w:val="24"/>
                <w:highlight w:val="none"/>
                <w:lang w:val="en-US" w:eastAsia="zh-CN" w:bidi="ar-SA"/>
              </w:rPr>
              <w:t>年至今</w:t>
            </w:r>
            <w:r>
              <w:rPr>
                <w:rFonts w:hint="eastAsia" w:ascii="宋体" w:hAnsi="宋体" w:eastAsia="宋体" w:cs="宋体"/>
                <w:snapToGrid w:val="0"/>
                <w:color w:val="auto"/>
                <w:kern w:val="0"/>
                <w:sz w:val="24"/>
                <w:szCs w:val="24"/>
                <w:highlight w:val="none"/>
                <w:lang w:val="en-US" w:eastAsia="zh-CN"/>
              </w:rPr>
              <w:t>）获得过国级“AAA级信用企业”称号，且证书在有效期内的得1分，每满一年加2分，满分得5分。</w:t>
            </w:r>
          </w:p>
        </w:tc>
        <w:tc>
          <w:tcPr>
            <w:tcW w:w="4644" w:type="dxa"/>
            <w:tcBorders>
              <w:top w:val="single" w:color="auto" w:sz="4" w:space="0"/>
              <w:left w:val="nil"/>
              <w:bottom w:val="single" w:color="auto" w:sz="4" w:space="0"/>
              <w:right w:val="single" w:color="auto" w:sz="4" w:space="0"/>
            </w:tcBorders>
            <w:noWrap w:val="0"/>
            <w:vAlign w:val="center"/>
          </w:tcPr>
          <w:p w14:paraId="6E389C56">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eastAsia="en-US"/>
              </w:rPr>
            </w:pPr>
            <w:r>
              <w:rPr>
                <w:rFonts w:hint="eastAsia" w:ascii="宋体" w:hAnsi="宋体" w:eastAsia="宋体" w:cs="宋体"/>
                <w:b w:val="0"/>
                <w:bCs w:val="0"/>
                <w:snapToGrid w:val="0"/>
                <w:color w:val="auto"/>
                <w:kern w:val="0"/>
                <w:sz w:val="24"/>
                <w:szCs w:val="24"/>
                <w:highlight w:val="none"/>
                <w:lang w:val="en-US" w:eastAsia="zh-CN"/>
              </w:rPr>
              <w:t>1.需附相关证书彩色扫描件，同时提供原件供核对。</w:t>
            </w:r>
          </w:p>
          <w:p w14:paraId="2F9A7459">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eastAsia="en-US"/>
              </w:rPr>
            </w:pPr>
            <w:r>
              <w:rPr>
                <w:rFonts w:hint="eastAsia" w:ascii="宋体" w:hAnsi="宋体" w:eastAsia="宋体" w:cs="宋体"/>
                <w:b w:val="0"/>
                <w:bCs w:val="0"/>
                <w:snapToGrid w:val="0"/>
                <w:color w:val="auto"/>
                <w:kern w:val="0"/>
                <w:sz w:val="24"/>
                <w:szCs w:val="24"/>
                <w:highlight w:val="none"/>
                <w:lang w:val="en-US" w:eastAsia="zh-CN"/>
              </w:rPr>
              <w:t>2.证书须由国级企业联合会和企业家协会（需经民政局备案）同时颁发。</w:t>
            </w:r>
          </w:p>
          <w:p w14:paraId="7269EE5D">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3.未提供原件的；颁发机构、获奖时间不符合评分标准和备注规定的，不予得分。</w:t>
            </w:r>
          </w:p>
        </w:tc>
      </w:tr>
      <w:tr w14:paraId="4EC3A8CD">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right w:val="single" w:color="auto" w:sz="4" w:space="0"/>
            </w:tcBorders>
            <w:noWrap w:val="0"/>
            <w:vAlign w:val="center"/>
          </w:tcPr>
          <w:p w14:paraId="2C9881F1">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850" w:type="dxa"/>
            <w:tcBorders>
              <w:top w:val="single" w:color="auto" w:sz="4" w:space="0"/>
              <w:left w:val="nil"/>
              <w:bottom w:val="single" w:color="auto" w:sz="4" w:space="0"/>
              <w:right w:val="single" w:color="auto" w:sz="4" w:space="0"/>
            </w:tcBorders>
            <w:shd w:val="clear" w:color="auto" w:fill="auto"/>
            <w:noWrap w:val="0"/>
            <w:vAlign w:val="center"/>
          </w:tcPr>
          <w:p w14:paraId="3A35461E">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lang w:val="en-US" w:eastAsia="zh-CN" w:bidi="ar-SA"/>
              </w:rPr>
              <w:t>投标人</w:t>
            </w:r>
            <w:r>
              <w:rPr>
                <w:rFonts w:hint="eastAsia" w:ascii="宋体" w:hAnsi="宋体" w:eastAsia="宋体" w:cs="宋体"/>
                <w:b w:val="0"/>
                <w:bCs w:val="0"/>
                <w:snapToGrid w:val="0"/>
                <w:color w:val="auto"/>
                <w:kern w:val="0"/>
                <w:sz w:val="24"/>
                <w:szCs w:val="24"/>
                <w:highlight w:val="none"/>
                <w:lang w:val="en-US" w:eastAsia="zh-CN"/>
              </w:rPr>
              <w:t>连续5年或以上（含5年）获得纳税信用A级纳税人的，得5分。(其中必须有2024年度)</w:t>
            </w:r>
          </w:p>
          <w:p w14:paraId="1AD8DF79">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lang w:val="en-US" w:eastAsia="zh-CN" w:bidi="ar-SA"/>
              </w:rPr>
              <w:t>投标人连续</w:t>
            </w:r>
            <w:r>
              <w:rPr>
                <w:rFonts w:hint="eastAsia" w:ascii="宋体" w:hAnsi="宋体" w:eastAsia="宋体" w:cs="宋体"/>
                <w:b w:val="0"/>
                <w:bCs w:val="0"/>
                <w:snapToGrid w:val="0"/>
                <w:color w:val="auto"/>
                <w:kern w:val="0"/>
                <w:sz w:val="24"/>
                <w:szCs w:val="24"/>
                <w:highlight w:val="none"/>
                <w:lang w:val="en-US" w:eastAsia="zh-CN"/>
              </w:rPr>
              <w:t>3-4年获得纳税信用A级纳税人的，得3分。(其中必须有2024年度)</w:t>
            </w:r>
          </w:p>
          <w:p w14:paraId="5C69FC52">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w:t>
            </w:r>
            <w:r>
              <w:rPr>
                <w:rFonts w:hint="eastAsia" w:ascii="宋体" w:hAnsi="宋体" w:eastAsia="宋体" w:cs="宋体"/>
                <w:b w:val="0"/>
                <w:bCs w:val="0"/>
                <w:snapToGrid w:val="0"/>
                <w:color w:val="auto"/>
                <w:kern w:val="0"/>
                <w:sz w:val="24"/>
                <w:szCs w:val="24"/>
                <w:highlight w:val="none"/>
                <w:lang w:val="en-US" w:eastAsia="zh-CN" w:bidi="ar-SA"/>
              </w:rPr>
              <w:t>投标人连续</w:t>
            </w:r>
            <w:r>
              <w:rPr>
                <w:rFonts w:hint="eastAsia" w:ascii="宋体" w:hAnsi="宋体" w:eastAsia="宋体" w:cs="宋体"/>
                <w:b w:val="0"/>
                <w:bCs w:val="0"/>
                <w:snapToGrid w:val="0"/>
                <w:color w:val="auto"/>
                <w:kern w:val="0"/>
                <w:sz w:val="24"/>
                <w:szCs w:val="24"/>
                <w:highlight w:val="none"/>
                <w:lang w:val="en-US" w:eastAsia="zh-CN"/>
              </w:rPr>
              <w:t>1-2年获得纳税信用A级纳税人的，得2分。(其中必须有2024年度)</w:t>
            </w:r>
          </w:p>
          <w:p w14:paraId="5E0B65DC">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4.</w:t>
            </w:r>
            <w:r>
              <w:rPr>
                <w:rFonts w:hint="eastAsia" w:ascii="宋体" w:hAnsi="宋体" w:eastAsia="宋体" w:cs="宋体"/>
                <w:b w:val="0"/>
                <w:bCs w:val="0"/>
                <w:snapToGrid w:val="0"/>
                <w:color w:val="auto"/>
                <w:kern w:val="0"/>
                <w:sz w:val="24"/>
                <w:szCs w:val="24"/>
                <w:highlight w:val="none"/>
              </w:rPr>
              <w:t>其他情形的，不予计分。</w:t>
            </w:r>
          </w:p>
          <w:p w14:paraId="463CCCDC">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ind w:left="0" w:leftChars="0" w:firstLine="0" w:firstLine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本项最高得5分。</w:t>
            </w:r>
          </w:p>
        </w:tc>
        <w:tc>
          <w:tcPr>
            <w:tcW w:w="4644" w:type="dxa"/>
            <w:tcBorders>
              <w:top w:val="single" w:color="auto" w:sz="4" w:space="0"/>
              <w:left w:val="nil"/>
              <w:bottom w:val="single" w:color="auto" w:sz="4" w:space="0"/>
              <w:right w:val="single" w:color="auto" w:sz="4" w:space="0"/>
            </w:tcBorders>
            <w:shd w:val="clear" w:color="auto" w:fill="auto"/>
            <w:noWrap w:val="0"/>
            <w:vAlign w:val="center"/>
          </w:tcPr>
          <w:p w14:paraId="4E433A96">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1．必须提供企业纳税信用 A 级纳税人证明材料（或证书）及国家税务总局网上查询截图，否则不得分。 </w:t>
            </w:r>
          </w:p>
          <w:p w14:paraId="22F4C3A1">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2．只计算投标人自身（不计算投标人的分公司、子公司及分支机构）</w:t>
            </w:r>
          </w:p>
        </w:tc>
      </w:tr>
      <w:tr w14:paraId="5FBE325C">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right w:val="single" w:color="auto" w:sz="4" w:space="0"/>
            </w:tcBorders>
            <w:noWrap w:val="0"/>
            <w:vAlign w:val="center"/>
          </w:tcPr>
          <w:p w14:paraId="0579DA67">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850" w:type="dxa"/>
            <w:tcBorders>
              <w:top w:val="single" w:color="auto" w:sz="4" w:space="0"/>
              <w:left w:val="nil"/>
              <w:bottom w:val="single" w:color="auto" w:sz="4" w:space="0"/>
              <w:right w:val="single" w:color="auto" w:sz="4" w:space="0"/>
            </w:tcBorders>
            <w:noWrap w:val="0"/>
            <w:vAlign w:val="center"/>
          </w:tcPr>
          <w:p w14:paraId="1C419D4D">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1.投标人近5年度（2020年度~至今）</w:t>
            </w:r>
            <w:r>
              <w:rPr>
                <w:rFonts w:hint="eastAsia" w:ascii="宋体" w:hAnsi="宋体" w:eastAsia="宋体" w:cs="宋体"/>
                <w:snapToGrid w:val="0"/>
                <w:color w:val="000000"/>
                <w:kern w:val="0"/>
                <w:sz w:val="24"/>
                <w:szCs w:val="24"/>
                <w:highlight w:val="none"/>
                <w:lang w:eastAsia="en-US"/>
              </w:rPr>
              <w:t>连续</w:t>
            </w:r>
            <w:r>
              <w:rPr>
                <w:rFonts w:hint="eastAsia" w:ascii="宋体" w:hAnsi="宋体" w:eastAsia="宋体" w:cs="宋体"/>
                <w:snapToGrid w:val="0"/>
                <w:color w:val="000000"/>
                <w:kern w:val="0"/>
                <w:sz w:val="24"/>
                <w:szCs w:val="24"/>
                <w:highlight w:val="none"/>
                <w:lang w:val="en-US" w:eastAsia="zh-CN"/>
              </w:rPr>
              <w:t>2</w:t>
            </w:r>
            <w:r>
              <w:rPr>
                <w:rFonts w:hint="eastAsia" w:ascii="宋体" w:hAnsi="宋体" w:eastAsia="宋体" w:cs="宋体"/>
                <w:snapToGrid w:val="0"/>
                <w:color w:val="000000"/>
                <w:kern w:val="0"/>
                <w:sz w:val="24"/>
                <w:szCs w:val="24"/>
                <w:highlight w:val="none"/>
                <w:lang w:eastAsia="en-US"/>
              </w:rPr>
              <w:t>年获得</w:t>
            </w:r>
            <w:r>
              <w:rPr>
                <w:rFonts w:hint="eastAsia" w:ascii="宋体" w:hAnsi="宋体" w:eastAsia="宋体" w:cs="宋体"/>
                <w:snapToGrid w:val="0"/>
                <w:color w:val="auto"/>
                <w:kern w:val="0"/>
                <w:sz w:val="24"/>
                <w:szCs w:val="24"/>
                <w:highlight w:val="none"/>
                <w:lang w:val="en-US" w:eastAsia="zh-CN" w:bidi="ar-SA"/>
              </w:rPr>
              <w:t>省级或以上商业联合会颁发的诚信兴商企业证书的得5分；</w:t>
            </w:r>
            <w:r>
              <w:rPr>
                <w:rFonts w:hint="eastAsia" w:ascii="宋体" w:hAnsi="宋体" w:eastAsia="宋体" w:cs="宋体"/>
                <w:b w:val="0"/>
                <w:bCs w:val="0"/>
                <w:snapToGrid w:val="0"/>
                <w:color w:val="auto"/>
                <w:kern w:val="0"/>
                <w:sz w:val="24"/>
                <w:szCs w:val="24"/>
                <w:highlight w:val="none"/>
                <w:lang w:val="en-US" w:eastAsia="zh-CN"/>
              </w:rPr>
              <w:t>(其中必须有2024年度)</w:t>
            </w:r>
          </w:p>
          <w:p w14:paraId="33EF2E40">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2.其他情形的，不予计分。</w:t>
            </w:r>
          </w:p>
        </w:tc>
        <w:tc>
          <w:tcPr>
            <w:tcW w:w="4644" w:type="dxa"/>
            <w:tcBorders>
              <w:top w:val="single" w:color="auto" w:sz="4" w:space="0"/>
              <w:left w:val="nil"/>
              <w:bottom w:val="single" w:color="auto" w:sz="4" w:space="0"/>
              <w:right w:val="single" w:color="auto" w:sz="4" w:space="0"/>
            </w:tcBorders>
            <w:noWrap w:val="0"/>
            <w:vAlign w:val="center"/>
          </w:tcPr>
          <w:p w14:paraId="7246B30D">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1.证书由省级或以上商业联合会颁发，须提供有关证书彩色扫描件，同时提供原件核对。</w:t>
            </w:r>
          </w:p>
          <w:p w14:paraId="58E04A00">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2.未提供原件的，颁发机构不符合要求的，按第2项标准处理。</w:t>
            </w:r>
          </w:p>
        </w:tc>
      </w:tr>
      <w:tr w14:paraId="4BB991A1">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right w:val="single" w:color="auto" w:sz="4" w:space="0"/>
            </w:tcBorders>
            <w:noWrap w:val="0"/>
            <w:vAlign w:val="center"/>
          </w:tcPr>
          <w:p w14:paraId="41DC550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850" w:type="dxa"/>
            <w:tcBorders>
              <w:top w:val="single" w:color="auto" w:sz="4" w:space="0"/>
              <w:left w:val="nil"/>
              <w:bottom w:val="single" w:color="auto" w:sz="4" w:space="0"/>
              <w:right w:val="single" w:color="auto" w:sz="4" w:space="0"/>
            </w:tcBorders>
            <w:noWrap w:val="0"/>
            <w:vAlign w:val="center"/>
          </w:tcPr>
          <w:p w14:paraId="79663D5F">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投标人近5年来（2020年1月1日至今）企业获得过高新技术企业证书且证书在有效期内的得5分。</w:t>
            </w:r>
          </w:p>
        </w:tc>
        <w:tc>
          <w:tcPr>
            <w:tcW w:w="4644" w:type="dxa"/>
            <w:tcBorders>
              <w:top w:val="single" w:color="auto" w:sz="4" w:space="0"/>
              <w:left w:val="nil"/>
              <w:bottom w:val="single" w:color="auto" w:sz="4" w:space="0"/>
              <w:right w:val="single" w:color="auto" w:sz="4" w:space="0"/>
            </w:tcBorders>
            <w:noWrap w:val="0"/>
            <w:vAlign w:val="center"/>
          </w:tcPr>
          <w:p w14:paraId="32C3F42D">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val="en-US" w:eastAsia="zh-CN"/>
              </w:rPr>
              <w:t>提供高新技术企业证书彩色扫描件，原件供核对；提供网上查询截图。（证书为电子证书的除外）</w:t>
            </w:r>
          </w:p>
          <w:p w14:paraId="0103E9D1">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备注：高新企业证书3年有效，非有效期内证书经查询会显示失效。</w:t>
            </w:r>
          </w:p>
        </w:tc>
      </w:tr>
      <w:tr w14:paraId="7B7011A7">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bottom w:val="single" w:color="auto" w:sz="4" w:space="0"/>
              <w:right w:val="single" w:color="auto" w:sz="4" w:space="0"/>
            </w:tcBorders>
            <w:noWrap w:val="0"/>
            <w:vAlign w:val="center"/>
          </w:tcPr>
          <w:p w14:paraId="6D1FEAAC">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850" w:type="dxa"/>
            <w:tcBorders>
              <w:top w:val="single" w:color="auto" w:sz="4" w:space="0"/>
              <w:left w:val="nil"/>
              <w:bottom w:val="single" w:color="auto" w:sz="4" w:space="0"/>
              <w:right w:val="single" w:color="auto" w:sz="4" w:space="0"/>
            </w:tcBorders>
            <w:shd w:val="clear" w:color="auto" w:fill="auto"/>
            <w:noWrap w:val="0"/>
            <w:vAlign w:val="center"/>
          </w:tcPr>
          <w:p w14:paraId="69D93E8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近</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年来（</w:t>
            </w:r>
            <w:r>
              <w:rPr>
                <w:rFonts w:hint="eastAsia" w:ascii="宋体" w:hAnsi="宋体" w:eastAsia="宋体" w:cs="宋体"/>
                <w:snapToGrid w:val="0"/>
                <w:color w:val="auto"/>
                <w:kern w:val="0"/>
                <w:sz w:val="24"/>
                <w:szCs w:val="24"/>
                <w:highlight w:val="none"/>
                <w:lang w:val="en-US" w:eastAsia="zh-CN"/>
              </w:rPr>
              <w:t>2020</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日至</w:t>
            </w:r>
            <w:r>
              <w:rPr>
                <w:rFonts w:hint="eastAsia" w:ascii="宋体" w:hAnsi="宋体" w:eastAsia="宋体" w:cs="宋体"/>
                <w:snapToGrid w:val="0"/>
                <w:color w:val="auto"/>
                <w:kern w:val="0"/>
                <w:sz w:val="24"/>
                <w:szCs w:val="24"/>
                <w:highlight w:val="none"/>
                <w:lang w:val="en-US" w:eastAsia="zh-CN"/>
              </w:rPr>
              <w:t>今</w:t>
            </w:r>
            <w:r>
              <w:rPr>
                <w:rFonts w:hint="eastAsia" w:ascii="宋体" w:hAnsi="宋体" w:eastAsia="宋体" w:cs="宋体"/>
                <w:snapToGrid w:val="0"/>
                <w:color w:val="auto"/>
                <w:kern w:val="0"/>
                <w:sz w:val="24"/>
                <w:szCs w:val="24"/>
                <w:highlight w:val="none"/>
              </w:rPr>
              <w:t>）投标人未发生事故等级为一般事故及以上的生产安全事故、一般质量事故及以上的工程质量事故的，或未被市级及以上住房和城乡建设部门发文通报批评的得</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p w14:paraId="7B4E024F">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2.其他情形的，不予计分。</w:t>
            </w:r>
          </w:p>
        </w:tc>
        <w:tc>
          <w:tcPr>
            <w:tcW w:w="4644" w:type="dxa"/>
            <w:tcBorders>
              <w:top w:val="single" w:color="auto" w:sz="4" w:space="0"/>
              <w:left w:val="nil"/>
              <w:bottom w:val="single" w:color="auto" w:sz="4" w:space="0"/>
              <w:right w:val="single" w:color="auto" w:sz="4" w:space="0"/>
            </w:tcBorders>
            <w:shd w:val="clear" w:color="auto" w:fill="auto"/>
            <w:noWrap w:val="0"/>
            <w:vAlign w:val="center"/>
          </w:tcPr>
          <w:p w14:paraId="419DF4B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需提供本单位承诺书（格式自定）并加盖本单位公章。</w:t>
            </w:r>
          </w:p>
          <w:p w14:paraId="79D973F5">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未提供本单位承诺书并加盖本单位公章的，按第2项标准处理。</w:t>
            </w:r>
          </w:p>
        </w:tc>
      </w:tr>
      <w:tr w14:paraId="461CA2B0">
        <w:tblPrEx>
          <w:tblCellMar>
            <w:top w:w="0" w:type="dxa"/>
            <w:left w:w="108" w:type="dxa"/>
            <w:bottom w:w="0" w:type="dxa"/>
            <w:right w:w="108" w:type="dxa"/>
          </w:tblCellMar>
        </w:tblPrEx>
        <w:trPr>
          <w:trHeight w:val="640" w:hRule="atLeast"/>
          <w:jc w:val="center"/>
        </w:trPr>
        <w:tc>
          <w:tcPr>
            <w:tcW w:w="9941"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489C9C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技术部分（施工组织设计），满分：  20  分。</w:t>
            </w:r>
          </w:p>
        </w:tc>
      </w:tr>
      <w:tr w14:paraId="1A5C328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6C817E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3850" w:type="dxa"/>
            <w:tcBorders>
              <w:top w:val="single" w:color="auto" w:sz="4" w:space="0"/>
              <w:left w:val="nil"/>
              <w:bottom w:val="single" w:color="auto" w:sz="4" w:space="0"/>
              <w:right w:val="single" w:color="auto" w:sz="4" w:space="0"/>
            </w:tcBorders>
            <w:noWrap w:val="0"/>
            <w:vAlign w:val="center"/>
          </w:tcPr>
          <w:p w14:paraId="2DDF00D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644" w:type="dxa"/>
            <w:tcBorders>
              <w:top w:val="single" w:color="auto" w:sz="4" w:space="0"/>
              <w:left w:val="nil"/>
              <w:bottom w:val="single" w:color="auto" w:sz="4" w:space="0"/>
              <w:right w:val="single" w:color="auto" w:sz="4" w:space="0"/>
            </w:tcBorders>
            <w:noWrap w:val="0"/>
            <w:vAlign w:val="center"/>
          </w:tcPr>
          <w:p w14:paraId="49B042D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52F1868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170DEE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总体概述</w:t>
            </w:r>
          </w:p>
          <w:p w14:paraId="3A1B434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850" w:type="dxa"/>
            <w:tcBorders>
              <w:top w:val="single" w:color="auto" w:sz="4" w:space="0"/>
              <w:left w:val="nil"/>
              <w:bottom w:val="single" w:color="auto" w:sz="4" w:space="0"/>
              <w:right w:val="single" w:color="auto" w:sz="4" w:space="0"/>
            </w:tcBorders>
            <w:noWrap w:val="0"/>
            <w:vAlign w:val="center"/>
          </w:tcPr>
          <w:p w14:paraId="4D846E6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145353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44E5BC8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CB529F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44" w:type="dxa"/>
            <w:tcBorders>
              <w:top w:val="single" w:color="auto" w:sz="4" w:space="0"/>
              <w:left w:val="nil"/>
              <w:bottom w:val="single" w:color="auto" w:sz="4" w:space="0"/>
              <w:right w:val="single" w:color="auto" w:sz="4" w:space="0"/>
            </w:tcBorders>
            <w:noWrap w:val="0"/>
            <w:vAlign w:val="center"/>
          </w:tcPr>
          <w:p w14:paraId="37AE104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68B667B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【良】对项目总体有一定认识，表述清晰、完整，措施具体有效；施工段划分呼应总体表述，划分清晰，符合规范要求。</w:t>
            </w:r>
          </w:p>
          <w:p w14:paraId="0FBA288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【中】对项目总体有认识，有一定的措施但部分不具体；施工段划分较合理，符合规范要求。</w:t>
            </w:r>
          </w:p>
          <w:p w14:paraId="232C381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583228C3">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454DD5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2E6754D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09339A7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750609F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 分）</w:t>
            </w:r>
          </w:p>
        </w:tc>
        <w:tc>
          <w:tcPr>
            <w:tcW w:w="3850" w:type="dxa"/>
            <w:tcBorders>
              <w:top w:val="single" w:color="auto" w:sz="4" w:space="0"/>
              <w:left w:val="nil"/>
              <w:bottom w:val="single" w:color="auto" w:sz="4" w:space="0"/>
              <w:right w:val="single" w:color="auto" w:sz="4" w:space="0"/>
            </w:tcBorders>
            <w:noWrap w:val="0"/>
            <w:vAlign w:val="center"/>
          </w:tcPr>
          <w:p w14:paraId="0C7EDFC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B66F99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9AF2B6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AF28E4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44" w:type="dxa"/>
            <w:tcBorders>
              <w:top w:val="single" w:color="auto" w:sz="4" w:space="0"/>
              <w:left w:val="nil"/>
              <w:bottom w:val="single" w:color="auto" w:sz="4" w:space="0"/>
              <w:right w:val="single" w:color="auto" w:sz="4" w:space="0"/>
            </w:tcBorders>
            <w:noWrap w:val="0"/>
            <w:vAlign w:val="center"/>
          </w:tcPr>
          <w:p w14:paraId="712E71B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75446FF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00C6A4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4CE9C6D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【差】关键线路不准确，计划编制不合理。关键节点的控制不可行。人、材、机需求和进场计划与进度计划不相呼应，不能满足施工需要。没有违约责任承诺。</w:t>
            </w:r>
          </w:p>
        </w:tc>
      </w:tr>
      <w:tr w14:paraId="60574C2E">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A428DA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000B26A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685EF66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 分）</w:t>
            </w:r>
          </w:p>
        </w:tc>
        <w:tc>
          <w:tcPr>
            <w:tcW w:w="3850" w:type="dxa"/>
            <w:tcBorders>
              <w:top w:val="single" w:color="auto" w:sz="4" w:space="0"/>
              <w:left w:val="nil"/>
              <w:bottom w:val="single" w:color="auto" w:sz="4" w:space="0"/>
              <w:right w:val="single" w:color="auto" w:sz="4" w:space="0"/>
            </w:tcBorders>
            <w:noWrap w:val="0"/>
            <w:vAlign w:val="center"/>
          </w:tcPr>
          <w:p w14:paraId="03156E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67725E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6C4DCD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F10301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44" w:type="dxa"/>
            <w:tcBorders>
              <w:top w:val="single" w:color="auto" w:sz="4" w:space="0"/>
              <w:left w:val="nil"/>
              <w:bottom w:val="single" w:color="auto" w:sz="4" w:space="0"/>
              <w:right w:val="single" w:color="auto" w:sz="4" w:space="0"/>
            </w:tcBorders>
            <w:noWrap w:val="0"/>
            <w:vAlign w:val="center"/>
          </w:tcPr>
          <w:p w14:paraId="0EEFFAAC">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【优】应用新技术、新工艺、新材料、新设备，针对项目实际提出先进、可行、具体的保证措施。超过招标文件的质量要求。</w:t>
            </w:r>
          </w:p>
          <w:p w14:paraId="1742F3B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【良】针对项目实际提出先进、可行、具体的保证措施。满足招标文件的质量要求。</w:t>
            </w:r>
          </w:p>
          <w:p w14:paraId="0409714F">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【中】具体措施可行。满足招标文件的质量要求。</w:t>
            </w:r>
          </w:p>
          <w:p w14:paraId="32E95691">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【差】措施不可行，没有质量违约责任承诺。</w:t>
            </w:r>
          </w:p>
        </w:tc>
      </w:tr>
      <w:tr w14:paraId="48726383">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AFAD6A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74C8D60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1251B5B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 分）</w:t>
            </w:r>
          </w:p>
        </w:tc>
        <w:tc>
          <w:tcPr>
            <w:tcW w:w="3850" w:type="dxa"/>
            <w:tcBorders>
              <w:top w:val="single" w:color="auto" w:sz="4" w:space="0"/>
              <w:left w:val="nil"/>
              <w:bottom w:val="single" w:color="auto" w:sz="4" w:space="0"/>
              <w:right w:val="single" w:color="auto" w:sz="4" w:space="0"/>
            </w:tcBorders>
            <w:noWrap w:val="0"/>
            <w:vAlign w:val="center"/>
          </w:tcPr>
          <w:p w14:paraId="519A074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65E45E4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1D50C6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1FB44BB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44" w:type="dxa"/>
            <w:tcBorders>
              <w:top w:val="single" w:color="auto" w:sz="4" w:space="0"/>
              <w:left w:val="nil"/>
              <w:bottom w:val="single" w:color="auto" w:sz="4" w:space="0"/>
              <w:right w:val="single" w:color="auto" w:sz="4" w:space="0"/>
            </w:tcBorders>
            <w:noWrap w:val="0"/>
            <w:vAlign w:val="center"/>
          </w:tcPr>
          <w:p w14:paraId="4476656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0921AEA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1913743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D32B0B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34D829A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57B062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w:t>
            </w:r>
          </w:p>
          <w:p w14:paraId="4E5CFC0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安全防护、</w:t>
            </w:r>
          </w:p>
          <w:p w14:paraId="1CB0685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文明施工</w:t>
            </w:r>
          </w:p>
          <w:p w14:paraId="7A40B4D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3D9ED09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850" w:type="dxa"/>
            <w:tcBorders>
              <w:top w:val="single" w:color="auto" w:sz="4" w:space="0"/>
              <w:left w:val="nil"/>
              <w:bottom w:val="single" w:color="auto" w:sz="4" w:space="0"/>
              <w:right w:val="single" w:color="auto" w:sz="4" w:space="0"/>
            </w:tcBorders>
            <w:noWrap w:val="0"/>
            <w:vAlign w:val="center"/>
          </w:tcPr>
          <w:p w14:paraId="3418EA7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F5866F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16D3A63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77A798F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44" w:type="dxa"/>
            <w:tcBorders>
              <w:top w:val="single" w:color="auto" w:sz="4" w:space="0"/>
              <w:left w:val="nil"/>
              <w:bottom w:val="single" w:color="auto" w:sz="4" w:space="0"/>
              <w:right w:val="single" w:color="auto" w:sz="4" w:space="0"/>
            </w:tcBorders>
            <w:noWrap w:val="0"/>
            <w:vAlign w:val="center"/>
          </w:tcPr>
          <w:p w14:paraId="3B6E3B6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【优】针对项目实际情况，有先进、具体、完整、可行的措施，采用规范准确、清晰。</w:t>
            </w:r>
          </w:p>
          <w:p w14:paraId="7DBB7A1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【良】针对项目实际情况，有合理的措施且具体、完整，采用规范准确。</w:t>
            </w:r>
          </w:p>
          <w:p w14:paraId="57FC095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【中】有基本合理的措施，采用规范准确。</w:t>
            </w:r>
          </w:p>
          <w:p w14:paraId="207D689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【差】措施不力，采用规范不正确。</w:t>
            </w:r>
          </w:p>
        </w:tc>
      </w:tr>
      <w:tr w14:paraId="54E49FA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3AC3FD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0C04A38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4E7AF4D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 分）</w:t>
            </w:r>
          </w:p>
        </w:tc>
        <w:tc>
          <w:tcPr>
            <w:tcW w:w="3850" w:type="dxa"/>
            <w:tcBorders>
              <w:top w:val="single" w:color="auto" w:sz="4" w:space="0"/>
              <w:left w:val="nil"/>
              <w:bottom w:val="single" w:color="auto" w:sz="4" w:space="0"/>
              <w:right w:val="single" w:color="auto" w:sz="4" w:space="0"/>
            </w:tcBorders>
            <w:noWrap w:val="0"/>
            <w:vAlign w:val="center"/>
          </w:tcPr>
          <w:p w14:paraId="08338F5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411434E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ECA314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92B497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44" w:type="dxa"/>
            <w:tcBorders>
              <w:top w:val="single" w:color="auto" w:sz="4" w:space="0"/>
              <w:left w:val="nil"/>
              <w:bottom w:val="single" w:color="auto" w:sz="4" w:space="0"/>
              <w:right w:val="single" w:color="auto" w:sz="4" w:space="0"/>
            </w:tcBorders>
            <w:noWrap w:val="0"/>
            <w:vAlign w:val="center"/>
          </w:tcPr>
          <w:p w14:paraId="38BC0BC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7ACA8BD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0856A26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5631ED4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52C97CD6">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8BE434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23B8DD7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5E80910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850" w:type="dxa"/>
            <w:tcBorders>
              <w:top w:val="single" w:color="auto" w:sz="4" w:space="0"/>
              <w:left w:val="nil"/>
              <w:bottom w:val="single" w:color="auto" w:sz="4" w:space="0"/>
              <w:right w:val="single" w:color="auto" w:sz="4" w:space="0"/>
            </w:tcBorders>
            <w:noWrap w:val="0"/>
            <w:vAlign w:val="center"/>
          </w:tcPr>
          <w:p w14:paraId="7D66466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9D22C8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D11D33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293041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44" w:type="dxa"/>
            <w:tcBorders>
              <w:top w:val="single" w:color="auto" w:sz="4" w:space="0"/>
              <w:left w:val="nil"/>
              <w:bottom w:val="single" w:color="auto" w:sz="4" w:space="0"/>
              <w:right w:val="single" w:color="auto" w:sz="4" w:space="0"/>
            </w:tcBorders>
            <w:noWrap w:val="0"/>
            <w:vAlign w:val="center"/>
          </w:tcPr>
          <w:p w14:paraId="61FDEE8F">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【优】组织机构形式合理，有完善的指挥系统，生产及质量、绿色施工、安全、文明施工、创优达标监控系统、联络协调系统，项目管理人员内高级职称人员20%（含20%）以上、中级职称人员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60%（含60%）以上。</w:t>
            </w:r>
          </w:p>
          <w:p w14:paraId="3E22807C">
            <w:pPr>
              <w:pStyle w:val="44"/>
              <w:wordWrap w:val="0"/>
              <w:adjustRightInd w:val="0"/>
              <w:snapToGrid w:val="0"/>
              <w:spacing w:line="400" w:lineRule="exac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【良】组织机构形式合理，指挥系统，生产及质量、绿色施工、安全、文明施工、创优达标监</w:t>
            </w:r>
            <w:r>
              <w:rPr>
                <w:rFonts w:hint="eastAsia" w:ascii="宋体" w:hAnsi="宋体" w:eastAsia="宋体" w:cs="宋体"/>
                <w:b w:val="0"/>
                <w:bCs w:val="0"/>
                <w:snapToGrid w:val="0"/>
                <w:color w:val="auto"/>
                <w:kern w:val="0"/>
                <w:sz w:val="24"/>
                <w:szCs w:val="24"/>
                <w:highlight w:val="none"/>
              </w:rPr>
              <w:t>控系统、联络协调系统齐全，项目管理人员内高级职称人员15%～20%（含15%）、中级职称及以上职称人员50%～60%（含50%）。</w:t>
            </w:r>
          </w:p>
          <w:p w14:paraId="37E9D6EE">
            <w:pPr>
              <w:pStyle w:val="44"/>
              <w:wordWrap w:val="0"/>
              <w:adjustRightInd w:val="0"/>
              <w:snapToGrid w:val="0"/>
              <w:spacing w:line="400" w:lineRule="exac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58F7907F">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r>
              <w:rPr>
                <w:rFonts w:hint="eastAsia" w:ascii="宋体" w:hAnsi="宋体" w:eastAsia="宋体" w:cs="宋体"/>
                <w:snapToGrid w:val="0"/>
                <w:color w:val="auto"/>
                <w:kern w:val="0"/>
                <w:sz w:val="24"/>
                <w:szCs w:val="24"/>
                <w:highlight w:val="none"/>
              </w:rPr>
              <w:t>。</w:t>
            </w:r>
          </w:p>
        </w:tc>
      </w:tr>
      <w:tr w14:paraId="69425C0C">
        <w:tblPrEx>
          <w:tblCellMar>
            <w:top w:w="0" w:type="dxa"/>
            <w:left w:w="108" w:type="dxa"/>
            <w:bottom w:w="0" w:type="dxa"/>
            <w:right w:w="108" w:type="dxa"/>
          </w:tblCellMar>
        </w:tblPrEx>
        <w:trPr>
          <w:trHeight w:val="23" w:hRule="atLeast"/>
          <w:jc w:val="center"/>
        </w:trPr>
        <w:tc>
          <w:tcPr>
            <w:tcW w:w="9941" w:type="dxa"/>
            <w:gridSpan w:val="3"/>
            <w:tcBorders>
              <w:top w:val="single" w:color="auto" w:sz="4" w:space="0"/>
              <w:left w:val="single" w:color="auto" w:sz="4" w:space="0"/>
              <w:bottom w:val="single" w:color="auto" w:sz="4" w:space="0"/>
              <w:right w:val="single" w:color="auto" w:sz="4" w:space="0"/>
            </w:tcBorders>
            <w:noWrap w:val="0"/>
            <w:vAlign w:val="center"/>
          </w:tcPr>
          <w:tbl>
            <w:tblPr>
              <w:tblStyle w:val="24"/>
              <w:tblW w:w="0" w:type="auto"/>
              <w:jc w:val="center"/>
              <w:tblLayout w:type="fixed"/>
              <w:tblCellMar>
                <w:top w:w="0" w:type="dxa"/>
                <w:left w:w="108" w:type="dxa"/>
                <w:bottom w:w="0" w:type="dxa"/>
                <w:right w:w="108" w:type="dxa"/>
              </w:tblCellMar>
            </w:tblPr>
            <w:tblGrid>
              <w:gridCol w:w="1562"/>
              <w:gridCol w:w="8167"/>
            </w:tblGrid>
            <w:tr w14:paraId="3820F90D">
              <w:tblPrEx>
                <w:tblCellMar>
                  <w:top w:w="0" w:type="dxa"/>
                  <w:left w:w="108" w:type="dxa"/>
                  <w:bottom w:w="0" w:type="dxa"/>
                  <w:right w:w="108" w:type="dxa"/>
                </w:tblCellMar>
              </w:tblPrEx>
              <w:trPr>
                <w:trHeight w:val="501" w:hRule="atLeast"/>
                <w:jc w:val="center"/>
              </w:trPr>
              <w:tc>
                <w:tcPr>
                  <w:tcW w:w="9729"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14:paraId="0FD2067B">
                  <w:pPr>
                    <w:wordWrap w:val="0"/>
                    <w:adjustRightInd w:val="0"/>
                    <w:snapToGrid w:val="0"/>
                    <w:spacing w:line="240" w:lineRule="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投标报价部分，满分：100分。</w:t>
                  </w:r>
                </w:p>
              </w:tc>
            </w:tr>
            <w:tr w14:paraId="7C1D45B2">
              <w:tblPrEx>
                <w:tblCellMar>
                  <w:top w:w="0" w:type="dxa"/>
                  <w:left w:w="108" w:type="dxa"/>
                  <w:bottom w:w="0" w:type="dxa"/>
                  <w:right w:w="108" w:type="dxa"/>
                </w:tblCellMar>
              </w:tblPrEx>
              <w:trPr>
                <w:trHeight w:val="2010"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0A5E9BC5">
                  <w:pPr>
                    <w:pStyle w:val="35"/>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评标基准价D</w:t>
                  </w:r>
                </w:p>
              </w:tc>
              <w:tc>
                <w:tcPr>
                  <w:tcW w:w="8167" w:type="dxa"/>
                  <w:tcBorders>
                    <w:top w:val="single" w:color="auto" w:sz="4" w:space="0"/>
                    <w:left w:val="nil"/>
                    <w:bottom w:val="single" w:color="auto" w:sz="4" w:space="0"/>
                    <w:right w:val="single" w:color="auto" w:sz="4" w:space="0"/>
                  </w:tcBorders>
                  <w:noWrap w:val="0"/>
                  <w:vAlign w:val="top"/>
                </w:tcPr>
                <w:p w14:paraId="1E3B94C0">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（1）确定招标控制价下浮系数n：用1～21号球分别代表一个下浮系数，由评委代表从这21个号码中随机抽取 3 次，每次抽取1个号码，抽出的号球不参与下次抽取。所抽取的3个号码对应下浮系数的算术平均值作为招标控制价下浮系数n。具体号码对应的下浮系数可参考下表。</w:t>
                  </w:r>
                </w:p>
                <w:tbl>
                  <w:tblPr>
                    <w:tblStyle w:val="24"/>
                    <w:tblW w:w="0" w:type="auto"/>
                    <w:tblInd w:w="113" w:type="dxa"/>
                    <w:tblLayout w:type="fixed"/>
                    <w:tblCellMar>
                      <w:top w:w="0" w:type="dxa"/>
                      <w:left w:w="108" w:type="dxa"/>
                      <w:bottom w:w="0" w:type="dxa"/>
                      <w:right w:w="108" w:type="dxa"/>
                    </w:tblCellMar>
                  </w:tblPr>
                  <w:tblGrid>
                    <w:gridCol w:w="1907"/>
                    <w:gridCol w:w="976"/>
                    <w:gridCol w:w="795"/>
                    <w:gridCol w:w="777"/>
                    <w:gridCol w:w="868"/>
                    <w:gridCol w:w="885"/>
                    <w:gridCol w:w="850"/>
                    <w:gridCol w:w="697"/>
                  </w:tblGrid>
                  <w:tr w14:paraId="6D33E0CD">
                    <w:tblPrEx>
                      <w:tblCellMar>
                        <w:top w:w="0" w:type="dxa"/>
                        <w:left w:w="108" w:type="dxa"/>
                        <w:bottom w:w="0" w:type="dxa"/>
                        <w:right w:w="108" w:type="dxa"/>
                      </w:tblCellMar>
                    </w:tblPrEx>
                    <w:trPr>
                      <w:trHeight w:val="401" w:hRule="atLeas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21FF4337">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5A38913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B91AC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44F2F4A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484B4A4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5EF619B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65781E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4658CE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2EA6E19E">
                    <w:tblPrEx>
                      <w:tblCellMar>
                        <w:top w:w="0" w:type="dxa"/>
                        <w:left w:w="108" w:type="dxa"/>
                        <w:bottom w:w="0" w:type="dxa"/>
                        <w:right w:w="108" w:type="dxa"/>
                      </w:tblCellMar>
                    </w:tblPrEx>
                    <w:trPr>
                      <w:trHeight w:val="582" w:hRule="atLeas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2EC9544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6CFA515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2A6B85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7365CA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99C22A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4B0AA66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0AE04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355EDF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3D916052">
                    <w:tblPrEx>
                      <w:tblCellMar>
                        <w:top w:w="0" w:type="dxa"/>
                        <w:left w:w="108" w:type="dxa"/>
                        <w:bottom w:w="0" w:type="dxa"/>
                        <w:right w:w="108" w:type="dxa"/>
                      </w:tblCellMar>
                    </w:tblPrEx>
                    <w:trPr>
                      <w:trHeight w:val="513" w:hRule="atLeas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4343AAE6">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4E93CDB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E6D333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3599755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5F71E8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0F6720E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C1F88C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A64E58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5D39BAC7">
                    <w:tblPrEx>
                      <w:tblCellMar>
                        <w:top w:w="0" w:type="dxa"/>
                        <w:left w:w="108" w:type="dxa"/>
                        <w:bottom w:w="0" w:type="dxa"/>
                        <w:right w:w="108" w:type="dxa"/>
                      </w:tblCellMar>
                    </w:tblPrEx>
                    <w:trPr>
                      <w:trHeight w:val="636" w:hRule="atLeas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676219B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0A24F83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56571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3341F1D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EEA4F3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68F40FB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4BCD52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AC5998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72BE3F9D">
                    <w:tblPrEx>
                      <w:tblCellMar>
                        <w:top w:w="0" w:type="dxa"/>
                        <w:left w:w="108" w:type="dxa"/>
                        <w:bottom w:w="0" w:type="dxa"/>
                        <w:right w:w="108" w:type="dxa"/>
                      </w:tblCellMar>
                    </w:tblPrEx>
                    <w:trPr>
                      <w:trHeight w:val="469" w:hRule="atLeas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7D9698F1">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436A5D1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64F52E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17DC11F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C618E1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5345793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8A8D95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B264F1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17B10B2D">
                    <w:tblPrEx>
                      <w:tblCellMar>
                        <w:top w:w="0" w:type="dxa"/>
                        <w:left w:w="108" w:type="dxa"/>
                        <w:bottom w:w="0" w:type="dxa"/>
                        <w:right w:w="108" w:type="dxa"/>
                      </w:tblCellMar>
                    </w:tblPrEx>
                    <w:trPr>
                      <w:trHeight w:val="602" w:hRule="atLeas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51C3ABB1">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6BA68FB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A11D9B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17418EA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13303F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63F007B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9975FC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F8B5429">
                        <w:pPr>
                          <w:wordWrap w:val="0"/>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r>
                </w:tbl>
                <w:p w14:paraId="4F8DDABD">
                  <w:pPr>
                    <w:rPr>
                      <w:rFonts w:hint="eastAsia" w:ascii="宋体" w:hAnsi="宋体" w:eastAsia="宋体" w:cs="宋体"/>
                      <w:color w:val="auto"/>
                      <w:sz w:val="24"/>
                      <w:szCs w:val="24"/>
                      <w:highlight w:val="none"/>
                    </w:rPr>
                  </w:pPr>
                </w:p>
                <w:p w14:paraId="7EB251C9">
                  <w:pPr>
                    <w:ind w:firstLine="240" w:firstLineChars="1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（2）评标基准价D＝招标控制价×（1－n）</w:t>
                  </w:r>
                </w:p>
              </w:tc>
            </w:tr>
            <w:tr w14:paraId="54B6E7C4">
              <w:tblPrEx>
                <w:tblCellMar>
                  <w:top w:w="0" w:type="dxa"/>
                  <w:left w:w="108" w:type="dxa"/>
                  <w:bottom w:w="0" w:type="dxa"/>
                  <w:right w:w="108" w:type="dxa"/>
                </w:tblCellMar>
              </w:tblPrEx>
              <w:trPr>
                <w:trHeight w:val="23"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44AF55D6">
                  <w:pPr>
                    <w:pStyle w:val="35"/>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投标报价</w:t>
                  </w:r>
                </w:p>
                <w:p w14:paraId="586332F6">
                  <w:pPr>
                    <w:pStyle w:val="35"/>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得分N</w:t>
                  </w:r>
                </w:p>
              </w:tc>
              <w:tc>
                <w:tcPr>
                  <w:tcW w:w="8167" w:type="dxa"/>
                  <w:tcBorders>
                    <w:top w:val="single" w:color="auto" w:sz="4" w:space="0"/>
                    <w:left w:val="nil"/>
                    <w:bottom w:val="single" w:color="auto" w:sz="4" w:space="0"/>
                    <w:right w:val="single" w:color="auto" w:sz="4" w:space="0"/>
                  </w:tcBorders>
                  <w:noWrap w:val="0"/>
                  <w:vAlign w:val="center"/>
                </w:tcPr>
                <w:p w14:paraId="600538C1">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33753B39">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N＝100－（| Di－D| ÷D）×100×E</w:t>
                  </w:r>
                </w:p>
                <w:p w14:paraId="2AB90C53">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式中：D为评标基准价；Di为某投标人的投标总价；E为扣分因子，当Di＞D时，E＝1 ；当Di＜D时，E＝0.5。</w:t>
                  </w:r>
                </w:p>
              </w:tc>
            </w:tr>
          </w:tbl>
          <w:p w14:paraId="5BE654EC">
            <w:pPr>
              <w:wordWrap w:val="0"/>
              <w:adjustRightInd w:val="0"/>
              <w:snapToGrid w:val="0"/>
              <w:rPr>
                <w:rFonts w:hint="eastAsia" w:ascii="宋体" w:hAnsi="宋体" w:eastAsia="宋体" w:cs="宋体"/>
                <w:color w:val="auto"/>
                <w:kern w:val="0"/>
                <w:sz w:val="24"/>
                <w:szCs w:val="24"/>
                <w:highlight w:val="none"/>
              </w:rPr>
            </w:pPr>
          </w:p>
        </w:tc>
      </w:tr>
    </w:tbl>
    <w:p w14:paraId="418D5172">
      <w:pPr>
        <w:spacing w:before="38" w:line="360" w:lineRule="auto"/>
        <w:rPr>
          <w:rFonts w:hint="eastAsia" w:ascii="宋体" w:hAnsi="宋体" w:eastAsia="宋体" w:cs="宋体"/>
          <w:b w:val="0"/>
          <w:bCs w:val="0"/>
          <w:color w:val="auto"/>
          <w:spacing w:val="-2"/>
          <w:sz w:val="24"/>
          <w:szCs w:val="24"/>
          <w:highlight w:val="none"/>
        </w:rPr>
      </w:pPr>
      <w:r>
        <w:rPr>
          <w:rFonts w:hint="eastAsia" w:ascii="宋体" w:hAnsi="宋体" w:eastAsia="宋体" w:cs="宋体"/>
          <w:b/>
          <w:bCs/>
          <w:color w:val="auto"/>
          <w:spacing w:val="-2"/>
          <w:sz w:val="24"/>
          <w:szCs w:val="24"/>
          <w:highlight w:val="none"/>
        </w:rPr>
        <w:t xml:space="preserve">15.5.2  </w:t>
      </w:r>
      <w:r>
        <w:rPr>
          <w:rFonts w:hint="eastAsia" w:ascii="宋体" w:hAnsi="宋体" w:eastAsia="宋体" w:cs="宋体"/>
          <w:b w:val="0"/>
          <w:bCs w:val="0"/>
          <w:color w:val="auto"/>
          <w:spacing w:val="-2"/>
          <w:sz w:val="24"/>
          <w:szCs w:val="24"/>
          <w:highlight w:val="none"/>
        </w:rPr>
        <w:t>否决投标说明</w:t>
      </w:r>
      <w:bookmarkEnd w:id="133"/>
      <w:bookmarkEnd w:id="134"/>
      <w:bookmarkEnd w:id="135"/>
      <w:bookmarkEnd w:id="136"/>
    </w:p>
    <w:p w14:paraId="4FE43509">
      <w:pPr>
        <w:spacing w:before="150" w:line="360" w:lineRule="auto"/>
        <w:ind w:right="195" w:firstLine="46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5"/>
          <w:sz w:val="24"/>
          <w:szCs w:val="24"/>
          <w:highlight w:val="none"/>
        </w:rPr>
        <w:t xml:space="preserve">4 </w:t>
      </w:r>
      <w:r>
        <w:rPr>
          <w:rFonts w:hint="eastAsia" w:ascii="宋体" w:hAnsi="宋体" w:eastAsia="宋体" w:cs="宋体"/>
          <w:color w:val="auto"/>
          <w:spacing w:val="-5"/>
          <w:sz w:val="24"/>
          <w:szCs w:val="24"/>
          <w:highlight w:val="none"/>
        </w:rPr>
        <w:t>条中集</w:t>
      </w:r>
      <w:r>
        <w:rPr>
          <w:rFonts w:hint="eastAsia" w:ascii="宋体" w:hAnsi="宋体" w:eastAsia="宋体" w:cs="宋体"/>
          <w:color w:val="auto"/>
          <w:spacing w:val="-1"/>
          <w:sz w:val="24"/>
          <w:szCs w:val="24"/>
          <w:highlight w:val="none"/>
        </w:rPr>
        <w:t>中列示。投标人有其中所列任何一种情形的，由评标委员会</w:t>
      </w:r>
      <w:r>
        <w:rPr>
          <w:rFonts w:hint="eastAsia" w:ascii="宋体" w:hAnsi="宋体" w:eastAsia="宋体" w:cs="宋体"/>
          <w:color w:val="auto"/>
          <w:spacing w:val="-5"/>
          <w:sz w:val="24"/>
          <w:szCs w:val="24"/>
          <w:highlight w:val="none"/>
        </w:rPr>
        <w:t>否决其投标。评标委员会经评审，认为所有投标都不符合招标文件要求的，可否决所有投标，项目的所有投标被否决的，招标人应依法重新组织招标。</w:t>
      </w:r>
    </w:p>
    <w:p w14:paraId="2B7FCCB7">
      <w:pPr>
        <w:spacing w:before="59" w:line="36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2A888BCA">
      <w:pPr>
        <w:spacing w:before="78" w:line="360" w:lineRule="auto"/>
        <w:ind w:left="496"/>
        <w:outlineLvl w:val="2"/>
        <w:rPr>
          <w:rFonts w:hint="eastAsia" w:ascii="宋体" w:hAnsi="宋体" w:eastAsia="宋体" w:cs="宋体"/>
          <w:color w:val="auto"/>
          <w:sz w:val="24"/>
          <w:szCs w:val="24"/>
          <w:highlight w:val="none"/>
        </w:rPr>
      </w:pPr>
      <w:bookmarkStart w:id="137" w:name="bookmark137"/>
      <w:bookmarkEnd w:id="137"/>
      <w:bookmarkStart w:id="138" w:name="_Toc269"/>
      <w:bookmarkStart w:id="139" w:name="_Toc21307"/>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7"/>
          <w:sz w:val="24"/>
          <w:szCs w:val="24"/>
          <w:highlight w:val="none"/>
        </w:rPr>
        <w:t>中标候选人公示</w:t>
      </w:r>
      <w:bookmarkEnd w:id="138"/>
      <w:bookmarkEnd w:id="139"/>
    </w:p>
    <w:p w14:paraId="14D4EA81">
      <w:pPr>
        <w:spacing w:before="135" w:line="360" w:lineRule="auto"/>
        <w:ind w:left="2" w:right="105" w:firstLine="49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1"/>
          <w:sz w:val="24"/>
          <w:szCs w:val="24"/>
          <w:highlight w:val="none"/>
        </w:rPr>
        <w:t>招标人自收到评标委员会提交的书面评标报告和中标候选人名单之日起3日</w:t>
      </w:r>
      <w:r>
        <w:rPr>
          <w:rFonts w:hint="eastAsia" w:ascii="宋体" w:hAnsi="宋体" w:eastAsia="宋体" w:cs="宋体"/>
          <w:color w:val="auto"/>
          <w:spacing w:val="-1"/>
          <w:sz w:val="24"/>
          <w:szCs w:val="24"/>
          <w:highlight w:val="none"/>
        </w:rPr>
        <w:t>内，将评标结果（即中标候选人名单）、中标候选人投标</w:t>
      </w:r>
      <w:r>
        <w:rPr>
          <w:rFonts w:hint="eastAsia" w:ascii="宋体" w:hAnsi="宋体" w:eastAsia="宋体" w:cs="宋体"/>
          <w:color w:val="auto"/>
          <w:spacing w:val="-2"/>
          <w:sz w:val="24"/>
          <w:szCs w:val="24"/>
          <w:highlight w:val="none"/>
        </w:rPr>
        <w:t>文件（指商务标书分册）、评</w:t>
      </w:r>
      <w:r>
        <w:rPr>
          <w:rFonts w:hint="eastAsia" w:ascii="宋体" w:hAnsi="宋体" w:eastAsia="宋体" w:cs="宋体"/>
          <w:color w:val="auto"/>
          <w:sz w:val="24"/>
          <w:szCs w:val="24"/>
          <w:highlight w:val="none"/>
        </w:rPr>
        <w:t>标过程（评标专家姓名用代码标记）一并在广东省招标投标监管网（http://zbtb.gd</w:t>
      </w:r>
      <w:r>
        <w:rPr>
          <w:rFonts w:hint="eastAsia" w:ascii="宋体" w:hAnsi="宋体" w:eastAsia="宋体" w:cs="宋体"/>
          <w:color w:val="auto"/>
          <w:spacing w:val="-1"/>
          <w:sz w:val="24"/>
          <w:szCs w:val="24"/>
          <w:highlight w:val="none"/>
        </w:rPr>
        <w:t>.gov.cn）、全国公共资源交易平台（广东省·韶关市</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https://ygp.gdzwfw.gov.cn/ggzy-po</w:t>
      </w:r>
      <w:r>
        <w:rPr>
          <w:rFonts w:hint="eastAsia" w:ascii="宋体" w:hAnsi="宋体" w:eastAsia="宋体" w:cs="宋体"/>
          <w:color w:val="auto"/>
          <w:spacing w:val="-2"/>
          <w:sz w:val="24"/>
          <w:szCs w:val="24"/>
          <w:highlight w:val="none"/>
        </w:rPr>
        <w:t>rta</w:t>
      </w:r>
      <w:r>
        <w:rPr>
          <w:rFonts w:hint="eastAsia" w:ascii="宋体" w:hAnsi="宋体" w:eastAsia="宋体" w:cs="宋体"/>
          <w:color w:val="auto"/>
          <w:sz w:val="24"/>
          <w:szCs w:val="24"/>
          <w:highlight w:val="none"/>
        </w:rPr>
        <w:t>l/#/440200/index）进行</w:t>
      </w:r>
      <w:r>
        <w:rPr>
          <w:rFonts w:hint="eastAsia" w:ascii="宋体" w:hAnsi="宋体" w:eastAsia="宋体" w:cs="宋体"/>
          <w:color w:val="auto"/>
          <w:spacing w:val="-1"/>
          <w:sz w:val="24"/>
          <w:szCs w:val="24"/>
          <w:highlight w:val="none"/>
        </w:rPr>
        <w:t>公示，公示期不得少于3天。</w:t>
      </w:r>
    </w:p>
    <w:p w14:paraId="32B26EFF">
      <w:pPr>
        <w:spacing w:before="78" w:line="360" w:lineRule="auto"/>
        <w:ind w:left="11" w:firstLine="485"/>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2"/>
          <w:sz w:val="24"/>
          <w:szCs w:val="24"/>
          <w:highlight w:val="none"/>
        </w:rPr>
        <w:t>投标人对评标结果、中标候选人投标文件、评标过程有异议的，必须在以上内容公示期间向招标人提出</w:t>
      </w:r>
      <w:r>
        <w:rPr>
          <w:rFonts w:hint="eastAsia" w:ascii="宋体" w:hAnsi="宋体" w:eastAsia="宋体" w:cs="宋体"/>
          <w:b/>
          <w:bCs/>
          <w:color w:val="auto"/>
          <w:spacing w:val="-2"/>
          <w:sz w:val="24"/>
          <w:szCs w:val="24"/>
          <w:highlight w:val="none"/>
        </w:rPr>
        <w:t>书面异议</w:t>
      </w:r>
      <w:r>
        <w:rPr>
          <w:rFonts w:hint="eastAsia" w:ascii="宋体" w:hAnsi="宋体" w:eastAsia="宋体" w:cs="宋体"/>
          <w:color w:val="auto"/>
          <w:spacing w:val="-2"/>
          <w:sz w:val="24"/>
          <w:szCs w:val="24"/>
          <w:highlight w:val="none"/>
        </w:rPr>
        <w:t>，否则招标人不予受理。经招标人书面答复，异议人仍不满意的，可在法律规定的时限内向行政监督部门提出书面投诉。异议（投诉）提出、处理的具体办法和要求，按照</w:t>
      </w:r>
      <w:r>
        <w:rPr>
          <w:rFonts w:hint="eastAsia" w:ascii="宋体" w:hAnsi="宋体" w:eastAsia="宋体" w:cs="宋体"/>
          <w:color w:val="auto"/>
          <w:spacing w:val="-2"/>
          <w:sz w:val="24"/>
          <w:szCs w:val="24"/>
          <w:highlight w:val="none"/>
          <w:lang w:val="en-US" w:eastAsia="zh-CN"/>
        </w:rPr>
        <w:t>韶关市发展和改革局关于发布《韶关市工程建设项目招标投标活动异议和投诉处理办法》的通告（韶发改〔2021〕44号）</w:t>
      </w:r>
      <w:r>
        <w:rPr>
          <w:rFonts w:hint="eastAsia" w:ascii="宋体" w:hAnsi="宋体" w:eastAsia="宋体" w:cs="宋体"/>
          <w:color w:val="auto"/>
          <w:spacing w:val="-2"/>
          <w:sz w:val="24"/>
          <w:szCs w:val="24"/>
          <w:highlight w:val="none"/>
        </w:rPr>
        <w:t>执行。</w:t>
      </w:r>
    </w:p>
    <w:p w14:paraId="15623CD0">
      <w:pPr>
        <w:spacing w:before="79" w:line="360" w:lineRule="auto"/>
        <w:ind w:left="12" w:right="42" w:firstLine="483"/>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9"/>
          <w:sz w:val="24"/>
          <w:szCs w:val="24"/>
          <w:highlight w:val="none"/>
        </w:rPr>
        <w:t>中标候选人公示期满无异议（投诉）后，招标人确定第一中标候选人为中标人，</w:t>
      </w:r>
      <w:r>
        <w:rPr>
          <w:rFonts w:hint="eastAsia" w:ascii="宋体" w:hAnsi="宋体" w:eastAsia="宋体" w:cs="宋体"/>
          <w:color w:val="auto"/>
          <w:spacing w:val="-2"/>
          <w:sz w:val="24"/>
          <w:szCs w:val="24"/>
          <w:highlight w:val="none"/>
        </w:rPr>
        <w:t>并在中标人确定之日起7日内向中标人发出中标通知书。在中标通知书发出后5个工作日内，韶关市公共资源交易中心将投标保证金（或银行保函）退还给中标候选人以外的</w:t>
      </w:r>
      <w:r>
        <w:rPr>
          <w:rFonts w:hint="eastAsia" w:ascii="宋体" w:hAnsi="宋体" w:eastAsia="宋体" w:cs="宋体"/>
          <w:color w:val="auto"/>
          <w:spacing w:val="-4"/>
          <w:sz w:val="24"/>
          <w:szCs w:val="24"/>
          <w:highlight w:val="none"/>
        </w:rPr>
        <w:t>投标人。</w:t>
      </w:r>
    </w:p>
    <w:p w14:paraId="6D2AF74B">
      <w:pPr>
        <w:rPr>
          <w:rFonts w:hint="eastAsia" w:ascii="宋体" w:hAnsi="宋体" w:eastAsia="宋体" w:cs="宋体"/>
        </w:rPr>
      </w:pPr>
    </w:p>
    <w:p w14:paraId="1DDF265E">
      <w:pPr>
        <w:rPr>
          <w:rFonts w:hint="eastAsia" w:ascii="宋体" w:hAnsi="宋体" w:eastAsia="宋体" w:cs="宋体"/>
        </w:rPr>
      </w:pPr>
    </w:p>
    <w:p w14:paraId="7DF90950">
      <w:pPr>
        <w:rPr>
          <w:rFonts w:hint="eastAsia" w:ascii="宋体" w:hAnsi="宋体" w:eastAsia="宋体" w:cs="宋体"/>
        </w:rPr>
      </w:pPr>
    </w:p>
    <w:p w14:paraId="35E9739C">
      <w:pPr>
        <w:rPr>
          <w:rFonts w:hint="eastAsia" w:ascii="宋体" w:hAnsi="宋体" w:eastAsia="宋体" w:cs="宋体"/>
        </w:rPr>
      </w:pPr>
    </w:p>
    <w:p w14:paraId="4FCD4E13">
      <w:pPr>
        <w:rPr>
          <w:rFonts w:hint="eastAsia" w:ascii="宋体" w:hAnsi="宋体" w:eastAsia="宋体" w:cs="宋体"/>
        </w:rPr>
      </w:pPr>
    </w:p>
    <w:p w14:paraId="0B2D699F">
      <w:pPr>
        <w:pStyle w:val="2"/>
        <w:rPr>
          <w:rFonts w:hint="eastAsia" w:ascii="宋体" w:hAnsi="宋体" w:eastAsia="宋体" w:cs="宋体"/>
        </w:rPr>
      </w:pPr>
    </w:p>
    <w:p w14:paraId="4494DA44">
      <w:pPr>
        <w:rPr>
          <w:rFonts w:hint="eastAsia" w:ascii="宋体" w:hAnsi="宋体" w:eastAsia="宋体" w:cs="宋体"/>
        </w:rPr>
      </w:pPr>
    </w:p>
    <w:p w14:paraId="6047BAD4">
      <w:pPr>
        <w:pStyle w:val="2"/>
        <w:rPr>
          <w:rFonts w:hint="eastAsia"/>
        </w:rPr>
      </w:pPr>
    </w:p>
    <w:p w14:paraId="2F85B030">
      <w:pPr>
        <w:rPr>
          <w:rFonts w:hint="eastAsia" w:ascii="宋体" w:hAnsi="宋体" w:eastAsia="宋体" w:cs="宋体"/>
        </w:rPr>
      </w:pPr>
    </w:p>
    <w:p w14:paraId="402144EA">
      <w:pPr>
        <w:pStyle w:val="2"/>
        <w:rPr>
          <w:rFonts w:hint="eastAsia"/>
        </w:rPr>
      </w:pPr>
    </w:p>
    <w:p w14:paraId="6F6EFB76">
      <w:pPr>
        <w:rPr>
          <w:rFonts w:hint="eastAsia" w:ascii="宋体" w:hAnsi="宋体" w:eastAsia="宋体" w:cs="宋体"/>
        </w:rPr>
      </w:pPr>
    </w:p>
    <w:p w14:paraId="79EED929">
      <w:pPr>
        <w:spacing w:before="156" w:line="360" w:lineRule="auto"/>
        <w:outlineLvl w:val="1"/>
        <w:rPr>
          <w:rFonts w:hint="eastAsia" w:ascii="宋体" w:hAnsi="宋体" w:eastAsia="宋体" w:cs="宋体"/>
          <w:b/>
          <w:bCs/>
          <w:color w:val="auto"/>
          <w:spacing w:val="-3"/>
          <w:sz w:val="24"/>
          <w:szCs w:val="24"/>
          <w:highlight w:val="none"/>
        </w:rPr>
      </w:pPr>
      <w:bookmarkStart w:id="140" w:name="bookmark138"/>
      <w:bookmarkEnd w:id="140"/>
      <w:bookmarkStart w:id="141" w:name="_Toc28455"/>
      <w:bookmarkStart w:id="142" w:name="_Toc7185"/>
      <w:r>
        <w:rPr>
          <w:rFonts w:hint="eastAsia" w:ascii="宋体" w:hAnsi="宋体" w:eastAsia="宋体" w:cs="宋体"/>
          <w:b/>
          <w:bCs/>
          <w:color w:val="auto"/>
          <w:spacing w:val="-3"/>
          <w:sz w:val="24"/>
          <w:szCs w:val="24"/>
          <w:highlight w:val="none"/>
        </w:rPr>
        <w:t>第四节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否决投标条件</w:t>
      </w:r>
      <w:bookmarkEnd w:id="141"/>
      <w:bookmarkEnd w:id="142"/>
    </w:p>
    <w:p w14:paraId="02741B16">
      <w:pPr>
        <w:spacing w:before="78" w:line="36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5898CA3C">
      <w:pPr>
        <w:spacing w:before="34" w:line="360" w:lineRule="auto"/>
        <w:ind w:left="495"/>
        <w:outlineLvl w:val="2"/>
        <w:rPr>
          <w:rFonts w:hint="eastAsia" w:ascii="宋体" w:hAnsi="宋体" w:eastAsia="宋体" w:cs="宋体"/>
          <w:color w:val="auto"/>
          <w:sz w:val="24"/>
          <w:szCs w:val="24"/>
          <w:highlight w:val="none"/>
        </w:rPr>
      </w:pPr>
      <w:bookmarkStart w:id="143" w:name="_Toc8173"/>
      <w:bookmarkStart w:id="144" w:name="_Toc14475"/>
      <w:bookmarkStart w:id="145" w:name="_Toc2783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lang w:eastAsia="zh-CN"/>
        </w:rPr>
        <w:t>.</w:t>
      </w:r>
      <w:r>
        <w:rPr>
          <w:rFonts w:hint="eastAsia" w:ascii="宋体" w:hAnsi="宋体" w:eastAsia="宋体" w:cs="宋体"/>
          <w:b/>
          <w:bCs/>
          <w:color w:val="auto"/>
          <w:spacing w:val="-8"/>
          <w:sz w:val="24"/>
          <w:szCs w:val="24"/>
          <w:highlight w:val="none"/>
        </w:rPr>
        <w:t>资格评审环节</w:t>
      </w:r>
      <w:bookmarkEnd w:id="143"/>
      <w:bookmarkEnd w:id="144"/>
      <w:bookmarkEnd w:id="145"/>
    </w:p>
    <w:p w14:paraId="2CDF8C7C">
      <w:pPr>
        <w:spacing w:before="152" w:line="360" w:lineRule="auto"/>
        <w:ind w:left="13" w:right="65" w:firstLine="47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B415A91">
      <w:pPr>
        <w:spacing w:before="32"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6E8AB7C8">
      <w:pPr>
        <w:spacing w:before="154"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2E25D147">
      <w:pPr>
        <w:keepNext w:val="0"/>
        <w:keepLines w:val="0"/>
        <w:pageBreakBefore w:val="0"/>
        <w:widowControl/>
        <w:kinsoku w:val="0"/>
        <w:wordWrap w:val="0"/>
        <w:overflowPunct/>
        <w:topLinePunct w:val="0"/>
        <w:autoSpaceDE w:val="0"/>
        <w:autoSpaceDN w:val="0"/>
        <w:bidi w:val="0"/>
        <w:adjustRightInd w:val="0"/>
        <w:snapToGrid w:val="0"/>
        <w:spacing w:before="153" w:line="360" w:lineRule="auto"/>
        <w:ind w:right="57"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（3）投标人名称与营业执照、资质证书、安全生产许可证上的企业名称相互不一</w:t>
      </w:r>
      <w:r>
        <w:rPr>
          <w:rFonts w:hint="eastAsia" w:ascii="宋体" w:hAnsi="宋体" w:eastAsia="宋体" w:cs="宋体"/>
          <w:color w:val="auto"/>
          <w:spacing w:val="-1"/>
          <w:sz w:val="24"/>
          <w:szCs w:val="24"/>
          <w:highlight w:val="none"/>
        </w:rPr>
        <w:t>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4D64198E">
      <w:pPr>
        <w:spacing w:before="153" w:line="360" w:lineRule="auto"/>
        <w:ind w:left="9" w:right="66"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5"/>
          <w:sz w:val="24"/>
          <w:szCs w:val="24"/>
          <w:highlight w:val="none"/>
        </w:rPr>
        <w:t>的企业名称未完成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1E0C4F2F">
      <w:pPr>
        <w:spacing w:before="32" w:line="360" w:lineRule="auto"/>
        <w:ind w:left="10" w:right="65" w:firstLine="490"/>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0EC64185">
      <w:pPr>
        <w:spacing w:before="34" w:line="360" w:lineRule="auto"/>
        <w:ind w:left="8" w:right="65" w:firstLine="492"/>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与投标人不一致的；项目管理班子组成人员的各类证书、证件、证明不在有效期内的（建造师注册证书不在使用有效期内的）；擅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5184D12E">
      <w:pPr>
        <w:spacing w:before="1" w:line="360" w:lineRule="auto"/>
        <w:ind w:left="28" w:right="66" w:firstLine="462"/>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3ED90A44">
      <w:pPr>
        <w:spacing w:before="1" w:line="360" w:lineRule="auto"/>
        <w:ind w:left="28" w:right="66" w:firstLine="462"/>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鉴于目前继续教育开展的实际情况，建筑和市政工程施工现场专业人员（例如：施</w:t>
      </w:r>
      <w:bookmarkStart w:id="146" w:name="bookmark139"/>
      <w:bookmarkEnd w:id="146"/>
      <w:r>
        <w:rPr>
          <w:rFonts w:hint="eastAsia" w:ascii="宋体" w:hAnsi="宋体" w:eastAsia="宋体" w:cs="宋体"/>
          <w:b/>
          <w:bCs/>
          <w:color w:val="auto"/>
          <w:spacing w:val="-4"/>
          <w:sz w:val="24"/>
          <w:szCs w:val="24"/>
          <w:highlight w:val="none"/>
        </w:rPr>
        <w:t>工员、质量员、材料员、资料员）的岗位证书或培训证书不审查其证书的有效期。</w:t>
      </w:r>
    </w:p>
    <w:p w14:paraId="2B29F3F6">
      <w:pPr>
        <w:spacing w:before="146"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（6）招标文件规定不接受联合体投标，但以联合体投标的；</w:t>
      </w:r>
    </w:p>
    <w:p w14:paraId="3741F56B">
      <w:pPr>
        <w:spacing w:before="154" w:line="360" w:lineRule="auto"/>
        <w:ind w:right="94" w:firstLine="49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（7）联合体投标，未提交《联合体协议书》的；擅自修改</w:t>
      </w:r>
      <w:r>
        <w:rPr>
          <w:rFonts w:hint="eastAsia" w:ascii="宋体" w:hAnsi="宋体" w:eastAsia="宋体" w:cs="宋体"/>
          <w:color w:val="auto"/>
          <w:spacing w:val="-3"/>
          <w:sz w:val="24"/>
          <w:szCs w:val="24"/>
          <w:highlight w:val="none"/>
        </w:rPr>
        <w:t>、遗漏《联合体协议书》</w:t>
      </w:r>
      <w:r>
        <w:rPr>
          <w:rFonts w:hint="eastAsia" w:ascii="宋体" w:hAnsi="宋体" w:eastAsia="宋体" w:cs="宋体"/>
          <w:color w:val="auto"/>
          <w:spacing w:val="-2"/>
          <w:sz w:val="24"/>
          <w:szCs w:val="24"/>
          <w:highlight w:val="none"/>
        </w:rPr>
        <w:t>实质性内容的；联合体成员的数量、资质不符合规定的；联合体成员同时以自己名义单</w:t>
      </w:r>
      <w:r>
        <w:rPr>
          <w:rFonts w:hint="eastAsia" w:ascii="宋体" w:hAnsi="宋体" w:eastAsia="宋体" w:cs="宋体"/>
          <w:color w:val="auto"/>
          <w:spacing w:val="-1"/>
          <w:sz w:val="24"/>
          <w:szCs w:val="24"/>
          <w:highlight w:val="none"/>
        </w:rPr>
        <w:t>独投标或者参加其他联合体投标的</w:t>
      </w:r>
      <w:r>
        <w:rPr>
          <w:rFonts w:hint="eastAsia" w:ascii="宋体" w:hAnsi="宋体" w:eastAsia="宋体" w:cs="宋体"/>
          <w:color w:val="auto"/>
          <w:spacing w:val="-1"/>
          <w:sz w:val="24"/>
          <w:szCs w:val="24"/>
          <w:highlight w:val="none"/>
          <w:lang w:eastAsia="zh-CN"/>
        </w:rPr>
        <w:t>。</w:t>
      </w:r>
    </w:p>
    <w:p w14:paraId="16A42CB0">
      <w:pPr>
        <w:spacing w:before="150" w:line="360" w:lineRule="auto"/>
        <w:ind w:right="200" w:firstLine="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46F2E778">
      <w:pPr>
        <w:spacing w:before="154" w:line="360" w:lineRule="auto"/>
        <w:ind w:left="477"/>
        <w:outlineLvl w:val="2"/>
        <w:rPr>
          <w:rFonts w:hint="eastAsia" w:ascii="宋体" w:hAnsi="宋体" w:eastAsia="宋体" w:cs="宋体"/>
          <w:color w:val="auto"/>
          <w:sz w:val="24"/>
          <w:szCs w:val="24"/>
          <w:highlight w:val="none"/>
        </w:rPr>
      </w:pPr>
      <w:bookmarkStart w:id="147" w:name="_Toc5819"/>
      <w:bookmarkStart w:id="148" w:name="_Toc29071"/>
      <w:bookmarkStart w:id="149" w:name="_Toc12644"/>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7"/>
          <w:sz w:val="24"/>
          <w:szCs w:val="24"/>
          <w:highlight w:val="none"/>
        </w:rPr>
        <w:t>形式评审环节</w:t>
      </w:r>
      <w:bookmarkEnd w:id="147"/>
      <w:bookmarkEnd w:id="148"/>
      <w:bookmarkEnd w:id="149"/>
    </w:p>
    <w:p w14:paraId="17FA0E7B">
      <w:pPr>
        <w:spacing w:before="151" w:line="360" w:lineRule="auto"/>
        <w:ind w:right="200" w:firstLine="48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488D5B8">
      <w:pPr>
        <w:spacing w:before="32"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1C21B1D">
      <w:pPr>
        <w:spacing w:before="153" w:line="360" w:lineRule="auto"/>
        <w:ind w:left="1" w:right="200" w:firstLine="49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7C87715B">
      <w:pPr>
        <w:spacing w:before="136" w:line="360" w:lineRule="auto"/>
        <w:ind w:left="8" w:right="200" w:firstLine="42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64A608C1">
      <w:pPr>
        <w:spacing w:before="209" w:line="360"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5001A17B">
      <w:pPr>
        <w:spacing w:before="206" w:line="360" w:lineRule="auto"/>
        <w:ind w:left="1" w:firstLine="4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（5）招标文件规定施工组织设计采用“暗标</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”方式进行评审，但施工组织设计的</w:t>
      </w:r>
      <w:r>
        <w:rPr>
          <w:rFonts w:hint="eastAsia" w:ascii="宋体" w:hAnsi="宋体" w:eastAsia="宋体" w:cs="宋体"/>
          <w:color w:val="auto"/>
          <w:spacing w:val="-4"/>
          <w:sz w:val="24"/>
          <w:szCs w:val="24"/>
          <w:highlight w:val="none"/>
        </w:rPr>
        <w:t>规格颜色、文字排版、正文篇幅（若有）不符合规定的；其任何部位出现手写以及涂改、</w:t>
      </w:r>
      <w:r>
        <w:rPr>
          <w:rFonts w:hint="eastAsia" w:ascii="宋体" w:hAnsi="宋体" w:eastAsia="宋体" w:cs="宋体"/>
          <w:color w:val="auto"/>
          <w:spacing w:val="-3"/>
          <w:sz w:val="24"/>
          <w:szCs w:val="24"/>
          <w:highlight w:val="none"/>
        </w:rPr>
        <w:t>行间插字或删除痕迹的；其任何部位出现投标人的名称和其它可识别投标人身份的字符、</w:t>
      </w:r>
      <w:r>
        <w:rPr>
          <w:rFonts w:hint="eastAsia" w:ascii="宋体" w:hAnsi="宋体" w:eastAsia="宋体" w:cs="宋体"/>
          <w:color w:val="auto"/>
          <w:spacing w:val="-1"/>
          <w:sz w:val="24"/>
          <w:szCs w:val="24"/>
          <w:highlight w:val="none"/>
        </w:rPr>
        <w:t>徽标、人员名称以及其他特殊标记的。</w:t>
      </w:r>
    </w:p>
    <w:p w14:paraId="7F1D1627">
      <w:pPr>
        <w:spacing w:before="227" w:line="360" w:lineRule="auto"/>
        <w:ind w:left="475"/>
        <w:outlineLvl w:val="2"/>
        <w:rPr>
          <w:rFonts w:hint="eastAsia" w:ascii="宋体" w:hAnsi="宋体" w:eastAsia="宋体" w:cs="宋体"/>
          <w:color w:val="auto"/>
          <w:sz w:val="24"/>
          <w:szCs w:val="24"/>
          <w:highlight w:val="none"/>
        </w:rPr>
      </w:pPr>
      <w:bookmarkStart w:id="150" w:name="_Toc11391"/>
      <w:bookmarkStart w:id="151" w:name="_Toc4409"/>
      <w:bookmarkStart w:id="152" w:name="_Toc26522"/>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6"/>
          <w:sz w:val="24"/>
          <w:szCs w:val="24"/>
          <w:highlight w:val="none"/>
        </w:rPr>
        <w:t>响应性评审环节</w:t>
      </w:r>
      <w:bookmarkEnd w:id="150"/>
      <w:bookmarkEnd w:id="151"/>
      <w:bookmarkEnd w:id="152"/>
    </w:p>
    <w:p w14:paraId="54C4FB24">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1" w:right="198" w:firstLine="48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2E235325">
      <w:pPr>
        <w:keepNext w:val="0"/>
        <w:keepLines w:val="0"/>
        <w:pageBreakBefore w:val="0"/>
        <w:widowControl w:val="0"/>
        <w:kinsoku w:val="0"/>
        <w:wordWrap/>
        <w:overflowPunct/>
        <w:topLinePunct w:val="0"/>
        <w:autoSpaceDE w:val="0"/>
        <w:autoSpaceDN w:val="0"/>
        <w:bidi w:val="0"/>
        <w:adjustRightInd w:val="0"/>
        <w:snapToGrid w:val="0"/>
        <w:spacing w:before="31" w:line="360" w:lineRule="auto"/>
        <w:ind w:left="40" w:right="198" w:firstLine="45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4086BFDC">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2" w:right="198"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（2）编制《投标总价》的造价工程师，其注册证书不是住建部门颁发的；其注册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2434B2FC">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200" w:firstLine="48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10D18E6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2" w:right="81"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FE82E3">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right="2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rPr>
        <w:t>最高投标限价</w:t>
      </w:r>
      <w:r>
        <w:rPr>
          <w:rFonts w:hint="eastAsia" w:ascii="宋体" w:hAnsi="宋体" w:eastAsia="宋体" w:cs="宋体"/>
          <w:color w:val="auto"/>
          <w:spacing w:val="-2"/>
          <w:sz w:val="24"/>
          <w:szCs w:val="24"/>
          <w:highlight w:val="none"/>
        </w:rPr>
        <w:t>的；绿色施工安全防护措施费少于规定的；暂列金额、暂估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A4B5CD1">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8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1590734">
      <w:pPr>
        <w:spacing w:before="151" w:line="360" w:lineRule="auto"/>
        <w:ind w:left="476"/>
        <w:outlineLvl w:val="2"/>
        <w:rPr>
          <w:rFonts w:hint="eastAsia" w:ascii="宋体" w:hAnsi="宋体" w:eastAsia="宋体" w:cs="宋体"/>
          <w:color w:val="auto"/>
          <w:sz w:val="24"/>
          <w:szCs w:val="24"/>
          <w:highlight w:val="none"/>
        </w:rPr>
      </w:pPr>
      <w:bookmarkStart w:id="153" w:name="_Toc29500"/>
      <w:bookmarkStart w:id="154" w:name="_Toc21929"/>
      <w:bookmarkStart w:id="155" w:name="_Toc14523"/>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11"/>
          <w:sz w:val="24"/>
          <w:szCs w:val="24"/>
          <w:highlight w:val="none"/>
        </w:rPr>
        <w:t>其他</w:t>
      </w:r>
      <w:bookmarkEnd w:id="153"/>
      <w:bookmarkEnd w:id="154"/>
      <w:bookmarkEnd w:id="155"/>
    </w:p>
    <w:p w14:paraId="46C810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在任何评标环节（或阶段），投标人有下列情形之一的，评标委员会应否决其投标。被否决的投标人，不进入下一环节（或阶段）。</w:t>
      </w:r>
    </w:p>
    <w:p w14:paraId="6A70F2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（1）不按评标委员会要求澄清、说明或补正的；</w:t>
      </w:r>
    </w:p>
    <w:p w14:paraId="4CBBCC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（2）有下列情形之一，被评标委员会认定属于串通投标的：</w:t>
      </w:r>
    </w:p>
    <w:p w14:paraId="271141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①不同投标人的投标文件两处以上（含两处）错、漏一致；</w:t>
      </w:r>
    </w:p>
    <w:p w14:paraId="55C46F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②不同投标人的投标总价相近且各分项报价、综合单价分析表内容混乱不能相互对应、乱调乱压或乱抬的，而在询标时没有合理的解释或者不能提供计算依据和报价依据；</w:t>
      </w:r>
    </w:p>
    <w:p w14:paraId="087B17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③不同投标人的投标各项报价存在异常一致或者呈规律性变化；</w:t>
      </w:r>
    </w:p>
    <w:p w14:paraId="291903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④不同投标人的投标文件由同一单位或者同一个人编制；</w:t>
      </w:r>
    </w:p>
    <w:p w14:paraId="724112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⑤不同投标人的投标文件中投标资料（包括电子资料）相互混装或项目班子成员出现同一人；</w:t>
      </w:r>
    </w:p>
    <w:p w14:paraId="2E9AD5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⑥不同投标人的投标文件由同一电脑编制或同一台附属设备打印，或投标报价用同一个预算编制软件密码锁制作或出自同一电子文档；</w:t>
      </w:r>
    </w:p>
    <w:p w14:paraId="6E160A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⑦不同投标人的投标保证由同一企业或同一账户资金缴纳；</w:t>
      </w:r>
    </w:p>
    <w:p w14:paraId="60106A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⑧不同投标人委托同一个人或注册在同一家企业的注册人员或同一家企业为其投标提供投标咨询、商务报价、技术咨询（招标项目本身要求采用专有技术的除外）等服务。</w:t>
      </w:r>
    </w:p>
    <w:p w14:paraId="53EB2D8B">
      <w:pPr>
        <w:spacing w:before="78" w:line="360" w:lineRule="auto"/>
        <w:jc w:val="center"/>
        <w:outlineLvl w:val="0"/>
        <w:rPr>
          <w:rFonts w:hint="eastAsia" w:ascii="宋体" w:hAnsi="宋体" w:eastAsia="宋体" w:cs="宋体"/>
          <w:b/>
          <w:bCs/>
          <w:color w:val="auto"/>
          <w:spacing w:val="-3"/>
          <w:sz w:val="24"/>
          <w:szCs w:val="24"/>
          <w:highlight w:val="none"/>
        </w:rPr>
      </w:pPr>
      <w:bookmarkStart w:id="156" w:name="bookmark57"/>
      <w:bookmarkEnd w:id="156"/>
      <w:bookmarkStart w:id="157" w:name="_Toc20640"/>
      <w:bookmarkStart w:id="158" w:name="_Toc20000"/>
      <w:r>
        <w:rPr>
          <w:rFonts w:hint="eastAsia" w:ascii="宋体" w:hAnsi="宋体" w:eastAsia="宋体" w:cs="宋体"/>
          <w:b/>
          <w:bCs/>
          <w:color w:val="auto"/>
          <w:spacing w:val="-3"/>
          <w:sz w:val="24"/>
          <w:szCs w:val="24"/>
          <w:highlight w:val="none"/>
        </w:rPr>
        <w:t>第二章</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中标人须知</w:t>
      </w:r>
      <w:bookmarkEnd w:id="157"/>
      <w:bookmarkEnd w:id="158"/>
    </w:p>
    <w:p w14:paraId="33D1480D">
      <w:pPr>
        <w:spacing w:before="151" w:line="360" w:lineRule="auto"/>
        <w:ind w:left="476"/>
        <w:outlineLvl w:val="2"/>
        <w:rPr>
          <w:rFonts w:hint="eastAsia" w:ascii="宋体" w:hAnsi="宋体" w:eastAsia="宋体" w:cs="宋体"/>
          <w:b/>
          <w:bCs/>
          <w:color w:val="auto"/>
          <w:spacing w:val="-11"/>
          <w:sz w:val="24"/>
          <w:szCs w:val="24"/>
          <w:highlight w:val="none"/>
        </w:rPr>
      </w:pPr>
      <w:bookmarkStart w:id="159" w:name="_Toc11992"/>
      <w:bookmarkStart w:id="160" w:name="_Toc9110"/>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中标通知书</w:t>
      </w:r>
      <w:bookmarkEnd w:id="159"/>
      <w:bookmarkEnd w:id="160"/>
    </w:p>
    <w:p w14:paraId="51329CD9">
      <w:pPr>
        <w:spacing w:before="152" w:line="360" w:lineRule="auto"/>
        <w:ind w:left="17" w:firstLine="559"/>
        <w:jc w:val="both"/>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招标人确定第一中标候选人为中标人，并在中标人确定之日起7日内向中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6832A809">
      <w:pPr>
        <w:spacing w:before="151" w:line="360" w:lineRule="auto"/>
        <w:ind w:left="476"/>
        <w:outlineLvl w:val="2"/>
        <w:rPr>
          <w:rFonts w:hint="eastAsia" w:ascii="宋体" w:hAnsi="宋体" w:eastAsia="宋体" w:cs="宋体"/>
          <w:b/>
          <w:bCs/>
          <w:color w:val="auto"/>
          <w:spacing w:val="-11"/>
          <w:sz w:val="24"/>
          <w:szCs w:val="24"/>
          <w:highlight w:val="none"/>
        </w:rPr>
      </w:pPr>
      <w:bookmarkStart w:id="161" w:name="_Toc7161"/>
      <w:bookmarkStart w:id="162" w:name="_Toc10616"/>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中标结果公示</w:t>
      </w:r>
      <w:bookmarkEnd w:id="161"/>
      <w:bookmarkEnd w:id="162"/>
    </w:p>
    <w:p w14:paraId="5173095A">
      <w:pPr>
        <w:spacing w:before="115" w:line="360" w:lineRule="auto"/>
        <w:ind w:left="2" w:right="203" w:firstLine="595"/>
        <w:jc w:val="both"/>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w:t>
      </w:r>
      <w:r>
        <w:rPr>
          <w:rFonts w:hint="eastAsia" w:ascii="宋体" w:hAnsi="宋体" w:eastAsia="宋体" w:cs="宋体"/>
          <w:color w:val="auto"/>
          <w:spacing w:val="50"/>
          <w:w w:val="101"/>
          <w:sz w:val="24"/>
          <w:szCs w:val="24"/>
          <w:highlight w:val="none"/>
        </w:rPr>
        <w:t xml:space="preserve"> </w:t>
      </w:r>
      <w:r>
        <w:rPr>
          <w:rFonts w:hint="eastAsia" w:ascii="宋体" w:hAnsi="宋体" w:eastAsia="宋体" w:cs="宋体"/>
          <w:color w:val="auto"/>
          <w:spacing w:val="-2"/>
          <w:sz w:val="24"/>
          <w:szCs w:val="24"/>
          <w:highlight w:val="none"/>
        </w:rPr>
        <w:t>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AC0E276">
      <w:pPr>
        <w:spacing w:before="151" w:line="360" w:lineRule="auto"/>
        <w:ind w:left="476"/>
        <w:outlineLvl w:val="2"/>
        <w:rPr>
          <w:rFonts w:hint="eastAsia" w:ascii="宋体" w:hAnsi="宋体" w:eastAsia="宋体" w:cs="宋体"/>
          <w:b/>
          <w:bCs/>
          <w:color w:val="auto"/>
          <w:spacing w:val="-11"/>
          <w:sz w:val="24"/>
          <w:szCs w:val="24"/>
          <w:highlight w:val="none"/>
        </w:rPr>
      </w:pPr>
      <w:bookmarkStart w:id="163" w:name="_Toc15464"/>
      <w:bookmarkStart w:id="164" w:name="_Toc28533"/>
      <w:r>
        <w:rPr>
          <w:rFonts w:hint="eastAsia" w:ascii="宋体" w:hAnsi="宋体" w:eastAsia="宋体" w:cs="宋体"/>
          <w:b/>
          <w:bCs/>
          <w:color w:val="auto"/>
          <w:spacing w:val="-11"/>
          <w:sz w:val="24"/>
          <w:szCs w:val="24"/>
          <w:highlight w:val="none"/>
        </w:rPr>
        <w:t>3</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履约保证</w:t>
      </w:r>
      <w:bookmarkEnd w:id="163"/>
      <w:bookmarkEnd w:id="164"/>
    </w:p>
    <w:p w14:paraId="6B965CAC">
      <w:pPr>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10</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5</w:t>
      </w:r>
      <w:r>
        <w:rPr>
          <w:rFonts w:hint="eastAsia" w:ascii="宋体" w:hAnsi="宋体" w:eastAsia="宋体" w:cs="宋体"/>
          <w:color w:val="auto"/>
          <w:spacing w:val="-1"/>
          <w:position w:val="2"/>
          <w:sz w:val="24"/>
          <w:szCs w:val="24"/>
          <w:highlight w:val="none"/>
          <w:u w:val="single"/>
        </w:rPr>
        <w:t>%</w:t>
      </w:r>
      <w:r>
        <w:rPr>
          <w:rFonts w:hint="eastAsia" w:ascii="宋体" w:hAnsi="宋体" w:eastAsia="宋体" w:cs="宋体"/>
          <w:color w:val="auto"/>
          <w:spacing w:val="-1"/>
          <w:position w:val="2"/>
          <w:sz w:val="24"/>
          <w:szCs w:val="24"/>
          <w:highlight w:val="none"/>
        </w:rPr>
        <w:t>的履约保证。联合体中标的，由联合体牵头人提交。</w:t>
      </w:r>
    </w:p>
    <w:p w14:paraId="419293D0">
      <w:pPr>
        <w:keepNext w:val="0"/>
        <w:keepLines w:val="0"/>
        <w:pageBreakBefore w:val="0"/>
        <w:widowControl w:val="0"/>
        <w:kinsoku w:val="0"/>
        <w:overflowPunct/>
        <w:topLinePunct w:val="0"/>
        <w:autoSpaceDE w:val="0"/>
        <w:autoSpaceDN w:val="0"/>
        <w:bidi w:val="0"/>
        <w:adjustRightInd w:val="0"/>
        <w:snapToGrid w:val="0"/>
        <w:spacing w:before="89" w:line="360" w:lineRule="auto"/>
        <w:ind w:left="12" w:right="108" w:firstLine="473"/>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29CA7BCE">
      <w:pPr>
        <w:keepNext w:val="0"/>
        <w:keepLines w:val="0"/>
        <w:pageBreakBefore w:val="0"/>
        <w:widowControl w:val="0"/>
        <w:kinsoku w:val="0"/>
        <w:wordWrap w:val="0"/>
        <w:overflowPunct/>
        <w:topLinePunct w:val="0"/>
        <w:autoSpaceDE w:val="0"/>
        <w:autoSpaceDN w:val="0"/>
        <w:bidi w:val="0"/>
        <w:adjustRightInd w:val="0"/>
        <w:snapToGrid w:val="0"/>
        <w:spacing w:line="360" w:lineRule="auto"/>
        <w:ind w:firstLine="562"/>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0C149FC0">
      <w:pPr>
        <w:keepNext w:val="0"/>
        <w:keepLines w:val="0"/>
        <w:pageBreakBefore w:val="0"/>
        <w:widowControl w:val="0"/>
        <w:kinsoku w:val="0"/>
        <w:overflowPunct/>
        <w:topLinePunct w:val="0"/>
        <w:autoSpaceDE w:val="0"/>
        <w:autoSpaceDN w:val="0"/>
        <w:bidi w:val="0"/>
        <w:adjustRightInd w:val="0"/>
        <w:snapToGrid w:val="0"/>
        <w:spacing w:before="145" w:line="360" w:lineRule="auto"/>
        <w:ind w:left="12" w:right="108"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03CC3AE0">
      <w:pPr>
        <w:keepNext w:val="0"/>
        <w:keepLines w:val="0"/>
        <w:pageBreakBefore w:val="0"/>
        <w:widowControl w:val="0"/>
        <w:kinsoku w:val="0"/>
        <w:overflowPunct/>
        <w:topLinePunct w:val="0"/>
        <w:autoSpaceDE w:val="0"/>
        <w:autoSpaceDN w:val="0"/>
        <w:bidi w:val="0"/>
        <w:adjustRightInd w:val="0"/>
        <w:snapToGrid w:val="0"/>
        <w:spacing w:before="152" w:line="360" w:lineRule="auto"/>
        <w:ind w:left="12" w:right="108"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3E738746">
      <w:pPr>
        <w:keepNext w:val="0"/>
        <w:keepLines w:val="0"/>
        <w:pageBreakBefore w:val="0"/>
        <w:widowControl w:val="0"/>
        <w:kinsoku w:val="0"/>
        <w:overflowPunct/>
        <w:topLinePunct w:val="0"/>
        <w:autoSpaceDE w:val="0"/>
        <w:autoSpaceDN w:val="0"/>
        <w:bidi w:val="0"/>
        <w:adjustRightInd w:val="0"/>
        <w:snapToGrid w:val="0"/>
        <w:spacing w:before="154" w:line="360" w:lineRule="auto"/>
        <w:ind w:left="486"/>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2AC22F1D">
      <w:pPr>
        <w:spacing w:before="151" w:line="360" w:lineRule="auto"/>
        <w:ind w:left="476"/>
        <w:outlineLvl w:val="2"/>
        <w:rPr>
          <w:rFonts w:hint="eastAsia" w:ascii="宋体" w:hAnsi="宋体" w:eastAsia="宋体" w:cs="宋体"/>
          <w:b/>
          <w:bCs/>
          <w:color w:val="auto"/>
          <w:spacing w:val="-11"/>
          <w:sz w:val="24"/>
          <w:szCs w:val="24"/>
          <w:highlight w:val="none"/>
        </w:rPr>
      </w:pPr>
      <w:bookmarkStart w:id="165" w:name="_Toc8851"/>
      <w:bookmarkStart w:id="166" w:name="_Toc23236"/>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合同订立</w:t>
      </w:r>
      <w:bookmarkEnd w:id="165"/>
      <w:bookmarkEnd w:id="166"/>
    </w:p>
    <w:p w14:paraId="7ECD82C0">
      <w:pPr>
        <w:spacing w:before="150" w:line="360"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6CC66F44">
      <w:pPr>
        <w:spacing w:before="150" w:line="360" w:lineRule="auto"/>
        <w:ind w:left="13" w:right="108" w:firstLine="474"/>
        <w:rPr>
          <w:rFonts w:hint="eastAsia" w:ascii="宋体" w:hAnsi="宋体" w:eastAsia="宋体" w:cs="宋体"/>
          <w:b w:val="0"/>
          <w:bCs w:val="0"/>
          <w:color w:val="auto"/>
          <w:sz w:val="24"/>
          <w:szCs w:val="24"/>
          <w:highlight w:val="none"/>
        </w:rPr>
      </w:pPr>
      <w:bookmarkStart w:id="167" w:name="_Toc24043"/>
      <w:r>
        <w:rPr>
          <w:rFonts w:hint="eastAsia" w:ascii="宋体" w:hAnsi="宋体" w:eastAsia="宋体" w:cs="宋体"/>
          <w:b/>
          <w:bCs/>
          <w:color w:val="auto"/>
          <w:sz w:val="24"/>
          <w:szCs w:val="24"/>
          <w:highlight w:val="none"/>
        </w:rPr>
        <w:t xml:space="preserve">4.2  </w:t>
      </w:r>
      <w:r>
        <w:rPr>
          <w:rFonts w:hint="eastAsia" w:ascii="宋体" w:hAnsi="宋体" w:eastAsia="宋体" w:cs="宋体"/>
          <w:b w:val="0"/>
          <w:bCs w:val="0"/>
          <w:color w:val="auto"/>
          <w:sz w:val="24"/>
          <w:szCs w:val="24"/>
          <w:highlight w:val="none"/>
        </w:rPr>
        <w:t>不正常报价的梳理和确认</w:t>
      </w:r>
      <w:bookmarkEnd w:id="167"/>
    </w:p>
    <w:p w14:paraId="0F0E66BC">
      <w:pPr>
        <w:spacing w:before="154" w:line="360"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权编制本项目招标控制价的造价咨询单位实施。</w:t>
      </w:r>
    </w:p>
    <w:p w14:paraId="60493062">
      <w:pPr>
        <w:spacing w:before="121" w:line="360"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7BB0AF98">
      <w:pPr>
        <w:spacing w:before="157" w:line="360"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1AF8E3BC">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不平衡报价的认定。经修正算术性错误后的中标人已标价工程量清单中，对于投标报价中综合单价相对招标控制价《分部分项工程和单价措施项目清单与计价表》中对应综合单价的偏差大于±15%的清</w:t>
      </w:r>
      <w:r>
        <w:rPr>
          <w:rFonts w:hint="eastAsia" w:ascii="宋体" w:hAnsi="宋体" w:eastAsia="宋体" w:cs="宋体"/>
          <w:color w:val="auto"/>
          <w:spacing w:val="-3"/>
          <w:sz w:val="24"/>
          <w:szCs w:val="24"/>
          <w:highlight w:val="none"/>
        </w:rPr>
        <w:t>单项目，视为不平衡报价项目。</w:t>
      </w:r>
    </w:p>
    <w:p w14:paraId="48F72EBF">
      <w:pPr>
        <w:spacing w:before="146" w:line="36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489EB373">
      <w:pPr>
        <w:spacing w:before="34" w:line="360"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46FD6D81">
      <w:pPr>
        <w:spacing w:before="33" w:line="360"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3442E2E5">
      <w:pPr>
        <w:spacing w:before="120" w:line="360" w:lineRule="auto"/>
        <w:ind w:left="11" w:right="28" w:firstLine="476"/>
        <w:rPr>
          <w:rFonts w:hint="eastAsia" w:ascii="宋体" w:hAnsi="宋体" w:eastAsia="宋体" w:cs="宋体"/>
          <w:b/>
          <w:bCs/>
          <w:color w:val="auto"/>
          <w:spacing w:val="-4"/>
          <w:sz w:val="24"/>
          <w:szCs w:val="24"/>
          <w:highlight w:val="none"/>
        </w:rPr>
      </w:pPr>
      <w:bookmarkStart w:id="168" w:name="_Toc17784"/>
      <w:r>
        <w:rPr>
          <w:rFonts w:hint="eastAsia" w:ascii="宋体" w:hAnsi="宋体" w:eastAsia="宋体" w:cs="宋体"/>
          <w:b/>
          <w:bCs/>
          <w:color w:val="auto"/>
          <w:spacing w:val="-4"/>
          <w:sz w:val="24"/>
          <w:szCs w:val="24"/>
          <w:highlight w:val="none"/>
        </w:rPr>
        <w:t xml:space="preserve">4.3  </w:t>
      </w:r>
      <w:r>
        <w:rPr>
          <w:rFonts w:hint="eastAsia" w:ascii="宋体" w:hAnsi="宋体" w:eastAsia="宋体" w:cs="宋体"/>
          <w:b w:val="0"/>
          <w:bCs w:val="0"/>
          <w:color w:val="auto"/>
          <w:spacing w:val="-4"/>
          <w:sz w:val="24"/>
          <w:szCs w:val="24"/>
          <w:highlight w:val="none"/>
        </w:rPr>
        <w:t>本招标项目合同计价方式为：</w:t>
      </w:r>
      <w:r>
        <w:rPr>
          <w:rFonts w:hint="eastAsia" w:ascii="宋体" w:hAnsi="宋体" w:eastAsia="宋体" w:cs="宋体"/>
          <w:b w:val="0"/>
          <w:bCs w:val="0"/>
          <w:color w:val="auto"/>
          <w:spacing w:val="-4"/>
          <w:sz w:val="24"/>
          <w:szCs w:val="24"/>
          <w:highlight w:val="none"/>
          <w:u w:val="single"/>
          <w:lang w:eastAsia="zh-CN"/>
        </w:rPr>
        <w:t>单</w:t>
      </w:r>
      <w:r>
        <w:rPr>
          <w:rFonts w:hint="eastAsia" w:ascii="宋体" w:hAnsi="宋体" w:eastAsia="宋体" w:cs="宋体"/>
          <w:b w:val="0"/>
          <w:bCs w:val="0"/>
          <w:color w:val="auto"/>
          <w:spacing w:val="-4"/>
          <w:sz w:val="24"/>
          <w:szCs w:val="24"/>
          <w:highlight w:val="none"/>
          <w:u w:val="single"/>
        </w:rPr>
        <w:t>价</w:t>
      </w:r>
      <w:r>
        <w:rPr>
          <w:rFonts w:hint="eastAsia" w:ascii="宋体" w:hAnsi="宋体" w:eastAsia="宋体" w:cs="宋体"/>
          <w:b w:val="0"/>
          <w:bCs w:val="0"/>
          <w:color w:val="auto"/>
          <w:spacing w:val="-4"/>
          <w:sz w:val="24"/>
          <w:szCs w:val="24"/>
          <w:highlight w:val="none"/>
        </w:rPr>
        <w:t>合同。</w:t>
      </w:r>
      <w:bookmarkEnd w:id="168"/>
    </w:p>
    <w:p w14:paraId="2F349CEC">
      <w:pPr>
        <w:spacing w:before="120" w:line="360"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7B139D88">
      <w:pPr>
        <w:spacing w:before="158" w:line="360"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 天内仍未签订，视其放弃中标。</w:t>
      </w:r>
    </w:p>
    <w:p w14:paraId="5665F3E1">
      <w:pPr>
        <w:spacing w:before="155" w:line="360" w:lineRule="auto"/>
        <w:ind w:left="12" w:right="82" w:firstLine="474"/>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建设工程交易系统，并发起退还投标保证的申请。韶关市公共资源交易中心在收到申请之日起3个工作日内，将投标保证金（或银行保函）退还给中标人和其他中标候选人。</w:t>
      </w:r>
    </w:p>
    <w:p w14:paraId="2C73A4D6">
      <w:pPr>
        <w:spacing w:before="151" w:line="360" w:lineRule="auto"/>
        <w:ind w:left="476"/>
        <w:outlineLvl w:val="2"/>
        <w:rPr>
          <w:rFonts w:hint="eastAsia" w:ascii="宋体" w:hAnsi="宋体" w:eastAsia="宋体" w:cs="宋体"/>
          <w:b/>
          <w:bCs/>
          <w:color w:val="auto"/>
          <w:spacing w:val="-11"/>
          <w:sz w:val="24"/>
          <w:szCs w:val="24"/>
          <w:highlight w:val="none"/>
        </w:rPr>
      </w:pPr>
      <w:bookmarkStart w:id="169" w:name="_Toc23772"/>
      <w:bookmarkStart w:id="170" w:name="_Toc21620"/>
      <w:r>
        <w:rPr>
          <w:rFonts w:hint="eastAsia" w:ascii="宋体" w:hAnsi="宋体" w:eastAsia="宋体" w:cs="宋体"/>
          <w:b/>
          <w:bCs/>
          <w:color w:val="auto"/>
          <w:spacing w:val="-11"/>
          <w:sz w:val="24"/>
          <w:szCs w:val="24"/>
          <w:highlight w:val="none"/>
        </w:rPr>
        <w:t>5</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放弃中标的处理</w:t>
      </w:r>
      <w:bookmarkEnd w:id="169"/>
      <w:bookmarkEnd w:id="170"/>
    </w:p>
    <w:p w14:paraId="6DEC4651">
      <w:pPr>
        <w:spacing w:before="150" w:line="360"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395ACED5">
      <w:pPr>
        <w:spacing w:before="79" w:line="360" w:lineRule="auto"/>
        <w:ind w:left="10" w:right="91" w:firstLine="479"/>
        <w:rPr>
          <w:rFonts w:hint="default" w:ascii="宋体" w:hAnsi="宋体" w:eastAsia="宋体" w:cs="宋体"/>
          <w:lang w:val="en-US" w:eastAsia="zh-CN"/>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71" w:name="bookmark84"/>
      <w:bookmarkEnd w:id="171"/>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326B6CF0">
      <w:pPr>
        <w:rPr>
          <w:rFonts w:hint="eastAsia" w:ascii="宋体" w:hAnsi="宋体" w:eastAsia="宋体" w:cs="宋体"/>
          <w:lang w:val="en-US" w:eastAsia="zh-CN"/>
        </w:rPr>
      </w:pPr>
    </w:p>
    <w:p w14:paraId="5B389023">
      <w:pPr>
        <w:rPr>
          <w:rFonts w:hint="eastAsia" w:ascii="宋体" w:hAnsi="宋体" w:eastAsia="宋体" w:cs="宋体"/>
          <w:lang w:val="en-US" w:eastAsia="zh-CN"/>
        </w:rPr>
      </w:pPr>
    </w:p>
    <w:p w14:paraId="6444F542">
      <w:pPr>
        <w:rPr>
          <w:rFonts w:hint="eastAsia" w:ascii="宋体" w:hAnsi="宋体" w:eastAsia="宋体" w:cs="宋体"/>
          <w:lang w:val="en-US" w:eastAsia="zh-CN"/>
        </w:rPr>
      </w:pPr>
    </w:p>
    <w:p w14:paraId="33DC35FD">
      <w:pPr>
        <w:rPr>
          <w:rFonts w:hint="eastAsia" w:ascii="宋体" w:hAnsi="宋体" w:eastAsia="宋体" w:cs="宋体"/>
          <w:lang w:val="en-US" w:eastAsia="zh-CN"/>
        </w:rPr>
      </w:pPr>
    </w:p>
    <w:p w14:paraId="6E838CFD">
      <w:pPr>
        <w:rPr>
          <w:rFonts w:hint="eastAsia" w:ascii="宋体" w:hAnsi="宋体" w:eastAsia="宋体" w:cs="宋体"/>
          <w:lang w:val="en-US" w:eastAsia="zh-CN"/>
        </w:rPr>
      </w:pPr>
    </w:p>
    <w:p w14:paraId="1778A1B0">
      <w:pPr>
        <w:rPr>
          <w:rFonts w:hint="eastAsia" w:ascii="宋体" w:hAnsi="宋体" w:eastAsia="宋体" w:cs="宋体"/>
          <w:lang w:val="en-US" w:eastAsia="zh-CN"/>
        </w:rPr>
      </w:pPr>
    </w:p>
    <w:p w14:paraId="18DDD488">
      <w:pPr>
        <w:rPr>
          <w:rFonts w:hint="eastAsia" w:ascii="宋体" w:hAnsi="宋体" w:eastAsia="宋体" w:cs="宋体"/>
          <w:lang w:val="en-US" w:eastAsia="zh-CN"/>
        </w:rPr>
      </w:pPr>
    </w:p>
    <w:p w14:paraId="79F60456">
      <w:pPr>
        <w:pStyle w:val="2"/>
        <w:rPr>
          <w:rFonts w:hint="eastAsia" w:ascii="宋体" w:hAnsi="宋体" w:eastAsia="宋体" w:cs="宋体"/>
          <w:lang w:val="en-US" w:eastAsia="zh-CN"/>
        </w:rPr>
      </w:pPr>
    </w:p>
    <w:p w14:paraId="464C7AD6">
      <w:pPr>
        <w:rPr>
          <w:rFonts w:hint="eastAsia" w:ascii="宋体" w:hAnsi="宋体" w:eastAsia="宋体" w:cs="宋体"/>
          <w:lang w:val="en-US" w:eastAsia="zh-CN"/>
        </w:rPr>
      </w:pPr>
    </w:p>
    <w:p w14:paraId="74C00C7D">
      <w:pPr>
        <w:pStyle w:val="2"/>
        <w:rPr>
          <w:rFonts w:hint="eastAsia"/>
          <w:lang w:val="en-US" w:eastAsia="zh-CN"/>
        </w:rPr>
      </w:pPr>
    </w:p>
    <w:p w14:paraId="43A791B5">
      <w:pPr>
        <w:rPr>
          <w:rFonts w:hint="eastAsia" w:ascii="宋体" w:hAnsi="宋体" w:eastAsia="宋体" w:cs="宋体"/>
          <w:lang w:val="en-US" w:eastAsia="zh-CN"/>
        </w:rPr>
      </w:pPr>
    </w:p>
    <w:p w14:paraId="21CE945E">
      <w:pPr>
        <w:rPr>
          <w:rFonts w:hint="eastAsia" w:ascii="宋体" w:hAnsi="宋体" w:eastAsia="宋体" w:cs="宋体"/>
          <w:lang w:val="en-US" w:eastAsia="zh-CN"/>
        </w:rPr>
      </w:pPr>
    </w:p>
    <w:p w14:paraId="36A6D888">
      <w:pPr>
        <w:rPr>
          <w:rFonts w:hint="eastAsia" w:ascii="宋体" w:hAnsi="宋体" w:eastAsia="宋体" w:cs="宋体"/>
          <w:lang w:val="en-US" w:eastAsia="zh-CN"/>
        </w:rPr>
      </w:pPr>
    </w:p>
    <w:p w14:paraId="32A3C541">
      <w:pPr>
        <w:spacing w:before="78" w:line="360" w:lineRule="auto"/>
        <w:ind w:left="2923"/>
        <w:outlineLvl w:val="0"/>
        <w:rPr>
          <w:rFonts w:hint="eastAsia" w:ascii="宋体" w:hAnsi="宋体" w:eastAsia="宋体" w:cs="宋体"/>
          <w:color w:val="auto"/>
          <w:highlight w:val="none"/>
        </w:rPr>
      </w:pPr>
      <w:bookmarkStart w:id="172" w:name="bookmark86"/>
      <w:bookmarkEnd w:id="172"/>
      <w:bookmarkStart w:id="173" w:name="_Toc24083"/>
      <w:bookmarkStart w:id="174" w:name="_Toc6714"/>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拟签订合同的主要条款</w:t>
      </w:r>
      <w:bookmarkEnd w:id="173"/>
      <w:bookmarkEnd w:id="174"/>
    </w:p>
    <w:p w14:paraId="3ABC111F">
      <w:pPr>
        <w:spacing w:before="151" w:line="360" w:lineRule="auto"/>
        <w:ind w:left="476"/>
        <w:outlineLvl w:val="2"/>
        <w:rPr>
          <w:rFonts w:hint="eastAsia" w:ascii="宋体" w:hAnsi="宋体" w:eastAsia="宋体" w:cs="宋体"/>
          <w:b/>
          <w:bCs/>
          <w:color w:val="auto"/>
          <w:spacing w:val="-11"/>
          <w:sz w:val="24"/>
          <w:szCs w:val="24"/>
          <w:highlight w:val="none"/>
        </w:rPr>
      </w:pPr>
      <w:bookmarkStart w:id="175" w:name="_Toc9967"/>
      <w:bookmarkStart w:id="176" w:name="_Toc1621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工程承包方式</w:t>
      </w:r>
      <w:bookmarkEnd w:id="175"/>
      <w:bookmarkEnd w:id="176"/>
    </w:p>
    <w:p w14:paraId="44A100EA">
      <w:pPr>
        <w:spacing w:before="153" w:line="360" w:lineRule="auto"/>
        <w:ind w:left="11" w:right="295" w:firstLine="487"/>
        <w:rPr>
          <w:rFonts w:hint="eastAsia" w:ascii="宋体" w:hAnsi="宋体" w:eastAsia="宋体" w:cs="宋体"/>
          <w:sz w:val="24"/>
          <w:szCs w:val="24"/>
        </w:rPr>
      </w:pPr>
      <w:r>
        <w:rPr>
          <w:rFonts w:hint="eastAsia" w:ascii="宋体" w:hAnsi="宋体" w:eastAsia="宋体" w:cs="宋体"/>
          <w:b/>
          <w:bCs/>
          <w:color w:val="auto"/>
          <w:sz w:val="24"/>
          <w:szCs w:val="24"/>
          <w:highlight w:val="none"/>
        </w:rPr>
        <w:t xml:space="preserve">1.1  </w:t>
      </w:r>
      <w:r>
        <w:rPr>
          <w:rFonts w:hint="eastAsia" w:ascii="宋体" w:hAnsi="宋体" w:eastAsia="宋体" w:cs="宋体"/>
          <w:sz w:val="24"/>
          <w:szCs w:val="24"/>
        </w:rPr>
        <w:t>承包人以中标价按包工包料、包质量、包安全包文明施工、包工期方式总承包施工，不允许转包和违法分包，如果确需分包须与发包人协商，在得到发包人和监理单位同意后报建设行政主管部门备案。</w:t>
      </w:r>
    </w:p>
    <w:p w14:paraId="357A527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98F9F49">
      <w:pPr>
        <w:spacing w:before="156"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7B11DC5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2599FB52">
      <w:pPr>
        <w:spacing w:before="154" w:line="360" w:lineRule="auto"/>
        <w:ind w:left="580"/>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325AF9D0">
      <w:pPr>
        <w:spacing w:before="151" w:line="360" w:lineRule="auto"/>
        <w:ind w:left="476"/>
        <w:outlineLvl w:val="2"/>
        <w:rPr>
          <w:rFonts w:hint="eastAsia" w:ascii="宋体" w:hAnsi="宋体" w:eastAsia="宋体" w:cs="宋体"/>
          <w:b/>
          <w:bCs/>
          <w:color w:val="auto"/>
          <w:spacing w:val="-11"/>
          <w:sz w:val="24"/>
          <w:szCs w:val="24"/>
          <w:highlight w:val="none"/>
        </w:rPr>
      </w:pPr>
      <w:bookmarkStart w:id="177" w:name="bookmark88"/>
      <w:bookmarkEnd w:id="177"/>
      <w:bookmarkStart w:id="178" w:name="_Toc4294"/>
      <w:bookmarkStart w:id="179" w:name="_Toc32757"/>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工程结算原则</w:t>
      </w:r>
      <w:bookmarkEnd w:id="178"/>
      <w:bookmarkEnd w:id="179"/>
    </w:p>
    <w:p w14:paraId="6CAE90BE">
      <w:pPr>
        <w:spacing w:before="155" w:line="360" w:lineRule="auto"/>
        <w:ind w:left="12" w:right="231" w:firstLine="476"/>
        <w:rPr>
          <w:rFonts w:hint="eastAsia" w:ascii="宋体" w:hAnsi="宋体" w:eastAsia="宋体" w:cs="宋体"/>
          <w:b w:val="0"/>
          <w:bCs w:val="0"/>
          <w:color w:val="auto"/>
          <w:spacing w:val="2"/>
          <w:sz w:val="24"/>
          <w:szCs w:val="24"/>
          <w:highlight w:val="none"/>
        </w:rPr>
      </w:pPr>
      <w:bookmarkStart w:id="180" w:name="_Toc15115"/>
      <w:r>
        <w:rPr>
          <w:rFonts w:hint="eastAsia" w:ascii="宋体" w:hAnsi="宋体" w:eastAsia="宋体" w:cs="宋体"/>
          <w:b/>
          <w:bCs/>
          <w:color w:val="auto"/>
          <w:spacing w:val="2"/>
          <w:sz w:val="24"/>
          <w:szCs w:val="24"/>
          <w:highlight w:val="none"/>
        </w:rPr>
        <w:t xml:space="preserve">2.1 </w:t>
      </w:r>
      <w:r>
        <w:rPr>
          <w:rFonts w:hint="eastAsia" w:ascii="宋体" w:hAnsi="宋体" w:eastAsia="宋体" w:cs="宋体"/>
          <w:b w:val="0"/>
          <w:bCs w:val="0"/>
          <w:color w:val="auto"/>
          <w:spacing w:val="2"/>
          <w:sz w:val="24"/>
          <w:szCs w:val="24"/>
          <w:highlight w:val="none"/>
        </w:rPr>
        <w:t>承包人的投标总价为中标价，即为签约合同价。</w:t>
      </w:r>
      <w:bookmarkEnd w:id="180"/>
    </w:p>
    <w:p w14:paraId="467FC701">
      <w:pPr>
        <w:spacing w:before="155" w:line="360"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量按《建设工程工程量清单计价规范》（GB50500—2013）对工程计量的规定进行计量，</w:t>
      </w:r>
      <w:r>
        <w:rPr>
          <w:rFonts w:hint="eastAsia" w:ascii="宋体" w:hAnsi="宋体" w:eastAsia="宋体" w:cs="宋体"/>
          <w:color w:val="auto"/>
          <w:spacing w:val="-2"/>
          <w:sz w:val="24"/>
          <w:szCs w:val="24"/>
          <w:highlight w:val="none"/>
        </w:rPr>
        <w:t>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198451DE">
      <w:pPr>
        <w:keepNext w:val="0"/>
        <w:keepLines w:val="0"/>
        <w:pageBreakBefore w:val="0"/>
        <w:widowControl w:val="0"/>
        <w:kinsoku w:val="0"/>
        <w:wordWrap/>
        <w:overflowPunct/>
        <w:topLinePunct w:val="0"/>
        <w:autoSpaceDE w:val="0"/>
        <w:autoSpaceDN w:val="0"/>
        <w:bidi w:val="0"/>
        <w:adjustRightInd w:val="0"/>
        <w:snapToGrid w:val="0"/>
        <w:spacing w:before="38" w:line="360" w:lineRule="auto"/>
        <w:ind w:left="12" w:right="183"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54A4EF37">
      <w:pPr>
        <w:keepNext w:val="0"/>
        <w:keepLines w:val="0"/>
        <w:pageBreakBefore w:val="0"/>
        <w:widowControl w:val="0"/>
        <w:kinsoku w:val="0"/>
        <w:wordWrap/>
        <w:overflowPunct/>
        <w:topLinePunct w:val="0"/>
        <w:autoSpaceDE w:val="0"/>
        <w:autoSpaceDN w:val="0"/>
        <w:bidi w:val="0"/>
        <w:adjustRightInd w:val="0"/>
        <w:snapToGrid w:val="0"/>
        <w:spacing w:before="22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56C8E9DF">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491AEAF4">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12" w:right="183"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”）前28天。</w:t>
      </w:r>
    </w:p>
    <w:p w14:paraId="4F023809">
      <w:pPr>
        <w:keepNext w:val="0"/>
        <w:keepLines w:val="0"/>
        <w:pageBreakBefore w:val="0"/>
        <w:widowControl w:val="0"/>
        <w:kinsoku w:val="0"/>
        <w:wordWrap/>
        <w:overflowPunct/>
        <w:topLinePunct w:val="0"/>
        <w:autoSpaceDE w:val="0"/>
        <w:autoSpaceDN w:val="0"/>
        <w:bidi w:val="0"/>
        <w:adjustRightInd w:val="0"/>
        <w:snapToGrid w:val="0"/>
        <w:spacing w:before="33" w:line="360" w:lineRule="auto"/>
        <w:ind w:left="1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1EE4469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0ED2F0AF">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C3E80F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2" w:firstLine="478"/>
        <w:jc w:val="both"/>
        <w:textAlignment w:val="baseline"/>
        <w:rPr>
          <w:rFonts w:hint="eastAsia" w:ascii="宋体" w:hAnsi="宋体" w:eastAsia="宋体" w:cs="宋体"/>
          <w:color w:val="auto"/>
          <w:sz w:val="24"/>
          <w:szCs w:val="24"/>
          <w:highlight w:val="none"/>
        </w:rPr>
      </w:pPr>
      <w:bookmarkStart w:id="181" w:name="bookmark142"/>
      <w:bookmarkEnd w:id="181"/>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r>
        <w:rPr>
          <w:rFonts w:hint="eastAsia" w:ascii="宋体" w:hAnsi="宋体" w:eastAsia="宋体" w:cs="宋体"/>
          <w:color w:val="auto"/>
          <w:spacing w:val="-1"/>
          <w:sz w:val="24"/>
          <w:szCs w:val="24"/>
          <w:highlight w:val="none"/>
        </w:rPr>
        <w:t>。</w:t>
      </w:r>
    </w:p>
    <w:p w14:paraId="592BA3DF">
      <w:pPr>
        <w:spacing w:before="97" w:line="360"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06C0A7F8">
      <w:pPr>
        <w:spacing w:before="36" w:line="360" w:lineRule="auto"/>
        <w:ind w:firstLine="462"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以招标控制价中《分部分项工程和单价措施项目清单与计价表》子目相对应综合单</w:t>
      </w:r>
      <w:r>
        <w:rPr>
          <w:rFonts w:hint="eastAsia" w:ascii="宋体" w:hAnsi="宋体" w:eastAsia="宋体" w:cs="宋体"/>
          <w:b/>
          <w:bCs/>
          <w:color w:val="auto"/>
          <w:spacing w:val="-3"/>
          <w:sz w:val="24"/>
          <w:szCs w:val="24"/>
          <w:highlight w:val="none"/>
        </w:rPr>
        <w:t>价×（1-中标下浮率）。</w:t>
      </w:r>
    </w:p>
    <w:p w14:paraId="61298CCC">
      <w:pPr>
        <w:spacing w:before="36" w:line="360" w:lineRule="auto"/>
        <w:ind w:firstLine="462" w:firstLineChars="200"/>
        <w:rPr>
          <w:rFonts w:hint="eastAsia" w:ascii="宋体" w:hAnsi="宋体" w:eastAsia="宋体" w:cs="宋体"/>
          <w:b/>
          <w:bCs/>
          <w:color w:val="auto"/>
          <w:spacing w:val="-5"/>
          <w:sz w:val="24"/>
          <w:szCs w:val="24"/>
          <w:highlight w:val="none"/>
        </w:rPr>
      </w:pPr>
      <w:bookmarkStart w:id="182" w:name="_Toc12035"/>
      <w:bookmarkStart w:id="183" w:name="_Toc18478"/>
      <w:bookmarkStart w:id="184" w:name="_Toc13345"/>
      <w:r>
        <w:rPr>
          <w:rFonts w:hint="eastAsia" w:ascii="宋体" w:hAnsi="宋体" w:eastAsia="宋体" w:cs="宋体"/>
          <w:b/>
          <w:bCs/>
          <w:color w:val="auto"/>
          <w:spacing w:val="-5"/>
          <w:sz w:val="24"/>
          <w:szCs w:val="24"/>
          <w:highlight w:val="none"/>
        </w:rPr>
        <w:t>中标下浮率=[1-（中标价-中标绿色施工安全防护措施费-暂列金额-暂估价）/（</w:t>
      </w:r>
      <w:bookmarkEnd w:id="182"/>
      <w:bookmarkEnd w:id="183"/>
      <w:bookmarkStart w:id="185" w:name="_Toc13602"/>
      <w:bookmarkStart w:id="186" w:name="_Toc15512"/>
      <w:r>
        <w:rPr>
          <w:rFonts w:hint="eastAsia" w:ascii="宋体" w:hAnsi="宋体" w:eastAsia="宋体" w:cs="宋体"/>
          <w:b/>
          <w:bCs/>
          <w:color w:val="auto"/>
          <w:spacing w:val="-5"/>
          <w:sz w:val="24"/>
          <w:szCs w:val="24"/>
          <w:highlight w:val="none"/>
        </w:rPr>
        <w:t>招标控制价-控制价绿色施工安全防护措施费-暂列金额-暂估价）] ×100%</w:t>
      </w:r>
      <w:bookmarkEnd w:id="184"/>
      <w:bookmarkEnd w:id="185"/>
      <w:bookmarkEnd w:id="186"/>
    </w:p>
    <w:p w14:paraId="39BE2C13">
      <w:pPr>
        <w:spacing w:before="123" w:line="360"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782B9F57">
      <w:pPr>
        <w:keepNext w:val="0"/>
        <w:keepLines w:val="0"/>
        <w:pageBreakBefore w:val="0"/>
        <w:widowControl w:val="0"/>
        <w:kinsoku w:val="0"/>
        <w:wordWrap/>
        <w:overflowPunct/>
        <w:topLinePunct w:val="0"/>
        <w:autoSpaceDE w:val="0"/>
        <w:autoSpaceDN w:val="0"/>
        <w:bidi w:val="0"/>
        <w:adjustRightInd w:val="0"/>
        <w:snapToGrid w:val="0"/>
        <w:spacing w:before="129" w:line="360" w:lineRule="auto"/>
        <w:ind w:left="12" w:right="179"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7886ACB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29131641">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19" w:right="179"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2F17D402">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78" w:line="360" w:lineRule="auto"/>
        <w:ind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87" w:name="bookmark143"/>
      <w:bookmarkEnd w:id="187"/>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14:paraId="5D4EF1F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8" w:line="360" w:lineRule="auto"/>
        <w:ind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条被认定为不平衡报价的清单项目，变更工程项目的单价按照本章2.3.2.1的方法调整。</w:t>
      </w:r>
    </w:p>
    <w:p w14:paraId="4FD0666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38" w:line="360" w:lineRule="auto"/>
        <w:ind w:right="81" w:rightChars="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0D466BC9">
      <w:pPr>
        <w:keepNext w:val="0"/>
        <w:keepLines w:val="0"/>
        <w:pageBreakBefore w:val="0"/>
        <w:widowControl w:val="0"/>
        <w:kinsoku w:val="0"/>
        <w:wordWrap/>
        <w:overflowPunct/>
        <w:topLinePunct w:val="0"/>
        <w:autoSpaceDE w:val="0"/>
        <w:autoSpaceDN w:val="0"/>
        <w:bidi w:val="0"/>
        <w:adjustRightInd w:val="0"/>
        <w:snapToGrid w:val="0"/>
        <w:spacing w:before="126" w:line="360" w:lineRule="auto"/>
        <w:ind w:left="29" w:right="21" w:firstLine="50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中标下浮率=[1-（中标价-中标绿色施工安全防护措施费-暂列</w:t>
      </w:r>
      <w:r>
        <w:rPr>
          <w:rFonts w:hint="eastAsia" w:ascii="宋体" w:hAnsi="宋体" w:eastAsia="宋体" w:cs="宋体"/>
          <w:b/>
          <w:bCs/>
          <w:color w:val="auto"/>
          <w:spacing w:val="-3"/>
          <w:sz w:val="24"/>
          <w:szCs w:val="24"/>
          <w:highlight w:val="none"/>
        </w:rPr>
        <w:t>金额-暂估价）/（招标控制价-控制价绿色施工安全防护措施费-暂列金额-暂估价）]×100%</w:t>
      </w:r>
    </w:p>
    <w:p w14:paraId="313D8513">
      <w:pPr>
        <w:spacing w:before="145" w:line="360" w:lineRule="auto"/>
        <w:ind w:right="81" w:firstLine="242"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已标价工程量清单中没有适用也没有类似于变更工程项目，且施工当月项目</w:t>
      </w:r>
      <w:r>
        <w:rPr>
          <w:rFonts w:hint="eastAsia" w:ascii="宋体" w:hAnsi="宋体" w:eastAsia="宋体" w:cs="宋体"/>
          <w:color w:val="auto"/>
          <w:spacing w:val="-1"/>
          <w:sz w:val="24"/>
          <w:szCs w:val="24"/>
          <w:highlight w:val="none"/>
        </w:rPr>
        <w:t>所在地工程造价管理机构发布的价格信息缺</w:t>
      </w:r>
      <w:r>
        <w:rPr>
          <w:rFonts w:hint="eastAsia" w:ascii="宋体" w:hAnsi="宋体" w:eastAsia="宋体" w:cs="宋体"/>
          <w:color w:val="auto"/>
          <w:spacing w:val="-2"/>
          <w:sz w:val="24"/>
          <w:szCs w:val="24"/>
          <w:highlight w:val="none"/>
        </w:rPr>
        <w:t>项的，由承包人根据变更工程资料、计量规</w:t>
      </w:r>
      <w:r>
        <w:rPr>
          <w:rFonts w:hint="eastAsia" w:ascii="宋体" w:hAnsi="宋体" w:eastAsia="宋体" w:cs="宋体"/>
          <w:color w:val="auto"/>
          <w:spacing w:val="-1"/>
          <w:sz w:val="24"/>
          <w:szCs w:val="24"/>
          <w:highlight w:val="none"/>
        </w:rPr>
        <w:t>则、计价办法和通过市场调查等取得有合法</w:t>
      </w:r>
      <w:r>
        <w:rPr>
          <w:rFonts w:hint="eastAsia" w:ascii="宋体" w:hAnsi="宋体" w:eastAsia="宋体" w:cs="宋体"/>
          <w:color w:val="auto"/>
          <w:spacing w:val="-2"/>
          <w:sz w:val="24"/>
          <w:szCs w:val="24"/>
          <w:highlight w:val="none"/>
        </w:rPr>
        <w:t>依据的市场价格提出变更工程项目的单价，</w:t>
      </w:r>
      <w:r>
        <w:rPr>
          <w:rFonts w:hint="eastAsia" w:ascii="宋体" w:hAnsi="宋体" w:eastAsia="宋体" w:cs="宋体"/>
          <w:color w:val="auto"/>
          <w:spacing w:val="-1"/>
          <w:sz w:val="24"/>
          <w:szCs w:val="24"/>
          <w:highlight w:val="none"/>
        </w:rPr>
        <w:t>报发包人确认后调整。</w:t>
      </w:r>
    </w:p>
    <w:p w14:paraId="4CB9A71B">
      <w:pPr>
        <w:spacing w:before="156" w:line="360"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54AFFB1B">
      <w:pPr>
        <w:spacing w:before="152" w:line="360" w:lineRule="auto"/>
        <w:ind w:left="49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（1）绿色施工安全防护措施费应按照实际发生变化的措施项目计算。</w:t>
      </w:r>
    </w:p>
    <w:p w14:paraId="6BE2B1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（2）采用单价计算的措施项目费，应按照实际发生变化的措施项目，按本章</w:t>
      </w:r>
      <w:r>
        <w:rPr>
          <w:rFonts w:hint="eastAsia" w:ascii="宋体" w:hAnsi="宋体" w:eastAsia="宋体" w:cs="宋体"/>
          <w:sz w:val="24"/>
          <w:szCs w:val="24"/>
          <w:lang w:eastAsia="zh-CN"/>
        </w:rPr>
        <w:t>第</w:t>
      </w:r>
      <w:r>
        <w:rPr>
          <w:rFonts w:hint="eastAsia" w:ascii="宋体" w:hAnsi="宋体" w:eastAsia="宋体" w:cs="宋体"/>
          <w:sz w:val="24"/>
          <w:szCs w:val="24"/>
        </w:rPr>
        <w:t>2.3.3.1子目的规定确定单价。</w:t>
      </w:r>
    </w:p>
    <w:p w14:paraId="245221E6">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考虑中标下浮率因素，即调整金额＝按照实际变化调整后的金额×（1-中标下浮率）。</w:t>
      </w:r>
    </w:p>
    <w:p w14:paraId="3A0EE7AE">
      <w:pPr>
        <w:spacing w:before="157" w:line="360"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70B170F6">
      <w:pPr>
        <w:spacing w:before="35" w:line="360"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6426E076">
      <w:pPr>
        <w:spacing w:before="155"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181F3456">
      <w:pPr>
        <w:spacing w:before="78" w:line="360" w:lineRule="auto"/>
        <w:ind w:left="8" w:right="108" w:firstLine="480"/>
        <w:jc w:val="both"/>
        <w:rPr>
          <w:rFonts w:hint="eastAsia" w:ascii="宋体" w:hAnsi="宋体" w:eastAsia="宋体" w:cs="宋体"/>
          <w:color w:val="auto"/>
          <w:sz w:val="24"/>
          <w:szCs w:val="24"/>
          <w:highlight w:val="none"/>
        </w:rPr>
      </w:pPr>
      <w:bookmarkStart w:id="188" w:name="bookmark144"/>
      <w:bookmarkEnd w:id="188"/>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4B87AA0B">
      <w:pPr>
        <w:spacing w:before="38" w:line="360"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7D9446FA">
      <w:pPr>
        <w:spacing w:before="152" w:line="360"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28F35D72">
      <w:pPr>
        <w:spacing w:before="157"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38301309">
      <w:pPr>
        <w:spacing w:before="156" w:line="360"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32D6DE6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w:t>
      </w:r>
      <w:r>
        <w:rPr>
          <w:rFonts w:hint="eastAsia" w:ascii="宋体" w:hAnsi="宋体" w:eastAsia="宋体" w:cs="宋体"/>
          <w:bCs/>
          <w:snapToGrid w:val="0"/>
          <w:color w:val="000000"/>
          <w:kern w:val="0"/>
          <w:sz w:val="24"/>
          <w:szCs w:val="24"/>
          <w:highlight w:val="none"/>
        </w:rPr>
        <w:t xml:space="preserve"> 物价变化</w:t>
      </w:r>
    </w:p>
    <w:p w14:paraId="355D11F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2.3.6.1</w:t>
      </w:r>
      <w:r>
        <w:rPr>
          <w:rFonts w:hint="eastAsia" w:ascii="宋体" w:hAnsi="宋体" w:eastAsia="宋体" w:cs="宋体"/>
          <w:bCs/>
          <w:snapToGrid w:val="0"/>
          <w:color w:val="000000"/>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000000"/>
          <w:kern w:val="0"/>
          <w:sz w:val="24"/>
          <w:szCs w:val="24"/>
          <w:highlight w:val="none"/>
        </w:rPr>
        <w:t>以下简称“中标人工费”</w:t>
      </w:r>
      <w:r>
        <w:rPr>
          <w:rFonts w:hint="eastAsia" w:ascii="宋体" w:hAnsi="宋体" w:eastAsia="宋体" w:cs="宋体"/>
          <w:bCs/>
          <w:snapToGrid w:val="0"/>
          <w:color w:val="000000"/>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84BC422">
      <w:pPr>
        <w:wordWrap w:val="0"/>
        <w:adjustRightInd w:val="0"/>
        <w:snapToGrid w:val="0"/>
        <w:spacing w:line="360" w:lineRule="auto"/>
        <w:ind w:firstLine="480" w:firstLineChars="200"/>
        <w:jc w:val="center"/>
        <w:rPr>
          <w:rFonts w:hint="eastAsia" w:ascii="宋体" w:hAnsi="宋体" w:eastAsia="宋体" w:cs="宋体"/>
          <w:bCs/>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结算人工费＝中标人工费×F</w:t>
      </w:r>
      <w:r>
        <w:rPr>
          <w:rFonts w:hint="eastAsia" w:ascii="宋体" w:hAnsi="宋体" w:eastAsia="宋体" w:cs="宋体"/>
          <w:bCs/>
          <w:snapToGrid w:val="0"/>
          <w:color w:val="000000"/>
          <w:kern w:val="0"/>
          <w:sz w:val="24"/>
          <w:szCs w:val="24"/>
          <w:highlight w:val="none"/>
          <w:vertAlign w:val="subscript"/>
        </w:rPr>
        <w:t>1</w:t>
      </w:r>
    </w:p>
    <w:p w14:paraId="4A78476B">
      <w:pPr>
        <w:wordWrap w:val="0"/>
        <w:adjustRightInd w:val="0"/>
        <w:snapToGrid w:val="0"/>
        <w:spacing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式中，F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为施工当月项目所在地工程造价管理机构发布的动态人工调整系数。</w:t>
      </w:r>
    </w:p>
    <w:p w14:paraId="7E20A54D">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2.3.6.2</w:t>
      </w:r>
      <w:r>
        <w:rPr>
          <w:rFonts w:hint="eastAsia" w:ascii="宋体" w:hAnsi="宋体" w:eastAsia="宋体" w:cs="宋体"/>
          <w:snapToGrid w:val="0"/>
          <w:color w:val="000000"/>
          <w:kern w:val="0"/>
          <w:sz w:val="24"/>
          <w:szCs w:val="24"/>
          <w:highlight w:val="none"/>
        </w:rPr>
        <w:t xml:space="preserve"> 本招标项目约定，材料、工程设备单价涨跌风险幅度值A为</w:t>
      </w:r>
      <w:r>
        <w:rPr>
          <w:rFonts w:hint="eastAsia" w:ascii="宋体" w:hAnsi="宋体" w:eastAsia="宋体" w:cs="宋体"/>
          <w:snapToGrid w:val="0"/>
          <w:color w:val="000000"/>
          <w:kern w:val="0"/>
          <w:sz w:val="24"/>
          <w:szCs w:val="24"/>
          <w:highlight w:val="none"/>
          <w:u w:val="single"/>
        </w:rPr>
        <w:t xml:space="preserve"> 5% </w:t>
      </w:r>
      <w:r>
        <w:rPr>
          <w:rFonts w:hint="eastAsia" w:ascii="宋体" w:hAnsi="宋体" w:eastAsia="宋体" w:cs="宋体"/>
          <w:snapToGrid w:val="0"/>
          <w:color w:val="000000"/>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739995F">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79394416">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5" o:spt="75" type="#_x0000_t75" style="height:33.95pt;width:200.95pt;" o:ole="t" filled="f" stroked="f" coordsize="21600,21600">
            <v:path/>
            <v:fill on="f" focussize="0,0"/>
            <v:stroke on="f"/>
            <v:imagedata r:id="rId9" o:title=""/>
            <o:lock v:ext="edit" grouping="f" rotation="f" text="f" aspectratio="t"/>
            <w10:wrap type="none"/>
            <w10:anchorlock/>
          </v:shape>
          <o:OLEObject Type="Embed" ProgID="Equation.KSEE3" ShapeID="_x0000_i1025" DrawAspect="Content" ObjectID="_1468075725" r:id="rId8">
            <o:LockedField>false</o:LockedField>
          </o:OLEObject>
        </w:object>
      </w:r>
    </w:p>
    <w:p w14:paraId="0E0A46F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6" o:spt="75" type="#_x0000_t75" style="height:33.95pt;width:198.95pt;" o:ole="t" filled="f" stroked="f" coordsize="21600,21600">
            <v:path/>
            <v:fill on="f" focussize="0,0"/>
            <v:stroke on="f"/>
            <v:imagedata r:id="rId11" o:title=""/>
            <o:lock v:ext="edit" grouping="f" rotation="f" text="f" aspectratio="t"/>
            <w10:wrap type="none"/>
            <w10:anchorlock/>
          </v:shape>
          <o:OLEObject Type="Embed" ProgID="Equation.KSEE3" ShapeID="_x0000_i1026" DrawAspect="Content" ObjectID="_1468075726" r:id="rId10">
            <o:LockedField>false</o:LockedField>
          </o:OLEObject>
        </w:object>
      </w:r>
    </w:p>
    <w:p w14:paraId="469FBED9">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．如果中标单价高于基准单价，该材料、工程设备的结算单价调整公式为：</w:t>
      </w:r>
    </w:p>
    <w:p w14:paraId="05E199E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7"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7" DrawAspect="Content" ObjectID="_1468075727" r:id="rId12">
            <o:LockedField>false</o:LockedField>
          </o:OLEObject>
        </w:object>
      </w:r>
    </w:p>
    <w:p w14:paraId="650BCA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8" o:spt="75" type="#_x0000_t75" style="height:33.95pt;width:200.95pt;" o:ole="t" filled="f" stroked="f" coordsize="21600,21600">
            <v:path/>
            <v:fill on="f" focussize="0,0"/>
            <v:stroke on="f"/>
            <v:imagedata r:id="rId15" o:title=""/>
            <o:lock v:ext="edit" grouping="f" rotation="f" text="f" aspectratio="t"/>
            <w10:wrap type="none"/>
            <w10:anchorlock/>
          </v:shape>
          <o:OLEObject Type="Embed" ProgID="Equation.KSEE3" ShapeID="_x0000_i1028" DrawAspect="Content" ObjectID="_1468075728" r:id="rId14">
            <o:LockedField>false</o:LockedField>
          </o:OLEObject>
        </w:object>
      </w:r>
    </w:p>
    <w:p w14:paraId="7D15EB0B">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．如果中标单价等于基准单价，该材料、工程设备的结算单价调整公式为：</w:t>
      </w:r>
    </w:p>
    <w:p w14:paraId="033882D4">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9"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9" DrawAspect="Content" ObjectID="_1468075729" r:id="rId16">
            <o:LockedField>false</o:LockedField>
          </o:OLEObject>
        </w:object>
      </w:r>
    </w:p>
    <w:p w14:paraId="3D754D3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0" o:spt="75" type="#_x0000_t75" style="height:33.95pt;width:200.95pt;" o:ole="t" filled="f" o:preferrelative="t" stroked="f" coordsize="21600,21600">
            <v:path/>
            <v:fill on="f" focussize="0,0"/>
            <v:stroke on="f"/>
            <v:imagedata r:id="rId19" o:title=""/>
            <o:lock v:ext="edit" grouping="f" rotation="f" text="f" aspectratio="t"/>
            <w10:wrap type="none"/>
            <w10:anchorlock/>
          </v:shape>
          <o:OLEObject Type="Embed" ProgID="Equation.KSEE3" ShapeID="_x0000_i1030" DrawAspect="Content" ObjectID="_1468075730" r:id="rId18">
            <o:LockedField>false</o:LockedField>
          </o:OLEObject>
        </w:object>
      </w:r>
    </w:p>
    <w:p w14:paraId="4DA4E11E">
      <w:pPr>
        <w:wordWrap w:val="0"/>
        <w:adjustRightInd w:val="0"/>
        <w:snapToGrid w:val="0"/>
        <w:spacing w:line="360" w:lineRule="auto"/>
        <w:ind w:firstLine="480"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 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为施工当月项目所在地工程造价管理机构发布的材料、工程设备单价；A为合同约定的材料、工程设备单价涨跌风险幅度值。</w:t>
      </w:r>
    </w:p>
    <w:p w14:paraId="58C8CA6D">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2.3.6.3</w:t>
      </w:r>
      <w:r>
        <w:rPr>
          <w:rFonts w:hint="eastAsia" w:ascii="宋体" w:hAnsi="宋体" w:eastAsia="宋体" w:cs="宋体"/>
          <w:snapToGrid w:val="0"/>
          <w:color w:val="000000"/>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4CB6A37E">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2.3.6.4</w:t>
      </w:r>
      <w:r>
        <w:rPr>
          <w:rFonts w:hint="eastAsia" w:ascii="宋体" w:hAnsi="宋体" w:eastAsia="宋体" w:cs="宋体"/>
          <w:snapToGrid w:val="0"/>
          <w:color w:val="000000"/>
          <w:kern w:val="0"/>
          <w:sz w:val="24"/>
          <w:szCs w:val="24"/>
          <w:highlight w:val="none"/>
        </w:rPr>
        <w:t xml:space="preserve"> 本招标项目约定，施工机具台班单价涨跌风险幅度值B为</w:t>
      </w:r>
      <w:r>
        <w:rPr>
          <w:rFonts w:hint="eastAsia" w:ascii="宋体" w:hAnsi="宋体" w:eastAsia="宋体" w:cs="宋体"/>
          <w:snapToGrid w:val="0"/>
          <w:color w:val="000000"/>
          <w:kern w:val="0"/>
          <w:sz w:val="24"/>
          <w:szCs w:val="24"/>
          <w:highlight w:val="none"/>
          <w:u w:val="single"/>
        </w:rPr>
        <w:t>10%</w:t>
      </w:r>
      <w:r>
        <w:rPr>
          <w:rFonts w:hint="eastAsia" w:ascii="宋体" w:hAnsi="宋体" w:eastAsia="宋体" w:cs="宋体"/>
          <w:snapToGrid w:val="0"/>
          <w:color w:val="000000"/>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55FE91E4">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6F72566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1"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1" DrawAspect="Content" ObjectID="_1468075731" r:id="rId20">
            <o:LockedField>false</o:LockedField>
          </o:OLEObject>
        </w:object>
      </w:r>
    </w:p>
    <w:p w14:paraId="15496D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2" o:spt="75" type="#_x0000_t75" style="height:33.95pt;width:198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2" DrawAspect="Content" ObjectID="_1468075732" r:id="rId22">
            <o:LockedField>false</o:LockedField>
          </o:OLEObject>
        </w:object>
      </w:r>
    </w:p>
    <w:p w14:paraId="4C10EA31">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．如果中标单价高于基准单价，该施工机具台班的结算单价调整公式为：</w:t>
      </w:r>
    </w:p>
    <w:p w14:paraId="23826AEA">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3"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3" DrawAspect="Content" ObjectID="_1468075733" r:id="rId24">
            <o:LockedField>false</o:LockedField>
          </o:OLEObject>
        </w:object>
      </w:r>
    </w:p>
    <w:p w14:paraId="741F307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4" o:spt="75" type="#_x0000_t75" style="height:33.95pt;width:200.95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4" DrawAspect="Content" ObjectID="_1468075734" r:id="rId26">
            <o:LockedField>false</o:LockedField>
          </o:OLEObject>
        </w:object>
      </w:r>
    </w:p>
    <w:p w14:paraId="1CBB2058">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．如果中标单价等于基准单价，该施工机具台班的结算单价调整公式为：</w:t>
      </w:r>
    </w:p>
    <w:p w14:paraId="2ED02F89">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5"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5" DrawAspect="Content" ObjectID="_1468075735" r:id="rId28">
            <o:LockedField>false</o:LockedField>
          </o:OLEObject>
        </w:object>
      </w:r>
    </w:p>
    <w:p w14:paraId="7A262BF7">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6"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6" DrawAspect="Content" ObjectID="_1468075736" r:id="rId30">
            <o:LockedField>false</o:LockedField>
          </o:OLEObject>
        </w:object>
      </w:r>
    </w:p>
    <w:p w14:paraId="577AAC91">
      <w:pPr>
        <w:spacing w:before="39" w:line="360" w:lineRule="auto"/>
        <w:ind w:left="484"/>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为施工当月项目所在地工程造价管理机构发布的施工机具台班单价；B为合同约定的施工机具台班单价涨跌风险幅度值。</w:t>
      </w:r>
    </w:p>
    <w:p w14:paraId="2EB022DF">
      <w:pPr>
        <w:spacing w:before="39"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488A20FF">
      <w:pPr>
        <w:spacing w:before="154" w:line="360" w:lineRule="auto"/>
        <w:ind w:left="7" w:right="57"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暂估价项目按第一章第三节“投标人须知正文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2"/>
          <w:sz w:val="24"/>
          <w:szCs w:val="24"/>
          <w:highlight w:val="none"/>
        </w:rPr>
        <w:t xml:space="preserve">8.5 </w:t>
      </w:r>
      <w:r>
        <w:rPr>
          <w:rFonts w:hint="eastAsia" w:ascii="宋体" w:hAnsi="宋体" w:eastAsia="宋体" w:cs="宋体"/>
          <w:color w:val="auto"/>
          <w:spacing w:val="-2"/>
          <w:sz w:val="24"/>
          <w:szCs w:val="24"/>
          <w:highlight w:val="none"/>
        </w:rPr>
        <w:t>条</w:t>
      </w:r>
      <w:r>
        <w:rPr>
          <w:rFonts w:hint="eastAsia" w:ascii="宋体" w:hAnsi="宋体" w:eastAsia="宋体" w:cs="宋体"/>
          <w:color w:val="auto"/>
          <w:spacing w:val="-3"/>
          <w:sz w:val="24"/>
          <w:szCs w:val="24"/>
          <w:highlight w:val="none"/>
        </w:rPr>
        <w:t>的规定确定专业工</w:t>
      </w:r>
      <w:r>
        <w:rPr>
          <w:rFonts w:hint="eastAsia" w:ascii="宋体" w:hAnsi="宋体" w:eastAsia="宋体" w:cs="宋体"/>
          <w:color w:val="auto"/>
          <w:spacing w:val="-1"/>
          <w:sz w:val="24"/>
          <w:szCs w:val="24"/>
          <w:highlight w:val="none"/>
        </w:rPr>
        <w:t>程承包人（或材料供应商、工程设备供应商）后，将专业工</w:t>
      </w:r>
      <w:r>
        <w:rPr>
          <w:rFonts w:hint="eastAsia" w:ascii="宋体" w:hAnsi="宋体" w:eastAsia="宋体" w:cs="宋体"/>
          <w:color w:val="auto"/>
          <w:spacing w:val="-2"/>
          <w:sz w:val="24"/>
          <w:szCs w:val="24"/>
          <w:highlight w:val="none"/>
        </w:rPr>
        <w:t>程合同价款（或材料单价、</w:t>
      </w:r>
      <w:r>
        <w:rPr>
          <w:rFonts w:hint="eastAsia" w:ascii="宋体" w:hAnsi="宋体" w:eastAsia="宋体" w:cs="宋体"/>
          <w:color w:val="auto"/>
          <w:spacing w:val="-1"/>
          <w:sz w:val="24"/>
          <w:szCs w:val="24"/>
          <w:highlight w:val="none"/>
        </w:rPr>
        <w:t>工程设备单价）取代相应暂估价，并调整合同价款。</w:t>
      </w:r>
    </w:p>
    <w:p w14:paraId="605E5E80">
      <w:pPr>
        <w:spacing w:before="153" w:line="360" w:lineRule="auto"/>
        <w:ind w:left="8" w:right="2"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7CC8E5E0">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2.3.8</w:t>
      </w:r>
      <w:r>
        <w:rPr>
          <w:rFonts w:hint="eastAsia" w:ascii="宋体" w:hAnsi="宋体" w:eastAsia="宋体" w:cs="宋体"/>
          <w:sz w:val="24"/>
          <w:szCs w:val="24"/>
        </w:rPr>
        <w:t xml:space="preserve"> 预算包干费按照分部分项的人工费与施工机具费之和及投标费率计取。本招标项目的预算包干内容包括：施工雨水、污水的排除；因地形影响造成的场内料具二次运输</w:t>
      </w:r>
      <w:r>
        <w:rPr>
          <w:rFonts w:hint="eastAsia" w:ascii="宋体" w:hAnsi="宋体" w:eastAsia="宋体" w:cs="宋体"/>
          <w:sz w:val="24"/>
          <w:szCs w:val="24"/>
          <w:lang w:eastAsia="zh-CN"/>
        </w:rPr>
        <w:t>，2</w:t>
      </w:r>
      <w:r>
        <w:rPr>
          <w:rFonts w:hint="eastAsia" w:ascii="宋体" w:hAnsi="宋体" w:eastAsia="宋体" w:cs="宋体"/>
          <w:sz w:val="24"/>
          <w:szCs w:val="24"/>
        </w:rPr>
        <w:t>0米高以下的工程用水加压措施；施工材料堆放场地的整理；机电安装后的补洞(槽料费；工程成品保护费；施工中的临时停水停电；基础埋深 2 米以内挖土方的塌</w:t>
      </w:r>
      <w:r>
        <w:rPr>
          <w:rFonts w:hint="eastAsia" w:ascii="宋体" w:hAnsi="宋体" w:eastAsia="宋体" w:cs="宋体"/>
          <w:sz w:val="24"/>
          <w:szCs w:val="24"/>
          <w:lang w:eastAsia="zh-CN"/>
        </w:rPr>
        <w:t>方；日间</w:t>
      </w:r>
      <w:r>
        <w:rPr>
          <w:rFonts w:hint="eastAsia" w:ascii="宋体" w:hAnsi="宋体" w:eastAsia="宋体" w:cs="宋体"/>
          <w:sz w:val="24"/>
          <w:szCs w:val="24"/>
        </w:rPr>
        <w:t>照明施工增加费(不包括地下室和特殊工程)；完工清场后的垃圾外运；地上(地下)设</w:t>
      </w:r>
      <w:r>
        <w:rPr>
          <w:rFonts w:hint="eastAsia" w:ascii="宋体" w:hAnsi="宋体" w:eastAsia="宋体" w:cs="宋体"/>
          <w:sz w:val="24"/>
          <w:szCs w:val="24"/>
          <w:lang w:eastAsia="zh-CN"/>
        </w:rPr>
        <w:t>施，</w:t>
      </w:r>
      <w:r>
        <w:rPr>
          <w:rFonts w:hint="eastAsia" w:ascii="宋体" w:hAnsi="宋体" w:eastAsia="宋体" w:cs="宋体"/>
          <w:sz w:val="24"/>
          <w:szCs w:val="24"/>
        </w:rPr>
        <w:t>建筑物的临时保护设施费和二次加工基地设施费；雨季施工增加费</w:t>
      </w:r>
      <w:r>
        <w:rPr>
          <w:rFonts w:hint="eastAsia" w:ascii="宋体" w:hAnsi="宋体" w:eastAsia="宋体" w:cs="宋体"/>
          <w:sz w:val="24"/>
          <w:szCs w:val="24"/>
          <w:lang w:eastAsia="zh-CN"/>
        </w:rPr>
        <w:t>；已完成及设备保护等。</w:t>
      </w:r>
    </w:p>
    <w:p w14:paraId="7AEE3F3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2.3.9</w:t>
      </w:r>
      <w:r>
        <w:rPr>
          <w:rFonts w:hint="eastAsia" w:ascii="宋体" w:hAnsi="宋体" w:eastAsia="宋体" w:cs="宋体"/>
          <w:sz w:val="24"/>
          <w:szCs w:val="24"/>
        </w:rPr>
        <w:t xml:space="preserve">  其余事项（如不可抗力、索赔、现场签证等）的调整原则按照《建设工程工程量清单计价规范》（GB50500—2013）有关规定执行。</w:t>
      </w:r>
    </w:p>
    <w:p w14:paraId="15441A8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2.4</w:t>
      </w:r>
      <w:r>
        <w:rPr>
          <w:rFonts w:hint="eastAsia" w:ascii="宋体" w:hAnsi="宋体" w:eastAsia="宋体" w:cs="宋体"/>
          <w:sz w:val="24"/>
          <w:szCs w:val="24"/>
        </w:rPr>
        <w:t xml:space="preserve">  凡将引起合同价款调增的事项，承包人必须于拟实施 14 天前，将详细的报价书（含拟实施项目名称、变更部位、理由、预计造价等）报监理单位审核和发包人批准后方可实施。</w:t>
      </w:r>
    </w:p>
    <w:p w14:paraId="549727DF">
      <w:pPr>
        <w:spacing w:before="153" w:line="360"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7F4A8BAC">
      <w:pPr>
        <w:spacing w:before="154" w:line="360"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62B57CA7">
      <w:pPr>
        <w:spacing w:before="155" w:line="360"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按照《建设工程工程量清单计价规范》（GB50500—2013）和国家、省、市的有关规定</w:t>
      </w:r>
      <w:r>
        <w:rPr>
          <w:rFonts w:hint="eastAsia" w:ascii="宋体" w:hAnsi="宋体" w:eastAsia="宋体" w:cs="宋体"/>
          <w:color w:val="auto"/>
          <w:spacing w:val="-2"/>
          <w:sz w:val="24"/>
          <w:szCs w:val="24"/>
          <w:highlight w:val="none"/>
        </w:rPr>
        <w:t>办理竣工结算。</w:t>
      </w:r>
    </w:p>
    <w:p w14:paraId="6BF7AA13">
      <w:pPr>
        <w:spacing w:before="152" w:line="360"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3BFF8CF0">
      <w:pPr>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2CF9924F">
      <w:pPr>
        <w:spacing w:before="151" w:line="360" w:lineRule="auto"/>
        <w:ind w:left="476"/>
        <w:outlineLvl w:val="2"/>
        <w:rPr>
          <w:rFonts w:hint="eastAsia" w:ascii="宋体" w:hAnsi="宋体" w:eastAsia="宋体" w:cs="宋体"/>
          <w:b/>
          <w:bCs/>
          <w:color w:val="auto"/>
          <w:spacing w:val="-11"/>
          <w:sz w:val="24"/>
          <w:szCs w:val="24"/>
          <w:highlight w:val="none"/>
        </w:rPr>
      </w:pPr>
      <w:bookmarkStart w:id="189" w:name="_Toc13494"/>
      <w:bookmarkStart w:id="190" w:name="_Toc1816"/>
      <w:bookmarkStart w:id="191" w:name="_Toc10496"/>
      <w:r>
        <w:rPr>
          <w:rFonts w:hint="eastAsia" w:ascii="宋体" w:hAnsi="宋体" w:eastAsia="宋体" w:cs="宋体"/>
          <w:b/>
          <w:bCs/>
          <w:color w:val="auto"/>
          <w:spacing w:val="-11"/>
          <w:sz w:val="24"/>
          <w:szCs w:val="24"/>
          <w:highlight w:val="none"/>
        </w:rPr>
        <w:t>3. 工程付款办法</w:t>
      </w:r>
      <w:bookmarkEnd w:id="189"/>
      <w:bookmarkEnd w:id="190"/>
    </w:p>
    <w:p w14:paraId="6C19C70B">
      <w:pPr>
        <w:spacing w:before="155" w:line="360" w:lineRule="auto"/>
        <w:ind w:left="12" w:right="231" w:firstLine="476"/>
        <w:rPr>
          <w:rFonts w:hint="eastAsia" w:ascii="宋体" w:hAnsi="宋体" w:eastAsia="宋体" w:cs="宋体"/>
          <w:b/>
          <w:bCs/>
          <w:color w:val="auto"/>
          <w:spacing w:val="2"/>
          <w:sz w:val="24"/>
          <w:szCs w:val="24"/>
          <w:highlight w:val="none"/>
        </w:rPr>
      </w:pPr>
      <w:bookmarkStart w:id="192" w:name="_Toc5331"/>
      <w:r>
        <w:rPr>
          <w:rFonts w:hint="eastAsia" w:ascii="宋体" w:hAnsi="宋体" w:eastAsia="宋体" w:cs="宋体"/>
          <w:b/>
          <w:bCs/>
          <w:color w:val="auto"/>
          <w:spacing w:val="2"/>
          <w:sz w:val="24"/>
          <w:szCs w:val="24"/>
          <w:highlight w:val="none"/>
        </w:rPr>
        <w:t>3.1</w:t>
      </w:r>
      <w:r>
        <w:rPr>
          <w:rFonts w:hint="eastAsia" w:ascii="宋体" w:hAnsi="宋体" w:eastAsia="宋体" w:cs="宋体"/>
          <w:b/>
          <w:bCs/>
          <w:color w:val="auto"/>
          <w:spacing w:val="2"/>
          <w:sz w:val="24"/>
          <w:szCs w:val="24"/>
          <w:highlight w:val="none"/>
          <w:lang w:val="en-US" w:eastAsia="zh-CN"/>
        </w:rPr>
        <w:t xml:space="preserve"> </w:t>
      </w:r>
      <w:r>
        <w:rPr>
          <w:rFonts w:hint="eastAsia" w:ascii="宋体" w:hAnsi="宋体" w:eastAsia="宋体" w:cs="宋体"/>
          <w:b w:val="0"/>
          <w:bCs w:val="0"/>
          <w:color w:val="auto"/>
          <w:spacing w:val="2"/>
          <w:sz w:val="24"/>
          <w:szCs w:val="24"/>
          <w:highlight w:val="none"/>
        </w:rPr>
        <w:t>本项目</w:t>
      </w:r>
      <w:r>
        <w:rPr>
          <w:rFonts w:hint="eastAsia" w:ascii="宋体" w:hAnsi="宋体" w:eastAsia="宋体" w:cs="宋体"/>
          <w:b w:val="0"/>
          <w:bCs w:val="0"/>
          <w:color w:val="auto"/>
          <w:spacing w:val="2"/>
          <w:sz w:val="24"/>
          <w:szCs w:val="24"/>
          <w:highlight w:val="none"/>
          <w:u w:val="single"/>
        </w:rPr>
        <w:t>支付</w:t>
      </w:r>
      <w:r>
        <w:rPr>
          <w:rFonts w:hint="eastAsia" w:ascii="宋体" w:hAnsi="宋体" w:eastAsia="宋体" w:cs="宋体"/>
          <w:b w:val="0"/>
          <w:bCs w:val="0"/>
          <w:color w:val="auto"/>
          <w:spacing w:val="2"/>
          <w:sz w:val="24"/>
          <w:szCs w:val="24"/>
          <w:highlight w:val="none"/>
        </w:rPr>
        <w:t>施工预付款。</w:t>
      </w:r>
      <w:bookmarkEnd w:id="192"/>
    </w:p>
    <w:p w14:paraId="22B84E87">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1"/>
          <w:sz w:val="24"/>
          <w:szCs w:val="24"/>
          <w:highlight w:val="none"/>
        </w:rPr>
        <w:t xml:space="preserve">3.2 </w:t>
      </w:r>
      <w:r>
        <w:rPr>
          <w:rStyle w:val="48"/>
          <w:rFonts w:hint="eastAsia" w:ascii="宋体" w:hAnsi="宋体" w:eastAsia="宋体" w:cs="宋体"/>
          <w:color w:val="auto"/>
          <w:kern w:val="0"/>
          <w:sz w:val="24"/>
          <w:szCs w:val="24"/>
          <w:highlight w:val="none"/>
        </w:rPr>
        <w:t>施工预付款必须专用于合同工程，并按以下原则支付和抵扣：</w:t>
      </w:r>
    </w:p>
    <w:p w14:paraId="349A7BD1">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rPr>
        <w:t xml:space="preserve">3.2.1 </w:t>
      </w:r>
      <w:r>
        <w:rPr>
          <w:rStyle w:val="48"/>
          <w:rFonts w:hint="eastAsia" w:ascii="宋体" w:hAnsi="宋体" w:eastAsia="宋体" w:cs="宋体"/>
          <w:color w:val="auto"/>
          <w:kern w:val="0"/>
          <w:sz w:val="24"/>
          <w:szCs w:val="24"/>
          <w:highlight w:val="none"/>
        </w:rPr>
        <w:t>施工预付款支付比例为：按施工合同价的</w:t>
      </w:r>
      <w:r>
        <w:rPr>
          <w:rStyle w:val="48"/>
          <w:rFonts w:hint="eastAsia" w:ascii="宋体" w:hAnsi="宋体" w:eastAsia="宋体" w:cs="宋体"/>
          <w:b/>
          <w:bCs/>
          <w:color w:val="auto"/>
          <w:kern w:val="0"/>
          <w:sz w:val="24"/>
          <w:szCs w:val="24"/>
          <w:highlight w:val="none"/>
          <w:u w:val="single"/>
        </w:rPr>
        <w:t>30%</w:t>
      </w:r>
      <w:r>
        <w:rPr>
          <w:rStyle w:val="48"/>
          <w:rFonts w:hint="eastAsia" w:ascii="宋体" w:hAnsi="宋体" w:eastAsia="宋体" w:cs="宋体"/>
          <w:color w:val="auto"/>
          <w:kern w:val="0"/>
          <w:sz w:val="24"/>
          <w:szCs w:val="24"/>
          <w:highlight w:val="none"/>
        </w:rPr>
        <w:t>支付（暂列金除外</w:t>
      </w:r>
      <w:r>
        <w:rPr>
          <w:rStyle w:val="48"/>
          <w:rFonts w:hint="eastAsia" w:ascii="宋体" w:hAnsi="宋体" w:eastAsia="宋体" w:cs="宋体"/>
          <w:color w:val="auto"/>
          <w:kern w:val="0"/>
          <w:sz w:val="24"/>
          <w:szCs w:val="24"/>
          <w:highlight w:val="none"/>
          <w:lang w:eastAsia="zh-CN"/>
        </w:rPr>
        <w:t>)</w:t>
      </w:r>
      <w:r>
        <w:rPr>
          <w:rStyle w:val="48"/>
          <w:rFonts w:hint="eastAsia" w:ascii="宋体" w:hAnsi="宋体" w:eastAsia="宋体" w:cs="宋体"/>
          <w:color w:val="auto"/>
          <w:kern w:val="0"/>
          <w:sz w:val="24"/>
          <w:szCs w:val="24"/>
          <w:highlight w:val="none"/>
        </w:rPr>
        <w:t>。</w:t>
      </w:r>
    </w:p>
    <w:p w14:paraId="7BF7F0FD">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rPr>
        <w:t>3.2.2</w:t>
      </w:r>
      <w:r>
        <w:rPr>
          <w:rStyle w:val="48"/>
          <w:rFonts w:hint="eastAsia" w:ascii="宋体" w:hAnsi="宋体" w:eastAsia="宋体" w:cs="宋体"/>
          <w:color w:val="auto"/>
          <w:kern w:val="0"/>
          <w:sz w:val="24"/>
          <w:szCs w:val="24"/>
          <w:highlight w:val="none"/>
        </w:rPr>
        <w:t xml:space="preserve"> </w:t>
      </w:r>
      <w:r>
        <w:rPr>
          <w:rStyle w:val="48"/>
          <w:rFonts w:hint="eastAsia" w:ascii="宋体" w:hAnsi="宋体" w:eastAsia="宋体" w:cs="宋体"/>
          <w:b w:val="0"/>
          <w:bCs w:val="0"/>
          <w:color w:val="auto"/>
          <w:kern w:val="0"/>
          <w:sz w:val="24"/>
          <w:szCs w:val="24"/>
          <w:highlight w:val="none"/>
        </w:rPr>
        <w:t>本招标项目</w:t>
      </w:r>
      <w:r>
        <w:rPr>
          <w:rStyle w:val="48"/>
          <w:rFonts w:hint="eastAsia" w:ascii="宋体" w:hAnsi="宋体" w:eastAsia="宋体" w:cs="宋体"/>
          <w:b/>
          <w:bCs/>
          <w:color w:val="auto"/>
          <w:kern w:val="0"/>
          <w:sz w:val="24"/>
          <w:szCs w:val="24"/>
          <w:highlight w:val="none"/>
          <w:u w:val="single"/>
          <w:lang w:val="en-US" w:eastAsia="zh-CN" w:bidi="ar-SA"/>
        </w:rPr>
        <w:t>要求</w:t>
      </w:r>
      <w:r>
        <w:rPr>
          <w:rStyle w:val="48"/>
          <w:rFonts w:hint="eastAsia" w:ascii="宋体" w:hAnsi="宋体" w:eastAsia="宋体" w:cs="宋体"/>
          <w:b w:val="0"/>
          <w:bCs w:val="0"/>
          <w:color w:val="auto"/>
          <w:kern w:val="0"/>
          <w:sz w:val="24"/>
          <w:szCs w:val="24"/>
          <w:highlight w:val="none"/>
        </w:rPr>
        <w:t>承包人提</w:t>
      </w:r>
      <w:r>
        <w:rPr>
          <w:rStyle w:val="48"/>
          <w:rFonts w:hint="eastAsia" w:ascii="宋体" w:hAnsi="宋体" w:eastAsia="宋体" w:cs="宋体"/>
          <w:color w:val="auto"/>
          <w:kern w:val="0"/>
          <w:sz w:val="24"/>
          <w:szCs w:val="24"/>
          <w:highlight w:val="none"/>
        </w:rPr>
        <w:t>供与预付款等额的预付款保函</w:t>
      </w:r>
      <w:r>
        <w:rPr>
          <w:rStyle w:val="48"/>
          <w:rFonts w:hint="eastAsia" w:ascii="宋体" w:hAnsi="宋体" w:eastAsia="宋体" w:cs="宋体"/>
          <w:color w:val="auto"/>
          <w:kern w:val="0"/>
          <w:sz w:val="24"/>
          <w:szCs w:val="24"/>
          <w:highlight w:val="none"/>
          <w:lang w:eastAsia="zh-CN"/>
        </w:rPr>
        <w:t>，</w:t>
      </w:r>
      <w:r>
        <w:rPr>
          <w:rStyle w:val="48"/>
          <w:rFonts w:hint="eastAsia" w:ascii="宋体" w:hAnsi="宋体" w:eastAsia="宋体" w:cs="宋体"/>
          <w:color w:val="auto"/>
          <w:kern w:val="0"/>
          <w:sz w:val="24"/>
          <w:szCs w:val="24"/>
          <w:highlight w:val="none"/>
        </w:rPr>
        <w:t>且预付款保函期限原则上不少于总工期的一半，且承包单位的预付款保函有效期应保证在扣回预付款前有效，未扣回预付款但保函过期的承包人应重新开具预付款保函。</w:t>
      </w:r>
    </w:p>
    <w:p w14:paraId="413BF5F8">
      <w:pPr>
        <w:keepNext w:val="0"/>
        <w:keepLines w:val="0"/>
        <w:widowControl/>
        <w:suppressLineNumbers w:val="0"/>
        <w:spacing w:line="360" w:lineRule="auto"/>
        <w:ind w:firstLine="482" w:firstLineChars="200"/>
        <w:jc w:val="left"/>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bCs/>
          <w:color w:val="auto"/>
          <w:kern w:val="0"/>
          <w:sz w:val="24"/>
          <w:szCs w:val="24"/>
          <w:highlight w:val="none"/>
        </w:rPr>
        <w:t>3.2.3</w:t>
      </w:r>
      <w:r>
        <w:rPr>
          <w:rStyle w:val="48"/>
          <w:rFonts w:hint="eastAsia" w:ascii="宋体" w:hAnsi="宋体" w:eastAsia="宋体" w:cs="宋体"/>
          <w:color w:val="auto"/>
          <w:kern w:val="0"/>
          <w:sz w:val="24"/>
          <w:szCs w:val="24"/>
          <w:highlight w:val="none"/>
        </w:rPr>
        <w:t xml:space="preserve"> </w:t>
      </w:r>
      <w:r>
        <w:rPr>
          <w:rStyle w:val="48"/>
          <w:rFonts w:hint="eastAsia" w:ascii="宋体" w:hAnsi="宋体" w:eastAsia="宋体" w:cs="宋体"/>
          <w:b w:val="0"/>
          <w:bCs w:val="0"/>
          <w:color w:val="auto"/>
          <w:kern w:val="0"/>
          <w:sz w:val="24"/>
          <w:szCs w:val="24"/>
          <w:highlight w:val="none"/>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31F7B5D4">
      <w:pPr>
        <w:keepNext w:val="0"/>
        <w:keepLines w:val="0"/>
        <w:widowControl/>
        <w:suppressLineNumbers w:val="0"/>
        <w:spacing w:line="360" w:lineRule="auto"/>
        <w:ind w:firstLine="482" w:firstLineChars="200"/>
        <w:jc w:val="left"/>
        <w:rPr>
          <w:rStyle w:val="48"/>
          <w:rFonts w:hint="eastAsia" w:ascii="宋体" w:hAnsi="宋体" w:eastAsia="宋体" w:cs="宋体"/>
          <w:b w:val="0"/>
          <w:bCs w:val="0"/>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lang w:val="en-US" w:eastAsia="zh-CN"/>
        </w:rPr>
        <w:t>3.2.4</w:t>
      </w:r>
      <w:r>
        <w:rPr>
          <w:rStyle w:val="48"/>
          <w:rFonts w:hint="eastAsia" w:ascii="宋体" w:hAnsi="宋体" w:eastAsia="宋体" w:cs="宋体"/>
          <w:b w:val="0"/>
          <w:bCs w:val="0"/>
          <w:color w:val="auto"/>
          <w:kern w:val="0"/>
          <w:sz w:val="24"/>
          <w:szCs w:val="24"/>
          <w:highlight w:val="none"/>
          <w:lang w:val="en-US" w:eastAsia="zh-CN"/>
        </w:rPr>
        <w:t xml:space="preserve"> </w:t>
      </w:r>
      <w:r>
        <w:rPr>
          <w:rStyle w:val="48"/>
          <w:rFonts w:hint="eastAsia" w:ascii="宋体" w:hAnsi="宋体" w:eastAsia="宋体" w:cs="宋体"/>
          <w:b w:val="0"/>
          <w:bCs w:val="0"/>
          <w:color w:val="auto"/>
          <w:kern w:val="0"/>
          <w:sz w:val="24"/>
          <w:szCs w:val="24"/>
          <w:highlight w:val="none"/>
          <w:lang w:eastAsia="zh-CN"/>
        </w:rPr>
        <w:t>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40274CA2">
      <w:pPr>
        <w:keepNext w:val="0"/>
        <w:keepLines w:val="0"/>
        <w:widowControl/>
        <w:suppressLineNumbers w:val="0"/>
        <w:spacing w:line="360" w:lineRule="auto"/>
        <w:ind w:firstLine="482" w:firstLineChars="200"/>
        <w:jc w:val="left"/>
        <w:rPr>
          <w:rFonts w:hint="eastAsia" w:ascii="宋体" w:hAnsi="宋体" w:eastAsia="宋体" w:cs="宋体"/>
          <w:snapToGrid w:val="0"/>
          <w:color w:val="auto"/>
          <w:kern w:val="0"/>
          <w:sz w:val="24"/>
          <w:szCs w:val="24"/>
          <w:highlight w:val="none"/>
        </w:rPr>
      </w:pPr>
      <w:r>
        <w:rPr>
          <w:rStyle w:val="48"/>
          <w:rFonts w:hint="eastAsia" w:ascii="宋体" w:hAnsi="宋体" w:eastAsia="宋体" w:cs="宋体"/>
          <w:b/>
          <w:bCs/>
          <w:color w:val="auto"/>
          <w:sz w:val="24"/>
          <w:szCs w:val="24"/>
          <w:highlight w:val="none"/>
        </w:rPr>
        <w:t>3.2.</w:t>
      </w:r>
      <w:r>
        <w:rPr>
          <w:rStyle w:val="48"/>
          <w:rFonts w:hint="eastAsia" w:ascii="宋体" w:hAnsi="宋体" w:eastAsia="宋体" w:cs="宋体"/>
          <w:b/>
          <w:bCs/>
          <w:color w:val="auto"/>
          <w:sz w:val="24"/>
          <w:szCs w:val="24"/>
          <w:highlight w:val="none"/>
          <w:lang w:val="en-US" w:eastAsia="zh-CN"/>
        </w:rPr>
        <w:t>5</w:t>
      </w:r>
      <w:r>
        <w:rPr>
          <w:rFonts w:hint="eastAsia" w:ascii="宋体" w:hAnsi="宋体" w:eastAsia="宋体" w:cs="宋体"/>
          <w:snapToGrid w:val="0"/>
          <w:color w:val="auto"/>
          <w:kern w:val="0"/>
          <w:sz w:val="24"/>
          <w:szCs w:val="24"/>
          <w:highlight w:val="none"/>
        </w:rPr>
        <w:t xml:space="preserve"> 预付款应从每支付期应支付给承包人的工程进度款中扣回，直到扣回的金额达到合同约定的预付款金额为止。</w:t>
      </w:r>
    </w:p>
    <w:p w14:paraId="5BC15050">
      <w:pPr>
        <w:pStyle w:val="51"/>
        <w:keepNext w:val="0"/>
        <w:keepLines w:val="0"/>
        <w:pageBreakBefore w:val="0"/>
        <w:widowControl/>
        <w:kinsoku/>
        <w:wordWrap/>
        <w:overflowPunct/>
        <w:topLinePunct w:val="0"/>
        <w:autoSpaceDE/>
        <w:autoSpaceDN/>
        <w:bidi w:val="0"/>
        <w:adjustRightIn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Style w:val="48"/>
          <w:rFonts w:hint="eastAsia" w:ascii="宋体" w:hAnsi="宋体" w:eastAsia="宋体" w:cs="宋体"/>
          <w:b/>
          <w:bCs/>
          <w:color w:val="auto"/>
          <w:kern w:val="1"/>
          <w:sz w:val="24"/>
          <w:szCs w:val="24"/>
          <w:highlight w:val="none"/>
        </w:rPr>
        <w:t xml:space="preserve">3.3 </w:t>
      </w:r>
      <w:r>
        <w:rPr>
          <w:rFonts w:hint="eastAsia" w:ascii="宋体" w:hAnsi="宋体" w:eastAsia="宋体" w:cs="宋体"/>
          <w:snapToGrid w:val="0"/>
          <w:color w:val="auto"/>
          <w:kern w:val="0"/>
          <w:sz w:val="24"/>
          <w:szCs w:val="24"/>
          <w:highlight w:val="none"/>
        </w:rPr>
        <w:t>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6E13288A">
      <w:pPr>
        <w:pStyle w:val="51"/>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Style w:val="48"/>
          <w:rFonts w:hint="eastAsia" w:ascii="宋体" w:hAnsi="宋体" w:eastAsia="宋体" w:cs="宋体"/>
          <w:b/>
          <w:bCs/>
          <w:color w:val="auto"/>
          <w:kern w:val="1"/>
          <w:sz w:val="24"/>
          <w:szCs w:val="24"/>
          <w:highlight w:val="none"/>
          <w:lang w:val="en-US" w:eastAsia="zh-CN"/>
        </w:rPr>
        <w:t xml:space="preserve">3.4 </w:t>
      </w:r>
      <w:r>
        <w:rPr>
          <w:rFonts w:hint="eastAsia" w:ascii="宋体" w:hAnsi="宋体" w:eastAsia="宋体" w:cs="宋体"/>
          <w:snapToGrid w:val="0"/>
          <w:color w:val="auto"/>
          <w:kern w:val="0"/>
          <w:sz w:val="24"/>
          <w:szCs w:val="24"/>
          <w:highlight w:val="none"/>
        </w:rPr>
        <w:t>每月的工程进度款按</w:t>
      </w:r>
      <w:r>
        <w:rPr>
          <w:rFonts w:hint="eastAsia" w:ascii="宋体" w:hAnsi="宋体" w:eastAsia="宋体" w:cs="宋体"/>
          <w:snapToGrid w:val="0"/>
          <w:color w:val="auto"/>
          <w:kern w:val="0"/>
          <w:sz w:val="24"/>
          <w:szCs w:val="24"/>
          <w:highlight w:val="none"/>
          <w:lang w:eastAsia="zh-CN"/>
        </w:rPr>
        <w:t>工程实际完成工程量</w:t>
      </w:r>
      <w:r>
        <w:rPr>
          <w:rFonts w:hint="eastAsia" w:ascii="宋体" w:hAnsi="宋体" w:eastAsia="宋体" w:cs="宋体"/>
          <w:snapToGrid w:val="0"/>
          <w:color w:val="auto"/>
          <w:kern w:val="0"/>
          <w:sz w:val="24"/>
          <w:szCs w:val="24"/>
          <w:highlight w:val="none"/>
        </w:rPr>
        <w:t>的</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u w:val="single"/>
          <w:lang w:val="en-US" w:eastAsia="zh-CN"/>
        </w:rPr>
        <w:t>80%</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支付，工程</w:t>
      </w:r>
      <w:r>
        <w:rPr>
          <w:rFonts w:hint="eastAsia" w:ascii="宋体" w:hAnsi="宋体" w:eastAsia="宋体" w:cs="宋体"/>
          <w:snapToGrid w:val="0"/>
          <w:color w:val="auto"/>
          <w:kern w:val="0"/>
          <w:sz w:val="24"/>
          <w:szCs w:val="24"/>
          <w:highlight w:val="none"/>
          <w:lang w:eastAsia="zh-CN"/>
        </w:rPr>
        <w:t>进度</w:t>
      </w:r>
      <w:r>
        <w:rPr>
          <w:rFonts w:hint="eastAsia" w:ascii="宋体" w:hAnsi="宋体" w:eastAsia="宋体" w:cs="宋体"/>
          <w:snapToGrid w:val="0"/>
          <w:color w:val="auto"/>
          <w:kern w:val="0"/>
          <w:sz w:val="24"/>
          <w:szCs w:val="24"/>
          <w:highlight w:val="none"/>
        </w:rPr>
        <w:t>款中的作业工人工资款项由发包人单独足额拨付到承包人的工资专户</w:t>
      </w:r>
      <w:r>
        <w:rPr>
          <w:rFonts w:hint="eastAsia" w:ascii="宋体" w:hAnsi="宋体" w:eastAsia="宋体" w:cs="宋体"/>
          <w:snapToGrid w:val="0"/>
          <w:color w:val="auto"/>
          <w:kern w:val="0"/>
          <w:sz w:val="24"/>
          <w:szCs w:val="24"/>
          <w:highlight w:val="none"/>
          <w:lang w:eastAsia="zh-CN"/>
        </w:rPr>
        <w:t>。</w:t>
      </w:r>
    </w:p>
    <w:p w14:paraId="00A86063">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5</w:t>
      </w:r>
      <w:r>
        <w:rPr>
          <w:rStyle w:val="48"/>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7F8B5C9">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 xml:space="preserve">6 </w:t>
      </w:r>
      <w:r>
        <w:rPr>
          <w:rStyle w:val="48"/>
          <w:rFonts w:hint="eastAsia" w:ascii="宋体" w:hAnsi="宋体" w:eastAsia="宋体" w:cs="宋体"/>
          <w:b w:val="0"/>
          <w:bCs w:val="0"/>
          <w:color w:val="auto"/>
          <w:kern w:val="0"/>
          <w:sz w:val="24"/>
          <w:szCs w:val="24"/>
          <w:highlight w:val="none"/>
        </w:rPr>
        <w:t>变更工程造价必须经监理单位核实，并经发包人核定后方可支付。</w:t>
      </w:r>
    </w:p>
    <w:p w14:paraId="473868BA">
      <w:pPr>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7</w:t>
      </w:r>
      <w:r>
        <w:rPr>
          <w:rStyle w:val="48"/>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lang w:eastAsia="zh-CN"/>
        </w:rPr>
        <w:t>结算审核完成后，于次月支付至审核价格的</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97%</w:t>
      </w:r>
      <w:r>
        <w:rPr>
          <w:rFonts w:hint="eastAsia" w:ascii="宋体" w:hAnsi="宋体" w:eastAsia="宋体" w:cs="宋体"/>
          <w:b w:val="0"/>
          <w:bCs w:val="0"/>
          <w:caps w:val="0"/>
          <w:smallCaps w:val="0"/>
          <w:snapToGrid w:val="0"/>
          <w:color w:val="auto"/>
          <w:spacing w:val="0"/>
          <w:kern w:val="0"/>
          <w:sz w:val="24"/>
          <w:szCs w:val="24"/>
          <w:highlight w:val="none"/>
          <w:lang w:eastAsia="zh-CN"/>
        </w:rPr>
        <w:t>，剩余</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3%</w:t>
      </w:r>
      <w:r>
        <w:rPr>
          <w:rFonts w:hint="eastAsia" w:ascii="宋体" w:hAnsi="宋体" w:eastAsia="宋体" w:cs="宋体"/>
          <w:b w:val="0"/>
          <w:bCs w:val="0"/>
          <w:caps w:val="0"/>
          <w:smallCaps w:val="0"/>
          <w:snapToGrid w:val="0"/>
          <w:color w:val="auto"/>
          <w:spacing w:val="0"/>
          <w:kern w:val="0"/>
          <w:sz w:val="24"/>
          <w:szCs w:val="24"/>
          <w:highlight w:val="none"/>
          <w:lang w:eastAsia="zh-CN"/>
        </w:rPr>
        <w:t>转为质量保证金；承包人提交了等额质量保证担保或质量保证保险的，于次月一次性结清合同价格。</w:t>
      </w:r>
    </w:p>
    <w:p w14:paraId="1FD286FD">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3.8</w:t>
      </w:r>
      <w:r>
        <w:rPr>
          <w:rFonts w:hint="eastAsia" w:ascii="宋体" w:hAnsi="宋体" w:eastAsia="宋体" w:cs="宋体"/>
          <w:b w:val="0"/>
          <w:bCs w:val="0"/>
          <w:caps w:val="0"/>
          <w:smallCaps w:val="0"/>
          <w:snapToGrid w:val="0"/>
          <w:color w:val="auto"/>
          <w:spacing w:val="0"/>
          <w:kern w:val="0"/>
          <w:sz w:val="24"/>
          <w:szCs w:val="24"/>
          <w:highlight w:val="none"/>
          <w:lang w:val="en-US" w:eastAsia="zh-CN"/>
        </w:rPr>
        <w:t xml:space="preserve"> 本工程缺陷责任期为 2 年（自通过竣工验收之日起计）。缺陷责任期到期后，承包人向发包人申请退还质量保证金。发包人收到退还申请后，于 14 天内会同承包人进行核实。经双方核实且均无异议后，发包人在核实之日起 14 天内将应返保证金（或质量保证担保或质量保证保险）退还承包人。</w:t>
      </w:r>
    </w:p>
    <w:p w14:paraId="250F0574">
      <w:pPr>
        <w:spacing w:before="151" w:line="360" w:lineRule="auto"/>
        <w:ind w:left="476"/>
        <w:outlineLvl w:val="2"/>
        <w:rPr>
          <w:rFonts w:hint="eastAsia" w:ascii="宋体" w:hAnsi="宋体" w:eastAsia="宋体" w:cs="宋体"/>
          <w:b/>
          <w:bCs/>
          <w:color w:val="auto"/>
          <w:spacing w:val="-11"/>
          <w:sz w:val="24"/>
          <w:szCs w:val="24"/>
          <w:highlight w:val="none"/>
        </w:rPr>
      </w:pPr>
      <w:bookmarkStart w:id="193" w:name="_Toc24375"/>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其他专用合同条款</w:t>
      </w:r>
      <w:bookmarkEnd w:id="191"/>
      <w:bookmarkEnd w:id="193"/>
    </w:p>
    <w:p w14:paraId="66D497E1">
      <w:pPr>
        <w:keepNext w:val="0"/>
        <w:keepLines w:val="0"/>
        <w:pageBreakBefore w:val="0"/>
        <w:kinsoku/>
        <w:overflowPunct/>
        <w:topLinePunct w:val="0"/>
        <w:autoSpaceDE/>
        <w:autoSpaceDN/>
        <w:bidi w:val="0"/>
        <w:snapToGrid w:val="0"/>
        <w:spacing w:line="360" w:lineRule="auto"/>
        <w:ind w:firstLine="480" w:firstLineChars="200"/>
        <w:rPr>
          <w:rFonts w:hint="eastAsia" w:ascii="宋体" w:hAnsi="宋体" w:eastAsia="宋体" w:cs="宋体"/>
          <w:b w:val="0"/>
          <w:snapToGrid w:val="0"/>
          <w:color w:val="auto"/>
          <w:kern w:val="0"/>
          <w:sz w:val="24"/>
          <w:szCs w:val="24"/>
          <w:highlight w:val="none"/>
          <w:u w:val="single"/>
          <w:lang w:val="en-US" w:eastAsia="zh-CN" w:bidi="ar-SA"/>
        </w:rPr>
      </w:pPr>
      <w:r>
        <w:rPr>
          <w:rFonts w:hint="eastAsia" w:ascii="宋体" w:hAnsi="宋体" w:eastAsia="宋体" w:cs="宋体"/>
          <w:b w:val="0"/>
          <w:snapToGrid w:val="0"/>
          <w:color w:val="auto"/>
          <w:kern w:val="0"/>
          <w:sz w:val="24"/>
          <w:szCs w:val="24"/>
          <w:highlight w:val="none"/>
          <w:u w:val="single"/>
          <w:lang w:val="en-US" w:eastAsia="zh-CN" w:bidi="ar-SA"/>
        </w:rPr>
        <w:t>由招标人根据本工程实际情况和地方政策与中标人自行协商签定相关专用合同条款。</w:t>
      </w:r>
    </w:p>
    <w:p w14:paraId="7C0E449D">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zh-CN"/>
        </w:rPr>
      </w:pPr>
      <w:bookmarkStart w:id="194" w:name="_Toc10299"/>
      <w:r>
        <w:rPr>
          <w:rFonts w:hint="eastAsia" w:ascii="宋体" w:hAnsi="宋体" w:eastAsia="宋体" w:cs="宋体"/>
          <w:b/>
          <w:bCs/>
          <w:snapToGrid w:val="0"/>
          <w:color w:val="auto"/>
          <w:kern w:val="0"/>
          <w:sz w:val="24"/>
          <w:szCs w:val="24"/>
          <w:highlight w:val="none"/>
          <w:lang w:val="en-US" w:eastAsia="zh-CN"/>
        </w:rPr>
        <w:t>4.1</w:t>
      </w:r>
      <w:r>
        <w:rPr>
          <w:rFonts w:hint="eastAsia" w:ascii="宋体" w:hAnsi="宋体" w:eastAsia="宋体" w:cs="宋体"/>
          <w:b w:val="0"/>
          <w:bCs w:val="0"/>
          <w:snapToGrid w:val="0"/>
          <w:color w:val="auto"/>
          <w:kern w:val="0"/>
          <w:sz w:val="24"/>
          <w:szCs w:val="24"/>
          <w:highlight w:val="none"/>
          <w:lang w:val="en-US" w:eastAsia="zh-CN"/>
        </w:rPr>
        <w:t>专业工程分包</w:t>
      </w:r>
      <w:bookmarkEnd w:id="194"/>
    </w:p>
    <w:p w14:paraId="09D90C9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6EFBAFD8">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en-US"/>
        </w:rPr>
      </w:pPr>
      <w:bookmarkStart w:id="195" w:name="_Toc15504"/>
      <w:bookmarkStart w:id="196" w:name="_Toc24421"/>
      <w:bookmarkStart w:id="197" w:name="_Toc7163"/>
      <w:bookmarkStart w:id="198" w:name="_Toc4288"/>
      <w:bookmarkStart w:id="199" w:name="_Toc23958"/>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en-US"/>
        </w:rPr>
        <w:t>工人工资支付专用账户</w:t>
      </w:r>
      <w:bookmarkEnd w:id="195"/>
      <w:bookmarkEnd w:id="196"/>
      <w:bookmarkEnd w:id="197"/>
      <w:bookmarkEnd w:id="198"/>
      <w:bookmarkEnd w:id="199"/>
    </w:p>
    <w:p w14:paraId="39CC6A01">
      <w:pPr>
        <w:keepNext w:val="0"/>
        <w:keepLines w:val="0"/>
        <w:pageBreakBefore w:val="0"/>
        <w:kinsoku/>
        <w:wordWrap w:val="0"/>
        <w:overflowPunct/>
        <w:topLinePunct w:val="0"/>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lang w:val="en-US" w:eastAsia="en-US" w:bidi="ar-SA"/>
        </w:rPr>
      </w:pPr>
      <w:r>
        <w:rPr>
          <w:rFonts w:hint="eastAsia" w:ascii="宋体" w:hAnsi="宋体" w:eastAsia="宋体" w:cs="宋体"/>
          <w:b/>
          <w:bCs/>
          <w:snapToGrid w:val="0"/>
          <w:color w:val="auto"/>
          <w:kern w:val="0"/>
          <w:sz w:val="24"/>
          <w:szCs w:val="24"/>
          <w:highlight w:val="none"/>
          <w:lang w:val="en-US" w:eastAsia="zh-CN" w:bidi="ar-SA"/>
        </w:rPr>
        <w:t>4.2</w:t>
      </w:r>
      <w:r>
        <w:rPr>
          <w:rFonts w:hint="eastAsia" w:ascii="宋体" w:hAnsi="宋体" w:eastAsia="宋体" w:cs="宋体"/>
          <w:b/>
          <w:bCs/>
          <w:snapToGrid w:val="0"/>
          <w:color w:val="auto"/>
          <w:kern w:val="0"/>
          <w:sz w:val="24"/>
          <w:szCs w:val="24"/>
          <w:highlight w:val="none"/>
          <w:lang w:val="en-US" w:eastAsia="en-US" w:bidi="ar-SA"/>
        </w:rPr>
        <w:t>.1</w:t>
      </w:r>
      <w:r>
        <w:rPr>
          <w:rFonts w:hint="eastAsia" w:ascii="宋体" w:hAnsi="宋体" w:eastAsia="宋体" w:cs="宋体"/>
          <w:b w:val="0"/>
          <w:bCs w:val="0"/>
          <w:snapToGrid w:val="0"/>
          <w:color w:val="auto"/>
          <w:kern w:val="0"/>
          <w:sz w:val="24"/>
          <w:szCs w:val="24"/>
          <w:highlight w:val="none"/>
          <w:lang w:val="en-US" w:eastAsia="en-US" w:bidi="ar-SA"/>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2B3B8ED">
      <w:pPr>
        <w:keepNext w:val="0"/>
        <w:keepLines w:val="0"/>
        <w:pageBreakBefore w:val="0"/>
        <w:widowControl/>
        <w:suppressLineNumbers w:val="0"/>
        <w:kinsoku/>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color w:val="auto"/>
          <w:kern w:val="0"/>
          <w:sz w:val="24"/>
          <w:szCs w:val="24"/>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5121020">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72B308B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D1AEF70">
      <w:pPr>
        <w:keepNext w:val="0"/>
        <w:keepLines w:val="0"/>
        <w:pageBreakBefore w:val="0"/>
        <w:widowControl/>
        <w:suppressLineNumbers w:val="0"/>
        <w:kinsoku/>
        <w:overflowPunct/>
        <w:topLinePunct w:val="0"/>
        <w:bidi w:val="0"/>
        <w:spacing w:line="360" w:lineRule="auto"/>
        <w:ind w:firstLine="241" w:firstLineChars="100"/>
        <w:jc w:val="left"/>
        <w:rPr>
          <w:rFonts w:hint="eastAsia" w:ascii="宋体" w:hAnsi="宋体" w:eastAsia="宋体" w:cs="宋体"/>
          <w:color w:val="auto"/>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承包人应在工资专户开立后2个工作日内，将开户银行及其账号、开户协议等资料提交给发包人。</w:t>
      </w:r>
    </w:p>
    <w:p w14:paraId="558B9954">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（1）用人单位应当在建设项目动工前，在建设项目所在地商业银行设立工人工资支付专用账户。</w:t>
      </w:r>
    </w:p>
    <w:p w14:paraId="5B108B2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（2）用人单位应当在用工之日起 15 日内为每一位工人办理个人银行账户。</w:t>
      </w:r>
    </w:p>
    <w:p w14:paraId="42CD3A43">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（3）用人单位应当指定专人负责建设项目施工现场台账管理，真实、准确记录工人名册、劳务合同、劳动合同、工程进度、工时台账、劳务承包款和工人工资支付等信息，并保存两年以上备查。</w:t>
      </w:r>
    </w:p>
    <w:p w14:paraId="4645E9C1">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1ECE605D">
      <w:pPr>
        <w:keepNext w:val="0"/>
        <w:keepLines w:val="0"/>
        <w:pageBreakBefore w:val="0"/>
        <w:widowControl/>
        <w:suppressLineNumbers w:val="0"/>
        <w:kinsoku/>
        <w:overflowPunct/>
        <w:topLinePunct w:val="0"/>
        <w:bidi w:val="0"/>
        <w:spacing w:line="360" w:lineRule="auto"/>
        <w:ind w:firstLine="482" w:firstLineChars="200"/>
        <w:jc w:val="left"/>
        <w:rPr>
          <w:rStyle w:val="48"/>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4.2.4 </w:t>
      </w:r>
      <w:r>
        <w:rPr>
          <w:rFonts w:hint="eastAsia" w:ascii="宋体" w:hAnsi="宋体" w:eastAsia="宋体" w:cs="宋体"/>
          <w:color w:val="auto"/>
          <w:kern w:val="0"/>
          <w:sz w:val="24"/>
          <w:szCs w:val="24"/>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5D35AD0">
      <w:pPr>
        <w:spacing w:before="151" w:line="360" w:lineRule="auto"/>
        <w:ind w:left="476"/>
        <w:outlineLvl w:val="2"/>
        <w:rPr>
          <w:rFonts w:hint="eastAsia" w:ascii="宋体" w:hAnsi="宋体" w:eastAsia="宋体" w:cs="宋体"/>
          <w:b/>
          <w:bCs/>
          <w:color w:val="auto"/>
          <w:spacing w:val="-11"/>
          <w:sz w:val="24"/>
          <w:szCs w:val="24"/>
          <w:highlight w:val="none"/>
        </w:rPr>
      </w:pPr>
      <w:bookmarkStart w:id="200" w:name="_Toc16211"/>
      <w:r>
        <w:rPr>
          <w:rFonts w:hint="eastAsia" w:ascii="宋体" w:hAnsi="宋体" w:eastAsia="宋体" w:cs="宋体"/>
          <w:b/>
          <w:bCs/>
          <w:color w:val="auto"/>
          <w:spacing w:val="-11"/>
          <w:sz w:val="24"/>
          <w:szCs w:val="24"/>
          <w:highlight w:val="none"/>
          <w:lang w:val="en-US" w:eastAsia="zh-CN"/>
        </w:rPr>
        <w:t>5.</w:t>
      </w:r>
      <w:r>
        <w:rPr>
          <w:rFonts w:hint="eastAsia" w:ascii="宋体" w:hAnsi="宋体" w:eastAsia="宋体" w:cs="宋体"/>
          <w:b/>
          <w:bCs/>
          <w:color w:val="auto"/>
          <w:spacing w:val="-11"/>
          <w:sz w:val="24"/>
          <w:szCs w:val="24"/>
          <w:highlight w:val="none"/>
        </w:rPr>
        <w:t>工期进度</w:t>
      </w:r>
      <w:bookmarkEnd w:id="200"/>
    </w:p>
    <w:p w14:paraId="0ED9DECC">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本工程施工招标工期为</w:t>
      </w:r>
      <w:r>
        <w:rPr>
          <w:rStyle w:val="48"/>
          <w:rFonts w:hint="eastAsia" w:ascii="宋体" w:hAnsi="宋体" w:eastAsia="宋体" w:cs="宋体"/>
          <w:color w:val="auto"/>
          <w:kern w:val="0"/>
          <w:sz w:val="24"/>
          <w:szCs w:val="24"/>
          <w:highlight w:val="none"/>
          <w:lang w:val="en-US" w:eastAsia="zh-CN"/>
        </w:rPr>
        <w:t>60</w:t>
      </w:r>
      <w:r>
        <w:rPr>
          <w:rStyle w:val="48"/>
          <w:rFonts w:hint="eastAsia" w:ascii="宋体" w:hAnsi="宋体" w:eastAsia="宋体" w:cs="宋体"/>
          <w:color w:val="auto"/>
          <w:kern w:val="0"/>
          <w:sz w:val="24"/>
          <w:szCs w:val="24"/>
          <w:highlight w:val="none"/>
          <w:lang w:eastAsia="zh-CN"/>
        </w:rPr>
        <w:t>个日历天。</w:t>
      </w:r>
      <w:r>
        <w:rPr>
          <w:rStyle w:val="48"/>
          <w:rFonts w:hint="eastAsia" w:ascii="宋体" w:hAnsi="宋体" w:eastAsia="宋体" w:cs="宋体"/>
          <w:color w:val="auto"/>
          <w:kern w:val="0"/>
          <w:sz w:val="24"/>
          <w:szCs w:val="24"/>
          <w:highlight w:val="none"/>
        </w:rPr>
        <w:t>承包人必须在招标工期内完成本工程招标范围内的全部内容。</w:t>
      </w:r>
    </w:p>
    <w:p w14:paraId="4A0D1E64">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施工工期从承包人收到监理单位签发的开工令之日起计，至竣工验收合格之日止。</w:t>
      </w:r>
    </w:p>
    <w:p w14:paraId="455E5A89">
      <w:pPr>
        <w:snapToGrid w:val="0"/>
        <w:spacing w:line="360" w:lineRule="auto"/>
        <w:ind w:firstLine="482" w:firstLineChars="200"/>
        <w:rPr>
          <w:rFonts w:hint="eastAsia" w:ascii="宋体" w:hAnsi="宋体" w:eastAsia="宋体" w:cs="宋体"/>
          <w:color w:val="auto"/>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由于承包人原因造成工期延误的，承包人须在逾期第壹天起每天按合同价的</w:t>
      </w:r>
      <w:r>
        <w:rPr>
          <w:rStyle w:val="48"/>
          <w:rFonts w:hint="eastAsia" w:ascii="宋体" w:hAnsi="宋体" w:eastAsia="宋体" w:cs="宋体"/>
          <w:color w:val="auto"/>
          <w:kern w:val="0"/>
          <w:sz w:val="24"/>
          <w:szCs w:val="24"/>
          <w:highlight w:val="none"/>
          <w:u w:val="single"/>
          <w:lang w:val="en-US" w:eastAsia="zh-CN"/>
        </w:rPr>
        <w:t>3</w:t>
      </w:r>
      <w:r>
        <w:rPr>
          <w:rStyle w:val="48"/>
          <w:rFonts w:hint="eastAsia" w:ascii="宋体" w:hAnsi="宋体" w:eastAsia="宋体" w:cs="宋体"/>
          <w:color w:val="auto"/>
          <w:kern w:val="0"/>
          <w:sz w:val="24"/>
          <w:szCs w:val="24"/>
          <w:highlight w:val="none"/>
          <w:u w:val="single"/>
        </w:rPr>
        <w:t>‰</w:t>
      </w:r>
      <w:r>
        <w:rPr>
          <w:rStyle w:val="48"/>
          <w:rFonts w:hint="eastAsia" w:ascii="宋体" w:hAnsi="宋体" w:eastAsia="宋体" w:cs="宋体"/>
          <w:color w:val="auto"/>
          <w:kern w:val="0"/>
          <w:sz w:val="24"/>
          <w:szCs w:val="24"/>
          <w:highlight w:val="none"/>
        </w:rPr>
        <w:t>向招标人返纳逾期竣工违约金。</w:t>
      </w:r>
    </w:p>
    <w:p w14:paraId="55CDADE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1" w:name="_Toc4690"/>
      <w:r>
        <w:rPr>
          <w:rFonts w:hint="eastAsia" w:ascii="宋体" w:hAnsi="宋体" w:eastAsia="宋体" w:cs="宋体"/>
          <w:b/>
          <w:bCs/>
          <w:color w:val="auto"/>
          <w:spacing w:val="-11"/>
          <w:sz w:val="24"/>
          <w:szCs w:val="24"/>
          <w:highlight w:val="none"/>
          <w:lang w:val="en-US" w:eastAsia="zh-CN"/>
        </w:rPr>
        <w:t>6.项目管理机构</w:t>
      </w:r>
      <w:bookmarkEnd w:id="201"/>
    </w:p>
    <w:p w14:paraId="43840DFE">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6</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承包人派驻的项目管理班子成员必须为其投标文件确定的人员，否则发包人有权终止合同。</w:t>
      </w:r>
    </w:p>
    <w:p w14:paraId="50A7E8C9">
      <w:pPr>
        <w:snapToGrid w:val="0"/>
        <w:spacing w:line="360" w:lineRule="auto"/>
        <w:ind w:firstLine="482" w:firstLineChars="200"/>
        <w:rPr>
          <w:rStyle w:val="48"/>
          <w:rFonts w:hint="eastAsia" w:ascii="宋体" w:hAnsi="宋体" w:eastAsia="宋体" w:cs="宋体"/>
          <w:b w:val="0"/>
          <w:bCs w:val="0"/>
          <w:color w:val="auto"/>
          <w:kern w:val="0"/>
          <w:sz w:val="24"/>
          <w:szCs w:val="24"/>
          <w:highlight w:val="none"/>
          <w:lang w:val="en-US" w:eastAsia="zh-CN"/>
        </w:rPr>
      </w:pPr>
      <w:bookmarkStart w:id="202" w:name="_Toc32659"/>
      <w:r>
        <w:rPr>
          <w:rStyle w:val="48"/>
          <w:rFonts w:hint="eastAsia" w:ascii="宋体" w:hAnsi="宋体" w:eastAsia="宋体" w:cs="宋体"/>
          <w:b/>
          <w:bCs/>
          <w:color w:val="auto"/>
          <w:kern w:val="0"/>
          <w:sz w:val="24"/>
          <w:szCs w:val="24"/>
          <w:highlight w:val="none"/>
          <w:lang w:val="en-US" w:eastAsia="zh-CN"/>
        </w:rPr>
        <w:t xml:space="preserve">6.2 </w:t>
      </w:r>
      <w:r>
        <w:rPr>
          <w:rStyle w:val="48"/>
          <w:rFonts w:hint="eastAsia" w:ascii="宋体" w:hAnsi="宋体" w:eastAsia="宋体" w:cs="宋体"/>
          <w:b w:val="0"/>
          <w:bCs w:val="0"/>
          <w:color w:val="auto"/>
          <w:kern w:val="0"/>
          <w:sz w:val="24"/>
          <w:szCs w:val="24"/>
          <w:highlight w:val="none"/>
          <w:lang w:val="en-US"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bookmarkEnd w:id="202"/>
    </w:p>
    <w:p w14:paraId="768123B5">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3" w:name="_Toc18634"/>
      <w:r>
        <w:rPr>
          <w:rFonts w:hint="eastAsia" w:ascii="宋体" w:hAnsi="宋体" w:eastAsia="宋体" w:cs="宋体"/>
          <w:b/>
          <w:bCs/>
          <w:color w:val="auto"/>
          <w:spacing w:val="-11"/>
          <w:sz w:val="24"/>
          <w:szCs w:val="24"/>
          <w:highlight w:val="none"/>
          <w:lang w:val="en-US" w:eastAsia="zh-CN"/>
        </w:rPr>
        <w:t>7.现场管理</w:t>
      </w:r>
      <w:bookmarkEnd w:id="203"/>
    </w:p>
    <w:p w14:paraId="46D4FAC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val="0"/>
          <w:bCs w:val="0"/>
          <w:color w:val="auto"/>
          <w:kern w:val="0"/>
          <w:sz w:val="24"/>
          <w:szCs w:val="24"/>
          <w:highlight w:val="none"/>
          <w:lang w:val="en-US" w:eastAsia="zh-CN"/>
        </w:rPr>
      </w:pPr>
      <w:bookmarkStart w:id="204" w:name="_Toc7562"/>
      <w:r>
        <w:rPr>
          <w:rStyle w:val="48"/>
          <w:rFonts w:hint="eastAsia" w:ascii="宋体" w:hAnsi="宋体" w:eastAsia="宋体" w:cs="宋体"/>
          <w:b/>
          <w:bCs/>
          <w:color w:val="auto"/>
          <w:kern w:val="0"/>
          <w:sz w:val="24"/>
          <w:szCs w:val="24"/>
          <w:highlight w:val="none"/>
          <w:lang w:val="en-US" w:eastAsia="zh-CN"/>
        </w:rPr>
        <w:t xml:space="preserve">7.1 </w:t>
      </w:r>
      <w:r>
        <w:rPr>
          <w:rStyle w:val="48"/>
          <w:rFonts w:hint="eastAsia" w:ascii="宋体" w:hAnsi="宋体" w:eastAsia="宋体" w:cs="宋体"/>
          <w:b w:val="0"/>
          <w:bCs w:val="0"/>
          <w:color w:val="auto"/>
          <w:kern w:val="0"/>
          <w:sz w:val="24"/>
          <w:szCs w:val="24"/>
          <w:highlight w:val="none"/>
          <w:lang w:val="en-US" w:eastAsia="zh-CN"/>
        </w:rPr>
        <w:t>承包人在施工期间应严格遵守国家、广东省、韶关市有关绿色施工、文明施工、噪音扬尘、消防爆破、环境卫生、渣土清运、防火和治安保卫等方面的规定，并建立相应规章制度和保障措施。否则由此造成的经济损失和法律责任，均由承包人承担。</w:t>
      </w:r>
      <w:bookmarkEnd w:id="204"/>
    </w:p>
    <w:p w14:paraId="0CB4CBB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17AF49B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为保证施工现场的环境卫生，承包人在本工程施工过程中，所有的车辆必须按发包人规定的行车路线行驶。</w:t>
      </w:r>
    </w:p>
    <w:p w14:paraId="043DEA37">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5" w:name="_Toc15027"/>
      <w:r>
        <w:rPr>
          <w:rFonts w:hint="eastAsia" w:ascii="宋体" w:hAnsi="宋体" w:eastAsia="宋体" w:cs="宋体"/>
          <w:b/>
          <w:bCs/>
          <w:color w:val="auto"/>
          <w:spacing w:val="-11"/>
          <w:sz w:val="24"/>
          <w:szCs w:val="24"/>
          <w:highlight w:val="none"/>
          <w:lang w:val="en-US" w:eastAsia="zh-CN"/>
        </w:rPr>
        <w:t>8.监督实施</w:t>
      </w:r>
      <w:bookmarkEnd w:id="205"/>
    </w:p>
    <w:p w14:paraId="7D8C2402">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151C2662">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6" w:name="_Toc31222"/>
      <w:r>
        <w:rPr>
          <w:rFonts w:hint="eastAsia" w:ascii="宋体" w:hAnsi="宋体" w:eastAsia="宋体" w:cs="宋体"/>
          <w:b/>
          <w:bCs/>
          <w:color w:val="auto"/>
          <w:spacing w:val="-11"/>
          <w:sz w:val="24"/>
          <w:szCs w:val="24"/>
          <w:highlight w:val="none"/>
          <w:lang w:val="en-US" w:eastAsia="zh-CN"/>
        </w:rPr>
        <w:t>9.主材的采购和使用</w:t>
      </w:r>
      <w:bookmarkEnd w:id="206"/>
    </w:p>
    <w:p w14:paraId="243E5AB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495185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7" w:name="_Toc15970"/>
      <w:r>
        <w:rPr>
          <w:rFonts w:hint="eastAsia" w:ascii="宋体" w:hAnsi="宋体" w:eastAsia="宋体" w:cs="宋体"/>
          <w:b/>
          <w:bCs/>
          <w:color w:val="auto"/>
          <w:spacing w:val="-11"/>
          <w:sz w:val="24"/>
          <w:szCs w:val="24"/>
          <w:highlight w:val="none"/>
          <w:lang w:val="en-US" w:eastAsia="zh-CN"/>
        </w:rPr>
        <w:t>10.竣工资料移交</w:t>
      </w:r>
      <w:bookmarkEnd w:id="207"/>
    </w:p>
    <w:p w14:paraId="317FC39D">
      <w:pPr>
        <w:widowControl w:val="0"/>
        <w:wordWrap w:val="0"/>
        <w:adjustRightInd w:val="0"/>
        <w:snapToGrid w:val="0"/>
        <w:spacing w:line="360" w:lineRule="auto"/>
        <w:ind w:firstLine="560"/>
        <w:textAlignment w:val="auto"/>
        <w:rPr>
          <w:rStyle w:val="48"/>
          <w:rFonts w:hint="eastAsia" w:ascii="宋体" w:hAnsi="宋体" w:eastAsia="宋体" w:cs="宋体"/>
          <w:b/>
          <w:bCs/>
          <w:color w:val="auto"/>
          <w:kern w:val="0"/>
          <w:sz w:val="24"/>
          <w:szCs w:val="24"/>
          <w:highlight w:val="none"/>
        </w:rPr>
      </w:pPr>
      <w:r>
        <w:rPr>
          <w:rFonts w:hint="eastAsia" w:ascii="宋体" w:hAnsi="宋体" w:eastAsia="宋体" w:cs="宋体"/>
          <w:bCs/>
          <w:snapToGrid w:val="0"/>
          <w:color w:val="auto"/>
          <w:kern w:val="0"/>
          <w:sz w:val="24"/>
          <w:szCs w:val="24"/>
          <w:highlight w:val="none"/>
        </w:rPr>
        <w:t>项目竣工验收时，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 xml:space="preserve"> 八 </w:t>
      </w:r>
      <w:r>
        <w:rPr>
          <w:rFonts w:hint="eastAsia" w:ascii="宋体" w:hAnsi="宋体" w:eastAsia="宋体" w:cs="宋体"/>
          <w:bCs/>
          <w:snapToGrid w:val="0"/>
          <w:color w:val="auto"/>
          <w:kern w:val="0"/>
          <w:sz w:val="24"/>
          <w:szCs w:val="24"/>
          <w:highlight w:val="none"/>
        </w:rPr>
        <w:t>份。</w:t>
      </w:r>
    </w:p>
    <w:p w14:paraId="788DAA2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8" w:name="_Toc26354"/>
      <w:r>
        <w:rPr>
          <w:rFonts w:hint="eastAsia" w:ascii="宋体" w:hAnsi="宋体" w:eastAsia="宋体" w:cs="宋体"/>
          <w:b/>
          <w:bCs/>
          <w:color w:val="auto"/>
          <w:spacing w:val="-11"/>
          <w:sz w:val="24"/>
          <w:szCs w:val="24"/>
          <w:highlight w:val="none"/>
          <w:lang w:val="en-US" w:eastAsia="zh-CN"/>
        </w:rPr>
        <w:t>11.质量保证</w:t>
      </w:r>
      <w:bookmarkEnd w:id="208"/>
    </w:p>
    <w:p w14:paraId="67CE75A3">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本工程缺陷责任期为</w:t>
      </w:r>
      <w:r>
        <w:rPr>
          <w:rStyle w:val="48"/>
          <w:rFonts w:hint="eastAsia" w:ascii="宋体" w:hAnsi="宋体" w:eastAsia="宋体" w:cs="宋体"/>
          <w:color w:val="auto"/>
          <w:kern w:val="0"/>
          <w:sz w:val="24"/>
          <w:szCs w:val="24"/>
          <w:highlight w:val="none"/>
          <w:u w:val="single"/>
          <w:lang w:val="en-US" w:eastAsia="zh-CN"/>
        </w:rPr>
        <w:t xml:space="preserve"> 2 </w:t>
      </w:r>
      <w:r>
        <w:rPr>
          <w:rStyle w:val="48"/>
          <w:rFonts w:hint="eastAsia" w:ascii="宋体" w:hAnsi="宋体" w:eastAsia="宋体" w:cs="宋体"/>
          <w:color w:val="auto"/>
          <w:kern w:val="0"/>
          <w:sz w:val="24"/>
          <w:szCs w:val="24"/>
          <w:highlight w:val="none"/>
        </w:rPr>
        <w:t>年（自通过竣工验收之日起计），在此期间预留金额为结算价</w:t>
      </w:r>
      <w:r>
        <w:rPr>
          <w:rStyle w:val="48"/>
          <w:rFonts w:hint="eastAsia" w:ascii="宋体" w:hAnsi="宋体" w:eastAsia="宋体" w:cs="宋体"/>
          <w:color w:val="auto"/>
          <w:kern w:val="0"/>
          <w:sz w:val="24"/>
          <w:szCs w:val="24"/>
          <w:highlight w:val="none"/>
          <w:u w:val="single"/>
        </w:rPr>
        <w:t xml:space="preserve">3% </w:t>
      </w:r>
      <w:r>
        <w:rPr>
          <w:rStyle w:val="48"/>
          <w:rFonts w:hint="eastAsia" w:ascii="宋体" w:hAnsi="宋体" w:eastAsia="宋体" w:cs="宋体"/>
          <w:color w:val="auto"/>
          <w:kern w:val="0"/>
          <w:sz w:val="24"/>
          <w:szCs w:val="24"/>
          <w:highlight w:val="none"/>
        </w:rPr>
        <w:t>的质量保证。</w:t>
      </w:r>
    </w:p>
    <w:p w14:paraId="07ABFEEE">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质量保证的形式包括质量保证金、质量保证担保、质量保证保险三种，由承包人自主选择。</w:t>
      </w:r>
    </w:p>
    <w:p w14:paraId="64E4142E">
      <w:pPr>
        <w:snapToGrid w:val="0"/>
        <w:spacing w:line="360" w:lineRule="auto"/>
        <w:ind w:firstLine="480"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（1）采用质量保证金形式的，在结清审定总造价时一次性扣留相应金额作为质量保证金。</w:t>
      </w:r>
    </w:p>
    <w:p w14:paraId="55DF4775">
      <w:pPr>
        <w:keepNext w:val="0"/>
        <w:keepLines w:val="0"/>
        <w:pageBreakBefore w:val="0"/>
        <w:widowControl w:val="0"/>
        <w:wordWrap/>
        <w:overflowPunct/>
        <w:topLinePunct w:val="0"/>
        <w:bidi w:val="0"/>
        <w:snapToGrid w:val="0"/>
        <w:spacing w:line="360" w:lineRule="auto"/>
        <w:ind w:firstLine="480"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（2）采用质量保证担保或质量保证保险的，承包人应在竣工验收时向发包人提交有效的</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银行保函或保险合同（或保险单）原件，</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银行保函或保险合同（或保险单）的有效期不得短于缺陷责任期。</w:t>
      </w:r>
    </w:p>
    <w:p w14:paraId="36C61C54">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B5D93C6">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由他人原因造成的缺陷，发包人负责组织维修，承包人不承担费用，且发包人不得从质量保证中扣除费用。</w:t>
      </w:r>
    </w:p>
    <w:p w14:paraId="7F18C339">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.4</w:t>
      </w:r>
      <w:r>
        <w:rPr>
          <w:rStyle w:val="48"/>
          <w:rFonts w:hint="eastAsia" w:ascii="宋体" w:hAnsi="宋体" w:eastAsia="宋体" w:cs="宋体"/>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7C0FEC34">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9" w:name="_Toc22137"/>
      <w:r>
        <w:rPr>
          <w:rFonts w:hint="eastAsia" w:ascii="宋体" w:hAnsi="宋体" w:eastAsia="宋体" w:cs="宋体"/>
          <w:b/>
          <w:bCs/>
          <w:color w:val="auto"/>
          <w:spacing w:val="-11"/>
          <w:sz w:val="24"/>
          <w:szCs w:val="24"/>
          <w:highlight w:val="none"/>
          <w:lang w:val="en-US" w:eastAsia="zh-CN"/>
        </w:rPr>
        <w:t>12.不良行为处理</w:t>
      </w:r>
      <w:bookmarkEnd w:id="209"/>
    </w:p>
    <w:p w14:paraId="78E3ACC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86697A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bookmarkStart w:id="210" w:name="_Toc3225"/>
      <w:r>
        <w:rPr>
          <w:rStyle w:val="48"/>
          <w:rFonts w:hint="eastAsia" w:ascii="宋体" w:hAnsi="宋体" w:eastAsia="宋体" w:cs="宋体"/>
          <w:color w:val="auto"/>
          <w:kern w:val="0"/>
          <w:sz w:val="24"/>
          <w:szCs w:val="24"/>
          <w:highlight w:val="none"/>
        </w:rPr>
        <w:t>（1）转包、违法分包或违反投标承诺分包工程的；</w:t>
      </w:r>
      <w:bookmarkEnd w:id="210"/>
    </w:p>
    <w:p w14:paraId="1A9C58E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2D8D422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（3）投标文件确定的大型机械设备没有进入施工现场的；</w:t>
      </w:r>
    </w:p>
    <w:p w14:paraId="53C54715">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（4）与建设单位、监理单位串通，签认虚假工程量或工程造价的；</w:t>
      </w:r>
    </w:p>
    <w:p w14:paraId="2BEAE447">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（5）项目经理施工现场管理不到位的；</w:t>
      </w:r>
    </w:p>
    <w:p w14:paraId="173C661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（6）项目经理在非本人资格证书注册单位从事工程项目施工管理的；</w:t>
      </w:r>
    </w:p>
    <w:p w14:paraId="0E5B61CF">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（7）项目经理同时承担超过一项工程项目的；</w:t>
      </w:r>
    </w:p>
    <w:p w14:paraId="0BD83746">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（8）违反有关法律、法规、规章规定的其它行为。</w:t>
      </w:r>
    </w:p>
    <w:p w14:paraId="590CD6A6">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1" w:name="_Toc11310"/>
      <w:r>
        <w:rPr>
          <w:rFonts w:hint="eastAsia" w:ascii="宋体" w:hAnsi="宋体" w:eastAsia="宋体" w:cs="宋体"/>
          <w:b/>
          <w:bCs/>
          <w:color w:val="auto"/>
          <w:spacing w:val="-11"/>
          <w:sz w:val="24"/>
          <w:szCs w:val="24"/>
          <w:highlight w:val="none"/>
          <w:lang w:val="en-US" w:eastAsia="zh-CN"/>
        </w:rPr>
        <w:t>13.信用评价条款内容</w:t>
      </w:r>
      <w:bookmarkEnd w:id="211"/>
    </w:p>
    <w:p w14:paraId="13FEAC6B">
      <w:pPr>
        <w:pStyle w:val="54"/>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sz w:val="24"/>
          <w:szCs w:val="24"/>
          <w:highlight w:val="none"/>
        </w:rPr>
      </w:pPr>
      <w:r>
        <w:rPr>
          <w:rStyle w:val="48"/>
          <w:rFonts w:hint="eastAsia" w:ascii="宋体" w:hAnsi="宋体" w:eastAsia="宋体" w:cs="宋体"/>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5946336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2" w:name="_Toc24160"/>
      <w:r>
        <w:rPr>
          <w:rFonts w:hint="eastAsia" w:ascii="宋体" w:hAnsi="宋体" w:eastAsia="宋体" w:cs="宋体"/>
          <w:b/>
          <w:bCs/>
          <w:color w:val="auto"/>
          <w:spacing w:val="-11"/>
          <w:sz w:val="24"/>
          <w:szCs w:val="24"/>
          <w:highlight w:val="none"/>
          <w:lang w:val="en-US" w:eastAsia="zh-CN"/>
        </w:rPr>
        <w:t>14.其他事项</w:t>
      </w:r>
      <w:bookmarkEnd w:id="212"/>
    </w:p>
    <w:p w14:paraId="06DEBF62">
      <w:pPr>
        <w:snapToGrid w:val="0"/>
        <w:spacing w:line="360" w:lineRule="auto"/>
        <w:ind w:firstLine="560"/>
        <w:rPr>
          <w:rStyle w:val="48"/>
          <w:rFonts w:hint="eastAsia" w:ascii="宋体" w:hAnsi="宋体" w:eastAsia="宋体" w:cs="宋体"/>
          <w:b w:val="0"/>
          <w:bCs w:val="0"/>
          <w:color w:val="auto"/>
          <w:kern w:val="0"/>
          <w:sz w:val="24"/>
          <w:szCs w:val="24"/>
          <w:highlight w:val="none"/>
          <w:lang w:val="en-US" w:eastAsia="zh-CN"/>
        </w:rPr>
      </w:pPr>
      <w:bookmarkStart w:id="213" w:name="_Toc6606"/>
      <w:r>
        <w:rPr>
          <w:rStyle w:val="48"/>
          <w:rFonts w:hint="eastAsia" w:ascii="宋体" w:hAnsi="宋体" w:eastAsia="宋体" w:cs="宋体"/>
          <w:b/>
          <w:bCs/>
          <w:color w:val="auto"/>
          <w:kern w:val="0"/>
          <w:sz w:val="24"/>
          <w:szCs w:val="24"/>
          <w:highlight w:val="none"/>
          <w:lang w:val="en-US" w:eastAsia="zh-CN"/>
        </w:rPr>
        <w:t>14.1</w:t>
      </w:r>
      <w:r>
        <w:rPr>
          <w:rStyle w:val="48"/>
          <w:rFonts w:hint="eastAsia" w:ascii="宋体" w:hAnsi="宋体" w:eastAsia="宋体" w:cs="宋体"/>
          <w:b w:val="0"/>
          <w:bCs w:val="0"/>
          <w:color w:val="auto"/>
          <w:kern w:val="0"/>
          <w:sz w:val="24"/>
          <w:szCs w:val="24"/>
          <w:highlight w:val="none"/>
          <w:lang w:val="en-US" w:eastAsia="zh-CN"/>
        </w:rPr>
        <w:t>危险性较大的分部分项工程安全管理约定</w:t>
      </w:r>
      <w:bookmarkEnd w:id="213"/>
    </w:p>
    <w:p w14:paraId="2438AA34">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4CA69CD9">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7070AC0C">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6D2A5FCD">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 xml:space="preserve">3 </w:t>
      </w:r>
      <w:r>
        <w:rPr>
          <w:rFonts w:hint="eastAsia" w:ascii="宋体" w:hAnsi="宋体" w:eastAsia="宋体" w:cs="宋体"/>
          <w:color w:val="auto"/>
          <w:sz w:val="24"/>
          <w:szCs w:val="24"/>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u w:val="single"/>
          <w:shd w:val="clear" w:color="auto" w:fill="FFFFFF"/>
          <w:lang w:val="en-US" w:eastAsia="zh-CN"/>
        </w:rPr>
        <w:t>1</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247F26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.4 </w:t>
      </w:r>
      <w:r>
        <w:rPr>
          <w:rFonts w:hint="eastAsia" w:ascii="宋体" w:hAnsi="宋体" w:eastAsia="宋体" w:cs="宋体"/>
          <w:color w:val="auto"/>
          <w:sz w:val="24"/>
          <w:szCs w:val="24"/>
          <w:highlight w:val="none"/>
          <w:shd w:val="clear" w:color="auto" w:fill="FFFFFF"/>
        </w:rPr>
        <w:t>工程竣工验收后15日内，中标人应按城建档案馆的要求（质量、数量），将编制成册的施工档案资料（含声像档案和电子档案）提供给招标人、城建档案馆、住建管理局、管养单位及监理单位，并承担档案涉及的所有费用（制作标准和相关要求按城建档案馆的有关规定执行）。中标人提交符合城建档案馆要求的竣工资料经招标人确认签收后，即可办理工程结算手续。</w:t>
      </w:r>
    </w:p>
    <w:p w14:paraId="0C655EFC">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.5</w:t>
      </w:r>
      <w:r>
        <w:rPr>
          <w:rFonts w:hint="eastAsia" w:ascii="宋体" w:hAnsi="宋体" w:eastAsia="宋体" w:cs="宋体"/>
          <w:color w:val="auto"/>
          <w:sz w:val="24"/>
          <w:szCs w:val="24"/>
          <w:highlight w:val="none"/>
          <w:shd w:val="clear" w:color="auto" w:fill="FFFFFF"/>
        </w:rPr>
        <w:t>（一）用人单位应当在建设项目动工前，在建设项目所在地</w:t>
      </w:r>
      <w:r>
        <w:rPr>
          <w:rFonts w:hint="eastAsia" w:ascii="宋体" w:hAnsi="宋体" w:eastAsia="宋体" w:cs="宋体"/>
          <w:color w:val="auto"/>
          <w:sz w:val="24"/>
          <w:szCs w:val="24"/>
          <w:highlight w:val="none"/>
          <w:shd w:val="clear" w:color="auto" w:fill="FFFFFF"/>
          <w:lang w:val="en-US" w:eastAsia="zh-CN"/>
        </w:rPr>
        <w:t>符合招标人要求的</w:t>
      </w:r>
      <w:r>
        <w:rPr>
          <w:rFonts w:hint="eastAsia" w:ascii="宋体" w:hAnsi="宋体" w:eastAsia="宋体" w:cs="宋体"/>
          <w:color w:val="auto"/>
          <w:sz w:val="24"/>
          <w:szCs w:val="24"/>
          <w:highlight w:val="none"/>
          <w:shd w:val="clear" w:color="auto" w:fill="FFFFFF"/>
        </w:rPr>
        <w:t>银行设立工人工资支付专用账户。</w:t>
      </w:r>
    </w:p>
    <w:p w14:paraId="6129E7E1">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4E3CC787">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7327A14E">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02DC67D3">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06835395">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val="0"/>
          <w:bCs w:val="0"/>
          <w:snapToGrid w:val="0"/>
          <w:color w:val="auto"/>
          <w:kern w:val="0"/>
          <w:sz w:val="24"/>
          <w:szCs w:val="24"/>
          <w:highlight w:val="none"/>
        </w:rPr>
        <w:t>（五）每次申请工程进度款要提供上期工人工资发放明细表、上期工人工资发放公示等材料，并将应付工程款的30%（且不低于当月应发工人工资的金额）作为工人工资拨入到中标人设立的工人工资支付专用账户。</w:t>
      </w:r>
    </w:p>
    <w:p w14:paraId="0EC59835">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.6 </w:t>
      </w:r>
      <w:r>
        <w:rPr>
          <w:rFonts w:hint="eastAsia" w:ascii="宋体" w:hAnsi="宋体" w:eastAsia="宋体" w:cs="宋体"/>
          <w:color w:val="auto"/>
          <w:sz w:val="24"/>
          <w:szCs w:val="24"/>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0B29B5A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.7</w:t>
      </w:r>
      <w:r>
        <w:rPr>
          <w:rFonts w:hint="eastAsia" w:ascii="宋体" w:hAnsi="宋体" w:eastAsia="宋体" w:cs="宋体"/>
          <w:color w:val="auto"/>
          <w:sz w:val="24"/>
          <w:szCs w:val="24"/>
          <w:highlight w:val="none"/>
          <w:shd w:val="clear" w:color="auto" w:fill="FFFFFF"/>
        </w:rPr>
        <w:t>中标人中标后必须按规定及时缴交工人工资保证金、环保噪声排污费等。</w:t>
      </w:r>
    </w:p>
    <w:p w14:paraId="619E056E">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8</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0C746642">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9</w:t>
      </w:r>
      <w:r>
        <w:rPr>
          <w:rFonts w:hint="eastAsia" w:ascii="宋体" w:hAnsi="宋体" w:eastAsia="宋体" w:cs="宋体"/>
          <w:color w:val="auto"/>
          <w:sz w:val="24"/>
          <w:szCs w:val="24"/>
          <w:highlight w:val="none"/>
          <w:shd w:val="clear" w:color="auto" w:fill="FFFFFF"/>
        </w:rPr>
        <w:t xml:space="preserve"> 如项目实施过程中发生了工程变更及工程签证，中标人需根据招标人发布的《工程变更管理办法》和《工程签证管理办法》完善工程变更签证相关程序。其纳入变更管理属于需要进一步办理审批的，应按照规定程序办理变更审批手续。因施工单位主要责任造成的工程变更调整原则上不予审批，由施工单位自行承担相关责任和费用</w:t>
      </w:r>
    </w:p>
    <w:p w14:paraId="6BC10B7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0</w:t>
      </w:r>
      <w:r>
        <w:rPr>
          <w:rFonts w:hint="eastAsia" w:ascii="宋体" w:hAnsi="宋体" w:eastAsia="宋体" w:cs="宋体"/>
          <w:color w:val="auto"/>
          <w:sz w:val="24"/>
          <w:szCs w:val="24"/>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68778A0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rPr>
        <w:t xml:space="preserve"> 中标人应在项目所在地住建管理部门办理诚信登记，招标人将严格按住建管理部门诚信登记管理办法对中标人履约情况进行考核。</w:t>
      </w:r>
    </w:p>
    <w:p w14:paraId="41A7BB68">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 xml:space="preserve"> 中标人应按住房和城乡建设管理局、人力资源和社会保障局等职能部门对用工实名制的相关规定,落实工人及相关软硬件设施要求。</w:t>
      </w:r>
    </w:p>
    <w:p w14:paraId="1A26121F">
      <w:pPr>
        <w:pStyle w:val="36"/>
        <w:snapToGrid w:val="0"/>
        <w:spacing w:line="360" w:lineRule="auto"/>
        <w:ind w:firstLine="482" w:firstLineChars="200"/>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w:t>
      </w:r>
      <w:r>
        <w:rPr>
          <w:rFonts w:hint="eastAsia" w:ascii="宋体" w:hAnsi="宋体" w:eastAsia="宋体" w:cs="宋体"/>
          <w:b w:val="0"/>
          <w:bCs w:val="0"/>
          <w:color w:val="auto"/>
          <w:sz w:val="24"/>
          <w:szCs w:val="24"/>
          <w:highlight w:val="none"/>
          <w:shd w:val="clear" w:color="auto" w:fill="FFFFFF"/>
        </w:rPr>
        <w:t>履约保证金，直至中标人提交新的银行保函或达到履约保证金退还条件。</w:t>
      </w:r>
    </w:p>
    <w:p w14:paraId="3789AE9F">
      <w:pPr>
        <w:pStyle w:val="36"/>
        <w:snapToGrid w:val="0"/>
        <w:spacing w:line="360" w:lineRule="auto"/>
        <w:ind w:firstLine="482" w:firstLineChars="200"/>
        <w:rPr>
          <w:rFonts w:hint="eastAsia" w:ascii="宋体" w:hAnsi="宋体" w:eastAsia="宋体" w:cs="宋体"/>
          <w:bCs/>
          <w:color w:val="auto"/>
          <w:sz w:val="24"/>
          <w:szCs w:val="24"/>
          <w:highlight w:val="none"/>
          <w:lang w:bidi="ar"/>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 </w:t>
      </w:r>
      <w:r>
        <w:rPr>
          <w:rFonts w:hint="eastAsia" w:ascii="宋体" w:hAnsi="宋体" w:eastAsia="宋体" w:cs="宋体"/>
          <w:color w:val="auto"/>
          <w:sz w:val="24"/>
          <w:szCs w:val="24"/>
          <w:highlight w:val="none"/>
          <w:lang w:val="zh-CN"/>
        </w:rPr>
        <w:t>依据人力资源社会保障部等十部门印发的《工程建设领域农民工工资专用账户管理暂行办法》（人社部发〔2021〕53号）</w:t>
      </w:r>
      <w:r>
        <w:rPr>
          <w:rFonts w:hint="eastAsia" w:ascii="宋体" w:hAnsi="宋体" w:eastAsia="宋体" w:cs="宋体"/>
          <w:b w:val="0"/>
          <w:bCs w:val="0"/>
          <w:color w:val="auto"/>
          <w:sz w:val="24"/>
          <w:szCs w:val="24"/>
          <w:highlight w:val="none"/>
          <w:shd w:val="clear" w:color="auto" w:fill="FFFFFF"/>
        </w:rPr>
        <w:t>文件规定，中标人中标后，须到银行设立工人工资支付专用账户，用于支付工人工资。发包人支付工程款时，将按工程款（不含工人工资）和工人工资两部分分开支付，工人工资支付至专用账户。中标人应建立劳动用工管理台</w:t>
      </w:r>
      <w:r>
        <w:rPr>
          <w:rFonts w:hint="eastAsia" w:ascii="宋体" w:hAnsi="宋体" w:eastAsia="宋体" w:cs="宋体"/>
          <w:b w:val="0"/>
          <w:bCs w:val="0"/>
          <w:color w:val="auto"/>
          <w:sz w:val="24"/>
          <w:szCs w:val="24"/>
          <w:highlight w:val="none"/>
          <w:lang w:bidi="ar"/>
        </w:rPr>
        <w:t>账，并按</w:t>
      </w:r>
      <w:r>
        <w:rPr>
          <w:rFonts w:hint="eastAsia" w:ascii="宋体" w:hAnsi="宋体" w:eastAsia="宋体" w:cs="宋体"/>
          <w:bCs/>
          <w:color w:val="auto"/>
          <w:sz w:val="24"/>
          <w:szCs w:val="24"/>
          <w:highlight w:val="none"/>
          <w:lang w:bidi="ar"/>
        </w:rPr>
        <w:t>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0FBEE672">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lang w:val="zh-CN"/>
        </w:rPr>
        <w:t>根据韶关市人力资源和社会保障局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韶关市住房和城乡建设管理局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韶关市交通运输局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韶关市水务局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韶关市金融工作局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国家金融监督管理总局韶关监管分局关于印发《韶关市工程建设领域农民工工资保证金管理实施细则》的通知(韶人社</w:t>
      </w:r>
      <w:r>
        <w:rPr>
          <w:rFonts w:hint="eastAsia" w:ascii="宋体" w:hAnsi="宋体" w:eastAsia="宋体" w:cs="宋体"/>
          <w:color w:val="auto"/>
          <w:sz w:val="24"/>
          <w:szCs w:val="24"/>
          <w:highlight w:val="none"/>
          <w:lang w:val="en-US" w:eastAsia="zh-CN"/>
        </w:rPr>
        <w:t>规[</w:t>
      </w:r>
      <w:r>
        <w:rPr>
          <w:rFonts w:hint="eastAsia" w:ascii="宋体" w:hAnsi="宋体" w:eastAsia="宋体" w:cs="宋体"/>
          <w:color w:val="auto"/>
          <w:sz w:val="24"/>
          <w:szCs w:val="24"/>
          <w:highlight w:val="none"/>
          <w:lang w:val="zh-CN"/>
        </w:rPr>
        <w:t>202</w:t>
      </w: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号)</w:t>
      </w:r>
      <w:r>
        <w:rPr>
          <w:rFonts w:hint="eastAsia" w:ascii="宋体" w:hAnsi="宋体" w:eastAsia="宋体" w:cs="宋体"/>
          <w:bCs/>
          <w:color w:val="auto"/>
          <w:sz w:val="24"/>
          <w:szCs w:val="24"/>
          <w:highlight w:val="none"/>
          <w:lang w:bidi="ar"/>
        </w:rPr>
        <w:t>文件规定，中标人中标后，应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2F70127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w:t>
      </w:r>
      <w:r>
        <w:rPr>
          <w:rFonts w:hint="eastAsia" w:ascii="宋体" w:hAnsi="宋体" w:eastAsia="宋体" w:cs="宋体"/>
          <w:color w:val="auto"/>
          <w:sz w:val="24"/>
          <w:szCs w:val="24"/>
          <w:highlight w:val="none"/>
          <w:lang w:bidi="ar"/>
        </w:rPr>
        <w:t>所垫付的民工工资2倍向发包人支付违约金。</w:t>
      </w:r>
    </w:p>
    <w:p w14:paraId="389051A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中标人应当确保施工扬尘污染防治措施费用和用工实名管理费用专款专用，在财务管理中单独列出施工扬尘污染防治措施费用和用工实名管理费用使用清单报招标人备案核查。</w:t>
      </w:r>
    </w:p>
    <w:p w14:paraId="1133FBF0">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6</w:t>
      </w:r>
      <w:r>
        <w:rPr>
          <w:rFonts w:hint="eastAsia" w:ascii="宋体" w:hAnsi="宋体" w:eastAsia="宋体" w:cs="宋体"/>
          <w:color w:val="auto"/>
          <w:sz w:val="24"/>
          <w:szCs w:val="24"/>
          <w:highlight w:val="none"/>
          <w:lang w:bidi="ar"/>
        </w:rPr>
        <w:t>中标人需按相关规定要求，设置本工程符合相关要求的永久性标牌及规划公示牌，投标人在投标报价时综合考虑在报价内，招标人不另行支付该部分费用。</w:t>
      </w:r>
    </w:p>
    <w:p w14:paraId="31483E7B">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17</w:t>
      </w:r>
      <w:r>
        <w:rPr>
          <w:rFonts w:hint="eastAsia" w:ascii="宋体" w:hAnsi="宋体" w:eastAsia="宋体" w:cs="宋体"/>
          <w:color w:val="auto"/>
          <w:sz w:val="24"/>
          <w:szCs w:val="24"/>
          <w:highlight w:val="none"/>
          <w:lang w:bidi="ar"/>
        </w:rPr>
        <w:t xml:space="preserve"> 中标人须为招标人、监理、全过程造价咨询单位提供现场办公管理的便利。按工程需要配置办公室、会议室、监理休息室及办公家具、生活设施，配备满足工程监理工作需要的办公设备（电脑、打印机、复印机、传真机、办公用品等）。中标人不得以任何理由提出任何费用及补偿要求。</w:t>
      </w:r>
    </w:p>
    <w:p w14:paraId="4129B0D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18 </w:t>
      </w:r>
      <w:r>
        <w:rPr>
          <w:rFonts w:hint="eastAsia" w:ascii="宋体" w:hAnsi="宋体" w:eastAsia="宋体" w:cs="宋体"/>
          <w:color w:val="auto"/>
          <w:sz w:val="24"/>
          <w:szCs w:val="24"/>
          <w:highlight w:val="none"/>
          <w:lang w:bidi="ar"/>
        </w:rPr>
        <w:t>中标人需在签订合同后5个工作日内向招标人免费提交投标文件副本</w:t>
      </w:r>
      <w:r>
        <w:rPr>
          <w:rFonts w:hint="eastAsia" w:ascii="宋体" w:hAnsi="宋体" w:eastAsia="宋体" w:cs="宋体"/>
          <w:color w:val="auto"/>
          <w:sz w:val="24"/>
          <w:szCs w:val="24"/>
          <w:highlight w:val="none"/>
          <w:lang w:eastAsia="zh-CN" w:bidi="ar"/>
        </w:rPr>
        <w:t>五</w:t>
      </w:r>
      <w:r>
        <w:rPr>
          <w:rFonts w:hint="eastAsia" w:ascii="宋体" w:hAnsi="宋体" w:eastAsia="宋体" w:cs="宋体"/>
          <w:color w:val="auto"/>
          <w:sz w:val="24"/>
          <w:szCs w:val="24"/>
          <w:highlight w:val="none"/>
          <w:lang w:bidi="ar"/>
        </w:rPr>
        <w:t>份。</w:t>
      </w:r>
    </w:p>
    <w:p w14:paraId="1F0C48C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19</w:t>
      </w:r>
      <w:r>
        <w:rPr>
          <w:rFonts w:hint="eastAsia" w:ascii="宋体" w:hAnsi="宋体" w:eastAsia="宋体" w:cs="宋体"/>
          <w:color w:val="auto"/>
          <w:sz w:val="24"/>
          <w:szCs w:val="24"/>
          <w:highlight w:val="none"/>
          <w:lang w:bidi="ar"/>
        </w:rPr>
        <w:t xml:space="preserve"> 中标人中标后招标人将对项目经理、法人代表或其授权委托人进行廉政谈话。</w:t>
      </w:r>
    </w:p>
    <w:p w14:paraId="45E8913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20 </w:t>
      </w:r>
      <w:r>
        <w:rPr>
          <w:rFonts w:hint="eastAsia" w:ascii="宋体" w:hAnsi="宋体" w:eastAsia="宋体" w:cs="宋体"/>
          <w:color w:val="auto"/>
          <w:sz w:val="24"/>
          <w:szCs w:val="24"/>
          <w:highlight w:val="none"/>
          <w:lang w:bidi="ar"/>
        </w:rPr>
        <w:t>中标人应已详细了解本项目的前期工作，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3049589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14.21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如因招标人原因（自然灾害等不可抗力因素除外），工程不能按期开工，或开工后全部停滞，工期按相关规定予以顺延。停工发生后，若可复工时，中标人应在收到招标人发出的复工通知书后3日内开始复工。</w:t>
      </w:r>
    </w:p>
    <w:p w14:paraId="3D2E5DF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中标人须为招标人提供现场管理的交通便利（开工至质保期满）。中标人不得以任何理由提出任何费用及补偿要求。</w:t>
      </w:r>
    </w:p>
    <w:p w14:paraId="0823A90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3</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中标人必须做好施工场地地下地上管线和邻近建筑物、构筑物（包括文物保护建筑）、名树名木（如有）的保护工作。</w:t>
      </w:r>
    </w:p>
    <w:p w14:paraId="1063DD0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中标单位必须在中标通知书发出之日起一个月内完成现场临时设施（施工用水用电、围蔽、板房、洗车槽、相关公示牌等）施工，因中标人原因导致逾期的，逾期第壹天起每天按2000元作违约处理。</w:t>
      </w:r>
    </w:p>
    <w:p w14:paraId="7D7FFC4E">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 xml:space="preserve">5 </w:t>
      </w:r>
      <w:r>
        <w:rPr>
          <w:rFonts w:hint="eastAsia" w:ascii="宋体" w:hAnsi="宋体" w:eastAsia="宋体" w:cs="宋体"/>
          <w:color w:val="auto"/>
          <w:sz w:val="24"/>
          <w:szCs w:val="24"/>
          <w:highlight w:val="none"/>
          <w:lang w:bidi="ar"/>
        </w:rPr>
        <w:t>为保证施工现场的环境卫生，中标人在本工程施工过程中，所有的车辆必须按招标人规定的行车路线行驶。并负责施工现场及受施工影响周边道路的卫生。</w:t>
      </w:r>
    </w:p>
    <w:p w14:paraId="7B02C5C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26</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并且必须按调整后的规模及内容完成工程建设。</w:t>
      </w:r>
    </w:p>
    <w:p w14:paraId="52D8CB6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27 </w:t>
      </w:r>
      <w:r>
        <w:rPr>
          <w:rFonts w:hint="eastAsia" w:ascii="宋体" w:hAnsi="宋体" w:eastAsia="宋体" w:cs="宋体"/>
          <w:color w:val="auto"/>
          <w:sz w:val="24"/>
          <w:szCs w:val="24"/>
          <w:highlight w:val="none"/>
          <w:lang w:bidi="ar"/>
        </w:rPr>
        <w:t>中标人在施工过程中应及时发现现场缺项漏项变更签证等影响造价的事项，应及时跟招标人报告（书面、微信等），</w:t>
      </w:r>
      <w:r>
        <w:rPr>
          <w:rFonts w:hint="eastAsia" w:ascii="宋体" w:hAnsi="宋体" w:eastAsia="宋体" w:cs="宋体"/>
          <w:color w:val="auto"/>
          <w:sz w:val="24"/>
          <w:szCs w:val="24"/>
          <w:highlight w:val="none"/>
          <w:lang w:eastAsia="zh-CN" w:bidi="ar"/>
        </w:rPr>
        <w:t>并按照招标人的程序确认后才能进行施工，</w:t>
      </w:r>
      <w:r>
        <w:rPr>
          <w:rFonts w:hint="eastAsia" w:ascii="宋体" w:hAnsi="宋体" w:eastAsia="宋体" w:cs="宋体"/>
          <w:color w:val="auto"/>
          <w:sz w:val="24"/>
          <w:szCs w:val="24"/>
          <w:highlight w:val="none"/>
          <w:lang w:bidi="ar"/>
        </w:rPr>
        <w:t>若因中标人不及时报告</w:t>
      </w:r>
      <w:r>
        <w:rPr>
          <w:rFonts w:hint="eastAsia" w:ascii="宋体" w:hAnsi="宋体" w:eastAsia="宋体" w:cs="宋体"/>
          <w:color w:val="auto"/>
          <w:sz w:val="24"/>
          <w:szCs w:val="24"/>
          <w:highlight w:val="none"/>
          <w:lang w:eastAsia="zh-CN" w:bidi="ar"/>
        </w:rPr>
        <w:t>擅自施工，</w:t>
      </w:r>
      <w:r>
        <w:rPr>
          <w:rFonts w:hint="eastAsia" w:ascii="宋体" w:hAnsi="宋体" w:eastAsia="宋体" w:cs="宋体"/>
          <w:color w:val="auto"/>
          <w:sz w:val="24"/>
          <w:szCs w:val="24"/>
          <w:highlight w:val="none"/>
          <w:lang w:bidi="ar"/>
        </w:rPr>
        <w:t>导致的不良后果，由中标人承担。</w:t>
      </w:r>
    </w:p>
    <w:p w14:paraId="30597FF5">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28</w:t>
      </w:r>
      <w:r>
        <w:rPr>
          <w:rFonts w:hint="eastAsia" w:ascii="宋体" w:hAnsi="宋体" w:eastAsia="宋体" w:cs="宋体"/>
          <w:color w:val="auto"/>
          <w:sz w:val="24"/>
          <w:szCs w:val="24"/>
          <w:highlight w:val="none"/>
          <w:lang w:val="en-US" w:eastAsia="zh-CN" w:bidi="ar"/>
        </w:rPr>
        <w:t xml:space="preserve"> 因项目用地的不可控因素，造成建设用地延期交付，导致产生的费用不予补偿，仅顺延工期。</w:t>
      </w:r>
    </w:p>
    <w:p w14:paraId="7ECB994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29 </w:t>
      </w:r>
      <w:r>
        <w:rPr>
          <w:rFonts w:hint="eastAsia" w:ascii="宋体" w:hAnsi="宋体" w:eastAsia="宋体" w:cs="宋体"/>
          <w:color w:val="auto"/>
          <w:sz w:val="24"/>
          <w:szCs w:val="24"/>
          <w:highlight w:val="none"/>
          <w:lang w:val="en-US" w:eastAsia="zh-CN" w:bidi="ar"/>
        </w:rPr>
        <w:t>中标人须参与图纸会审并及时提出涉及设计修改或变更方面的相关方案或意见，否则由此造成的后果由中标人自行负责。</w:t>
      </w:r>
    </w:p>
    <w:p w14:paraId="69A1044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w:t>
      </w:r>
      <w:r>
        <w:rPr>
          <w:rFonts w:hint="eastAsia" w:ascii="宋体" w:hAnsi="宋体" w:eastAsia="宋体" w:cs="宋体"/>
          <w:color w:val="auto"/>
          <w:sz w:val="24"/>
          <w:szCs w:val="24"/>
          <w:highlight w:val="none"/>
          <w:lang w:val="en-US" w:eastAsia="zh-CN" w:bidi="ar"/>
        </w:rPr>
        <w:t xml:space="preserve"> 对于招标工程量清单、招标控制价发生的以下事项，招标人有权在合同签订前按以下原则进行修订：</w:t>
      </w:r>
    </w:p>
    <w:p w14:paraId="010288E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14.30.1</w:t>
      </w:r>
      <w:r>
        <w:rPr>
          <w:rFonts w:hint="eastAsia" w:ascii="宋体" w:hAnsi="宋体" w:eastAsia="宋体" w:cs="宋体"/>
          <w:color w:val="auto"/>
          <w:sz w:val="24"/>
          <w:szCs w:val="24"/>
          <w:highlight w:val="none"/>
          <w:lang w:val="en-US" w:eastAsia="zh-CN" w:bidi="ar"/>
        </w:rPr>
        <w:t xml:space="preserve"> 招标工程量清单描述有误：招标人有权修正工程量清单描述错误部分，工程量清单综合单价以投标人报价为准。</w:t>
      </w:r>
    </w:p>
    <w:p w14:paraId="368B766F">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14.30.2</w:t>
      </w:r>
      <w:r>
        <w:rPr>
          <w:rFonts w:hint="eastAsia" w:ascii="宋体" w:hAnsi="宋体" w:eastAsia="宋体" w:cs="宋体"/>
          <w:color w:val="auto"/>
          <w:sz w:val="24"/>
          <w:szCs w:val="24"/>
          <w:highlight w:val="none"/>
          <w:lang w:val="en-US" w:eastAsia="zh-CN" w:bidi="ar"/>
        </w:rPr>
        <w:t xml:space="preserve"> 招标工程量计量错误：以实际发生工程量为准，工程量清单综合单价以投标人报价为准。</w:t>
      </w:r>
    </w:p>
    <w:p w14:paraId="18E0E32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14.30.3</w:t>
      </w:r>
      <w:r>
        <w:rPr>
          <w:rFonts w:hint="eastAsia" w:ascii="宋体" w:hAnsi="宋体" w:eastAsia="宋体" w:cs="宋体"/>
          <w:color w:val="auto"/>
          <w:sz w:val="24"/>
          <w:szCs w:val="24"/>
          <w:highlight w:val="none"/>
          <w:lang w:val="en-US" w:eastAsia="zh-CN" w:bidi="ar"/>
        </w:rPr>
        <w:t xml:space="preserve"> 相同子目综合单价在不同单位工程中单价不一致：以投标报价低价为准。</w:t>
      </w:r>
    </w:p>
    <w:p w14:paraId="1361271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 xml:space="preserve">14.30.4 </w:t>
      </w:r>
      <w:r>
        <w:rPr>
          <w:rFonts w:hint="eastAsia" w:ascii="宋体" w:hAnsi="宋体" w:eastAsia="宋体" w:cs="宋体"/>
          <w:color w:val="auto"/>
          <w:sz w:val="24"/>
          <w:szCs w:val="24"/>
          <w:highlight w:val="none"/>
          <w:lang w:val="en-US" w:eastAsia="zh-CN" w:bidi="ar"/>
        </w:rPr>
        <w:t>招标工程量清单漏项（图纸有而清单漏项）：按工程量按实计算，综合单价以招标人委托的第三方造价咨询公司按本项目招标控制价编制原则编制，并按投标总价下浮率下浮计算。</w:t>
      </w:r>
    </w:p>
    <w:p w14:paraId="22836D5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79BD32F7">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32 </w:t>
      </w:r>
      <w:r>
        <w:rPr>
          <w:rFonts w:hint="eastAsia" w:ascii="宋体" w:hAnsi="宋体" w:eastAsia="宋体" w:cs="宋体"/>
          <w:color w:val="auto"/>
          <w:sz w:val="24"/>
          <w:szCs w:val="24"/>
          <w:highlight w:val="none"/>
          <w:lang w:bidi="ar"/>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0F1E621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33 </w:t>
      </w:r>
      <w:r>
        <w:rPr>
          <w:rFonts w:hint="eastAsia" w:ascii="宋体" w:hAnsi="宋体" w:eastAsia="宋体" w:cs="宋体"/>
          <w:color w:val="auto"/>
          <w:sz w:val="24"/>
          <w:szCs w:val="24"/>
          <w:highlight w:val="none"/>
          <w:lang w:bidi="ar"/>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61D330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14.34 </w:t>
      </w:r>
      <w:r>
        <w:rPr>
          <w:rFonts w:hint="eastAsia" w:ascii="宋体" w:hAnsi="宋体" w:eastAsia="宋体" w:cs="宋体"/>
          <w:color w:val="auto"/>
          <w:sz w:val="24"/>
          <w:szCs w:val="24"/>
          <w:highlight w:val="none"/>
          <w:lang w:val="en-US" w:eastAsia="zh-CN" w:bidi="ar"/>
        </w:rPr>
        <w:t>本工程评标专家酬劳由中标人支付，该费用不再另行报价，由投标人在投标报价时综合考虑在内。中标人在领取中标通知书前须向招标代理机构评标专家酬劳。</w:t>
      </w:r>
    </w:p>
    <w:p w14:paraId="32222D77">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14.35 </w:t>
      </w:r>
      <w:r>
        <w:rPr>
          <w:rFonts w:hint="eastAsia" w:ascii="宋体" w:hAnsi="宋体" w:eastAsia="宋体" w:cs="宋体"/>
          <w:color w:val="auto"/>
          <w:sz w:val="24"/>
          <w:szCs w:val="24"/>
          <w:highlight w:val="none"/>
          <w:lang w:val="en-US" w:eastAsia="zh-CN" w:bidi="ar"/>
        </w:rPr>
        <w:t>发包人仅在征地红线范围内提供场地，其他一切场地费用由承包人自行负责（含临时道路），因实施合同工程的需要，承包人须占用场地外的道路及修建场外用地、设施等，均由承包人自行负责。承包人自行办理所需的申请手续，并承担一切所需的费用，承包人须负责保持场内外的临时道路畅通，提供指示牌、警告告示、灯号及所需之交通指导员等一切安全措施以保障行人安全及车辆安全行驶，并承担因其失责引起之所有索偿。基坑开挖期间，承包人须于基坑至工地出入口设置挖运土（石）方的专用便道，便道须作填硬质渣土或浇混凝土路面等加硬处理，以确保雨天仍能安全施工。该费用已包含在合同单价中；超大件和超重件运输所需的一切费用包括但不限于道路和桥梁临时加固改造费用等均由承包人自行负责。</w:t>
      </w:r>
    </w:p>
    <w:p w14:paraId="24A5F30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14.36</w:t>
      </w:r>
      <w:r>
        <w:rPr>
          <w:rFonts w:hint="eastAsia" w:ascii="宋体" w:hAnsi="宋体" w:eastAsia="宋体" w:cs="宋体"/>
          <w:color w:val="auto"/>
          <w:sz w:val="24"/>
          <w:szCs w:val="24"/>
          <w:highlight w:val="none"/>
          <w:lang w:val="en-US" w:eastAsia="zh-CN" w:bidi="ar"/>
        </w:rPr>
        <w:t xml:space="preserve"> 承包人应对所有现场作业、所有施工方法和全部工程的完备性、稳定性和安全性负责，负责施工场地安全保卫工作，防止因工程施工造成的人身伤害和财产损失，提供和维修施工照明、围栏设施及要约标志以满足现场实际需要。</w:t>
      </w:r>
    </w:p>
    <w:p w14:paraId="38B047E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14.37</w:t>
      </w:r>
      <w:r>
        <w:rPr>
          <w:rFonts w:hint="eastAsia" w:ascii="宋体" w:hAnsi="宋体" w:eastAsia="宋体" w:cs="宋体"/>
          <w:color w:val="auto"/>
          <w:sz w:val="24"/>
          <w:szCs w:val="24"/>
          <w:highlight w:val="none"/>
          <w:lang w:val="en-US" w:eastAsia="zh-CN" w:bidi="ar"/>
        </w:rPr>
        <w:t xml:space="preserve"> 遵守国家、广东省及韶关市现行的法律、条例、规定和通知，并办理所需的申请和支付有关的法定费用和税项（包括但不限于营业税及其附加税/增值税及其附加税或其他任何因履行合同需由承包商承担的相关税金）。包括但不限于施工场地交通、余泥排放、环境保护、安全防护、文明施工、施工噪音管理、夜间施工、排水许可、施工爆破许可等的申请及支付有关费用。</w:t>
      </w:r>
    </w:p>
    <w:p w14:paraId="59914E1C">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14.38</w:t>
      </w:r>
      <w:r>
        <w:rPr>
          <w:rFonts w:hint="eastAsia" w:ascii="宋体" w:hAnsi="宋体" w:eastAsia="宋体" w:cs="宋体"/>
          <w:color w:val="auto"/>
          <w:sz w:val="24"/>
          <w:szCs w:val="24"/>
          <w:highlight w:val="none"/>
          <w:lang w:val="en-US" w:eastAsia="zh-CN" w:bidi="ar"/>
        </w:rPr>
        <w:t xml:space="preserve"> 遵守政府部门有关环境卫生的管理规定，保证施工场地的清洁和交工前施工现场的清理，并承担因自身责任造成的损失和罚款。</w:t>
      </w:r>
    </w:p>
    <w:p w14:paraId="431EA3D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14.39</w:t>
      </w:r>
      <w:r>
        <w:rPr>
          <w:rFonts w:hint="eastAsia" w:ascii="宋体" w:hAnsi="宋体" w:eastAsia="宋体" w:cs="宋体"/>
          <w:color w:val="auto"/>
          <w:sz w:val="24"/>
          <w:szCs w:val="24"/>
          <w:highlight w:val="none"/>
          <w:lang w:val="en-US" w:eastAsia="zh-CN" w:bidi="ar"/>
        </w:rPr>
        <w:t xml:space="preserve"> 工程完工后，应按照合同约定提交竣工验收申请报告、竣工图纸和资料及竣工结算文件。本项目的工程竣工图亦须由承包人负责编制及提交，相关费用和利润视作已考虑在合同价款内。</w:t>
      </w:r>
    </w:p>
    <w:p w14:paraId="6687362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14.40 </w:t>
      </w:r>
      <w:r>
        <w:rPr>
          <w:rFonts w:hint="eastAsia" w:ascii="宋体" w:hAnsi="宋体" w:eastAsia="宋体" w:cs="宋体"/>
          <w:color w:val="auto"/>
          <w:sz w:val="24"/>
          <w:szCs w:val="24"/>
          <w:highlight w:val="none"/>
          <w:lang w:val="en-US" w:eastAsia="zh-CN" w:bidi="ar"/>
        </w:rPr>
        <w:t>自行办理本工程施工所需的道路占用手续（包括开路口），负责有关申请及维持占用道路所需的一切费用，并负责本工程的红线外的一切场地使用费用。</w:t>
      </w:r>
    </w:p>
    <w:p w14:paraId="5E27658A">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14.41</w:t>
      </w:r>
      <w:r>
        <w:rPr>
          <w:rFonts w:hint="eastAsia" w:ascii="宋体" w:hAnsi="宋体" w:eastAsia="宋体" w:cs="宋体"/>
          <w:color w:val="auto"/>
          <w:sz w:val="24"/>
          <w:szCs w:val="24"/>
          <w:highlight w:val="none"/>
          <w:lang w:val="en-US" w:eastAsia="zh-CN" w:bidi="ar"/>
        </w:rPr>
        <w:t xml:space="preserve"> 对于承包人或其指定分包人所雇用的工人或任何其它人员的伤亡或赔偿，承包人应保证发包人免负该等责任，且保证发包人不负担涉及这类伤亡与赔偿或与此有关的索赔和诉讼，损害赔偿、诉讼费、赔偿费及其它费用均由承包人自行负责，另承包人由于伤亡事故而造成本工程停工的，发包人将不予顺延工期，其所有损失由承包人自负。但由于发包人或监理工程师的行为失误所造成的伤亡除外。</w:t>
      </w:r>
    </w:p>
    <w:p w14:paraId="602FFB2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14.42 </w:t>
      </w:r>
      <w:r>
        <w:rPr>
          <w:rFonts w:hint="eastAsia" w:ascii="宋体" w:hAnsi="宋体" w:eastAsia="宋体" w:cs="宋体"/>
          <w:color w:val="auto"/>
          <w:sz w:val="24"/>
          <w:szCs w:val="24"/>
          <w:highlight w:val="none"/>
          <w:lang w:val="en-US" w:eastAsia="zh-CN" w:bidi="ar"/>
        </w:rPr>
        <w:t>应发包人要求对所有隐蔽工程施工进行录像并刻录成光盘，于工程验收时一并提交。</w:t>
      </w:r>
    </w:p>
    <w:p w14:paraId="279A2CB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14.43</w:t>
      </w:r>
      <w:r>
        <w:rPr>
          <w:rFonts w:hint="eastAsia" w:ascii="宋体" w:hAnsi="宋体" w:eastAsia="宋体" w:cs="宋体"/>
          <w:color w:val="auto"/>
          <w:sz w:val="24"/>
          <w:szCs w:val="24"/>
          <w:highlight w:val="none"/>
          <w:lang w:val="en-US" w:eastAsia="zh-CN" w:bidi="ar"/>
        </w:rPr>
        <w:t xml:space="preserve"> 本工程竣工交付予发包人，或合同终止之日起30天内时，承包人应将全部场地清理干净退还发包人。如承包人逾期未退还场地，承包人须按每天5元/m2向发包人缴纳场地占用费。</w:t>
      </w:r>
    </w:p>
    <w:p w14:paraId="2984EDE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14.44 </w:t>
      </w:r>
      <w:r>
        <w:rPr>
          <w:rFonts w:hint="eastAsia" w:ascii="宋体" w:hAnsi="宋体" w:eastAsia="宋体" w:cs="宋体"/>
          <w:color w:val="auto"/>
          <w:sz w:val="24"/>
          <w:szCs w:val="24"/>
          <w:highlight w:val="none"/>
          <w:lang w:val="en-US" w:eastAsia="zh-CN" w:bidi="ar"/>
        </w:rPr>
        <w:t>承包人必须参加各专业工程的图纸会审，对于专业工程与土建工程有冲突的地方，有义务提出修改建议和解决方案，否则，因此产生的费用将不予签证和工程设计变更。</w:t>
      </w:r>
    </w:p>
    <w:p w14:paraId="36F8BF5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14.45</w:t>
      </w:r>
      <w:r>
        <w:rPr>
          <w:rFonts w:hint="eastAsia" w:ascii="宋体" w:hAnsi="宋体" w:eastAsia="宋体" w:cs="宋体"/>
          <w:color w:val="auto"/>
          <w:sz w:val="24"/>
          <w:szCs w:val="24"/>
          <w:highlight w:val="none"/>
          <w:lang w:val="en-US" w:eastAsia="zh-CN" w:bidi="ar"/>
        </w:rPr>
        <w:t xml:space="preserve"> 承包人应根据发包人提供的正式变更资料及时进行工程变更，工程变更完成并由监理工程师和发包人书面确认后，承包人在30天内向发包人和造价工程师提出工程变更预算(包括经确认完成的变更证明资料及相应图纸、计算明细及单价组成等)，在30天内未提交的，视为变更不涉及费用的增加和工期的延长。承包人需按发包人的要求在每月20日前对设计变更及现场签证的事项台账及预算台账进行更新填报，若承包人漏报，发包人将视为该工作或签证不涉及费用的增加及工期的延长。承包人不得高估冒算，承包人预（结）算的送审价高出发包人审定价20%，承包人按以下方式承担违约金：违约金＝(承包人预（结）算送审造价－发包人预（结）算审定价×1.2)×10%，在预（结）算款项中以违约金形式扣除。</w:t>
      </w:r>
    </w:p>
    <w:p w14:paraId="504EC47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14.46</w:t>
      </w:r>
      <w:r>
        <w:rPr>
          <w:rFonts w:hint="eastAsia" w:ascii="宋体" w:hAnsi="宋体" w:eastAsia="宋体" w:cs="宋体"/>
          <w:color w:val="auto"/>
          <w:sz w:val="24"/>
          <w:szCs w:val="24"/>
          <w:highlight w:val="none"/>
          <w:lang w:val="en-US" w:eastAsia="zh-CN" w:bidi="ar"/>
        </w:rPr>
        <w:t xml:space="preserve"> 在展开任何工作或订购任何材料设备前，承包人须核实图纸上及现场所有尺寸，及审核现场、图纸、标准、规范之间有没有不符，若发现有任何错漏、疏忽或偏差，必须立即以书面形式通知发包人和监理工程师，由发包人给予指示。发包人的任何指示皆不会免除或减轻承包人按合同所承担的义务和责任。发包人不负责承包人未有充分审核而引致的虚耗材料设备、工作或进度拖延。</w:t>
      </w:r>
    </w:p>
    <w:p w14:paraId="4739858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14.47</w:t>
      </w:r>
      <w:r>
        <w:rPr>
          <w:rFonts w:hint="eastAsia" w:ascii="宋体" w:hAnsi="宋体" w:eastAsia="宋体" w:cs="宋体"/>
          <w:color w:val="auto"/>
          <w:sz w:val="24"/>
          <w:szCs w:val="24"/>
          <w:highlight w:val="none"/>
          <w:lang w:val="en-US" w:eastAsia="zh-CN" w:bidi="ar"/>
        </w:rPr>
        <w:t xml:space="preserve"> 合同价款已包括探明、打碎及移去所有在施工期间所遇到的地下障碍物如石块、结构混凝土、素混凝土、砖块、坟头等，及用经认可的土壤回填于空位内，合同价款亦已包括因上述障碍物而引致工人及机械窝工的费用及其它一切费用。</w:t>
      </w:r>
    </w:p>
    <w:p w14:paraId="129BD86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14.48</w:t>
      </w:r>
      <w:r>
        <w:rPr>
          <w:rFonts w:hint="eastAsia" w:ascii="宋体" w:hAnsi="宋体" w:eastAsia="宋体" w:cs="宋体"/>
          <w:color w:val="auto"/>
          <w:sz w:val="24"/>
          <w:szCs w:val="24"/>
          <w:highlight w:val="none"/>
          <w:lang w:val="en-US" w:eastAsia="zh-CN" w:bidi="ar"/>
        </w:rPr>
        <w:t xml:space="preserve"> 合同履行期间，除分部分项工程量清单内人工及模板人工（不包含机械费中的人工）与分部分项工程清单内的商品混凝土、商品砂浆、钢筋、结构用型钢、砌体、在约定的条件下可调整价差外，合同价款及单价不会因任何物价或汇率的变动而作调整。</w:t>
      </w:r>
    </w:p>
    <w:p w14:paraId="43E2910D">
      <w:pPr>
        <w:pStyle w:val="36"/>
        <w:wordWrap w:val="0"/>
        <w:adjustRightInd w:val="0"/>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bidi="ar"/>
        </w:rPr>
        <w:t>14.49</w:t>
      </w:r>
      <w:r>
        <w:rPr>
          <w:rFonts w:hint="eastAsia" w:ascii="宋体" w:hAnsi="宋体" w:eastAsia="宋体" w:cs="宋体"/>
          <w:color w:val="auto"/>
          <w:sz w:val="24"/>
          <w:szCs w:val="24"/>
          <w:highlight w:val="none"/>
          <w:lang w:val="en-US" w:eastAsia="zh-CN" w:bidi="ar"/>
        </w:rPr>
        <w:t xml:space="preserve"> 承包人应积极配合发包人进行与自行施工范围有关的变更、签证“一月一清”工作。</w:t>
      </w:r>
    </w:p>
    <w:p w14:paraId="387C6D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4" w:name="_Toc3399"/>
      <w:bookmarkStart w:id="215" w:name="_Toc9877"/>
      <w:r>
        <w:rPr>
          <w:rFonts w:hint="eastAsia" w:ascii="宋体" w:hAnsi="宋体" w:eastAsia="宋体" w:cs="宋体"/>
          <w:b/>
          <w:bCs/>
          <w:color w:val="auto"/>
          <w:spacing w:val="-11"/>
          <w:sz w:val="24"/>
          <w:szCs w:val="24"/>
          <w:highlight w:val="none"/>
          <w:lang w:val="en-US" w:eastAsia="zh-CN"/>
        </w:rPr>
        <w:t>15.违约及质量保证条款</w:t>
      </w:r>
      <w:bookmarkEnd w:id="214"/>
    </w:p>
    <w:p w14:paraId="6C4CDE94">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15.1 </w:t>
      </w:r>
      <w:r>
        <w:rPr>
          <w:rFonts w:hint="eastAsia" w:ascii="宋体" w:hAnsi="宋体" w:eastAsia="宋体" w:cs="宋体"/>
          <w:b w:val="0"/>
          <w:bCs w:val="0"/>
          <w:color w:val="auto"/>
          <w:sz w:val="24"/>
          <w:szCs w:val="24"/>
          <w:highlight w:val="none"/>
          <w:lang w:val="en-US" w:eastAsia="zh-CN" w:bidi="ar"/>
        </w:rPr>
        <w:t>工程移交延误违约</w:t>
      </w:r>
      <w:bookmarkEnd w:id="215"/>
    </w:p>
    <w:p w14:paraId="0D7B8051">
      <w:pPr>
        <w:pStyle w:val="36"/>
        <w:snapToGrid w:val="0"/>
        <w:spacing w:line="360" w:lineRule="auto"/>
        <w:ind w:firstLine="56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15.1.1</w:t>
      </w:r>
      <w:r>
        <w:rPr>
          <w:rFonts w:hint="eastAsia" w:ascii="宋体" w:hAnsi="宋体" w:eastAsia="宋体" w:cs="宋体"/>
          <w:b w:val="0"/>
          <w:bCs w:val="0"/>
          <w:snapToGrid w:val="0"/>
          <w:color w:val="auto"/>
          <w:kern w:val="0"/>
          <w:sz w:val="24"/>
          <w:szCs w:val="24"/>
          <w:highlight w:val="none"/>
          <w:lang w:val="en-US" w:eastAsia="zh-CN"/>
        </w:rPr>
        <w:t>因承包人原因，工程没有按期竣工时，承包人须在逾期第壹天起每天按合同价的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向发包人返纳逾期竣工违约金。逾期竣工违约金的最高限额为合同价款的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w:t>
      </w:r>
    </w:p>
    <w:p w14:paraId="0C5D91D8">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.1.2</w:t>
      </w:r>
      <w:r>
        <w:rPr>
          <w:rFonts w:hint="eastAsia" w:ascii="宋体" w:hAnsi="宋体" w:eastAsia="宋体" w:cs="宋体"/>
          <w:iCs/>
          <w:color w:val="auto"/>
          <w:sz w:val="24"/>
          <w:szCs w:val="24"/>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int="eastAsia" w:ascii="宋体" w:hAnsi="宋体" w:eastAsia="宋体" w:cs="宋体"/>
          <w:color w:val="auto"/>
          <w:sz w:val="24"/>
          <w:szCs w:val="24"/>
          <w:highlight w:val="none"/>
        </w:rPr>
        <w:t>每次按2000元缴纳违约金给发包人，在结算中一并扣除。</w:t>
      </w:r>
    </w:p>
    <w:p w14:paraId="538FADF2">
      <w:pPr>
        <w:pStyle w:val="36"/>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15</w:t>
      </w: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color w:val="auto"/>
          <w:sz w:val="24"/>
          <w:szCs w:val="24"/>
          <w:highlight w:val="none"/>
        </w:rPr>
        <w:t>承包人在进场后7天内提交施工进度计划，并注明主要施工节点时间，送监理单位及发包人审核后，作为工期考核的阶段性指标。</w:t>
      </w:r>
    </w:p>
    <w:p w14:paraId="11486E20">
      <w:pPr>
        <w:pStyle w:val="36"/>
        <w:keepNext w:val="0"/>
        <w:keepLines w:val="0"/>
        <w:pageBreakBefore w:val="0"/>
        <w:widowControl/>
        <w:wordWrap w:val="0"/>
        <w:overflowPunct/>
        <w:bidi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16" w:name="_Toc25518"/>
      <w:r>
        <w:rPr>
          <w:rFonts w:hint="eastAsia" w:ascii="宋体" w:hAnsi="宋体" w:eastAsia="宋体" w:cs="宋体"/>
          <w:b/>
          <w:bCs/>
          <w:color w:val="auto"/>
          <w:sz w:val="24"/>
          <w:szCs w:val="24"/>
          <w:highlight w:val="none"/>
          <w:lang w:val="en-US" w:eastAsia="zh-CN" w:bidi="ar"/>
        </w:rPr>
        <w:t xml:space="preserve">15.2 </w:t>
      </w:r>
      <w:r>
        <w:rPr>
          <w:rFonts w:hint="eastAsia" w:ascii="宋体" w:hAnsi="宋体" w:eastAsia="宋体" w:cs="宋体"/>
          <w:b w:val="0"/>
          <w:bCs w:val="0"/>
          <w:color w:val="auto"/>
          <w:sz w:val="24"/>
          <w:szCs w:val="24"/>
          <w:highlight w:val="none"/>
          <w:lang w:val="en-US" w:eastAsia="zh-CN" w:bidi="ar"/>
        </w:rPr>
        <w:t>质量违约</w:t>
      </w:r>
      <w:bookmarkEnd w:id="216"/>
    </w:p>
    <w:p w14:paraId="1D9615D2">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材料违约处理：若发现材料不符合国家标准或发包人在技术规范中规定的标准，视为承包人违约，按现行《建设工程质量管理条例》处理。</w:t>
      </w:r>
    </w:p>
    <w:p w14:paraId="181B02AC">
      <w:pPr>
        <w:pStyle w:val="37"/>
        <w:keepNext w:val="0"/>
        <w:keepLines w:val="0"/>
        <w:pageBreakBefore w:val="0"/>
        <w:widowControl w:val="0"/>
        <w:kinsoku w:val="0"/>
        <w:wordWrap/>
        <w:overflowPunct/>
        <w:autoSpaceDE w:val="0"/>
        <w:autoSpaceDN w:val="0"/>
        <w:bidi w:val="0"/>
        <w:adjustRightInd w:val="0"/>
        <w:snapToGrid w:val="0"/>
        <w:spacing w:line="360" w:lineRule="auto"/>
        <w:ind w:firstLine="49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15</w:t>
      </w:r>
      <w:r>
        <w:rPr>
          <w:rFonts w:hint="eastAsia" w:ascii="宋体" w:hAnsi="宋体" w:eastAsia="宋体" w:cs="宋体"/>
          <w:b/>
          <w:color w:val="auto"/>
          <w:sz w:val="24"/>
          <w:szCs w:val="24"/>
          <w:highlight w:val="none"/>
        </w:rPr>
        <w:t>.2.1.1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成品采购项目在采购前，承包人必须先行书面征求监理人、发包人的同意并一起看样定版后方能实施。未经监理人、发包人同意擅自先行采购和实施的，否则因不符合设计要求返工造成的费用由承包人承担。</w:t>
      </w:r>
    </w:p>
    <w:p w14:paraId="633665CF">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工程质量违约：</w:t>
      </w:r>
    </w:p>
    <w:p w14:paraId="589C1495">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在施工过程中经监理单位日常巡查或抽检发现未达到合格标准，责令承包人进行整改，如未按规定时间进行整改或整改不到位的，每次按5000元缴纳违约金给发包人，在进度款或结算款中一并扣除。</w:t>
      </w:r>
    </w:p>
    <w:p w14:paraId="204A6E6F">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工程质量标准须</w:t>
      </w:r>
      <w:r>
        <w:rPr>
          <w:rFonts w:hint="eastAsia" w:ascii="宋体" w:hAnsi="宋体" w:eastAsia="宋体" w:cs="宋体"/>
          <w:color w:val="auto"/>
          <w:sz w:val="24"/>
          <w:szCs w:val="24"/>
          <w:highlight w:val="none"/>
          <w:lang w:eastAsia="zh-CN"/>
        </w:rPr>
        <w:t>达到《建筑工程施工质量验收统一标准》(GB50300-2013)和《建筑与市政工程施工质量控制通用规范》（GB55032-2022）合格</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如未达到合格标准，除无偿返工至合格外，还要按合同价款的1%向招标人支付质量违约金，工期不予顺延。</w:t>
      </w:r>
    </w:p>
    <w:p w14:paraId="7E9A0895">
      <w:pPr>
        <w:pStyle w:val="36"/>
        <w:wordWrap w:val="0"/>
        <w:adjustRightInd w:val="0"/>
        <w:snapToGrid w:val="0"/>
        <w:spacing w:line="360" w:lineRule="auto"/>
        <w:ind w:firstLine="560"/>
        <w:rPr>
          <w:rFonts w:hint="eastAsia" w:ascii="宋体" w:hAnsi="宋体" w:eastAsia="宋体" w:cs="宋体"/>
          <w:b w:val="0"/>
          <w:bCs w:val="0"/>
          <w:color w:val="auto"/>
          <w:sz w:val="24"/>
          <w:szCs w:val="24"/>
          <w:highlight w:val="none"/>
          <w:lang w:val="en-US" w:eastAsia="zh-CN" w:bidi="ar"/>
        </w:rPr>
      </w:pPr>
      <w:bookmarkStart w:id="217" w:name="_Toc6857"/>
      <w:r>
        <w:rPr>
          <w:rFonts w:hint="eastAsia" w:ascii="宋体" w:hAnsi="宋体" w:eastAsia="宋体" w:cs="宋体"/>
          <w:b/>
          <w:bCs/>
          <w:color w:val="auto"/>
          <w:sz w:val="24"/>
          <w:szCs w:val="24"/>
          <w:highlight w:val="none"/>
          <w:lang w:val="en-US" w:eastAsia="zh-CN" w:bidi="ar"/>
        </w:rPr>
        <w:t xml:space="preserve">15.3 </w:t>
      </w:r>
      <w:r>
        <w:rPr>
          <w:rFonts w:hint="eastAsia" w:ascii="宋体" w:hAnsi="宋体" w:eastAsia="宋体" w:cs="宋体"/>
          <w:b w:val="0"/>
          <w:bCs w:val="0"/>
          <w:color w:val="auto"/>
          <w:sz w:val="24"/>
          <w:szCs w:val="24"/>
          <w:highlight w:val="none"/>
          <w:lang w:val="en-US" w:eastAsia="zh-CN" w:bidi="ar"/>
        </w:rPr>
        <w:t>重大责任事故违约</w:t>
      </w:r>
      <w:bookmarkEnd w:id="217"/>
    </w:p>
    <w:p w14:paraId="2C4DF0E6">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71FC9DF1">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18" w:name="_Toc8249"/>
      <w:r>
        <w:rPr>
          <w:rFonts w:hint="eastAsia" w:ascii="宋体" w:hAnsi="宋体" w:eastAsia="宋体" w:cs="宋体"/>
          <w:b/>
          <w:bCs/>
          <w:color w:val="auto"/>
          <w:sz w:val="24"/>
          <w:szCs w:val="24"/>
          <w:highlight w:val="none"/>
          <w:lang w:val="en-US" w:eastAsia="zh-CN" w:bidi="ar"/>
        </w:rPr>
        <w:t xml:space="preserve">15.4 </w:t>
      </w:r>
      <w:r>
        <w:rPr>
          <w:rFonts w:hint="eastAsia" w:ascii="宋体" w:hAnsi="宋体" w:eastAsia="宋体" w:cs="宋体"/>
          <w:b w:val="0"/>
          <w:bCs w:val="0"/>
          <w:color w:val="auto"/>
          <w:sz w:val="24"/>
          <w:szCs w:val="24"/>
          <w:highlight w:val="none"/>
          <w:lang w:val="en-US" w:eastAsia="zh-CN" w:bidi="ar"/>
        </w:rPr>
        <w:t>用工违约</w:t>
      </w:r>
      <w:bookmarkEnd w:id="218"/>
    </w:p>
    <w:p w14:paraId="1FA6EAF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在合同履行期间，如经查实承包人拖欠或克扣农民工或劳务工工资，导致劳资纠纷或发生危及公共安全或正常社会秩序的事件的，按承包人违约处理，按人民币10000元/次从工程进度款中扣除。承包人必须无条件确保民工工资得到及时发放，无拖欠民工工资现象，并采取发包人认为切实可行的措施确保无劳资纠纷事件发生，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违约金在下期进度款中扣除。未在下期进度款扣除或承包人在发包人处已经无款可扣的，起计逾期支付利息。发包人可以在承包人其他任何款项中扣除所垫付的工资和相应的违约金与利息。承包人对提供的资料真实性负责，如发现虚假不实情况，承包人须向发包人支付违约金20000元/次。</w:t>
      </w:r>
    </w:p>
    <w:p w14:paraId="7B54F001">
      <w:pPr>
        <w:spacing w:line="360" w:lineRule="auto"/>
        <w:ind w:firstLine="475" w:firstLineChars="197"/>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承包人应积极落实有关部门关于用工实名制管理工作的要求，未按规定落实农民工工资专户及实用工实名制要求，经有关部门警告或处罚的，按违约金人民币10000元/次从工程进度款中扣除。</w:t>
      </w:r>
      <w:bookmarkStart w:id="219" w:name="_Toc28116"/>
    </w:p>
    <w:p w14:paraId="7A158BB3">
      <w:pPr>
        <w:spacing w:line="360" w:lineRule="auto"/>
        <w:ind w:firstLine="475" w:firstLineChars="197"/>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15.5 </w:t>
      </w:r>
      <w:r>
        <w:rPr>
          <w:rFonts w:hint="eastAsia" w:ascii="宋体" w:hAnsi="宋体" w:eastAsia="宋体" w:cs="宋体"/>
          <w:b w:val="0"/>
          <w:bCs w:val="0"/>
          <w:color w:val="auto"/>
          <w:sz w:val="24"/>
          <w:szCs w:val="24"/>
          <w:highlight w:val="none"/>
          <w:lang w:val="en-US" w:eastAsia="zh-CN" w:bidi="ar"/>
        </w:rPr>
        <w:t>安全文明施工违约</w:t>
      </w:r>
      <w:bookmarkEnd w:id="219"/>
    </w:p>
    <w:p w14:paraId="46AC795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承包人应严格遵守国家、省、市有关防火、爆破和施工安全以及文明施工、深夜施工、环卫和城市管理等规定，建立规章制度和防护措施，并组织施工。</w:t>
      </w:r>
    </w:p>
    <w:p w14:paraId="729C277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现场施工人员存在野蛮施工行为，经现场发包人（含监理单位）管理人员确认后，承包人须按10000元/次缴纳违约金；如因野蛮施工行为，引起投诉或网络问政的，承包人须按5000元/次缴纳违约金；并承担因野蛮施工行为所造成的全部责任。</w:t>
      </w:r>
    </w:p>
    <w:p w14:paraId="12C9CB6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承包人必须接受发包人及监理单位组织的安全、文明施工的检查，检查中的不合格项目、安全隐患必须在规定的时间内整改完成，否则每拖延一天处以10000元人民币违约金，直至整改合格。</w:t>
      </w:r>
    </w:p>
    <w:p w14:paraId="51E817E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承包人施工现场发生工伤或其他责任事故的，承包人按下列标准缴纳违约金：</w:t>
      </w:r>
    </w:p>
    <w:p w14:paraId="0E86324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①一次事故或全年累计死亡3人及以上：项目部必须撤换项目经理、主管安全副经理和安全主管，一次或全年累计缴纳违约金100万元人民币；</w:t>
      </w:r>
    </w:p>
    <w:p w14:paraId="754DC73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②一次事故或全年累计死亡2人：安全第一责任人在韶关市地区建设范围内公开检查；承包人必须撤换项目主管安全副经理或安全主管；一次或全年累计缴纳违约金60万元人民币；</w:t>
      </w:r>
    </w:p>
    <w:p w14:paraId="6C672175">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③全年死亡1人：安全第一责任人在韶关市地区建设范围内公开检查，并报其上级单位；承包人必须撤换项目安全主管；缴纳违约金30万元人民币。</w:t>
      </w:r>
    </w:p>
    <w:p w14:paraId="1A320279">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④重伤事故、造成10人及以上集体中毒住院、经济损失重大的火灾、设备及交通事故，缴纳违约金30万元人民币。</w:t>
      </w:r>
    </w:p>
    <w:p w14:paraId="23976D75">
      <w:pPr>
        <w:spacing w:line="360" w:lineRule="auto"/>
        <w:ind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⑤因施工造成的道路交通中断、通讯中断、管线漏水漏气等全部责任事故，由承包人承担责任，并缴纳违约金1万元人民币。</w:t>
      </w:r>
      <w:bookmarkStart w:id="220" w:name="_Toc4275"/>
    </w:p>
    <w:p w14:paraId="62930D9D">
      <w:pPr>
        <w:spacing w:line="360" w:lineRule="auto"/>
        <w:ind w:firstLine="475" w:firstLineChars="197"/>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15.6 </w:t>
      </w:r>
      <w:r>
        <w:rPr>
          <w:rFonts w:hint="eastAsia" w:ascii="宋体" w:hAnsi="宋体" w:eastAsia="宋体" w:cs="宋体"/>
          <w:b w:val="0"/>
          <w:bCs w:val="0"/>
          <w:color w:val="auto"/>
          <w:sz w:val="24"/>
          <w:szCs w:val="24"/>
          <w:highlight w:val="none"/>
          <w:lang w:val="en-US" w:eastAsia="zh-CN" w:bidi="ar"/>
        </w:rPr>
        <w:t>其他违约</w:t>
      </w:r>
      <w:bookmarkEnd w:id="220"/>
    </w:p>
    <w:p w14:paraId="3F88563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如果擅自更换项目负责人或项目技术负责人，承包人每更换一人次，需支付20000元违约金给发包人，如果擅自更换主要施工管理人员，每更换一人次，承包人需支付10000元违约金给发包人。若确实无法到位或需替换，需经总监理工程师审核并报发包人批准后，承包人可安排同等资历的人员替换；考勤采用人脸识别打卡每月累计不到位次数超过10天，按5000元/人/天缴纳违约金给发包人；在日常检查及相关会议中主要管理人员不到岗，按违约金人民币1000元/人/次从工程进度款中扣除。</w:t>
      </w:r>
    </w:p>
    <w:p w14:paraId="70AAA128">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.6.2</w:t>
      </w:r>
      <w:r>
        <w:rPr>
          <w:rFonts w:hint="eastAsia" w:ascii="宋体" w:hAnsi="宋体" w:eastAsia="宋体" w:cs="宋体"/>
          <w:bCs/>
          <w:color w:val="auto"/>
          <w:sz w:val="24"/>
          <w:szCs w:val="24"/>
          <w:highlight w:val="none"/>
        </w:rPr>
        <w:t xml:space="preserve"> 承包人施工资料必须与形象进度同步，如发包人在日常检查中发现不同步的现象的，视为违约并按违约金人民币1000元/次从工程进度款中扣除。</w:t>
      </w:r>
    </w:p>
    <w:p w14:paraId="7E2B002B">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要求承包人替换项目部中不称职人员或能力有异议，而承包人不予替换，视为承包人违约，承包人须按承包人项目部主要管理人员（主要指项目经理、项目技术负责人和专职安全生产管理人员）20000元/人次缴纳违约金给发包人。</w:t>
      </w:r>
    </w:p>
    <w:p w14:paraId="1454ACB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发包人对上述约定中的规定并不免除承包人接受国家、地方政府相关部门依法对承包人的处罚。</w:t>
      </w:r>
    </w:p>
    <w:p w14:paraId="131B29AE">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.6.5</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承包人没有正当合理的理由中途退场，可扣除承包人已递交的所有履约保证金作为违约金。</w:t>
      </w:r>
    </w:p>
    <w:p w14:paraId="18C370B0">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.6.6</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有下列情况之一的，承包人在一年内不得参与发包人的任何工程任务，并勒令从现施工的工地退场，同时按违约金人民币50000元从工程进度款中扣除：</w:t>
      </w:r>
    </w:p>
    <w:p w14:paraId="13573040">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A、路面沉降、开裂超过规范要求并造成不良社会影响的；</w:t>
      </w:r>
    </w:p>
    <w:p w14:paraId="2D6F483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B、发生重大责任安全事故的；</w:t>
      </w:r>
    </w:p>
    <w:p w14:paraId="3C314A7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C、不能在合同规定的期限内竣工的；</w:t>
      </w:r>
    </w:p>
    <w:p w14:paraId="6C9E5A9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D、承包人所承担的施工任务在施工期间，由于工程质量或工程进度原因，监理单位发出10个以上﹙含10个﹚停工令的；</w:t>
      </w:r>
    </w:p>
    <w:p w14:paraId="571A4F11">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E、质量监督部门在抽检时发出5个以上（含5个）由于工程质量原因通报的；</w:t>
      </w:r>
    </w:p>
    <w:p w14:paraId="3C08B80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F、业主组织的质量大检查发现由于工程质量原因而通报二次以上（含二次）的；</w:t>
      </w:r>
    </w:p>
    <w:p w14:paraId="300ADEC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严格塔吊、起重机等机械设备及货梯、提升机等机电设备的安装、拆卸和使用运行管理。必须落实持证上岗、专人操作、专人检查，严格落实每天操作前和操作后的检查，检查发现未落实相关措施和规定的，按违约金人民币2000元/次从工程进度款中扣除。</w:t>
      </w:r>
    </w:p>
    <w:p w14:paraId="0F1810E3">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.6.8</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承包人应加强生活用电管理，检查发现私拉乱接电线的，承包人须按人民币500元/次缴纳违约金给发包人。</w:t>
      </w:r>
    </w:p>
    <w:p w14:paraId="168FAA31">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.6.9</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承包人应加强建设范围内因雨季造成临时积水部位的管理，防止发生淹亡、溺亡事故，若因措施不严造成的后果全部由承包人承担。</w:t>
      </w:r>
    </w:p>
    <w:p w14:paraId="67A9EE0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.6.10</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国家发生疫情或其他重大风险期间，承包人不执行有关部门关于特殊时期管控规定、不落实相关措施的，承包人须按人民币1000元/人/次缴纳违约金给发包人。</w:t>
      </w:r>
    </w:p>
    <w:p w14:paraId="6F9DB328">
      <w:pPr>
        <w:spacing w:line="360" w:lineRule="auto"/>
        <w:ind w:firstLine="352" w:firstLineChars="14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承包人因上述违约行为而须缴纳的违约金在工程进度款中或结算时一并扣除。</w:t>
      </w:r>
    </w:p>
    <w:p w14:paraId="4D4FD0C2">
      <w:pPr>
        <w:pStyle w:val="7"/>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lang w:eastAsia="zh-CN"/>
        </w:rPr>
        <w:t>.7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专业工程发包：</w:t>
      </w:r>
      <w:r>
        <w:rPr>
          <w:rFonts w:hint="eastAsia" w:ascii="宋体" w:hAnsi="宋体" w:eastAsia="宋体" w:cs="宋体"/>
          <w:bCs/>
          <w:color w:val="auto"/>
          <w:sz w:val="24"/>
          <w:szCs w:val="24"/>
          <w:highlight w:val="none"/>
        </w:rPr>
        <w:t>合同范围内的工程未经发包人同意一律不得发包，一经发现，取消承包人的承包资格，由此引起的一切经济损失和法律责任由承包人自行承担。若有专业工程必须发包的，发包人不另行支付总包服务费；其发包合同由承包人与对方签订，发包人不参与承包人与对方之间的结算，该部分工程的造价仍按承包人与发包人签订的合同的有关条款进行结算。注：本项目包含电力部分及电力附属部分内容，应由执有电力相关专业资质的单位承接，若达到必须招标规模标准的，由中标人招标，招标人参与管理，确定电力专业工程承包人和合同价格。</w:t>
      </w:r>
      <w:bookmarkStart w:id="221" w:name="_Toc21685"/>
    </w:p>
    <w:p w14:paraId="4678F62D">
      <w:pPr>
        <w:pStyle w:val="7"/>
        <w:spacing w:line="360" w:lineRule="auto"/>
        <w:ind w:firstLine="482" w:firstLineChars="20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15.8  </w:t>
      </w:r>
      <w:r>
        <w:rPr>
          <w:rFonts w:hint="eastAsia" w:ascii="宋体" w:hAnsi="宋体" w:eastAsia="宋体" w:cs="宋体"/>
          <w:b w:val="0"/>
          <w:bCs w:val="0"/>
          <w:color w:val="auto"/>
          <w:sz w:val="24"/>
          <w:szCs w:val="24"/>
          <w:highlight w:val="none"/>
          <w:lang w:val="en-US" w:eastAsia="zh-CN" w:bidi="ar"/>
        </w:rPr>
        <w:t>质量保证</w:t>
      </w:r>
      <w:bookmarkEnd w:id="221"/>
    </w:p>
    <w:p w14:paraId="73C841B6">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.8.1</w:t>
      </w:r>
      <w:r>
        <w:rPr>
          <w:rFonts w:hint="eastAsia" w:ascii="宋体" w:hAnsi="宋体" w:eastAsia="宋体" w:cs="宋体"/>
          <w:color w:val="auto"/>
          <w:sz w:val="24"/>
          <w:szCs w:val="24"/>
          <w:highlight w:val="none"/>
          <w:lang w:eastAsia="zh-CN"/>
        </w:rPr>
        <w:t xml:space="preserve"> 本招标项目缺陷责任期为</w:t>
      </w:r>
      <w:r>
        <w:rPr>
          <w:rFonts w:hint="eastAsia" w:ascii="宋体" w:hAnsi="宋体" w:eastAsia="宋体" w:cs="宋体"/>
          <w:color w:val="auto"/>
          <w:sz w:val="24"/>
          <w:szCs w:val="24"/>
          <w:highlight w:val="none"/>
          <w:u w:val="single"/>
          <w:lang w:val="en-US" w:eastAsia="zh-CN"/>
        </w:rPr>
        <w:t xml:space="preserve"> 2 </w:t>
      </w:r>
      <w:r>
        <w:rPr>
          <w:rFonts w:hint="eastAsia" w:ascii="宋体" w:hAnsi="宋体" w:eastAsia="宋体" w:cs="宋体"/>
          <w:color w:val="auto"/>
          <w:sz w:val="24"/>
          <w:szCs w:val="24"/>
          <w:highlight w:val="none"/>
          <w:lang w:eastAsia="zh-CN"/>
        </w:rPr>
        <w:t>年（自通过竣工验收之日起计），在此期间预留金额为结算价 3%的质量保证。</w:t>
      </w:r>
    </w:p>
    <w:p w14:paraId="4136F31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.8.2</w:t>
      </w:r>
      <w:r>
        <w:rPr>
          <w:rFonts w:hint="eastAsia" w:ascii="宋体" w:hAnsi="宋体" w:eastAsia="宋体" w:cs="宋体"/>
          <w:color w:val="auto"/>
          <w:sz w:val="24"/>
          <w:szCs w:val="24"/>
          <w:highlight w:val="none"/>
          <w:lang w:eastAsia="zh-CN"/>
        </w:rPr>
        <w:t xml:space="preserve"> 质量保证的形式包括质量保证金、质量保证担保、质量保证保险三种，由承包人自主选择。（1）采用质量保证金形式的，在结清审定总造价时一次性扣留相应金额作为质量保证金。（2）采用质量保证担保或质量保证保险的，承包人应在竣工验收时向发包人提交有效的商业保函、银行保函或保险合同（或保险单）原件，商业保函、银行保函或保险合同（或保险单）的有效期不得短于缺陷责任期。</w:t>
      </w:r>
    </w:p>
    <w:p w14:paraId="365BFA4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.8.3 </w:t>
      </w:r>
      <w:r>
        <w:rPr>
          <w:rFonts w:hint="eastAsia" w:ascii="宋体" w:hAnsi="宋体" w:eastAsia="宋体" w:cs="宋体"/>
          <w:color w:val="auto"/>
          <w:sz w:val="24"/>
          <w:szCs w:val="24"/>
          <w:highlight w:val="none"/>
          <w:lang w:eastAsia="zh-CN"/>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由他人原因造成的缺陷，发包人负责组织维修，承包人不承担费用，且发包人不得从质量保证中扣除费用。</w:t>
      </w:r>
    </w:p>
    <w:p w14:paraId="354BEC50">
      <w:pPr>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.8.4 </w:t>
      </w:r>
      <w:r>
        <w:rPr>
          <w:rFonts w:hint="eastAsia" w:ascii="宋体" w:hAnsi="宋体" w:eastAsia="宋体" w:cs="宋体"/>
          <w:color w:val="auto"/>
          <w:sz w:val="24"/>
          <w:szCs w:val="24"/>
          <w:highlight w:val="none"/>
          <w:lang w:eastAsia="zh-CN"/>
        </w:rPr>
        <w:t>缺陷责任期内，承包人应认真履行合同约定的责任。缺陷责任期到期后，承包人向发包人申请退还质量保证，发包人应按照《建设工程质量保证金管理办法》有关规定将质量保证退还给承包人。</w:t>
      </w:r>
    </w:p>
    <w:p w14:paraId="56A03A06">
      <w:pPr>
        <w:spacing w:line="360" w:lineRule="auto"/>
        <w:ind w:firstLine="480" w:firstLineChars="200"/>
        <w:rPr>
          <w:rFonts w:hint="eastAsia" w:ascii="宋体" w:hAnsi="宋体" w:eastAsia="宋体" w:cs="宋体"/>
          <w:color w:val="auto"/>
          <w:sz w:val="24"/>
          <w:szCs w:val="24"/>
          <w:highlight w:val="none"/>
          <w:lang w:eastAsia="zh-CN"/>
        </w:rPr>
      </w:pPr>
    </w:p>
    <w:p w14:paraId="0F9B2EB7">
      <w:pPr>
        <w:spacing w:line="360" w:lineRule="auto"/>
        <w:ind w:firstLine="480" w:firstLineChars="200"/>
        <w:rPr>
          <w:rFonts w:hint="eastAsia" w:ascii="宋体" w:hAnsi="宋体" w:eastAsia="宋体" w:cs="宋体"/>
          <w:color w:val="auto"/>
          <w:sz w:val="24"/>
          <w:szCs w:val="24"/>
          <w:highlight w:val="none"/>
          <w:lang w:eastAsia="zh-CN"/>
        </w:rPr>
      </w:pPr>
    </w:p>
    <w:p w14:paraId="5B57DCB1">
      <w:pPr>
        <w:spacing w:line="360" w:lineRule="auto"/>
        <w:ind w:firstLine="480" w:firstLineChars="200"/>
        <w:rPr>
          <w:rFonts w:hint="eastAsia" w:ascii="宋体" w:hAnsi="宋体" w:eastAsia="宋体" w:cs="宋体"/>
          <w:color w:val="auto"/>
          <w:sz w:val="24"/>
          <w:szCs w:val="24"/>
          <w:highlight w:val="none"/>
          <w:lang w:eastAsia="zh-CN"/>
        </w:rPr>
      </w:pPr>
    </w:p>
    <w:p w14:paraId="7604307F">
      <w:pPr>
        <w:spacing w:line="360" w:lineRule="auto"/>
        <w:ind w:firstLine="480" w:firstLineChars="200"/>
        <w:rPr>
          <w:rFonts w:hint="eastAsia" w:ascii="宋体" w:hAnsi="宋体" w:eastAsia="宋体" w:cs="宋体"/>
          <w:color w:val="auto"/>
          <w:sz w:val="24"/>
          <w:szCs w:val="24"/>
          <w:highlight w:val="none"/>
          <w:lang w:eastAsia="zh-CN"/>
        </w:rPr>
      </w:pPr>
    </w:p>
    <w:p w14:paraId="016D3BA5">
      <w:pPr>
        <w:spacing w:line="360" w:lineRule="auto"/>
        <w:ind w:firstLine="480" w:firstLineChars="200"/>
        <w:rPr>
          <w:rFonts w:hint="eastAsia" w:ascii="宋体" w:hAnsi="宋体" w:eastAsia="宋体" w:cs="宋体"/>
          <w:color w:val="auto"/>
          <w:sz w:val="24"/>
          <w:szCs w:val="24"/>
          <w:highlight w:val="none"/>
          <w:lang w:eastAsia="zh-CN"/>
        </w:rPr>
      </w:pPr>
    </w:p>
    <w:p w14:paraId="7FFAA869">
      <w:pPr>
        <w:spacing w:line="360" w:lineRule="auto"/>
        <w:ind w:firstLine="480" w:firstLineChars="200"/>
        <w:rPr>
          <w:rFonts w:hint="eastAsia" w:ascii="宋体" w:hAnsi="宋体" w:eastAsia="宋体" w:cs="宋体"/>
          <w:color w:val="auto"/>
          <w:sz w:val="24"/>
          <w:szCs w:val="24"/>
          <w:highlight w:val="none"/>
          <w:lang w:eastAsia="zh-CN"/>
        </w:rPr>
      </w:pPr>
    </w:p>
    <w:p w14:paraId="5698301C">
      <w:pPr>
        <w:spacing w:line="360" w:lineRule="auto"/>
        <w:ind w:firstLine="480" w:firstLineChars="200"/>
        <w:rPr>
          <w:rFonts w:hint="eastAsia" w:ascii="宋体" w:hAnsi="宋体" w:eastAsia="宋体" w:cs="宋体"/>
          <w:color w:val="auto"/>
          <w:sz w:val="24"/>
          <w:szCs w:val="24"/>
          <w:highlight w:val="none"/>
          <w:lang w:eastAsia="zh-CN"/>
        </w:rPr>
      </w:pPr>
    </w:p>
    <w:p w14:paraId="76D92239">
      <w:pPr>
        <w:spacing w:line="360" w:lineRule="auto"/>
        <w:ind w:firstLine="480" w:firstLineChars="200"/>
        <w:rPr>
          <w:rFonts w:hint="eastAsia" w:ascii="宋体" w:hAnsi="宋体" w:eastAsia="宋体" w:cs="宋体"/>
          <w:color w:val="auto"/>
          <w:sz w:val="24"/>
          <w:szCs w:val="24"/>
          <w:highlight w:val="none"/>
          <w:lang w:eastAsia="zh-CN"/>
        </w:rPr>
      </w:pPr>
    </w:p>
    <w:p w14:paraId="606B3126">
      <w:pPr>
        <w:spacing w:line="360" w:lineRule="auto"/>
        <w:ind w:firstLine="480" w:firstLineChars="200"/>
        <w:rPr>
          <w:rFonts w:hint="eastAsia" w:ascii="宋体" w:hAnsi="宋体" w:eastAsia="宋体" w:cs="宋体"/>
          <w:color w:val="auto"/>
          <w:sz w:val="24"/>
          <w:szCs w:val="24"/>
          <w:highlight w:val="none"/>
          <w:lang w:eastAsia="zh-CN"/>
        </w:rPr>
      </w:pPr>
    </w:p>
    <w:p w14:paraId="38FF5BE1">
      <w:pPr>
        <w:spacing w:line="360" w:lineRule="auto"/>
        <w:ind w:firstLine="480" w:firstLineChars="200"/>
        <w:rPr>
          <w:rFonts w:hint="eastAsia" w:ascii="宋体" w:hAnsi="宋体" w:eastAsia="宋体" w:cs="宋体"/>
          <w:color w:val="auto"/>
          <w:sz w:val="24"/>
          <w:szCs w:val="24"/>
          <w:highlight w:val="none"/>
          <w:lang w:eastAsia="zh-CN"/>
        </w:rPr>
      </w:pPr>
    </w:p>
    <w:p w14:paraId="41B3DFD3">
      <w:pPr>
        <w:spacing w:line="360" w:lineRule="auto"/>
        <w:ind w:firstLine="480" w:firstLineChars="200"/>
        <w:rPr>
          <w:rFonts w:hint="eastAsia" w:ascii="宋体" w:hAnsi="宋体" w:eastAsia="宋体" w:cs="宋体"/>
          <w:color w:val="auto"/>
          <w:sz w:val="24"/>
          <w:szCs w:val="24"/>
          <w:highlight w:val="none"/>
          <w:lang w:eastAsia="zh-CN"/>
        </w:rPr>
      </w:pPr>
    </w:p>
    <w:p w14:paraId="7E6A5CEF">
      <w:pPr>
        <w:spacing w:line="360" w:lineRule="auto"/>
        <w:ind w:firstLine="480" w:firstLineChars="200"/>
        <w:rPr>
          <w:rFonts w:hint="eastAsia" w:ascii="宋体" w:hAnsi="宋体" w:eastAsia="宋体" w:cs="宋体"/>
          <w:color w:val="auto"/>
          <w:sz w:val="24"/>
          <w:szCs w:val="24"/>
          <w:highlight w:val="none"/>
          <w:lang w:eastAsia="zh-CN"/>
        </w:rPr>
      </w:pPr>
    </w:p>
    <w:p w14:paraId="235CDC6A">
      <w:pPr>
        <w:spacing w:line="360" w:lineRule="auto"/>
        <w:ind w:firstLine="480" w:firstLineChars="200"/>
        <w:rPr>
          <w:rFonts w:hint="eastAsia" w:ascii="宋体" w:hAnsi="宋体" w:eastAsia="宋体" w:cs="宋体"/>
          <w:color w:val="auto"/>
          <w:sz w:val="24"/>
          <w:szCs w:val="24"/>
          <w:highlight w:val="none"/>
          <w:lang w:eastAsia="zh-CN"/>
        </w:rPr>
      </w:pPr>
    </w:p>
    <w:p w14:paraId="06DCCBCB">
      <w:pPr>
        <w:spacing w:line="360" w:lineRule="auto"/>
        <w:ind w:firstLine="480" w:firstLineChars="200"/>
        <w:rPr>
          <w:rFonts w:hint="eastAsia" w:ascii="宋体" w:hAnsi="宋体" w:eastAsia="宋体" w:cs="宋体"/>
          <w:color w:val="auto"/>
          <w:sz w:val="24"/>
          <w:szCs w:val="24"/>
          <w:highlight w:val="none"/>
          <w:lang w:eastAsia="zh-CN"/>
        </w:rPr>
      </w:pPr>
    </w:p>
    <w:p w14:paraId="5BC91E32">
      <w:pPr>
        <w:spacing w:line="360" w:lineRule="auto"/>
        <w:ind w:firstLine="480" w:firstLineChars="200"/>
        <w:rPr>
          <w:rFonts w:hint="eastAsia" w:ascii="宋体" w:hAnsi="宋体" w:eastAsia="宋体" w:cs="宋体"/>
          <w:color w:val="auto"/>
          <w:sz w:val="24"/>
          <w:szCs w:val="24"/>
          <w:highlight w:val="none"/>
          <w:lang w:eastAsia="zh-CN"/>
        </w:rPr>
      </w:pPr>
    </w:p>
    <w:p w14:paraId="254F12FE">
      <w:pPr>
        <w:spacing w:line="360" w:lineRule="auto"/>
        <w:ind w:firstLine="480" w:firstLineChars="200"/>
        <w:rPr>
          <w:rFonts w:hint="eastAsia" w:ascii="宋体" w:hAnsi="宋体" w:eastAsia="宋体" w:cs="宋体"/>
          <w:color w:val="auto"/>
          <w:sz w:val="24"/>
          <w:szCs w:val="24"/>
          <w:highlight w:val="none"/>
          <w:lang w:eastAsia="zh-CN"/>
        </w:rPr>
      </w:pPr>
    </w:p>
    <w:p w14:paraId="3E6983AC">
      <w:pPr>
        <w:spacing w:line="360" w:lineRule="auto"/>
        <w:ind w:firstLine="480" w:firstLineChars="200"/>
        <w:rPr>
          <w:rFonts w:hint="eastAsia" w:ascii="宋体" w:hAnsi="宋体" w:eastAsia="宋体" w:cs="宋体"/>
          <w:color w:val="auto"/>
          <w:sz w:val="24"/>
          <w:szCs w:val="24"/>
          <w:highlight w:val="none"/>
          <w:lang w:eastAsia="zh-CN"/>
        </w:rPr>
      </w:pPr>
    </w:p>
    <w:p w14:paraId="664322AA">
      <w:pPr>
        <w:spacing w:line="360" w:lineRule="auto"/>
        <w:ind w:firstLine="480" w:firstLineChars="200"/>
        <w:rPr>
          <w:rFonts w:hint="eastAsia" w:ascii="宋体" w:hAnsi="宋体" w:eastAsia="宋体" w:cs="宋体"/>
          <w:color w:val="auto"/>
          <w:sz w:val="24"/>
          <w:szCs w:val="24"/>
          <w:highlight w:val="none"/>
          <w:lang w:eastAsia="zh-CN"/>
        </w:rPr>
      </w:pPr>
    </w:p>
    <w:p w14:paraId="50F145BE">
      <w:pPr>
        <w:spacing w:line="360" w:lineRule="auto"/>
        <w:ind w:firstLine="480" w:firstLineChars="200"/>
        <w:rPr>
          <w:rFonts w:hint="eastAsia" w:ascii="宋体" w:hAnsi="宋体" w:eastAsia="宋体" w:cs="宋体"/>
          <w:color w:val="auto"/>
          <w:sz w:val="24"/>
          <w:szCs w:val="24"/>
          <w:highlight w:val="none"/>
          <w:lang w:eastAsia="zh-CN"/>
        </w:rPr>
      </w:pPr>
    </w:p>
    <w:p w14:paraId="4D9B0381">
      <w:pPr>
        <w:spacing w:line="360" w:lineRule="auto"/>
        <w:ind w:firstLine="480" w:firstLineChars="200"/>
        <w:rPr>
          <w:rFonts w:hint="eastAsia" w:ascii="宋体" w:hAnsi="宋体" w:eastAsia="宋体" w:cs="宋体"/>
          <w:color w:val="auto"/>
          <w:sz w:val="24"/>
          <w:szCs w:val="24"/>
          <w:highlight w:val="none"/>
          <w:lang w:eastAsia="zh-CN"/>
        </w:rPr>
      </w:pPr>
    </w:p>
    <w:p w14:paraId="68FDB2A8">
      <w:pPr>
        <w:spacing w:line="360" w:lineRule="auto"/>
        <w:ind w:firstLine="480" w:firstLineChars="200"/>
        <w:rPr>
          <w:rFonts w:hint="eastAsia" w:ascii="宋体" w:hAnsi="宋体" w:eastAsia="宋体" w:cs="宋体"/>
          <w:color w:val="auto"/>
          <w:sz w:val="24"/>
          <w:szCs w:val="24"/>
          <w:highlight w:val="none"/>
          <w:lang w:eastAsia="zh-CN"/>
        </w:rPr>
      </w:pPr>
    </w:p>
    <w:p w14:paraId="2898C678">
      <w:pPr>
        <w:spacing w:line="360" w:lineRule="auto"/>
        <w:ind w:firstLine="480" w:firstLineChars="200"/>
        <w:rPr>
          <w:rFonts w:hint="eastAsia" w:ascii="宋体" w:hAnsi="宋体" w:eastAsia="宋体" w:cs="宋体"/>
          <w:color w:val="auto"/>
          <w:sz w:val="24"/>
          <w:szCs w:val="24"/>
          <w:highlight w:val="none"/>
          <w:lang w:eastAsia="zh-CN"/>
        </w:rPr>
      </w:pPr>
    </w:p>
    <w:p w14:paraId="0FF7667E">
      <w:pPr>
        <w:spacing w:line="360" w:lineRule="auto"/>
        <w:ind w:firstLine="480" w:firstLineChars="200"/>
        <w:rPr>
          <w:rFonts w:hint="eastAsia" w:ascii="宋体" w:hAnsi="宋体" w:eastAsia="宋体" w:cs="宋体"/>
          <w:color w:val="auto"/>
          <w:sz w:val="24"/>
          <w:szCs w:val="24"/>
          <w:highlight w:val="none"/>
          <w:lang w:eastAsia="zh-CN"/>
        </w:rPr>
      </w:pPr>
    </w:p>
    <w:p w14:paraId="14D4DD06">
      <w:pPr>
        <w:spacing w:line="360" w:lineRule="auto"/>
        <w:ind w:firstLine="480" w:firstLineChars="200"/>
        <w:rPr>
          <w:rFonts w:hint="eastAsia" w:ascii="宋体" w:hAnsi="宋体" w:eastAsia="宋体" w:cs="宋体"/>
          <w:color w:val="auto"/>
          <w:sz w:val="24"/>
          <w:szCs w:val="24"/>
          <w:highlight w:val="none"/>
          <w:lang w:eastAsia="zh-CN"/>
        </w:rPr>
      </w:pPr>
    </w:p>
    <w:p w14:paraId="4323E36F">
      <w:pPr>
        <w:spacing w:line="360" w:lineRule="auto"/>
        <w:ind w:firstLine="480" w:firstLineChars="200"/>
        <w:rPr>
          <w:rFonts w:hint="eastAsia" w:ascii="宋体" w:hAnsi="宋体" w:eastAsia="宋体" w:cs="宋体"/>
          <w:color w:val="auto"/>
          <w:sz w:val="24"/>
          <w:szCs w:val="24"/>
          <w:highlight w:val="none"/>
          <w:lang w:eastAsia="zh-CN"/>
        </w:rPr>
      </w:pPr>
    </w:p>
    <w:p w14:paraId="163BDC48">
      <w:pPr>
        <w:spacing w:line="360" w:lineRule="auto"/>
        <w:ind w:firstLine="480" w:firstLineChars="200"/>
        <w:rPr>
          <w:rFonts w:hint="eastAsia" w:ascii="宋体" w:hAnsi="宋体" w:eastAsia="宋体" w:cs="宋体"/>
          <w:color w:val="auto"/>
          <w:sz w:val="24"/>
          <w:szCs w:val="24"/>
          <w:highlight w:val="none"/>
          <w:lang w:eastAsia="zh-CN"/>
        </w:rPr>
      </w:pPr>
    </w:p>
    <w:p w14:paraId="65AD97CC">
      <w:pPr>
        <w:spacing w:line="360" w:lineRule="auto"/>
        <w:ind w:firstLine="480" w:firstLineChars="200"/>
        <w:rPr>
          <w:rFonts w:hint="eastAsia" w:ascii="宋体" w:hAnsi="宋体" w:eastAsia="宋体" w:cs="宋体"/>
          <w:color w:val="auto"/>
          <w:sz w:val="24"/>
          <w:szCs w:val="24"/>
          <w:highlight w:val="none"/>
          <w:lang w:eastAsia="zh-CN"/>
        </w:rPr>
      </w:pPr>
    </w:p>
    <w:p w14:paraId="58D94BAD">
      <w:pPr>
        <w:rPr>
          <w:rFonts w:hint="eastAsia" w:ascii="宋体" w:hAnsi="宋体" w:eastAsia="宋体" w:cs="宋体"/>
          <w:lang w:val="en-US" w:eastAsia="zh-CN"/>
        </w:rPr>
      </w:pPr>
    </w:p>
    <w:p w14:paraId="7FCFD948">
      <w:pPr>
        <w:rPr>
          <w:rFonts w:hint="eastAsia" w:ascii="宋体" w:hAnsi="宋体" w:eastAsia="宋体" w:cs="宋体"/>
          <w:lang w:val="en-US" w:eastAsia="zh-CN"/>
        </w:rPr>
      </w:pPr>
    </w:p>
    <w:p w14:paraId="53B52D89">
      <w:pPr>
        <w:pStyle w:val="3"/>
        <w:tabs>
          <w:tab w:val="left" w:pos="885"/>
        </w:tabs>
        <w:wordWrap w:val="0"/>
        <w:autoSpaceDE/>
        <w:autoSpaceDN/>
        <w:snapToGrid w:val="0"/>
        <w:spacing w:line="360" w:lineRule="auto"/>
        <w:ind w:left="885" w:hanging="885"/>
        <w:jc w:val="center"/>
        <w:rPr>
          <w:rFonts w:hint="eastAsia" w:ascii="宋体" w:hAnsi="宋体" w:eastAsia="宋体" w:cs="宋体"/>
          <w:b/>
          <w:snapToGrid w:val="0"/>
          <w:color w:val="auto"/>
          <w:kern w:val="0"/>
          <w:highlight w:val="none"/>
        </w:rPr>
      </w:pPr>
      <w:bookmarkStart w:id="222" w:name="_Toc10521"/>
      <w:bookmarkStart w:id="223" w:name="_Toc20941"/>
      <w:r>
        <w:rPr>
          <w:rFonts w:hint="eastAsia" w:ascii="宋体" w:hAnsi="宋体" w:eastAsia="宋体" w:cs="宋体"/>
          <w:b/>
          <w:snapToGrid w:val="0"/>
          <w:color w:val="auto"/>
          <w:sz w:val="24"/>
          <w:highlight w:val="none"/>
        </w:rPr>
        <w:t>第四章</w:t>
      </w:r>
      <w:bookmarkStart w:id="224" w:name="_Hlt87793853"/>
      <w:bookmarkEnd w:id="224"/>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技术要求</w:t>
      </w:r>
      <w:bookmarkEnd w:id="222"/>
      <w:bookmarkEnd w:id="223"/>
      <w:bookmarkStart w:id="225" w:name="_Hlt69265216"/>
      <w:bookmarkEnd w:id="225"/>
      <w:bookmarkStart w:id="226" w:name="_Hlt68774758"/>
      <w:bookmarkEnd w:id="226"/>
      <w:bookmarkStart w:id="227" w:name="_Hlt75685840"/>
      <w:bookmarkEnd w:id="227"/>
      <w:bookmarkStart w:id="228" w:name="_Hlt80411122"/>
      <w:bookmarkEnd w:id="228"/>
      <w:bookmarkStart w:id="229" w:name="_Hlt66104926"/>
      <w:bookmarkEnd w:id="229"/>
      <w:bookmarkStart w:id="230" w:name="_Hlt69357851"/>
      <w:bookmarkEnd w:id="230"/>
      <w:bookmarkStart w:id="231" w:name="_Hlt87793370"/>
      <w:bookmarkEnd w:id="231"/>
      <w:bookmarkStart w:id="232" w:name="_Hlt69358207"/>
      <w:bookmarkEnd w:id="232"/>
      <w:bookmarkStart w:id="233" w:name="_Hlt69116854"/>
      <w:bookmarkEnd w:id="233"/>
      <w:bookmarkStart w:id="234" w:name="_Hlt87793346"/>
      <w:bookmarkEnd w:id="234"/>
      <w:bookmarkStart w:id="235" w:name="_Hlt69359335"/>
      <w:bookmarkEnd w:id="235"/>
    </w:p>
    <w:p w14:paraId="734D183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36" w:name="_Toc17047"/>
      <w:bookmarkStart w:id="237" w:name="_Toc27517"/>
      <w:r>
        <w:rPr>
          <w:rFonts w:hint="eastAsia" w:ascii="宋体" w:hAnsi="宋体" w:eastAsia="宋体" w:cs="宋体"/>
          <w:b/>
          <w:bCs/>
          <w:color w:val="auto"/>
          <w:spacing w:val="-11"/>
          <w:sz w:val="24"/>
          <w:szCs w:val="24"/>
          <w:highlight w:val="none"/>
          <w:lang w:val="en-US" w:eastAsia="zh-CN"/>
        </w:rPr>
        <w:t>1.房屋建筑工程建设项目</w:t>
      </w:r>
      <w:bookmarkEnd w:id="236"/>
      <w:bookmarkEnd w:id="237"/>
    </w:p>
    <w:p w14:paraId="218F839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bookmarkStart w:id="238" w:name="_Hlt69358458"/>
      <w:bookmarkEnd w:id="238"/>
      <w:bookmarkStart w:id="239" w:name="_Hlt69116858"/>
      <w:bookmarkEnd w:id="239"/>
      <w:bookmarkStart w:id="240" w:name="_Hlt69359086"/>
      <w:bookmarkEnd w:id="240"/>
      <w:bookmarkStart w:id="241" w:name="_Hlt69359245"/>
      <w:bookmarkEnd w:id="241"/>
      <w:bookmarkStart w:id="242" w:name="_Hlt78709799"/>
      <w:bookmarkEnd w:id="242"/>
      <w:bookmarkStart w:id="243" w:name="_Hlt69635252"/>
      <w:bookmarkEnd w:id="243"/>
      <w:bookmarkStart w:id="244" w:name="_Hlt69359243"/>
      <w:bookmarkEnd w:id="244"/>
      <w:r>
        <w:rPr>
          <w:rFonts w:hint="eastAsia" w:ascii="宋体" w:hAnsi="宋体" w:eastAsia="宋体" w:cs="宋体"/>
          <w:bCs/>
          <w:snapToGrid w:val="0"/>
          <w:color w:val="auto"/>
          <w:kern w:val="0"/>
          <w:sz w:val="24"/>
          <w:szCs w:val="24"/>
          <w:highlight w:val="none"/>
        </w:rPr>
        <w:t>房屋建筑工程建设项目必须执行的现行技术规范，包括且不限于：</w:t>
      </w:r>
    </w:p>
    <w:p w14:paraId="4E5A4EB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（1）《建筑工程施工质量验收统一标准》；</w:t>
      </w:r>
    </w:p>
    <w:p w14:paraId="51C3229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（2）《建筑地基基础工程施工质量验收规范》；</w:t>
      </w:r>
    </w:p>
    <w:p w14:paraId="35B95C0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（3）《砌体工程施工质量验收规范》；</w:t>
      </w:r>
    </w:p>
    <w:p w14:paraId="43D0081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（4）《混凝土结构工程施工质量验收规范》；</w:t>
      </w:r>
    </w:p>
    <w:p w14:paraId="6C4C169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（5）《屋面工程质量验收规范》；</w:t>
      </w:r>
    </w:p>
    <w:p w14:paraId="6612E9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（6）《地下防水工程质量验收规范》；</w:t>
      </w:r>
    </w:p>
    <w:p w14:paraId="070A69D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（7）《建筑地面工程施工质量验收规范》；</w:t>
      </w:r>
    </w:p>
    <w:p w14:paraId="18D7882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（8）《建筑装饰装修工程施工质量验收规范》；</w:t>
      </w:r>
    </w:p>
    <w:p w14:paraId="5AA4B15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（9）《建筑给排水及采暖工程施工质量验收规范》；</w:t>
      </w:r>
    </w:p>
    <w:p w14:paraId="2A65A6B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（10）《建筑电气工程施工质量验收规范》；</w:t>
      </w:r>
    </w:p>
    <w:p w14:paraId="6DBB2AD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（11）《住建部绿色建筑评价标准》；</w:t>
      </w:r>
    </w:p>
    <w:p w14:paraId="3DA12AF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（12）《建筑节能与可再生能源利用通用规范》（GB55015-2021）；</w:t>
      </w:r>
    </w:p>
    <w:p w14:paraId="398E5EF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5" w:name="_Toc2709"/>
      <w:r>
        <w:rPr>
          <w:rFonts w:hint="eastAsia" w:ascii="宋体" w:hAnsi="宋体" w:eastAsia="宋体" w:cs="宋体"/>
          <w:bCs/>
          <w:snapToGrid w:val="0"/>
          <w:color w:val="auto"/>
          <w:kern w:val="0"/>
          <w:sz w:val="24"/>
          <w:szCs w:val="24"/>
          <w:highlight w:val="none"/>
          <w:lang w:val="en-US" w:eastAsia="zh-CN"/>
        </w:rPr>
        <w:t>（13）《建筑环境通用规范》；</w:t>
      </w:r>
      <w:bookmarkEnd w:id="245"/>
    </w:p>
    <w:p w14:paraId="031802A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（14）《建筑与市政工程无障碍通用规范》 GB 55019-2021；</w:t>
      </w:r>
    </w:p>
    <w:p w14:paraId="3D94675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6" w:name="_Toc11217"/>
      <w:r>
        <w:rPr>
          <w:rFonts w:hint="eastAsia" w:ascii="宋体" w:hAnsi="宋体" w:eastAsia="宋体" w:cs="宋体"/>
          <w:bCs/>
          <w:snapToGrid w:val="0"/>
          <w:color w:val="auto"/>
          <w:kern w:val="0"/>
          <w:sz w:val="24"/>
          <w:szCs w:val="24"/>
          <w:highlight w:val="none"/>
          <w:lang w:val="en-US" w:eastAsia="zh-CN"/>
        </w:rPr>
        <w:t>（15）《建筑防火通用规范》GB 55037-2022；</w:t>
      </w:r>
      <w:bookmarkEnd w:id="246"/>
    </w:p>
    <w:p w14:paraId="2947DFF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（16）《建筑与市政工程抗震通用规范》GB55002-2001；</w:t>
      </w:r>
    </w:p>
    <w:p w14:paraId="46BF576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（17）《建筑与市政地基基础通用规范》GB55003-2001；</w:t>
      </w:r>
    </w:p>
    <w:p w14:paraId="098A911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（18）《广东省住房和城乡建设厅绿色施工导则》；</w:t>
      </w:r>
    </w:p>
    <w:p w14:paraId="1DDCA89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（19）《广东省建筑工程绿色施工评价标准》；</w:t>
      </w:r>
    </w:p>
    <w:p w14:paraId="663B1A0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（20）《广东省建筑节能与绿色建筑工程施工质量验收规范》；</w:t>
      </w:r>
    </w:p>
    <w:p w14:paraId="4804FA7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（21）其他现行国家、广东省关于房建工程的施工及验收规范、定额、规程、标准。</w:t>
      </w:r>
    </w:p>
    <w:p w14:paraId="59DEDC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47" w:name="_Toc30825"/>
      <w:bookmarkStart w:id="248" w:name="_Toc6102"/>
      <w:r>
        <w:rPr>
          <w:rFonts w:hint="eastAsia" w:ascii="宋体" w:hAnsi="宋体" w:eastAsia="宋体" w:cs="宋体"/>
          <w:b/>
          <w:bCs/>
          <w:color w:val="auto"/>
          <w:spacing w:val="-11"/>
          <w:sz w:val="24"/>
          <w:szCs w:val="24"/>
          <w:highlight w:val="none"/>
          <w:lang w:val="en-US" w:eastAsia="zh-CN"/>
        </w:rPr>
        <w:t>2.市政基础设施工程建设项目</w:t>
      </w:r>
      <w:bookmarkEnd w:id="247"/>
      <w:bookmarkEnd w:id="248"/>
    </w:p>
    <w:p w14:paraId="2CEB27A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市政基础设施工程建设项目必须执行的现行技术规范，包括且不限于：</w:t>
      </w:r>
    </w:p>
    <w:p w14:paraId="558C1C0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（1）《公路路基施工技术规范》；</w:t>
      </w:r>
    </w:p>
    <w:p w14:paraId="482B841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（2）《市政道路工程质量检验评定标准》；</w:t>
      </w:r>
    </w:p>
    <w:p w14:paraId="524F194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（3）《市政排水管渠工程质量检验评定标准》；</w:t>
      </w:r>
    </w:p>
    <w:p w14:paraId="607991A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（4）《给水排水管道工程施工及验收规范》；</w:t>
      </w:r>
    </w:p>
    <w:p w14:paraId="52AF864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9" w:name="_Toc28136"/>
      <w:r>
        <w:rPr>
          <w:rFonts w:hint="eastAsia" w:ascii="宋体" w:hAnsi="宋体" w:eastAsia="宋体" w:cs="宋体"/>
          <w:bCs/>
          <w:snapToGrid w:val="0"/>
          <w:color w:val="auto"/>
          <w:kern w:val="0"/>
          <w:sz w:val="24"/>
          <w:szCs w:val="24"/>
          <w:highlight w:val="none"/>
          <w:lang w:val="en-US" w:eastAsia="zh-CN"/>
        </w:rPr>
        <w:t>（5）《城市道路路基工程施工及验收规范》；</w:t>
      </w:r>
      <w:bookmarkEnd w:id="249"/>
    </w:p>
    <w:p w14:paraId="25D5746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0" w:name="_Toc30468"/>
      <w:r>
        <w:rPr>
          <w:rFonts w:hint="eastAsia" w:ascii="宋体" w:hAnsi="宋体" w:eastAsia="宋体" w:cs="宋体"/>
          <w:bCs/>
          <w:snapToGrid w:val="0"/>
          <w:color w:val="auto"/>
          <w:kern w:val="0"/>
          <w:sz w:val="24"/>
          <w:szCs w:val="24"/>
          <w:highlight w:val="none"/>
          <w:lang w:val="en-US" w:eastAsia="zh-CN"/>
        </w:rPr>
        <w:t>（6）《水泥砼路面施工及验收规范》；</w:t>
      </w:r>
      <w:bookmarkEnd w:id="250"/>
      <w:bookmarkStart w:id="251" w:name="_Toc27799"/>
    </w:p>
    <w:p w14:paraId="74C6897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（7）《公路水泥砼路面施工技术规范》；</w:t>
      </w:r>
      <w:bookmarkEnd w:id="251"/>
    </w:p>
    <w:p w14:paraId="19CC25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2" w:name="_Toc12308"/>
      <w:r>
        <w:rPr>
          <w:rFonts w:hint="eastAsia" w:ascii="宋体" w:hAnsi="宋体" w:eastAsia="宋体" w:cs="宋体"/>
          <w:bCs/>
          <w:snapToGrid w:val="0"/>
          <w:color w:val="auto"/>
          <w:kern w:val="0"/>
          <w:sz w:val="24"/>
          <w:szCs w:val="24"/>
          <w:highlight w:val="none"/>
          <w:lang w:val="en-US" w:eastAsia="zh-CN"/>
        </w:rPr>
        <w:t>（8）《埋地硬聚氯乙烯排水管道工程技术规程》；</w:t>
      </w:r>
      <w:bookmarkEnd w:id="252"/>
    </w:p>
    <w:p w14:paraId="34D4253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3" w:name="_Toc13357"/>
      <w:r>
        <w:rPr>
          <w:rFonts w:hint="eastAsia" w:ascii="宋体" w:hAnsi="宋体" w:eastAsia="宋体" w:cs="宋体"/>
          <w:bCs/>
          <w:snapToGrid w:val="0"/>
          <w:color w:val="auto"/>
          <w:kern w:val="0"/>
          <w:sz w:val="24"/>
          <w:szCs w:val="24"/>
          <w:highlight w:val="none"/>
          <w:lang w:val="en-US" w:eastAsia="zh-CN"/>
        </w:rPr>
        <w:t>（9）《沥青路面施工及验收规范》；</w:t>
      </w:r>
      <w:bookmarkEnd w:id="253"/>
    </w:p>
    <w:p w14:paraId="010FCBB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4" w:name="_Toc19104"/>
      <w:r>
        <w:rPr>
          <w:rFonts w:hint="eastAsia" w:ascii="宋体" w:hAnsi="宋体" w:eastAsia="宋体" w:cs="宋体"/>
          <w:bCs/>
          <w:snapToGrid w:val="0"/>
          <w:color w:val="auto"/>
          <w:kern w:val="0"/>
          <w:sz w:val="24"/>
          <w:szCs w:val="24"/>
          <w:highlight w:val="none"/>
          <w:lang w:val="en-US" w:eastAsia="zh-CN"/>
        </w:rPr>
        <w:t>（10）《广东省市政工程施工质量技术资料统一用表》。</w:t>
      </w:r>
      <w:bookmarkEnd w:id="254"/>
    </w:p>
    <w:p w14:paraId="6F64952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5" w:name="_Toc13247"/>
      <w:r>
        <w:rPr>
          <w:rFonts w:hint="eastAsia" w:ascii="宋体" w:hAnsi="宋体" w:eastAsia="宋体" w:cs="宋体"/>
          <w:bCs/>
          <w:snapToGrid w:val="0"/>
          <w:color w:val="auto"/>
          <w:kern w:val="0"/>
          <w:sz w:val="24"/>
          <w:szCs w:val="24"/>
          <w:highlight w:val="none"/>
          <w:lang w:val="en-US" w:eastAsia="zh-CN"/>
        </w:rPr>
        <w:t>（11）《建筑与市政工程无障碍通用规范》 GB 55019-2021；</w:t>
      </w:r>
      <w:bookmarkEnd w:id="255"/>
    </w:p>
    <w:p w14:paraId="1E71A5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6" w:name="_Toc29931"/>
      <w:r>
        <w:rPr>
          <w:rFonts w:hint="eastAsia" w:ascii="宋体" w:hAnsi="宋体" w:eastAsia="宋体" w:cs="宋体"/>
          <w:bCs/>
          <w:snapToGrid w:val="0"/>
          <w:color w:val="auto"/>
          <w:kern w:val="0"/>
          <w:sz w:val="24"/>
          <w:szCs w:val="24"/>
          <w:highlight w:val="none"/>
          <w:lang w:val="en-US" w:eastAsia="zh-CN"/>
        </w:rPr>
        <w:t>（12）《建筑防火通用规范》GB 55037-2022</w:t>
      </w:r>
      <w:bookmarkEnd w:id="256"/>
      <w:r>
        <w:rPr>
          <w:rFonts w:hint="eastAsia" w:ascii="宋体" w:hAnsi="宋体" w:eastAsia="宋体" w:cs="宋体"/>
          <w:bCs/>
          <w:snapToGrid w:val="0"/>
          <w:color w:val="auto"/>
          <w:kern w:val="0"/>
          <w:sz w:val="24"/>
          <w:szCs w:val="24"/>
          <w:highlight w:val="none"/>
          <w:lang w:val="en-US" w:eastAsia="zh-CN"/>
        </w:rPr>
        <w:t>；</w:t>
      </w:r>
    </w:p>
    <w:p w14:paraId="0A32268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7" w:name="_Toc30206"/>
      <w:r>
        <w:rPr>
          <w:rFonts w:hint="eastAsia" w:ascii="宋体" w:hAnsi="宋体" w:eastAsia="宋体" w:cs="宋体"/>
          <w:bCs/>
          <w:snapToGrid w:val="0"/>
          <w:color w:val="auto"/>
          <w:kern w:val="0"/>
          <w:sz w:val="24"/>
          <w:szCs w:val="24"/>
          <w:highlight w:val="none"/>
          <w:lang w:val="en-US" w:eastAsia="zh-CN"/>
        </w:rPr>
        <w:t>（13）《建筑与市政工程抗震通用规范》GB55002-2001</w:t>
      </w:r>
      <w:bookmarkEnd w:id="257"/>
      <w:r>
        <w:rPr>
          <w:rFonts w:hint="eastAsia" w:ascii="宋体" w:hAnsi="宋体" w:eastAsia="宋体" w:cs="宋体"/>
          <w:bCs/>
          <w:snapToGrid w:val="0"/>
          <w:color w:val="auto"/>
          <w:kern w:val="0"/>
          <w:sz w:val="24"/>
          <w:szCs w:val="24"/>
          <w:highlight w:val="none"/>
          <w:lang w:val="en-US" w:eastAsia="zh-CN"/>
        </w:rPr>
        <w:t>；</w:t>
      </w:r>
    </w:p>
    <w:p w14:paraId="298D307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8" w:name="_Toc13940"/>
      <w:r>
        <w:rPr>
          <w:rFonts w:hint="eastAsia" w:ascii="宋体" w:hAnsi="宋体" w:eastAsia="宋体" w:cs="宋体"/>
          <w:bCs/>
          <w:snapToGrid w:val="0"/>
          <w:color w:val="auto"/>
          <w:kern w:val="0"/>
          <w:sz w:val="24"/>
          <w:szCs w:val="24"/>
          <w:highlight w:val="none"/>
          <w:lang w:val="en-US" w:eastAsia="zh-CN"/>
        </w:rPr>
        <w:t>（14）《建筑与市政地基基础通用规范》GB55003-200</w:t>
      </w:r>
      <w:bookmarkEnd w:id="258"/>
      <w:r>
        <w:rPr>
          <w:rFonts w:hint="eastAsia" w:ascii="宋体" w:hAnsi="宋体" w:eastAsia="宋体" w:cs="宋体"/>
          <w:bCs/>
          <w:snapToGrid w:val="0"/>
          <w:color w:val="auto"/>
          <w:kern w:val="0"/>
          <w:sz w:val="24"/>
          <w:szCs w:val="24"/>
          <w:highlight w:val="none"/>
          <w:lang w:val="en-US" w:eastAsia="zh-CN"/>
        </w:rPr>
        <w:t>；</w:t>
      </w:r>
    </w:p>
    <w:p w14:paraId="7F5C686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9" w:name="_Toc13747"/>
      <w:r>
        <w:rPr>
          <w:rFonts w:hint="eastAsia" w:ascii="宋体" w:hAnsi="宋体" w:eastAsia="宋体" w:cs="宋体"/>
          <w:bCs/>
          <w:snapToGrid w:val="0"/>
          <w:color w:val="auto"/>
          <w:kern w:val="0"/>
          <w:sz w:val="24"/>
          <w:szCs w:val="24"/>
          <w:highlight w:val="none"/>
          <w:lang w:val="en-US" w:eastAsia="zh-CN"/>
        </w:rPr>
        <w:t>（15）《城市道路照明设计标准》（CJJ45-2015）；</w:t>
      </w:r>
      <w:bookmarkEnd w:id="259"/>
    </w:p>
    <w:p w14:paraId="0F139841">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0" w:name="_Toc4862"/>
      <w:r>
        <w:rPr>
          <w:rFonts w:hint="eastAsia" w:ascii="宋体" w:hAnsi="宋体" w:eastAsia="宋体" w:cs="宋体"/>
          <w:bCs/>
          <w:snapToGrid w:val="0"/>
          <w:color w:val="auto"/>
          <w:kern w:val="0"/>
          <w:sz w:val="24"/>
          <w:szCs w:val="24"/>
          <w:highlight w:val="none"/>
          <w:lang w:val="en-US" w:eastAsia="zh-CN"/>
        </w:rPr>
        <w:t>（16）《低压配电设计规范》（GB50054-2011）；</w:t>
      </w:r>
      <w:bookmarkEnd w:id="260"/>
    </w:p>
    <w:p w14:paraId="521230E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1" w:name="_Toc21300"/>
      <w:r>
        <w:rPr>
          <w:rFonts w:hint="eastAsia" w:ascii="宋体" w:hAnsi="宋体" w:eastAsia="宋体" w:cs="宋体"/>
          <w:bCs/>
          <w:snapToGrid w:val="0"/>
          <w:color w:val="auto"/>
          <w:kern w:val="0"/>
          <w:sz w:val="24"/>
          <w:szCs w:val="24"/>
          <w:highlight w:val="none"/>
          <w:lang w:val="en-US" w:eastAsia="zh-CN"/>
        </w:rPr>
        <w:t>（17）《城市道路照明工程施工及验收规程》（CJJ89-2012）；</w:t>
      </w:r>
      <w:bookmarkEnd w:id="261"/>
    </w:p>
    <w:p w14:paraId="5DA9A4A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2" w:name="_Toc3776"/>
      <w:r>
        <w:rPr>
          <w:rFonts w:hint="eastAsia" w:ascii="宋体" w:hAnsi="宋体" w:eastAsia="宋体" w:cs="宋体"/>
          <w:bCs/>
          <w:snapToGrid w:val="0"/>
          <w:color w:val="auto"/>
          <w:kern w:val="0"/>
          <w:sz w:val="24"/>
          <w:szCs w:val="24"/>
          <w:highlight w:val="none"/>
          <w:lang w:val="en-US" w:eastAsia="zh-CN"/>
        </w:rPr>
        <w:t>（18）《LED 道路照明工程技术规范》（DB44/T 1898-2016）；</w:t>
      </w:r>
      <w:bookmarkEnd w:id="262"/>
    </w:p>
    <w:p w14:paraId="026D962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3" w:name="_Toc6724"/>
      <w:r>
        <w:rPr>
          <w:rFonts w:hint="eastAsia" w:ascii="宋体" w:hAnsi="宋体" w:eastAsia="宋体" w:cs="宋体"/>
          <w:bCs/>
          <w:snapToGrid w:val="0"/>
          <w:color w:val="auto"/>
          <w:kern w:val="0"/>
          <w:sz w:val="24"/>
          <w:szCs w:val="24"/>
          <w:highlight w:val="none"/>
          <w:lang w:val="en-US" w:eastAsia="zh-CN"/>
        </w:rPr>
        <w:t>（19）《灯具第 1 部分：一般要求与试验》（GB7000.1-2015）；</w:t>
      </w:r>
      <w:bookmarkEnd w:id="263"/>
    </w:p>
    <w:p w14:paraId="62E09E9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4" w:name="_Toc25902"/>
      <w:r>
        <w:rPr>
          <w:rFonts w:hint="eastAsia" w:ascii="宋体" w:hAnsi="宋体" w:eastAsia="宋体" w:cs="宋体"/>
          <w:bCs/>
          <w:snapToGrid w:val="0"/>
          <w:color w:val="auto"/>
          <w:kern w:val="0"/>
          <w:sz w:val="24"/>
          <w:szCs w:val="24"/>
          <w:highlight w:val="none"/>
          <w:lang w:val="en-US" w:eastAsia="zh-CN"/>
        </w:rPr>
        <w:t>（20）《电缆工程电缆设计标准》（GB50217-2018）；</w:t>
      </w:r>
      <w:bookmarkEnd w:id="264"/>
    </w:p>
    <w:p w14:paraId="2D96973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5" w:name="_Toc1090"/>
      <w:r>
        <w:rPr>
          <w:rFonts w:hint="eastAsia" w:ascii="宋体" w:hAnsi="宋体" w:eastAsia="宋体" w:cs="宋体"/>
          <w:bCs/>
          <w:snapToGrid w:val="0"/>
          <w:color w:val="auto"/>
          <w:kern w:val="0"/>
          <w:sz w:val="24"/>
          <w:szCs w:val="24"/>
          <w:highlight w:val="none"/>
          <w:lang w:val="en-US" w:eastAsia="zh-CN"/>
        </w:rPr>
        <w:t>（21）其他现行国家、广东省关于市政工程的技术及验收规范、定额、规程、标准。</w:t>
      </w:r>
      <w:bookmarkEnd w:id="265"/>
    </w:p>
    <w:p w14:paraId="7F17637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66" w:name="_Toc3836"/>
      <w:bookmarkStart w:id="267" w:name="_Toc22781"/>
      <w:r>
        <w:rPr>
          <w:rFonts w:hint="eastAsia" w:ascii="宋体" w:hAnsi="宋体" w:eastAsia="宋体" w:cs="宋体"/>
          <w:b/>
          <w:bCs/>
          <w:color w:val="auto"/>
          <w:spacing w:val="-11"/>
          <w:sz w:val="24"/>
          <w:szCs w:val="24"/>
          <w:highlight w:val="none"/>
          <w:lang w:val="en-US" w:eastAsia="zh-CN"/>
        </w:rPr>
        <w:t>3.备查要求</w:t>
      </w:r>
      <w:bookmarkEnd w:id="266"/>
      <w:bookmarkEnd w:id="267"/>
    </w:p>
    <w:p w14:paraId="7C248B02">
      <w:pPr>
        <w:wordWrap w:val="0"/>
        <w:adjustRightInd w:val="0"/>
        <w:snapToGrid w:val="0"/>
        <w:spacing w:line="360" w:lineRule="auto"/>
        <w:ind w:firstLine="56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bookmarkStart w:id="268" w:name="_Hlt69670335"/>
      <w:bookmarkEnd w:id="268"/>
      <w:r>
        <w:rPr>
          <w:rFonts w:hint="eastAsia" w:ascii="宋体" w:hAnsi="宋体" w:eastAsia="宋体" w:cs="宋体"/>
          <w:bCs/>
          <w:snapToGrid w:val="0"/>
          <w:color w:val="auto"/>
          <w:kern w:val="0"/>
          <w:sz w:val="24"/>
          <w:szCs w:val="24"/>
          <w:highlight w:val="none"/>
          <w:lang w:eastAsia="zh-CN"/>
        </w:rPr>
        <w:t>。</w:t>
      </w:r>
    </w:p>
    <w:p w14:paraId="272C0D8A">
      <w:pPr>
        <w:rPr>
          <w:rFonts w:hint="eastAsia" w:ascii="宋体" w:hAnsi="宋体" w:eastAsia="宋体" w:cs="宋体"/>
          <w:lang w:eastAsia="zh-CN"/>
        </w:rPr>
      </w:pPr>
    </w:p>
    <w:p w14:paraId="5DF324EC">
      <w:pPr>
        <w:rPr>
          <w:rFonts w:hint="eastAsia" w:ascii="宋体" w:hAnsi="宋体" w:eastAsia="宋体" w:cs="宋体"/>
          <w:lang w:eastAsia="zh-CN"/>
        </w:rPr>
      </w:pPr>
    </w:p>
    <w:p w14:paraId="19FEA4E7">
      <w:pPr>
        <w:rPr>
          <w:rFonts w:hint="eastAsia" w:ascii="宋体" w:hAnsi="宋体" w:eastAsia="宋体" w:cs="宋体"/>
          <w:lang w:eastAsia="zh-CN"/>
        </w:rPr>
      </w:pPr>
    </w:p>
    <w:p w14:paraId="58FBF145">
      <w:pPr>
        <w:rPr>
          <w:rFonts w:hint="eastAsia" w:ascii="宋体" w:hAnsi="宋体" w:eastAsia="宋体" w:cs="宋体"/>
          <w:lang w:eastAsia="zh-CN"/>
        </w:rPr>
      </w:pPr>
    </w:p>
    <w:p w14:paraId="69EF7EFC">
      <w:pPr>
        <w:rPr>
          <w:rFonts w:hint="eastAsia" w:ascii="宋体" w:hAnsi="宋体" w:eastAsia="宋体" w:cs="宋体"/>
          <w:lang w:eastAsia="zh-CN"/>
        </w:rPr>
      </w:pPr>
    </w:p>
    <w:p w14:paraId="0BE24F3A">
      <w:pPr>
        <w:rPr>
          <w:rFonts w:hint="eastAsia" w:ascii="宋体" w:hAnsi="宋体" w:eastAsia="宋体" w:cs="宋体"/>
          <w:lang w:eastAsia="zh-CN"/>
        </w:rPr>
      </w:pPr>
    </w:p>
    <w:p w14:paraId="291010C6">
      <w:pPr>
        <w:rPr>
          <w:rFonts w:hint="eastAsia" w:ascii="宋体" w:hAnsi="宋体" w:eastAsia="宋体" w:cs="宋体"/>
          <w:lang w:eastAsia="zh-CN"/>
        </w:rPr>
      </w:pPr>
    </w:p>
    <w:p w14:paraId="79499EC9">
      <w:pPr>
        <w:rPr>
          <w:rFonts w:hint="eastAsia" w:ascii="宋体" w:hAnsi="宋体" w:eastAsia="宋体" w:cs="宋体"/>
          <w:lang w:eastAsia="zh-CN"/>
        </w:rPr>
      </w:pPr>
    </w:p>
    <w:p w14:paraId="5963324A">
      <w:pPr>
        <w:rPr>
          <w:rFonts w:hint="eastAsia" w:ascii="宋体" w:hAnsi="宋体" w:eastAsia="宋体" w:cs="宋体"/>
          <w:lang w:eastAsia="zh-CN"/>
        </w:rPr>
      </w:pPr>
    </w:p>
    <w:p w14:paraId="3E051E01">
      <w:pPr>
        <w:rPr>
          <w:rFonts w:hint="eastAsia" w:ascii="宋体" w:hAnsi="宋体" w:eastAsia="宋体" w:cs="宋体"/>
          <w:lang w:eastAsia="zh-CN"/>
        </w:rPr>
      </w:pPr>
    </w:p>
    <w:p w14:paraId="3296A7D0">
      <w:pPr>
        <w:rPr>
          <w:rFonts w:hint="eastAsia" w:ascii="宋体" w:hAnsi="宋体" w:eastAsia="宋体" w:cs="宋体"/>
          <w:lang w:eastAsia="zh-CN"/>
        </w:rPr>
      </w:pPr>
    </w:p>
    <w:p w14:paraId="73A36266">
      <w:pPr>
        <w:rPr>
          <w:rFonts w:hint="eastAsia" w:ascii="宋体" w:hAnsi="宋体" w:eastAsia="宋体" w:cs="宋体"/>
          <w:lang w:eastAsia="zh-CN"/>
        </w:rPr>
      </w:pPr>
    </w:p>
    <w:p w14:paraId="5D5C3951">
      <w:pPr>
        <w:rPr>
          <w:rFonts w:hint="eastAsia" w:ascii="宋体" w:hAnsi="宋体" w:eastAsia="宋体" w:cs="宋体"/>
          <w:lang w:eastAsia="zh-CN"/>
        </w:rPr>
      </w:pPr>
    </w:p>
    <w:p w14:paraId="4E10EEC1">
      <w:pPr>
        <w:rPr>
          <w:rFonts w:hint="eastAsia" w:ascii="宋体" w:hAnsi="宋体" w:eastAsia="宋体" w:cs="宋体"/>
          <w:lang w:eastAsia="zh-CN"/>
        </w:rPr>
      </w:pPr>
    </w:p>
    <w:p w14:paraId="187BE5FD">
      <w:pPr>
        <w:rPr>
          <w:rFonts w:hint="eastAsia" w:ascii="宋体" w:hAnsi="宋体" w:eastAsia="宋体" w:cs="宋体"/>
          <w:lang w:eastAsia="zh-CN"/>
        </w:rPr>
      </w:pPr>
    </w:p>
    <w:p w14:paraId="65F8FDE4">
      <w:pPr>
        <w:rPr>
          <w:rFonts w:hint="eastAsia" w:ascii="宋体" w:hAnsi="宋体" w:eastAsia="宋体" w:cs="宋体"/>
          <w:lang w:eastAsia="zh-CN"/>
        </w:rPr>
      </w:pPr>
    </w:p>
    <w:p w14:paraId="27B8E0EE">
      <w:pPr>
        <w:rPr>
          <w:rFonts w:hint="eastAsia" w:ascii="宋体" w:hAnsi="宋体" w:eastAsia="宋体" w:cs="宋体"/>
          <w:lang w:eastAsia="zh-CN"/>
        </w:rPr>
      </w:pPr>
    </w:p>
    <w:p w14:paraId="744B5637">
      <w:pPr>
        <w:rPr>
          <w:rFonts w:hint="eastAsia" w:ascii="宋体" w:hAnsi="宋体" w:eastAsia="宋体" w:cs="宋体"/>
          <w:lang w:eastAsia="zh-CN"/>
        </w:rPr>
      </w:pPr>
    </w:p>
    <w:p w14:paraId="3BBD4F7B">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snapToGrid w:val="0"/>
          <w:color w:val="auto"/>
          <w:sz w:val="24"/>
          <w:highlight w:val="none"/>
        </w:rPr>
      </w:pPr>
      <w:bookmarkStart w:id="269" w:name="_Toc30652"/>
      <w:bookmarkStart w:id="270" w:name="_Toc27553"/>
      <w:r>
        <w:rPr>
          <w:rFonts w:hint="eastAsia" w:ascii="宋体" w:hAnsi="宋体" w:eastAsia="宋体" w:cs="宋体"/>
          <w:b/>
          <w:snapToGrid w:val="0"/>
          <w:color w:val="auto"/>
          <w:sz w:val="24"/>
          <w:highlight w:val="none"/>
        </w:rPr>
        <w:t>第五章</w:t>
      </w:r>
      <w:bookmarkStart w:id="271" w:name="_Hlt87793860"/>
      <w:bookmarkEnd w:id="271"/>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图纸和招标工程</w:t>
      </w:r>
      <w:bookmarkStart w:id="272" w:name="_Hlt69669215"/>
      <w:bookmarkEnd w:id="272"/>
      <w:r>
        <w:rPr>
          <w:rFonts w:hint="eastAsia" w:ascii="宋体" w:hAnsi="宋体" w:eastAsia="宋体" w:cs="宋体"/>
          <w:b/>
          <w:snapToGrid w:val="0"/>
          <w:color w:val="auto"/>
          <w:sz w:val="24"/>
          <w:highlight w:val="none"/>
        </w:rPr>
        <w:t>量清单</w:t>
      </w:r>
      <w:bookmarkEnd w:id="269"/>
      <w:bookmarkEnd w:id="270"/>
    </w:p>
    <w:p w14:paraId="30EC790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 w:val="24"/>
          <w:szCs w:val="24"/>
          <w:highlight w:val="none"/>
        </w:rPr>
      </w:pPr>
      <w:bookmarkStart w:id="273" w:name="_Hlt66104919"/>
      <w:bookmarkEnd w:id="273"/>
      <w:bookmarkStart w:id="274" w:name="_Hlt75747203"/>
      <w:bookmarkEnd w:id="274"/>
      <w:bookmarkStart w:id="275" w:name="_Hlt87793868"/>
      <w:bookmarkEnd w:id="275"/>
      <w:bookmarkStart w:id="276" w:name="_Hlt69669182"/>
      <w:bookmarkEnd w:id="276"/>
      <w:r>
        <w:rPr>
          <w:rFonts w:hint="eastAsia" w:ascii="宋体" w:hAnsi="宋体" w:eastAsia="宋体" w:cs="宋体"/>
          <w:b w:val="0"/>
          <w:bCs w:val="0"/>
          <w:snapToGrid w:val="0"/>
          <w:color w:val="auto"/>
          <w:kern w:val="0"/>
          <w:sz w:val="24"/>
          <w:szCs w:val="24"/>
          <w:highlight w:val="none"/>
          <w:lang w:val="en-US" w:eastAsia="zh-CN"/>
        </w:rPr>
        <w:t>□有，另附复印件        ☑有，自行网上下载(浏览)         □无</w:t>
      </w:r>
    </w:p>
    <w:p w14:paraId="301EE95D">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77" w:name="_Toc30554"/>
      <w:r>
        <w:rPr>
          <w:rFonts w:hint="eastAsia" w:ascii="宋体" w:hAnsi="宋体" w:eastAsia="宋体" w:cs="宋体"/>
          <w:b/>
          <w:bCs/>
          <w:color w:val="auto"/>
          <w:spacing w:val="-11"/>
          <w:sz w:val="24"/>
          <w:szCs w:val="24"/>
          <w:highlight w:val="none"/>
          <w:lang w:val="en-US" w:eastAsia="zh-CN"/>
        </w:rPr>
        <w:t>1.图纸</w:t>
      </w:r>
      <w:bookmarkEnd w:id="277"/>
    </w:p>
    <w:p w14:paraId="64DC08B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8" w:name="_Toc30574"/>
      <w:r>
        <w:rPr>
          <w:rFonts w:hint="eastAsia" w:ascii="宋体" w:hAnsi="宋体" w:eastAsia="宋体" w:cs="宋体"/>
          <w:bCs/>
          <w:snapToGrid w:val="0"/>
          <w:color w:val="auto"/>
          <w:kern w:val="0"/>
          <w:sz w:val="24"/>
          <w:szCs w:val="24"/>
          <w:highlight w:val="none"/>
          <w:lang w:val="en-US" w:eastAsia="zh-CN"/>
        </w:rPr>
        <w:t>本工程图纸在投标截止时间前 15 天以补充公告的形式在广东省招标投标监管网(kttRs://ww·&amp;dzww.gov.&amp;/ztbi&amp;-Rgrkal/#/index)、全国公共资源交易平台·(广东省···韶关市)(https://X:&amp;dzww.gov.cgg2x-portal/#/440200/index)网站公布，各投标人可在上述网站上自行下载。</w:t>
      </w:r>
    </w:p>
    <w:p w14:paraId="055C8AC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t>2.招标工程量清单</w:t>
      </w:r>
      <w:bookmarkEnd w:id="278"/>
    </w:p>
    <w:p w14:paraId="6D1595F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2.1 本工程招标工程里清单在投标截止时间前 15天以补充公告的形式在广东省招标投标监管网(https: //wwmw.&amp;dzwtw.gov.cnztbig-portal/#/index)、全国公共资源交易平台·(广东省·.韶关市)(httRs://X8R,&amp;dzww,gov,&amp;n&amp;&amp;zx-paxtal/#/440200/index)网站公布，各投标人可在上述网站上自行下载。</w:t>
      </w:r>
    </w:p>
    <w:p w14:paraId="52DCD2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9" w:name="_Toc7961"/>
      <w:r>
        <w:rPr>
          <w:rFonts w:hint="eastAsia" w:ascii="宋体" w:hAnsi="宋体" w:eastAsia="宋体" w:cs="宋体"/>
          <w:bCs/>
          <w:snapToGrid w:val="0"/>
          <w:color w:val="auto"/>
          <w:kern w:val="0"/>
          <w:sz w:val="24"/>
          <w:szCs w:val="24"/>
          <w:highlight w:val="none"/>
          <w:lang w:val="en-US" w:eastAsia="zh-CN"/>
        </w:rPr>
        <w:t>2.2 本工程按照以下依据编制招标工程量清单、招标控制价：</w:t>
      </w:r>
      <w:bookmarkEnd w:id="279"/>
    </w:p>
    <w:p w14:paraId="2CDCC34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0" w:name="_Toc32626"/>
      <w:r>
        <w:rPr>
          <w:rFonts w:hint="eastAsia" w:ascii="宋体" w:hAnsi="宋体" w:eastAsia="宋体" w:cs="宋体"/>
          <w:bCs/>
          <w:snapToGrid w:val="0"/>
          <w:color w:val="auto"/>
          <w:kern w:val="0"/>
          <w:sz w:val="24"/>
          <w:szCs w:val="24"/>
          <w:highlight w:val="none"/>
          <w:lang w:val="en-US" w:eastAsia="zh-CN"/>
        </w:rPr>
        <w:t>（1）《建设工程工程量清单计价规范》（GB50500—2013）；</w:t>
      </w:r>
      <w:bookmarkEnd w:id="280"/>
    </w:p>
    <w:p w14:paraId="01774E4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1" w:name="_Toc32632"/>
      <w:r>
        <w:rPr>
          <w:rFonts w:hint="eastAsia" w:ascii="宋体" w:hAnsi="宋体" w:eastAsia="宋体" w:cs="宋体"/>
          <w:bCs/>
          <w:snapToGrid w:val="0"/>
          <w:color w:val="auto"/>
          <w:kern w:val="0"/>
          <w:sz w:val="24"/>
          <w:szCs w:val="24"/>
          <w:highlight w:val="none"/>
          <w:lang w:val="en-US" w:eastAsia="zh-CN"/>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w:t>
      </w:r>
      <w:bookmarkEnd w:id="281"/>
      <w:r>
        <w:rPr>
          <w:rFonts w:hint="eastAsia" w:ascii="宋体" w:hAnsi="宋体" w:eastAsia="宋体" w:cs="宋体"/>
          <w:bCs/>
          <w:snapToGrid w:val="0"/>
          <w:color w:val="auto"/>
          <w:kern w:val="0"/>
          <w:sz w:val="24"/>
          <w:szCs w:val="24"/>
          <w:highlight w:val="none"/>
          <w:lang w:val="en-US" w:eastAsia="zh-CN"/>
        </w:rPr>
        <w:t xml:space="preserve"> </w:t>
      </w:r>
    </w:p>
    <w:p w14:paraId="0496BAE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2" w:name="_Toc12902"/>
      <w:r>
        <w:rPr>
          <w:rFonts w:hint="eastAsia" w:ascii="宋体" w:hAnsi="宋体" w:eastAsia="宋体" w:cs="宋体"/>
          <w:bCs/>
          <w:snapToGrid w:val="0"/>
          <w:color w:val="auto"/>
          <w:kern w:val="0"/>
          <w:sz w:val="24"/>
          <w:szCs w:val="24"/>
          <w:highlight w:val="none"/>
          <w:lang w:val="en-US" w:eastAsia="zh-CN"/>
        </w:rPr>
        <w:t>（3）本招标工程量清单措施项目中的绿色施工安全防护措施费、暂列金额、暂估价不得作为竞争性费用，投标报价必须按本招标工程量清单规定的金额填报。</w:t>
      </w:r>
      <w:bookmarkEnd w:id="282"/>
    </w:p>
    <w:p w14:paraId="2D3BD3A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3" w:name="_Toc32266"/>
      <w:r>
        <w:rPr>
          <w:rFonts w:hint="eastAsia" w:ascii="宋体" w:hAnsi="宋体" w:eastAsia="宋体" w:cs="宋体"/>
          <w:bCs/>
          <w:snapToGrid w:val="0"/>
          <w:color w:val="auto"/>
          <w:kern w:val="0"/>
          <w:sz w:val="24"/>
          <w:szCs w:val="24"/>
          <w:highlight w:val="none"/>
          <w:lang w:val="en-US" w:eastAsia="zh-CN"/>
        </w:rPr>
        <w:t>（4）投标报价使用的表格格式须按照 GB50500-2013《建设工程工程量清单计价规范》。</w:t>
      </w:r>
      <w:bookmarkEnd w:id="283"/>
    </w:p>
    <w:p w14:paraId="3F52F0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4" w:name="_Toc13700"/>
      <w:r>
        <w:rPr>
          <w:rFonts w:hint="eastAsia" w:ascii="宋体" w:hAnsi="宋体" w:eastAsia="宋体" w:cs="宋体"/>
          <w:bCs/>
          <w:snapToGrid w:val="0"/>
          <w:color w:val="auto"/>
          <w:kern w:val="0"/>
          <w:sz w:val="24"/>
          <w:szCs w:val="24"/>
          <w:highlight w:val="none"/>
          <w:lang w:val="en-US" w:eastAsia="zh-CN"/>
        </w:rPr>
        <w:t>（5）《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bookmarkEnd w:id="284"/>
    </w:p>
    <w:p w14:paraId="49B1030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5" w:name="_Toc10455"/>
      <w:r>
        <w:rPr>
          <w:rFonts w:hint="eastAsia" w:ascii="宋体" w:hAnsi="宋体" w:eastAsia="宋体" w:cs="宋体"/>
          <w:bCs/>
          <w:snapToGrid w:val="0"/>
          <w:color w:val="auto"/>
          <w:kern w:val="0"/>
          <w:sz w:val="24"/>
          <w:szCs w:val="24"/>
          <w:highlight w:val="none"/>
          <w:lang w:val="en-US" w:eastAsia="zh-CN"/>
        </w:rPr>
        <w:t>（6）施工图及相关资料；</w:t>
      </w:r>
      <w:bookmarkEnd w:id="285"/>
    </w:p>
    <w:p w14:paraId="2E0315E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6" w:name="_Toc1743"/>
      <w:r>
        <w:rPr>
          <w:rFonts w:hint="eastAsia" w:ascii="宋体" w:hAnsi="宋体" w:eastAsia="宋体" w:cs="宋体"/>
          <w:bCs/>
          <w:snapToGrid w:val="0"/>
          <w:color w:val="auto"/>
          <w:kern w:val="0"/>
          <w:sz w:val="24"/>
          <w:szCs w:val="24"/>
          <w:highlight w:val="none"/>
          <w:lang w:val="en-US" w:eastAsia="zh-CN"/>
        </w:rPr>
        <w:t>（7）招标文件；</w:t>
      </w:r>
      <w:bookmarkEnd w:id="286"/>
    </w:p>
    <w:p w14:paraId="5357C6C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7" w:name="_Toc30083"/>
      <w:r>
        <w:rPr>
          <w:rFonts w:hint="eastAsia" w:ascii="宋体" w:hAnsi="宋体" w:eastAsia="宋体" w:cs="宋体"/>
          <w:bCs/>
          <w:snapToGrid w:val="0"/>
          <w:color w:val="auto"/>
          <w:kern w:val="0"/>
          <w:sz w:val="24"/>
          <w:szCs w:val="24"/>
          <w:highlight w:val="none"/>
          <w:lang w:val="en-US" w:eastAsia="zh-CN"/>
        </w:rPr>
        <w:t>（8）施工现场情况、地勘水文资料、工程特点及常规施工方案；</w:t>
      </w:r>
      <w:bookmarkEnd w:id="287"/>
    </w:p>
    <w:p w14:paraId="416327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8" w:name="_Toc15937"/>
      <w:r>
        <w:rPr>
          <w:rFonts w:hint="eastAsia" w:ascii="宋体" w:hAnsi="宋体" w:eastAsia="宋体" w:cs="宋体"/>
          <w:bCs/>
          <w:snapToGrid w:val="0"/>
          <w:color w:val="auto"/>
          <w:kern w:val="0"/>
          <w:sz w:val="24"/>
          <w:szCs w:val="24"/>
          <w:highlight w:val="none"/>
          <w:lang w:val="en-US" w:eastAsia="zh-CN"/>
        </w:rPr>
        <w:t>（9）与建设工程有关的标准、规范、技术资料、材料设备信息价或市场价格等。</w:t>
      </w:r>
      <w:bookmarkEnd w:id="288"/>
    </w:p>
    <w:p w14:paraId="312D3A83">
      <w:pPr>
        <w:rPr>
          <w:rFonts w:hint="eastAsia" w:ascii="宋体" w:hAnsi="宋体" w:eastAsia="宋体" w:cs="宋体"/>
          <w:lang w:val="en-US" w:eastAsia="zh-CN"/>
        </w:rPr>
      </w:pPr>
    </w:p>
    <w:p w14:paraId="52A4AAD7">
      <w:pPr>
        <w:rPr>
          <w:rFonts w:hint="eastAsia" w:ascii="宋体" w:hAnsi="宋体" w:eastAsia="宋体" w:cs="宋体"/>
          <w:lang w:val="en-US" w:eastAsia="zh-CN"/>
        </w:rPr>
      </w:pPr>
    </w:p>
    <w:p w14:paraId="140BCE1C">
      <w:pPr>
        <w:rPr>
          <w:rFonts w:hint="eastAsia" w:ascii="宋体" w:hAnsi="宋体" w:eastAsia="宋体" w:cs="宋体"/>
          <w:lang w:val="en-US" w:eastAsia="zh-CN"/>
        </w:rPr>
      </w:pPr>
    </w:p>
    <w:p w14:paraId="53B1D3DD">
      <w:pPr>
        <w:pStyle w:val="2"/>
        <w:rPr>
          <w:rFonts w:hint="eastAsia" w:ascii="宋体" w:hAnsi="宋体" w:eastAsia="宋体" w:cs="宋体"/>
          <w:lang w:val="en-US" w:eastAsia="zh-CN"/>
        </w:rPr>
      </w:pPr>
    </w:p>
    <w:p w14:paraId="1A81D625">
      <w:pPr>
        <w:rPr>
          <w:rFonts w:hint="eastAsia" w:ascii="宋体" w:hAnsi="宋体" w:eastAsia="宋体" w:cs="宋体"/>
          <w:lang w:val="en-US" w:eastAsia="zh-CN"/>
        </w:rPr>
      </w:pPr>
    </w:p>
    <w:p w14:paraId="4163980B">
      <w:pPr>
        <w:pStyle w:val="2"/>
        <w:rPr>
          <w:rFonts w:hint="eastAsia" w:ascii="宋体" w:hAnsi="宋体" w:eastAsia="宋体" w:cs="宋体"/>
          <w:lang w:val="en-US" w:eastAsia="zh-CN"/>
        </w:rPr>
      </w:pPr>
    </w:p>
    <w:p w14:paraId="27397413">
      <w:pPr>
        <w:rPr>
          <w:rFonts w:hint="eastAsia" w:ascii="宋体" w:hAnsi="宋体" w:eastAsia="宋体" w:cs="宋体"/>
          <w:lang w:val="en-US" w:eastAsia="zh-CN"/>
        </w:rPr>
      </w:pPr>
    </w:p>
    <w:p w14:paraId="317F5C80">
      <w:pPr>
        <w:pStyle w:val="2"/>
        <w:rPr>
          <w:rFonts w:hint="eastAsia" w:ascii="宋体" w:hAnsi="宋体" w:eastAsia="宋体" w:cs="宋体"/>
          <w:lang w:val="en-US" w:eastAsia="zh-CN"/>
        </w:rPr>
      </w:pPr>
    </w:p>
    <w:p w14:paraId="6814A315">
      <w:pPr>
        <w:rPr>
          <w:rFonts w:hint="eastAsia" w:ascii="宋体" w:hAnsi="宋体" w:eastAsia="宋体" w:cs="宋体"/>
          <w:lang w:val="en-US" w:eastAsia="zh-CN"/>
        </w:rPr>
      </w:pPr>
    </w:p>
    <w:p w14:paraId="7396983C">
      <w:pPr>
        <w:pStyle w:val="2"/>
        <w:rPr>
          <w:rFonts w:hint="eastAsia" w:ascii="宋体" w:hAnsi="宋体" w:eastAsia="宋体" w:cs="宋体"/>
          <w:lang w:val="en-US" w:eastAsia="zh-CN"/>
        </w:rPr>
      </w:pPr>
    </w:p>
    <w:p w14:paraId="3AAAD6B1">
      <w:pPr>
        <w:rPr>
          <w:rFonts w:hint="eastAsia" w:ascii="宋体" w:hAnsi="宋体" w:eastAsia="宋体" w:cs="宋体"/>
          <w:lang w:val="en-US" w:eastAsia="zh-CN"/>
        </w:rPr>
      </w:pPr>
    </w:p>
    <w:p w14:paraId="5DA77B35">
      <w:pPr>
        <w:pStyle w:val="2"/>
        <w:rPr>
          <w:rFonts w:hint="eastAsia" w:ascii="宋体" w:hAnsi="宋体" w:eastAsia="宋体" w:cs="宋体"/>
          <w:lang w:val="en-US" w:eastAsia="zh-CN"/>
        </w:rPr>
      </w:pPr>
    </w:p>
    <w:p w14:paraId="3B20246C">
      <w:pPr>
        <w:rPr>
          <w:rFonts w:hint="eastAsia" w:ascii="宋体" w:hAnsi="宋体" w:eastAsia="宋体" w:cs="宋体"/>
          <w:lang w:val="en-US" w:eastAsia="zh-CN"/>
        </w:rPr>
      </w:pPr>
    </w:p>
    <w:p w14:paraId="427C0E39">
      <w:pPr>
        <w:pStyle w:val="2"/>
        <w:rPr>
          <w:rFonts w:hint="eastAsia" w:ascii="宋体" w:hAnsi="宋体" w:eastAsia="宋体" w:cs="宋体"/>
          <w:lang w:val="en-US" w:eastAsia="zh-CN"/>
        </w:rPr>
      </w:pPr>
    </w:p>
    <w:p w14:paraId="626A1819">
      <w:pPr>
        <w:rPr>
          <w:rFonts w:hint="eastAsia" w:ascii="宋体" w:hAnsi="宋体" w:eastAsia="宋体" w:cs="宋体"/>
          <w:lang w:val="en-US" w:eastAsia="zh-CN"/>
        </w:rPr>
      </w:pPr>
    </w:p>
    <w:p w14:paraId="67F69205">
      <w:pPr>
        <w:pStyle w:val="2"/>
        <w:rPr>
          <w:rFonts w:hint="eastAsia" w:ascii="宋体" w:hAnsi="宋体" w:eastAsia="宋体" w:cs="宋体"/>
          <w:lang w:val="en-US" w:eastAsia="zh-CN"/>
        </w:rPr>
      </w:pPr>
    </w:p>
    <w:p w14:paraId="65DA9294">
      <w:pPr>
        <w:rPr>
          <w:rFonts w:hint="eastAsia" w:ascii="宋体" w:hAnsi="宋体" w:eastAsia="宋体" w:cs="宋体"/>
          <w:lang w:val="en-US" w:eastAsia="zh-CN"/>
        </w:rPr>
      </w:pPr>
    </w:p>
    <w:p w14:paraId="5D4254AB">
      <w:pPr>
        <w:pStyle w:val="2"/>
        <w:rPr>
          <w:rFonts w:hint="eastAsia" w:ascii="宋体" w:hAnsi="宋体" w:eastAsia="宋体" w:cs="宋体"/>
          <w:lang w:val="en-US" w:eastAsia="zh-CN"/>
        </w:rPr>
      </w:pPr>
    </w:p>
    <w:p w14:paraId="698397A0">
      <w:pPr>
        <w:rPr>
          <w:rFonts w:hint="eastAsia" w:ascii="宋体" w:hAnsi="宋体" w:eastAsia="宋体" w:cs="宋体"/>
          <w:lang w:val="en-US" w:eastAsia="zh-CN"/>
        </w:rPr>
      </w:pPr>
    </w:p>
    <w:p w14:paraId="7E2DCE8C">
      <w:pPr>
        <w:pStyle w:val="2"/>
        <w:rPr>
          <w:rFonts w:hint="eastAsia" w:ascii="宋体" w:hAnsi="宋体" w:eastAsia="宋体" w:cs="宋体"/>
          <w:lang w:val="en-US" w:eastAsia="zh-CN"/>
        </w:rPr>
      </w:pPr>
    </w:p>
    <w:p w14:paraId="7BA8A55B">
      <w:pPr>
        <w:rPr>
          <w:rFonts w:hint="eastAsia" w:ascii="宋体" w:hAnsi="宋体" w:eastAsia="宋体" w:cs="宋体"/>
          <w:lang w:val="en-US" w:eastAsia="zh-CN"/>
        </w:rPr>
      </w:pPr>
    </w:p>
    <w:p w14:paraId="63FE85E0">
      <w:pPr>
        <w:pStyle w:val="2"/>
        <w:rPr>
          <w:rFonts w:hint="eastAsia" w:ascii="宋体" w:hAnsi="宋体" w:eastAsia="宋体" w:cs="宋体"/>
          <w:lang w:val="en-US" w:eastAsia="zh-CN"/>
        </w:rPr>
      </w:pPr>
    </w:p>
    <w:p w14:paraId="2E1E806F">
      <w:pPr>
        <w:rPr>
          <w:rFonts w:hint="eastAsia" w:ascii="宋体" w:hAnsi="宋体" w:eastAsia="宋体" w:cs="宋体"/>
          <w:lang w:val="en-US" w:eastAsia="zh-CN"/>
        </w:rPr>
      </w:pPr>
    </w:p>
    <w:p w14:paraId="6B429EEA">
      <w:pPr>
        <w:pStyle w:val="2"/>
        <w:rPr>
          <w:rFonts w:hint="eastAsia" w:ascii="宋体" w:hAnsi="宋体" w:eastAsia="宋体" w:cs="宋体"/>
          <w:lang w:val="en-US" w:eastAsia="zh-CN"/>
        </w:rPr>
      </w:pPr>
    </w:p>
    <w:p w14:paraId="49138A83">
      <w:pPr>
        <w:rPr>
          <w:rFonts w:hint="eastAsia" w:ascii="宋体" w:hAnsi="宋体" w:eastAsia="宋体" w:cs="宋体"/>
          <w:lang w:val="en-US" w:eastAsia="zh-CN"/>
        </w:rPr>
      </w:pPr>
    </w:p>
    <w:p w14:paraId="6F04E204">
      <w:pPr>
        <w:pStyle w:val="2"/>
        <w:rPr>
          <w:rFonts w:hint="eastAsia" w:ascii="宋体" w:hAnsi="宋体" w:eastAsia="宋体" w:cs="宋体"/>
          <w:lang w:val="en-US" w:eastAsia="zh-CN"/>
        </w:rPr>
      </w:pPr>
    </w:p>
    <w:p w14:paraId="3351D868">
      <w:pPr>
        <w:rPr>
          <w:rFonts w:hint="eastAsia" w:ascii="宋体" w:hAnsi="宋体" w:eastAsia="宋体" w:cs="宋体"/>
          <w:lang w:val="en-US" w:eastAsia="zh-CN"/>
        </w:rPr>
      </w:pPr>
    </w:p>
    <w:p w14:paraId="60A11F69">
      <w:pPr>
        <w:pStyle w:val="2"/>
        <w:rPr>
          <w:rFonts w:hint="eastAsia" w:ascii="宋体" w:hAnsi="宋体" w:eastAsia="宋体" w:cs="宋体"/>
          <w:lang w:val="en-US" w:eastAsia="zh-CN"/>
        </w:rPr>
      </w:pPr>
    </w:p>
    <w:p w14:paraId="11AA27E7">
      <w:pPr>
        <w:rPr>
          <w:rFonts w:hint="eastAsia" w:ascii="宋体" w:hAnsi="宋体" w:eastAsia="宋体" w:cs="宋体"/>
          <w:lang w:val="en-US" w:eastAsia="zh-CN"/>
        </w:rPr>
      </w:pPr>
    </w:p>
    <w:p w14:paraId="37939796">
      <w:pPr>
        <w:pStyle w:val="2"/>
        <w:rPr>
          <w:rFonts w:hint="eastAsia" w:ascii="宋体" w:hAnsi="宋体" w:eastAsia="宋体" w:cs="宋体"/>
          <w:lang w:val="en-US" w:eastAsia="zh-CN"/>
        </w:rPr>
      </w:pPr>
    </w:p>
    <w:p w14:paraId="53CF1642">
      <w:pPr>
        <w:rPr>
          <w:rFonts w:hint="eastAsia" w:ascii="宋体" w:hAnsi="宋体" w:eastAsia="宋体" w:cs="宋体"/>
          <w:lang w:val="en-US" w:eastAsia="zh-CN"/>
        </w:rPr>
      </w:pPr>
    </w:p>
    <w:p w14:paraId="5955493F">
      <w:pPr>
        <w:pStyle w:val="2"/>
        <w:rPr>
          <w:rFonts w:hint="eastAsia" w:ascii="宋体" w:hAnsi="宋体" w:eastAsia="宋体" w:cs="宋体"/>
          <w:lang w:val="en-US" w:eastAsia="zh-CN"/>
        </w:rPr>
      </w:pPr>
    </w:p>
    <w:p w14:paraId="78EAFC9A">
      <w:pPr>
        <w:rPr>
          <w:rFonts w:hint="eastAsia" w:ascii="宋体" w:hAnsi="宋体" w:eastAsia="宋体" w:cs="宋体"/>
          <w:lang w:val="en-US" w:eastAsia="zh-CN"/>
        </w:rPr>
      </w:pPr>
    </w:p>
    <w:p w14:paraId="4C8967AA">
      <w:pPr>
        <w:pStyle w:val="2"/>
        <w:rPr>
          <w:rFonts w:hint="eastAsia" w:ascii="宋体" w:hAnsi="宋体" w:eastAsia="宋体" w:cs="宋体"/>
          <w:lang w:val="en-US" w:eastAsia="zh-CN"/>
        </w:rPr>
      </w:pPr>
    </w:p>
    <w:p w14:paraId="567CE373">
      <w:pPr>
        <w:rPr>
          <w:rFonts w:hint="eastAsia" w:ascii="宋体" w:hAnsi="宋体" w:eastAsia="宋体" w:cs="宋体"/>
          <w:lang w:val="en-US" w:eastAsia="zh-CN"/>
        </w:rPr>
      </w:pPr>
    </w:p>
    <w:p w14:paraId="321209EF">
      <w:pPr>
        <w:pStyle w:val="2"/>
        <w:rPr>
          <w:rFonts w:hint="eastAsia" w:ascii="宋体" w:hAnsi="宋体" w:eastAsia="宋体" w:cs="宋体"/>
          <w:lang w:val="en-US" w:eastAsia="zh-CN"/>
        </w:rPr>
      </w:pPr>
    </w:p>
    <w:p w14:paraId="1BB5D194">
      <w:pPr>
        <w:rPr>
          <w:rFonts w:hint="eastAsia"/>
          <w:lang w:val="en-US" w:eastAsia="zh-CN"/>
        </w:rPr>
      </w:pPr>
    </w:p>
    <w:p w14:paraId="4A87BCA8">
      <w:pPr>
        <w:rPr>
          <w:rFonts w:hint="eastAsia" w:ascii="宋体" w:hAnsi="宋体" w:eastAsia="宋体" w:cs="宋体"/>
          <w:lang w:val="en-US" w:eastAsia="zh-CN"/>
        </w:rPr>
      </w:pPr>
    </w:p>
    <w:p w14:paraId="055BD2B2">
      <w:pPr>
        <w:rPr>
          <w:rFonts w:hint="eastAsia" w:ascii="宋体" w:hAnsi="宋体" w:eastAsia="宋体" w:cs="宋体"/>
          <w:lang w:val="en-US" w:eastAsia="zh-CN"/>
        </w:rPr>
      </w:pPr>
    </w:p>
    <w:p w14:paraId="4811ADCA">
      <w:pPr>
        <w:rPr>
          <w:rFonts w:hint="eastAsia" w:ascii="宋体" w:hAnsi="宋体" w:eastAsia="宋体" w:cs="宋体"/>
          <w:lang w:val="en-US" w:eastAsia="zh-CN"/>
        </w:rPr>
      </w:pPr>
    </w:p>
    <w:p w14:paraId="4947C4AC">
      <w:pPr>
        <w:pStyle w:val="3"/>
        <w:wordWrap w:val="0"/>
        <w:autoSpaceDE/>
        <w:autoSpaceDN/>
        <w:snapToGrid w:val="0"/>
        <w:spacing w:line="360" w:lineRule="auto"/>
        <w:jc w:val="center"/>
        <w:rPr>
          <w:rFonts w:hint="eastAsia" w:ascii="宋体" w:hAnsi="宋体" w:eastAsia="宋体" w:cs="宋体"/>
          <w:color w:val="auto"/>
          <w:highlight w:val="none"/>
        </w:rPr>
      </w:pPr>
      <w:bookmarkStart w:id="289" w:name="_Toc6239"/>
      <w:bookmarkStart w:id="290" w:name="_Toc744"/>
      <w:r>
        <w:rPr>
          <w:rFonts w:hint="eastAsia" w:ascii="宋体" w:hAnsi="宋体" w:eastAsia="宋体" w:cs="宋体"/>
          <w:b/>
          <w:snapToGrid w:val="0"/>
          <w:color w:val="auto"/>
          <w:sz w:val="24"/>
          <w:highlight w:val="none"/>
        </w:rPr>
        <w:t>第六章</w:t>
      </w:r>
      <w:bookmarkStart w:id="291" w:name="_Hlt75747044"/>
      <w:bookmarkEnd w:id="291"/>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投标文件格式</w:t>
      </w:r>
      <w:bookmarkEnd w:id="289"/>
      <w:bookmarkEnd w:id="290"/>
      <w:bookmarkStart w:id="292" w:name="_附件一：投标函"/>
      <w:bookmarkEnd w:id="292"/>
      <w:bookmarkStart w:id="293" w:name="_附件四：工期承诺书"/>
      <w:bookmarkEnd w:id="293"/>
      <w:bookmarkStart w:id="294" w:name="_附件五：综合评审合理低价法"/>
      <w:bookmarkEnd w:id="294"/>
      <w:bookmarkStart w:id="295" w:name="_附件一：对招标文件条款自愿接受承诺书"/>
      <w:bookmarkEnd w:id="295"/>
      <w:bookmarkStart w:id="296" w:name="_附件二：工期承诺书"/>
      <w:bookmarkEnd w:id="296"/>
      <w:bookmarkStart w:id="297" w:name="_附件二：近三年度主要施工项目（竣工及在建）一览表"/>
      <w:bookmarkEnd w:id="297"/>
      <w:bookmarkStart w:id="298" w:name="_Toc137621693"/>
      <w:bookmarkStart w:id="299" w:name="_Toc200338097"/>
      <w:bookmarkStart w:id="300" w:name="_Toc66849200"/>
      <w:bookmarkStart w:id="301" w:name="_Hlt66847557"/>
    </w:p>
    <w:p w14:paraId="35D4332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2" w:name="_Toc5248"/>
      <w:bookmarkStart w:id="303" w:name="_Toc7436"/>
      <w:r>
        <w:rPr>
          <w:rFonts w:hint="eastAsia" w:ascii="宋体" w:hAnsi="宋体" w:eastAsia="宋体" w:cs="宋体"/>
          <w:b/>
          <w:bCs/>
          <w:color w:val="auto"/>
          <w:spacing w:val="-11"/>
          <w:sz w:val="24"/>
          <w:szCs w:val="24"/>
          <w:highlight w:val="none"/>
          <w:lang w:val="en-US" w:eastAsia="zh-CN"/>
        </w:rPr>
        <w:t>格式一   封面</w:t>
      </w:r>
      <w:bookmarkEnd w:id="302"/>
      <w:bookmarkEnd w:id="303"/>
    </w:p>
    <w:p w14:paraId="2C41E55F">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4F599D5">
      <w:pPr>
        <w:pStyle w:val="60"/>
        <w:widowControl w:val="0"/>
        <w:wordWrap w:val="0"/>
        <w:adjustRightInd w:val="0"/>
        <w:snapToGrid w:val="0"/>
        <w:spacing w:line="360" w:lineRule="auto"/>
        <w:jc w:val="both"/>
        <w:rPr>
          <w:rFonts w:hint="eastAsia" w:ascii="宋体" w:hAnsi="宋体" w:eastAsia="宋体" w:cs="宋体"/>
          <w:b/>
          <w:snapToGrid w:val="0"/>
          <w:color w:val="auto"/>
          <w:sz w:val="24"/>
          <w:highlight w:val="none"/>
        </w:rPr>
      </w:pPr>
    </w:p>
    <w:p w14:paraId="264A32FC">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01047916">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8318CBB">
      <w:pPr>
        <w:keepNext w:val="0"/>
        <w:keepLines w:val="0"/>
        <w:widowControl/>
        <w:suppressLineNumbers w:val="0"/>
        <w:spacing w:line="360" w:lineRule="auto"/>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3BFA3CC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539028D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4CCF37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1CBA27F3">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3D95CC72">
      <w:pPr>
        <w:pStyle w:val="60"/>
        <w:widowControl w:val="0"/>
        <w:wordWrap w:val="0"/>
        <w:adjustRightInd w:val="0"/>
        <w:snapToGrid w:val="0"/>
        <w:spacing w:line="360" w:lineRule="auto"/>
        <w:rPr>
          <w:rFonts w:hint="eastAsia" w:ascii="宋体" w:hAnsi="宋体" w:eastAsia="宋体" w:cs="宋体"/>
          <w:b/>
          <w:snapToGrid w:val="0"/>
          <w:color w:val="auto"/>
          <w:highlight w:val="none"/>
        </w:rPr>
      </w:pPr>
    </w:p>
    <w:p w14:paraId="71A1C0C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56947D7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452183E4">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63A9DDCA">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6234196">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rPr>
      </w:pPr>
    </w:p>
    <w:p w14:paraId="2D081AA0">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56D1462D">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u w:val="single"/>
        </w:rPr>
      </w:pPr>
    </w:p>
    <w:p w14:paraId="673B1733">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2F36BE3D">
      <w:pPr>
        <w:rPr>
          <w:rFonts w:hint="eastAsia" w:ascii="宋体" w:hAnsi="宋体" w:eastAsia="宋体" w:cs="宋体"/>
        </w:rPr>
      </w:pPr>
      <w:bookmarkStart w:id="304" w:name="_Toc15092"/>
      <w:bookmarkStart w:id="305" w:name="_Toc104711098"/>
      <w:bookmarkStart w:id="306" w:name="_Toc106418843"/>
    </w:p>
    <w:p w14:paraId="6832A50E">
      <w:pPr>
        <w:rPr>
          <w:rFonts w:hint="eastAsia" w:ascii="宋体" w:hAnsi="宋体" w:eastAsia="宋体" w:cs="宋体"/>
        </w:rPr>
      </w:pPr>
    </w:p>
    <w:p w14:paraId="4E5A5E31">
      <w:pPr>
        <w:rPr>
          <w:rFonts w:hint="eastAsia" w:ascii="宋体" w:hAnsi="宋体" w:eastAsia="宋体" w:cs="宋体"/>
        </w:rPr>
      </w:pPr>
    </w:p>
    <w:p w14:paraId="024AE31D">
      <w:pPr>
        <w:rPr>
          <w:rFonts w:hint="eastAsia" w:ascii="宋体" w:hAnsi="宋体" w:eastAsia="宋体" w:cs="宋体"/>
        </w:rPr>
      </w:pPr>
    </w:p>
    <w:p w14:paraId="33966578">
      <w:pPr>
        <w:rPr>
          <w:rFonts w:hint="eastAsia" w:ascii="宋体" w:hAnsi="宋体" w:eastAsia="宋体" w:cs="宋体"/>
        </w:rPr>
      </w:pPr>
    </w:p>
    <w:p w14:paraId="7100C261">
      <w:pPr>
        <w:rPr>
          <w:rFonts w:hint="eastAsia" w:ascii="宋体" w:hAnsi="宋体" w:eastAsia="宋体" w:cs="宋体"/>
        </w:rPr>
      </w:pPr>
    </w:p>
    <w:p w14:paraId="4FDFF02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7" w:name="_Toc14807"/>
      <w:r>
        <w:rPr>
          <w:rFonts w:hint="eastAsia" w:ascii="宋体" w:hAnsi="宋体" w:eastAsia="宋体" w:cs="宋体"/>
          <w:b/>
          <w:bCs/>
          <w:color w:val="auto"/>
          <w:spacing w:val="-11"/>
          <w:sz w:val="24"/>
          <w:szCs w:val="24"/>
          <w:highlight w:val="none"/>
          <w:lang w:val="en-US" w:eastAsia="zh-CN"/>
        </w:rPr>
        <w:t>格式</w:t>
      </w:r>
      <w:bookmarkStart w:id="308" w:name="_Hlt97526007"/>
      <w:bookmarkEnd w:id="308"/>
      <w:r>
        <w:rPr>
          <w:rFonts w:hint="eastAsia" w:ascii="宋体" w:hAnsi="宋体" w:eastAsia="宋体" w:cs="宋体"/>
          <w:b/>
          <w:bCs/>
          <w:color w:val="auto"/>
          <w:spacing w:val="-11"/>
          <w:sz w:val="24"/>
          <w:szCs w:val="24"/>
          <w:highlight w:val="none"/>
          <w:lang w:val="en-US" w:eastAsia="zh-CN"/>
        </w:rPr>
        <w:t>二   投标函</w:t>
      </w:r>
      <w:bookmarkEnd w:id="304"/>
      <w:bookmarkEnd w:id="307"/>
    </w:p>
    <w:p w14:paraId="07C295E9">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305"/>
      <w:bookmarkEnd w:id="306"/>
    </w:p>
    <w:p w14:paraId="37577B2E">
      <w:pPr>
        <w:wordWrap w:val="0"/>
        <w:adjustRightInd w:val="0"/>
        <w:snapToGrid w:val="0"/>
        <w:spacing w:line="360" w:lineRule="auto"/>
        <w:jc w:val="center"/>
        <w:rPr>
          <w:rFonts w:hint="eastAsia" w:ascii="宋体" w:hAnsi="宋体" w:eastAsia="宋体" w:cs="宋体"/>
          <w:b/>
          <w:snapToGrid w:val="0"/>
          <w:color w:val="auto"/>
          <w:kern w:val="0"/>
          <w:highlight w:val="none"/>
        </w:rPr>
      </w:pPr>
    </w:p>
    <w:p w14:paraId="72CE9446">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B50ABC">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51F54">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color w:val="auto"/>
          <w:kern w:val="0"/>
          <w:szCs w:val="24"/>
          <w:highlight w:val="none"/>
          <w:lang w:bidi="ar"/>
        </w:rPr>
        <w:t>暂列金额</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53D8C7E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6B88A785">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301258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AA735D9">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我方在此承诺，所递交投标文件的全部内容均为真实、有效、准确的，并愿意承担因我方就此弄虚作假所引起的一切法律后果，同时理解和同意有可能被要求提供更多的资料。</w:t>
      </w:r>
    </w:p>
    <w:p w14:paraId="72DE2632">
      <w:pPr>
        <w:wordWrap w:val="0"/>
        <w:adjustRightInd w:val="0"/>
        <w:snapToGrid w:val="0"/>
        <w:spacing w:line="360" w:lineRule="auto"/>
        <w:ind w:firstLine="570"/>
        <w:rPr>
          <w:rFonts w:hint="eastAsia" w:ascii="宋体" w:hAnsi="宋体" w:eastAsia="宋体" w:cs="宋体"/>
          <w:snapToGrid w:val="0"/>
          <w:color w:val="auto"/>
          <w:kern w:val="0"/>
          <w:highlight w:val="none"/>
        </w:rPr>
      </w:pPr>
      <w:bookmarkStart w:id="309" w:name="_Hlt68771070"/>
      <w:bookmarkEnd w:id="309"/>
      <w:r>
        <w:rPr>
          <w:rFonts w:hint="eastAsia" w:ascii="宋体" w:hAnsi="宋体" w:eastAsia="宋体" w:cs="宋体"/>
          <w:snapToGrid w:val="0"/>
          <w:color w:val="auto"/>
          <w:kern w:val="0"/>
          <w:highlight w:val="none"/>
        </w:rPr>
        <w:t xml:space="preserve">6. 我方理解你方不一定要接纳收到的最低投标总价或任何投标总价的投标人中标，也不要求你方解释我方是否中标的原因。  </w:t>
      </w:r>
    </w:p>
    <w:p w14:paraId="286754D7">
      <w:pPr>
        <w:wordWrap w:val="0"/>
        <w:adjustRightInd w:val="0"/>
        <w:snapToGrid w:val="0"/>
        <w:spacing w:line="360" w:lineRule="auto"/>
        <w:rPr>
          <w:rFonts w:hint="eastAsia" w:ascii="宋体" w:hAnsi="宋体" w:eastAsia="宋体" w:cs="宋体"/>
          <w:snapToGrid w:val="0"/>
          <w:color w:val="auto"/>
          <w:kern w:val="0"/>
          <w:highlight w:val="none"/>
        </w:rPr>
      </w:pPr>
    </w:p>
    <w:p w14:paraId="4C19F572">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02FADCC8">
      <w:pPr>
        <w:wordWrap w:val="0"/>
        <w:adjustRightInd w:val="0"/>
        <w:snapToGrid w:val="0"/>
        <w:spacing w:line="360" w:lineRule="auto"/>
        <w:jc w:val="both"/>
        <w:rPr>
          <w:rFonts w:hint="eastAsia" w:ascii="宋体" w:hAnsi="宋体" w:eastAsia="宋体" w:cs="宋体"/>
          <w:snapToGrid w:val="0"/>
          <w:color w:val="auto"/>
          <w:kern w:val="0"/>
          <w:highlight w:val="none"/>
        </w:rPr>
      </w:pPr>
    </w:p>
    <w:p w14:paraId="21A9E1B3">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4C5BD80">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p>
    <w:p w14:paraId="16BA2C90">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723254A">
      <w:pPr>
        <w:rPr>
          <w:rFonts w:hint="eastAsia" w:ascii="宋体" w:hAnsi="宋体" w:eastAsia="宋体" w:cs="宋体"/>
        </w:rPr>
      </w:pPr>
    </w:p>
    <w:p w14:paraId="651C624D">
      <w:pPr>
        <w:rPr>
          <w:rFonts w:hint="eastAsia" w:ascii="宋体" w:hAnsi="宋体" w:eastAsia="宋体" w:cs="宋体"/>
        </w:rPr>
      </w:pPr>
    </w:p>
    <w:p w14:paraId="2AB6725F">
      <w:pPr>
        <w:rPr>
          <w:rFonts w:hint="eastAsia" w:ascii="宋体" w:hAnsi="宋体" w:eastAsia="宋体" w:cs="宋体"/>
        </w:rPr>
      </w:pPr>
    </w:p>
    <w:p w14:paraId="55FAC9DF">
      <w:pPr>
        <w:rPr>
          <w:rFonts w:hint="eastAsia" w:ascii="宋体" w:hAnsi="宋体" w:eastAsia="宋体" w:cs="宋体"/>
        </w:rPr>
      </w:pPr>
    </w:p>
    <w:p w14:paraId="197EDB44">
      <w:pPr>
        <w:rPr>
          <w:rFonts w:hint="eastAsia" w:ascii="宋体" w:hAnsi="宋体" w:eastAsia="宋体" w:cs="宋体"/>
        </w:rPr>
      </w:pPr>
    </w:p>
    <w:p w14:paraId="3C10911C">
      <w:pPr>
        <w:rPr>
          <w:rFonts w:hint="eastAsia" w:ascii="宋体" w:hAnsi="宋体" w:eastAsia="宋体" w:cs="宋体"/>
        </w:rPr>
      </w:pPr>
    </w:p>
    <w:p w14:paraId="797BAF72">
      <w:pPr>
        <w:rPr>
          <w:rFonts w:hint="eastAsia" w:ascii="宋体" w:hAnsi="宋体" w:eastAsia="宋体" w:cs="宋体"/>
        </w:rPr>
      </w:pPr>
    </w:p>
    <w:p w14:paraId="458AF8B9">
      <w:pPr>
        <w:rPr>
          <w:rFonts w:hint="eastAsia" w:ascii="宋体" w:hAnsi="宋体" w:eastAsia="宋体" w:cs="宋体"/>
        </w:rPr>
      </w:pPr>
    </w:p>
    <w:p w14:paraId="797ED5A1">
      <w:pPr>
        <w:rPr>
          <w:rFonts w:hint="eastAsia" w:ascii="宋体" w:hAnsi="宋体" w:eastAsia="宋体" w:cs="宋体"/>
        </w:rPr>
      </w:pPr>
    </w:p>
    <w:p w14:paraId="5C1E69FC">
      <w:pPr>
        <w:rPr>
          <w:rFonts w:hint="eastAsia" w:ascii="宋体" w:hAnsi="宋体" w:eastAsia="宋体" w:cs="宋体"/>
        </w:rPr>
      </w:pPr>
    </w:p>
    <w:p w14:paraId="53BA4DC2">
      <w:pPr>
        <w:rPr>
          <w:rFonts w:hint="eastAsia" w:ascii="宋体" w:hAnsi="宋体" w:eastAsia="宋体" w:cs="宋体"/>
        </w:rPr>
      </w:pPr>
    </w:p>
    <w:p w14:paraId="6F3792C5">
      <w:pPr>
        <w:rPr>
          <w:rFonts w:hint="eastAsia" w:ascii="宋体" w:hAnsi="宋体" w:eastAsia="宋体" w:cs="宋体"/>
        </w:rPr>
      </w:pPr>
    </w:p>
    <w:p w14:paraId="32CD095F">
      <w:pPr>
        <w:rPr>
          <w:rFonts w:hint="eastAsia" w:ascii="宋体" w:hAnsi="宋体" w:eastAsia="宋体" w:cs="宋体"/>
        </w:rPr>
      </w:pPr>
    </w:p>
    <w:p w14:paraId="747A1937">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0" w:name="_Toc6212"/>
      <w:bookmarkStart w:id="311" w:name="_Toc32516"/>
      <w:r>
        <w:rPr>
          <w:rFonts w:hint="eastAsia" w:ascii="宋体" w:hAnsi="宋体" w:eastAsia="宋体" w:cs="宋体"/>
          <w:b/>
          <w:bCs/>
          <w:color w:val="auto"/>
          <w:spacing w:val="-11"/>
          <w:sz w:val="24"/>
          <w:szCs w:val="24"/>
          <w:highlight w:val="none"/>
          <w:lang w:val="en-US" w:eastAsia="zh-CN"/>
        </w:rPr>
        <w:t>格式三   各项承诺一览表</w:t>
      </w:r>
      <w:bookmarkEnd w:id="310"/>
      <w:bookmarkEnd w:id="311"/>
    </w:p>
    <w:p w14:paraId="1E50F52C">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606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16" w:type="dxa"/>
            <w:noWrap w:val="0"/>
            <w:vAlign w:val="center"/>
          </w:tcPr>
          <w:p w14:paraId="42B41F15">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28B2AB86">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17F76C2A">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688DFD5B">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04D2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6" w:type="dxa"/>
            <w:noWrap w:val="0"/>
            <w:vAlign w:val="center"/>
          </w:tcPr>
          <w:p w14:paraId="5958BEF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3487A47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0BED1AE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02708758">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74CEC527">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36A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6" w:hRule="atLeast"/>
          <w:jc w:val="center"/>
        </w:trPr>
        <w:tc>
          <w:tcPr>
            <w:tcW w:w="716" w:type="dxa"/>
            <w:noWrap w:val="0"/>
            <w:vAlign w:val="center"/>
          </w:tcPr>
          <w:p w14:paraId="4C234E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B709FA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EC178BC">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1C92761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414B34F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35F6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3" w:hRule="atLeast"/>
          <w:jc w:val="center"/>
        </w:trPr>
        <w:tc>
          <w:tcPr>
            <w:tcW w:w="716" w:type="dxa"/>
            <w:noWrap w:val="0"/>
            <w:vAlign w:val="center"/>
          </w:tcPr>
          <w:p w14:paraId="248211D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115D9C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7D11496D">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4288B06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3709780C">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6E87702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741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3" w:hRule="atLeast"/>
          <w:jc w:val="center"/>
        </w:trPr>
        <w:tc>
          <w:tcPr>
            <w:tcW w:w="716" w:type="dxa"/>
            <w:noWrap w:val="0"/>
            <w:vAlign w:val="center"/>
          </w:tcPr>
          <w:p w14:paraId="31EAA8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346FC519">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7AC888FE">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124AC65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6293E7F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F90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16" w:type="dxa"/>
            <w:noWrap w:val="0"/>
            <w:vAlign w:val="center"/>
          </w:tcPr>
          <w:p w14:paraId="1EDFD2C6">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53216285">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575AB90A">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42AB3134">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019" w:type="dxa"/>
            <w:noWrap w:val="0"/>
            <w:vAlign w:val="center"/>
          </w:tcPr>
          <w:p w14:paraId="51609CB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C1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B31AF3E">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5E969B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291B7F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1B9704D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78231BCB">
            <w:pPr>
              <w:pStyle w:val="62"/>
              <w:wordWrap w:val="0"/>
              <w:adjustRightInd w:val="0"/>
              <w:snapToGrid w:val="0"/>
              <w:spacing w:line="36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p>
          <w:p w14:paraId="4CC2F0D7">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5F8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43514C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35F3116">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59E6BB7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04907DD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70E0D9D1">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189C95F2">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BFC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727DA8FA">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0D21C7D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1828125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0EFF305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019C284">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DDE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105C35A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01E7438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07DC4A3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5A06FEE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1FD7AE5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D3237B">
      <w:pPr>
        <w:pStyle w:val="61"/>
        <w:wordWrap w:val="0"/>
        <w:adjustRightInd w:val="0"/>
        <w:snapToGrid w:val="0"/>
        <w:spacing w:line="360" w:lineRule="auto"/>
        <w:jc w:val="left"/>
        <w:rPr>
          <w:rFonts w:hint="eastAsia" w:ascii="宋体" w:hAnsi="宋体" w:eastAsia="宋体" w:cs="宋体"/>
          <w:snapToGrid w:val="0"/>
          <w:color w:val="auto"/>
          <w:kern w:val="0"/>
          <w:highlight w:val="none"/>
        </w:rPr>
      </w:pPr>
    </w:p>
    <w:p w14:paraId="046F0F03">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484E4F6D">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0F7A98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2229334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6E81400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26E5072B">
      <w:pPr>
        <w:pStyle w:val="14"/>
        <w:wordWrap w:val="0"/>
        <w:adjustRightInd w:val="0"/>
        <w:snapToGrid w:val="0"/>
        <w:spacing w:line="360" w:lineRule="auto"/>
        <w:ind w:firstLine="420" w:firstLineChars="200"/>
        <w:rPr>
          <w:rFonts w:hint="eastAsia" w:ascii="宋体" w:hAnsi="宋体" w:eastAsia="宋体" w:cs="宋体"/>
          <w:snapToGrid w:val="0"/>
          <w:color w:val="auto"/>
          <w:kern w:val="0"/>
          <w:szCs w:val="24"/>
          <w:highlight w:val="none"/>
        </w:rPr>
      </w:pPr>
    </w:p>
    <w:p w14:paraId="74AA5D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5C841019">
      <w:pPr>
        <w:rPr>
          <w:rFonts w:hint="eastAsia" w:ascii="宋体" w:hAnsi="宋体" w:eastAsia="宋体" w:cs="宋体"/>
        </w:rPr>
      </w:pPr>
    </w:p>
    <w:p w14:paraId="628D37FD">
      <w:pPr>
        <w:rPr>
          <w:rFonts w:hint="eastAsia" w:ascii="宋体" w:hAnsi="宋体" w:eastAsia="宋体" w:cs="宋体"/>
        </w:rPr>
      </w:pPr>
    </w:p>
    <w:p w14:paraId="05699BF2">
      <w:pPr>
        <w:rPr>
          <w:rFonts w:hint="eastAsia" w:ascii="宋体" w:hAnsi="宋体" w:eastAsia="宋体" w:cs="宋体"/>
        </w:rPr>
      </w:pPr>
    </w:p>
    <w:p w14:paraId="74DED8EF">
      <w:pPr>
        <w:rPr>
          <w:rFonts w:hint="eastAsia" w:ascii="宋体" w:hAnsi="宋体" w:eastAsia="宋体" w:cs="宋体"/>
        </w:rPr>
      </w:pPr>
    </w:p>
    <w:p w14:paraId="255CDE9C">
      <w:pPr>
        <w:rPr>
          <w:rFonts w:hint="eastAsia" w:ascii="宋体" w:hAnsi="宋体" w:eastAsia="宋体" w:cs="宋体"/>
        </w:rPr>
      </w:pPr>
    </w:p>
    <w:p w14:paraId="6C88DCBC">
      <w:pPr>
        <w:rPr>
          <w:rFonts w:hint="eastAsia" w:ascii="宋体" w:hAnsi="宋体" w:eastAsia="宋体" w:cs="宋体"/>
        </w:rPr>
      </w:pPr>
    </w:p>
    <w:p w14:paraId="716F893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2" w:name="_Toc27327"/>
      <w:bookmarkStart w:id="313" w:name="_Toc1343"/>
      <w:r>
        <w:rPr>
          <w:rFonts w:hint="eastAsia" w:ascii="宋体" w:hAnsi="宋体" w:eastAsia="宋体" w:cs="宋体"/>
          <w:b/>
          <w:bCs/>
          <w:color w:val="auto"/>
          <w:spacing w:val="-11"/>
          <w:sz w:val="24"/>
          <w:szCs w:val="24"/>
          <w:highlight w:val="none"/>
          <w:lang w:val="en-US" w:eastAsia="zh-CN"/>
        </w:rPr>
        <w:t>格式四   授权委托书</w:t>
      </w:r>
      <w:bookmarkEnd w:id="312"/>
      <w:bookmarkEnd w:id="313"/>
    </w:p>
    <w:p w14:paraId="66087581">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68A237FF">
      <w:pPr>
        <w:wordWrap w:val="0"/>
        <w:adjustRightInd w:val="0"/>
        <w:snapToGrid w:val="0"/>
        <w:spacing w:line="360" w:lineRule="auto"/>
        <w:rPr>
          <w:rFonts w:hint="eastAsia" w:ascii="宋体" w:hAnsi="宋体" w:eastAsia="宋体" w:cs="宋体"/>
          <w:snapToGrid w:val="0"/>
          <w:color w:val="auto"/>
          <w:kern w:val="0"/>
          <w:szCs w:val="28"/>
          <w:highlight w:val="none"/>
        </w:rPr>
      </w:pPr>
    </w:p>
    <w:p w14:paraId="572DC2E8">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5B8DDD93">
      <w:pPr>
        <w:wordWrap w:val="0"/>
        <w:adjustRightInd w:val="0"/>
        <w:snapToGrid w:val="0"/>
        <w:spacing w:line="360" w:lineRule="auto"/>
        <w:ind w:firstLine="420" w:firstLineChars="200"/>
        <w:rPr>
          <w:rFonts w:hint="eastAsia" w:ascii="宋体" w:hAnsi="宋体" w:eastAsia="宋体" w:cs="宋体"/>
          <w:b w:val="0"/>
          <w:bCs w:val="0"/>
          <w:i w:val="0"/>
          <w:iCs w:val="0"/>
          <w:snapToGrid w:val="0"/>
          <w:color w:val="auto"/>
          <w:kern w:val="0"/>
          <w:szCs w:val="21"/>
          <w:highlight w:val="none"/>
        </w:rPr>
      </w:pPr>
      <w:r>
        <w:rPr>
          <w:rFonts w:hint="eastAsia" w:ascii="宋体" w:hAnsi="宋体" w:eastAsia="宋体" w:cs="宋体"/>
          <w:b w:val="0"/>
          <w:bCs w:val="0"/>
          <w:i w:val="0"/>
          <w:iCs w:val="0"/>
          <w:snapToGrid w:val="0"/>
          <w:color w:val="auto"/>
          <w:kern w:val="0"/>
          <w:szCs w:val="21"/>
          <w:highlight w:val="none"/>
        </w:rPr>
        <w:t>委托期限：</w:t>
      </w:r>
      <w:r>
        <w:rPr>
          <w:rFonts w:hint="eastAsia" w:ascii="宋体" w:hAnsi="宋体" w:eastAsia="宋体" w:cs="宋体"/>
          <w:b w:val="0"/>
          <w:bCs w:val="0"/>
          <w:i w:val="0"/>
          <w:iCs w:val="0"/>
          <w:snapToGrid w:val="0"/>
          <w:color w:val="auto"/>
          <w:kern w:val="0"/>
          <w:szCs w:val="21"/>
          <w:highlight w:val="none"/>
          <w:lang w:val="en-US" w:eastAsia="zh-CN"/>
        </w:rPr>
        <w:t>至</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年</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月</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日</w:t>
      </w:r>
      <w:r>
        <w:rPr>
          <w:rFonts w:hint="eastAsia" w:ascii="宋体" w:hAnsi="宋体" w:eastAsia="宋体" w:cs="宋体"/>
          <w:b w:val="0"/>
          <w:bCs w:val="0"/>
          <w:i w:val="0"/>
          <w:iCs w:val="0"/>
          <w:snapToGrid w:val="0"/>
          <w:color w:val="auto"/>
          <w:kern w:val="0"/>
          <w:szCs w:val="21"/>
          <w:highlight w:val="none"/>
          <w:u w:val="single"/>
          <w:lang w:val="en-US" w:eastAsia="zh-CN"/>
        </w:rPr>
        <w:t>（不得短于招标文件规定的投标有效期）</w:t>
      </w:r>
      <w:r>
        <w:rPr>
          <w:rFonts w:hint="eastAsia" w:ascii="宋体" w:hAnsi="宋体" w:eastAsia="宋体" w:cs="宋体"/>
          <w:b w:val="0"/>
          <w:bCs w:val="0"/>
          <w:i w:val="0"/>
          <w:iCs w:val="0"/>
          <w:snapToGrid w:val="0"/>
          <w:color w:val="auto"/>
          <w:kern w:val="0"/>
          <w:szCs w:val="21"/>
          <w:highlight w:val="none"/>
          <w:lang w:val="en-US" w:eastAsia="zh-CN"/>
        </w:rPr>
        <w:t>。</w:t>
      </w:r>
    </w:p>
    <w:p w14:paraId="756D8030">
      <w:pPr>
        <w:wordWrap w:val="0"/>
        <w:adjustRightInd w:val="0"/>
        <w:snapToGrid w:val="0"/>
        <w:spacing w:line="360" w:lineRule="auto"/>
        <w:ind w:firstLine="422" w:firstLineChars="200"/>
        <w:rPr>
          <w:rFonts w:hint="eastAsia" w:ascii="宋体" w:hAnsi="宋体" w:eastAsia="宋体" w:cs="宋体"/>
          <w:b/>
          <w:bCs/>
          <w:i w:val="0"/>
          <w:iCs w:val="0"/>
          <w:snapToGrid w:val="0"/>
          <w:color w:val="auto"/>
          <w:kern w:val="0"/>
          <w:szCs w:val="21"/>
          <w:highlight w:val="none"/>
        </w:rPr>
      </w:pPr>
    </w:p>
    <w:p w14:paraId="2A192204">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0415E772">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1C8A9DF5">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6259FD5E">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6A252D18">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3BADAF4">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56C03AB1">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88ECF2A">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4D7910DF">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6BD1BF">
      <w:pPr>
        <w:rPr>
          <w:rFonts w:hint="eastAsia" w:ascii="宋体" w:hAnsi="宋体" w:eastAsia="宋体" w:cs="宋体"/>
        </w:rPr>
      </w:pPr>
    </w:p>
    <w:p w14:paraId="10596A54">
      <w:pPr>
        <w:rPr>
          <w:rFonts w:hint="eastAsia" w:ascii="宋体" w:hAnsi="宋体" w:eastAsia="宋体" w:cs="宋体"/>
        </w:rPr>
      </w:pPr>
    </w:p>
    <w:p w14:paraId="0C542C18">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v:textbox>
              </v:shape>
            </w:pict>
          </mc:Fallback>
        </mc:AlternateContent>
      </w:r>
    </w:p>
    <w:p w14:paraId="61BED0D8">
      <w:pPr>
        <w:rPr>
          <w:rFonts w:hint="eastAsia" w:ascii="宋体" w:hAnsi="宋体" w:eastAsia="宋体" w:cs="宋体"/>
        </w:rPr>
      </w:pPr>
    </w:p>
    <w:p w14:paraId="6DCC7A25">
      <w:pPr>
        <w:rPr>
          <w:rFonts w:hint="eastAsia" w:ascii="宋体" w:hAnsi="宋体" w:eastAsia="宋体" w:cs="宋体"/>
        </w:rPr>
      </w:pPr>
    </w:p>
    <w:p w14:paraId="6A1F5D3C">
      <w:pPr>
        <w:rPr>
          <w:rFonts w:hint="eastAsia" w:ascii="宋体" w:hAnsi="宋体" w:eastAsia="宋体" w:cs="宋体"/>
        </w:rPr>
      </w:pPr>
    </w:p>
    <w:p w14:paraId="02ECA28D">
      <w:pPr>
        <w:rPr>
          <w:rFonts w:hint="eastAsia" w:ascii="宋体" w:hAnsi="宋体" w:eastAsia="宋体" w:cs="宋体"/>
        </w:rPr>
      </w:pPr>
    </w:p>
    <w:p w14:paraId="683343FB">
      <w:pPr>
        <w:rPr>
          <w:rFonts w:hint="eastAsia" w:ascii="宋体" w:hAnsi="宋体" w:eastAsia="宋体" w:cs="宋体"/>
        </w:rPr>
      </w:pPr>
    </w:p>
    <w:p w14:paraId="3E5D6803">
      <w:pPr>
        <w:rPr>
          <w:rFonts w:hint="eastAsia" w:ascii="宋体" w:hAnsi="宋体" w:eastAsia="宋体" w:cs="宋体"/>
        </w:rPr>
      </w:pPr>
    </w:p>
    <w:p w14:paraId="3D6B16A0">
      <w:pPr>
        <w:rPr>
          <w:rFonts w:hint="eastAsia" w:ascii="宋体" w:hAnsi="宋体" w:eastAsia="宋体" w:cs="宋体"/>
        </w:rPr>
      </w:pPr>
    </w:p>
    <w:p w14:paraId="6B336B49">
      <w:pPr>
        <w:rPr>
          <w:rFonts w:hint="eastAsia" w:ascii="宋体" w:hAnsi="宋体" w:eastAsia="宋体" w:cs="宋体"/>
        </w:rPr>
      </w:pPr>
    </w:p>
    <w:p w14:paraId="6A08C93E">
      <w:pPr>
        <w:rPr>
          <w:rFonts w:hint="eastAsia" w:ascii="宋体" w:hAnsi="宋体" w:eastAsia="宋体" w:cs="宋体"/>
        </w:rPr>
      </w:pPr>
    </w:p>
    <w:p w14:paraId="77315177">
      <w:pPr>
        <w:rPr>
          <w:rFonts w:hint="eastAsia" w:ascii="宋体" w:hAnsi="宋体" w:eastAsia="宋体" w:cs="宋体"/>
        </w:rPr>
      </w:pPr>
    </w:p>
    <w:p w14:paraId="47167783">
      <w:pPr>
        <w:rPr>
          <w:rFonts w:hint="eastAsia" w:ascii="宋体" w:hAnsi="宋体" w:eastAsia="宋体" w:cs="宋体"/>
        </w:rPr>
      </w:pPr>
    </w:p>
    <w:p w14:paraId="3E918856">
      <w:pPr>
        <w:rPr>
          <w:rFonts w:hint="eastAsia" w:ascii="宋体" w:hAnsi="宋体" w:eastAsia="宋体" w:cs="宋体"/>
        </w:rPr>
      </w:pPr>
    </w:p>
    <w:p w14:paraId="67BC31A3">
      <w:pPr>
        <w:rPr>
          <w:rFonts w:hint="eastAsia" w:ascii="宋体" w:hAnsi="宋体" w:eastAsia="宋体" w:cs="宋体"/>
        </w:rPr>
      </w:pPr>
    </w:p>
    <w:p w14:paraId="5DEF4393">
      <w:pPr>
        <w:rPr>
          <w:rFonts w:hint="eastAsia" w:ascii="宋体" w:hAnsi="宋体" w:eastAsia="宋体" w:cs="宋体"/>
        </w:rPr>
      </w:pPr>
    </w:p>
    <w:p w14:paraId="0F7FAC28">
      <w:pPr>
        <w:rPr>
          <w:rFonts w:hint="eastAsia" w:ascii="宋体" w:hAnsi="宋体" w:eastAsia="宋体" w:cs="宋体"/>
        </w:rPr>
      </w:pPr>
    </w:p>
    <w:p w14:paraId="0EFBE34F">
      <w:pPr>
        <w:rPr>
          <w:rFonts w:hint="eastAsia" w:ascii="宋体" w:hAnsi="宋体" w:eastAsia="宋体" w:cs="宋体"/>
        </w:rPr>
      </w:pPr>
    </w:p>
    <w:p w14:paraId="196529BF">
      <w:pPr>
        <w:rPr>
          <w:rFonts w:hint="eastAsia" w:ascii="宋体" w:hAnsi="宋体" w:eastAsia="宋体" w:cs="宋体"/>
        </w:rPr>
      </w:pPr>
    </w:p>
    <w:p w14:paraId="4FC40903">
      <w:pPr>
        <w:rPr>
          <w:rFonts w:hint="eastAsia" w:ascii="宋体" w:hAnsi="宋体" w:eastAsia="宋体" w:cs="宋体"/>
        </w:rPr>
      </w:pPr>
    </w:p>
    <w:p w14:paraId="3E17E85F">
      <w:pPr>
        <w:rPr>
          <w:rFonts w:hint="eastAsia" w:ascii="宋体" w:hAnsi="宋体" w:eastAsia="宋体" w:cs="宋体"/>
        </w:rPr>
      </w:pPr>
    </w:p>
    <w:p w14:paraId="3705CA0A">
      <w:pPr>
        <w:rPr>
          <w:rFonts w:hint="eastAsia" w:ascii="宋体" w:hAnsi="宋体" w:eastAsia="宋体" w:cs="宋体"/>
        </w:rPr>
      </w:pPr>
    </w:p>
    <w:p w14:paraId="14B86F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4" w:name="_Toc24252"/>
      <w:bookmarkStart w:id="315" w:name="_Toc14327"/>
      <w:r>
        <w:rPr>
          <w:rFonts w:hint="eastAsia" w:ascii="宋体" w:hAnsi="宋体" w:eastAsia="宋体" w:cs="宋体"/>
          <w:b/>
          <w:bCs/>
          <w:color w:val="auto"/>
          <w:spacing w:val="-11"/>
          <w:sz w:val="24"/>
          <w:szCs w:val="24"/>
          <w:highlight w:val="none"/>
          <w:lang w:val="en-US" w:eastAsia="zh-CN"/>
        </w:rPr>
        <w:t>格式五   法定代表人身份证明</w:t>
      </w:r>
      <w:bookmarkEnd w:id="314"/>
      <w:bookmarkEnd w:id="315"/>
    </w:p>
    <w:p w14:paraId="09613183">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58A9CFE4">
      <w:pPr>
        <w:wordWrap w:val="0"/>
        <w:adjustRightInd w:val="0"/>
        <w:snapToGrid w:val="0"/>
        <w:spacing w:line="360" w:lineRule="auto"/>
        <w:rPr>
          <w:rFonts w:hint="eastAsia" w:ascii="宋体" w:hAnsi="宋体" w:eastAsia="宋体" w:cs="宋体"/>
          <w:snapToGrid w:val="0"/>
          <w:color w:val="auto"/>
          <w:kern w:val="0"/>
          <w:szCs w:val="21"/>
          <w:highlight w:val="none"/>
        </w:rPr>
      </w:pPr>
    </w:p>
    <w:p w14:paraId="540C6373">
      <w:pPr>
        <w:wordWrap w:val="0"/>
        <w:adjustRightInd w:val="0"/>
        <w:snapToGrid w:val="0"/>
        <w:spacing w:line="360" w:lineRule="auto"/>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3AB35966">
      <w:pPr>
        <w:wordWrap w:val="0"/>
        <w:adjustRightInd w:val="0"/>
        <w:snapToGrid w:val="0"/>
        <w:spacing w:line="360" w:lineRule="auto"/>
        <w:ind w:firstLine="1050" w:firstLineChars="5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7481C7F6">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14AE9157">
      <w:pPr>
        <w:wordWrap w:val="0"/>
        <w:adjustRightInd w:val="0"/>
        <w:snapToGrid w:val="0"/>
        <w:spacing w:line="360" w:lineRule="auto"/>
        <w:rPr>
          <w:rFonts w:hint="eastAsia" w:ascii="宋体" w:hAnsi="宋体" w:eastAsia="宋体" w:cs="宋体"/>
          <w:snapToGrid w:val="0"/>
          <w:color w:val="auto"/>
          <w:kern w:val="0"/>
          <w:szCs w:val="21"/>
          <w:highlight w:val="none"/>
        </w:rPr>
      </w:pPr>
    </w:p>
    <w:p w14:paraId="13D37778">
      <w:pPr>
        <w:wordWrap w:val="0"/>
        <w:adjustRightInd w:val="0"/>
        <w:snapToGrid w:val="0"/>
        <w:spacing w:line="360" w:lineRule="auto"/>
        <w:rPr>
          <w:rFonts w:hint="eastAsia" w:ascii="宋体" w:hAnsi="宋体" w:eastAsia="宋体" w:cs="宋体"/>
          <w:snapToGrid w:val="0"/>
          <w:color w:val="auto"/>
          <w:kern w:val="0"/>
          <w:szCs w:val="21"/>
          <w:highlight w:val="none"/>
        </w:rPr>
      </w:pPr>
    </w:p>
    <w:p w14:paraId="51B836BE">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BD0D72E">
      <w:pPr>
        <w:wordWrap w:val="0"/>
        <w:adjustRightInd w:val="0"/>
        <w:snapToGrid w:val="0"/>
        <w:spacing w:line="360" w:lineRule="auto"/>
        <w:jc w:val="right"/>
        <w:rPr>
          <w:rFonts w:hint="eastAsia" w:ascii="宋体" w:hAnsi="宋体" w:eastAsia="宋体" w:cs="宋体"/>
          <w:snapToGrid w:val="0"/>
          <w:color w:val="auto"/>
          <w:kern w:val="0"/>
          <w:szCs w:val="21"/>
          <w:highlight w:val="none"/>
        </w:rPr>
      </w:pPr>
    </w:p>
    <w:p w14:paraId="26453FAF">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77CFA69C">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4B16DAD1">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6F7072C">
      <w:pPr>
        <w:wordWrap w:val="0"/>
        <w:adjustRightInd w:val="0"/>
        <w:snapToGrid w:val="0"/>
        <w:spacing w:line="360" w:lineRule="auto"/>
        <w:ind w:firstLine="210" w:firstLineChars="1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919DBBA">
      <w:pPr>
        <w:rPr>
          <w:rFonts w:hint="eastAsia" w:ascii="宋体" w:hAnsi="宋体" w:eastAsia="宋体" w:cs="宋体"/>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12653D35">
      <w:pPr>
        <w:rPr>
          <w:rFonts w:hint="eastAsia" w:ascii="宋体" w:hAnsi="宋体" w:eastAsia="宋体" w:cs="宋体"/>
        </w:rPr>
      </w:pPr>
    </w:p>
    <w:p w14:paraId="4C25B00A">
      <w:pPr>
        <w:rPr>
          <w:rFonts w:hint="eastAsia" w:ascii="宋体" w:hAnsi="宋体" w:eastAsia="宋体" w:cs="宋体"/>
        </w:rPr>
      </w:pPr>
    </w:p>
    <w:p w14:paraId="26C1E0A4">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v:textbox>
              </v:shape>
            </w:pict>
          </mc:Fallback>
        </mc:AlternateContent>
      </w:r>
    </w:p>
    <w:p w14:paraId="6BB36E90">
      <w:pPr>
        <w:rPr>
          <w:rFonts w:hint="eastAsia" w:ascii="宋体" w:hAnsi="宋体" w:eastAsia="宋体" w:cs="宋体"/>
        </w:rPr>
      </w:pPr>
    </w:p>
    <w:p w14:paraId="001E54A3">
      <w:pPr>
        <w:rPr>
          <w:rFonts w:hint="eastAsia" w:ascii="宋体" w:hAnsi="宋体" w:eastAsia="宋体" w:cs="宋体"/>
        </w:rPr>
      </w:pPr>
    </w:p>
    <w:p w14:paraId="632F3628">
      <w:pPr>
        <w:rPr>
          <w:rFonts w:hint="eastAsia" w:ascii="宋体" w:hAnsi="宋体" w:eastAsia="宋体" w:cs="宋体"/>
        </w:rPr>
      </w:pPr>
    </w:p>
    <w:p w14:paraId="330D22E7">
      <w:pPr>
        <w:rPr>
          <w:rFonts w:hint="eastAsia" w:ascii="宋体" w:hAnsi="宋体" w:eastAsia="宋体" w:cs="宋体"/>
        </w:rPr>
      </w:pPr>
    </w:p>
    <w:p w14:paraId="4BB9672C">
      <w:pPr>
        <w:rPr>
          <w:rFonts w:hint="eastAsia" w:ascii="宋体" w:hAnsi="宋体" w:eastAsia="宋体" w:cs="宋体"/>
        </w:rPr>
      </w:pPr>
    </w:p>
    <w:p w14:paraId="2994404E">
      <w:pPr>
        <w:rPr>
          <w:rFonts w:hint="eastAsia" w:ascii="宋体" w:hAnsi="宋体" w:eastAsia="宋体" w:cs="宋体"/>
        </w:rPr>
      </w:pPr>
    </w:p>
    <w:p w14:paraId="5F31FA10">
      <w:pPr>
        <w:rPr>
          <w:rFonts w:hint="eastAsia" w:ascii="宋体" w:hAnsi="宋体" w:eastAsia="宋体" w:cs="宋体"/>
        </w:rPr>
      </w:pPr>
    </w:p>
    <w:p w14:paraId="6144B3B2">
      <w:pPr>
        <w:rPr>
          <w:rFonts w:hint="eastAsia" w:ascii="宋体" w:hAnsi="宋体" w:eastAsia="宋体" w:cs="宋体"/>
        </w:rPr>
      </w:pPr>
    </w:p>
    <w:p w14:paraId="33375A46">
      <w:pPr>
        <w:rPr>
          <w:rFonts w:hint="eastAsia" w:ascii="宋体" w:hAnsi="宋体" w:eastAsia="宋体" w:cs="宋体"/>
        </w:rPr>
      </w:pPr>
    </w:p>
    <w:p w14:paraId="6A658622">
      <w:pPr>
        <w:rPr>
          <w:rFonts w:hint="eastAsia" w:ascii="宋体" w:hAnsi="宋体" w:eastAsia="宋体" w:cs="宋体"/>
        </w:rPr>
      </w:pPr>
    </w:p>
    <w:p w14:paraId="24F286FA">
      <w:pPr>
        <w:rPr>
          <w:rFonts w:hint="eastAsia" w:ascii="宋体" w:hAnsi="宋体" w:eastAsia="宋体" w:cs="宋体"/>
        </w:rPr>
      </w:pPr>
    </w:p>
    <w:p w14:paraId="693204F3">
      <w:pPr>
        <w:rPr>
          <w:rFonts w:hint="eastAsia" w:ascii="宋体" w:hAnsi="宋体" w:eastAsia="宋体" w:cs="宋体"/>
        </w:rPr>
      </w:pPr>
    </w:p>
    <w:p w14:paraId="32FB5CA0">
      <w:pPr>
        <w:rPr>
          <w:rFonts w:hint="eastAsia" w:ascii="宋体" w:hAnsi="宋体" w:eastAsia="宋体" w:cs="宋体"/>
        </w:rPr>
      </w:pPr>
    </w:p>
    <w:p w14:paraId="573B2C2E">
      <w:pPr>
        <w:rPr>
          <w:rFonts w:hint="eastAsia" w:ascii="宋体" w:hAnsi="宋体" w:eastAsia="宋体" w:cs="宋体"/>
        </w:rPr>
      </w:pPr>
    </w:p>
    <w:p w14:paraId="6755B165">
      <w:pPr>
        <w:rPr>
          <w:rFonts w:hint="eastAsia" w:ascii="宋体" w:hAnsi="宋体" w:eastAsia="宋体" w:cs="宋体"/>
        </w:rPr>
      </w:pPr>
    </w:p>
    <w:p w14:paraId="55A5C2D2">
      <w:pPr>
        <w:rPr>
          <w:rFonts w:hint="eastAsia" w:ascii="宋体" w:hAnsi="宋体" w:eastAsia="宋体" w:cs="宋体"/>
        </w:rPr>
      </w:pPr>
    </w:p>
    <w:p w14:paraId="14382192">
      <w:pPr>
        <w:rPr>
          <w:rFonts w:hint="eastAsia" w:ascii="宋体" w:hAnsi="宋体" w:eastAsia="宋体" w:cs="宋体"/>
        </w:rPr>
      </w:pPr>
    </w:p>
    <w:p w14:paraId="7AB00C9F">
      <w:pPr>
        <w:rPr>
          <w:rFonts w:hint="eastAsia" w:ascii="宋体" w:hAnsi="宋体" w:eastAsia="宋体" w:cs="宋体"/>
        </w:rPr>
      </w:pPr>
    </w:p>
    <w:p w14:paraId="2ACFF5F0">
      <w:pPr>
        <w:rPr>
          <w:rFonts w:hint="eastAsia" w:ascii="宋体" w:hAnsi="宋体" w:eastAsia="宋体" w:cs="宋体"/>
        </w:rPr>
      </w:pPr>
    </w:p>
    <w:p w14:paraId="3D27C896">
      <w:pPr>
        <w:rPr>
          <w:rFonts w:hint="eastAsia" w:ascii="宋体" w:hAnsi="宋体" w:eastAsia="宋体" w:cs="宋体"/>
        </w:rPr>
      </w:pPr>
    </w:p>
    <w:p w14:paraId="5DAD38EF">
      <w:pPr>
        <w:rPr>
          <w:rFonts w:hint="eastAsia" w:ascii="宋体" w:hAnsi="宋体" w:eastAsia="宋体" w:cs="宋体"/>
        </w:rPr>
      </w:pPr>
    </w:p>
    <w:p w14:paraId="1EBEE754">
      <w:pPr>
        <w:rPr>
          <w:rFonts w:hint="eastAsia" w:ascii="宋体" w:hAnsi="宋体" w:eastAsia="宋体" w:cs="宋体"/>
        </w:rPr>
      </w:pPr>
    </w:p>
    <w:p w14:paraId="09679D34">
      <w:pPr>
        <w:rPr>
          <w:rFonts w:hint="eastAsia" w:ascii="宋体" w:hAnsi="宋体" w:eastAsia="宋体" w:cs="宋体"/>
        </w:rPr>
      </w:pPr>
    </w:p>
    <w:p w14:paraId="54EDEFDB">
      <w:pPr>
        <w:rPr>
          <w:rFonts w:hint="eastAsia" w:ascii="宋体" w:hAnsi="宋体" w:eastAsia="宋体" w:cs="宋体"/>
        </w:rPr>
      </w:pPr>
    </w:p>
    <w:p w14:paraId="143AB60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6" w:name="_Toc102"/>
      <w:bookmarkStart w:id="317" w:name="_Toc15233"/>
      <w:r>
        <w:rPr>
          <w:rFonts w:hint="eastAsia" w:ascii="宋体" w:hAnsi="宋体" w:eastAsia="宋体" w:cs="宋体"/>
          <w:b/>
          <w:bCs/>
          <w:color w:val="auto"/>
          <w:spacing w:val="-11"/>
          <w:sz w:val="24"/>
          <w:szCs w:val="24"/>
          <w:highlight w:val="none"/>
          <w:lang w:val="en-US" w:eastAsia="zh-CN"/>
        </w:rPr>
        <w:t>格式六    投标人基本情况表</w:t>
      </w:r>
      <w:bookmarkEnd w:id="316"/>
      <w:bookmarkEnd w:id="317"/>
    </w:p>
    <w:p w14:paraId="53B6A321">
      <w:pPr>
        <w:pStyle w:val="60"/>
        <w:widowControl w:val="0"/>
        <w:wordWrap w:val="0"/>
        <w:adjustRightInd w:val="0"/>
        <w:snapToGrid w:val="0"/>
        <w:spacing w:before="260" w:after="260" w:line="240" w:lineRule="auto"/>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409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noWrap w:val="0"/>
            <w:vAlign w:val="center"/>
          </w:tcPr>
          <w:p w14:paraId="1F5E6A1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020" w:type="dxa"/>
            <w:gridSpan w:val="8"/>
            <w:noWrap w:val="0"/>
            <w:vAlign w:val="center"/>
          </w:tcPr>
          <w:p w14:paraId="338CD7A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0C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4F3A345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389" w:type="dxa"/>
            <w:gridSpan w:val="3"/>
            <w:noWrap w:val="0"/>
            <w:vAlign w:val="center"/>
          </w:tcPr>
          <w:p w14:paraId="4824853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0762499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385" w:type="dxa"/>
            <w:gridSpan w:val="3"/>
            <w:noWrap w:val="0"/>
            <w:vAlign w:val="center"/>
          </w:tcPr>
          <w:p w14:paraId="29AEF49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2819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85" w:type="dxa"/>
            <w:vMerge w:val="restart"/>
            <w:noWrap w:val="0"/>
            <w:vAlign w:val="center"/>
          </w:tcPr>
          <w:p w14:paraId="005A109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897" w:type="dxa"/>
            <w:noWrap w:val="0"/>
            <w:vAlign w:val="center"/>
          </w:tcPr>
          <w:p w14:paraId="1CDD002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492" w:type="dxa"/>
            <w:gridSpan w:val="2"/>
            <w:noWrap w:val="0"/>
            <w:vAlign w:val="center"/>
          </w:tcPr>
          <w:p w14:paraId="7A1F704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7B9A7A9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385" w:type="dxa"/>
            <w:gridSpan w:val="3"/>
            <w:noWrap w:val="0"/>
            <w:vAlign w:val="center"/>
          </w:tcPr>
          <w:p w14:paraId="66A6231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A0D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vMerge w:val="continue"/>
            <w:noWrap w:val="0"/>
            <w:vAlign w:val="center"/>
          </w:tcPr>
          <w:p w14:paraId="2F52E13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897" w:type="dxa"/>
            <w:noWrap w:val="0"/>
            <w:vAlign w:val="center"/>
          </w:tcPr>
          <w:p w14:paraId="4AF67B2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492" w:type="dxa"/>
            <w:gridSpan w:val="2"/>
            <w:noWrap w:val="0"/>
            <w:vAlign w:val="center"/>
          </w:tcPr>
          <w:p w14:paraId="63F7C35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1E86FE0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385" w:type="dxa"/>
            <w:gridSpan w:val="3"/>
            <w:noWrap w:val="0"/>
            <w:vAlign w:val="center"/>
          </w:tcPr>
          <w:p w14:paraId="0D1A343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C4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485" w:type="dxa"/>
            <w:noWrap w:val="0"/>
            <w:vAlign w:val="center"/>
          </w:tcPr>
          <w:p w14:paraId="1D074B8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020" w:type="dxa"/>
            <w:gridSpan w:val="8"/>
            <w:noWrap w:val="0"/>
            <w:vAlign w:val="center"/>
          </w:tcPr>
          <w:p w14:paraId="17E2BE7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79D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1900B6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897" w:type="dxa"/>
            <w:noWrap w:val="0"/>
            <w:vAlign w:val="center"/>
          </w:tcPr>
          <w:p w14:paraId="0DD2431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689" w:type="dxa"/>
            <w:noWrap w:val="0"/>
            <w:vAlign w:val="center"/>
          </w:tcPr>
          <w:p w14:paraId="6B9684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noWrap w:val="0"/>
            <w:vAlign w:val="center"/>
          </w:tcPr>
          <w:p w14:paraId="58E84C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20" w:type="dxa"/>
            <w:gridSpan w:val="2"/>
            <w:noWrap w:val="0"/>
            <w:vAlign w:val="center"/>
          </w:tcPr>
          <w:p w14:paraId="33B8317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709" w:type="dxa"/>
            <w:noWrap w:val="0"/>
            <w:vAlign w:val="center"/>
          </w:tcPr>
          <w:p w14:paraId="6E6CA87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16" w:type="dxa"/>
            <w:noWrap w:val="0"/>
            <w:vAlign w:val="center"/>
          </w:tcPr>
          <w:p w14:paraId="6C8B591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3C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0A8DF08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586" w:type="dxa"/>
            <w:gridSpan w:val="2"/>
            <w:noWrap w:val="0"/>
            <w:vAlign w:val="center"/>
          </w:tcPr>
          <w:p w14:paraId="5104AEE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4434" w:type="dxa"/>
            <w:gridSpan w:val="6"/>
            <w:noWrap w:val="0"/>
            <w:vAlign w:val="center"/>
          </w:tcPr>
          <w:p w14:paraId="21133CC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17A0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485" w:type="dxa"/>
            <w:noWrap w:val="0"/>
            <w:vAlign w:val="center"/>
          </w:tcPr>
          <w:p w14:paraId="7DAA4B3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3060BCD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586" w:type="dxa"/>
            <w:gridSpan w:val="2"/>
            <w:noWrap w:val="0"/>
            <w:vAlign w:val="center"/>
          </w:tcPr>
          <w:p w14:paraId="69FFFC2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restart"/>
            <w:noWrap w:val="0"/>
            <w:vAlign w:val="center"/>
          </w:tcPr>
          <w:p w14:paraId="2951E8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29" w:type="dxa"/>
            <w:gridSpan w:val="3"/>
            <w:noWrap w:val="0"/>
            <w:vAlign w:val="center"/>
          </w:tcPr>
          <w:p w14:paraId="10A76B0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16" w:type="dxa"/>
            <w:noWrap w:val="0"/>
            <w:vAlign w:val="center"/>
          </w:tcPr>
          <w:p w14:paraId="31D0B5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2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485" w:type="dxa"/>
            <w:noWrap w:val="0"/>
            <w:vAlign w:val="center"/>
          </w:tcPr>
          <w:p w14:paraId="5B9824B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586" w:type="dxa"/>
            <w:gridSpan w:val="2"/>
            <w:noWrap w:val="0"/>
            <w:vAlign w:val="center"/>
          </w:tcPr>
          <w:p w14:paraId="791A985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4D71DDB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6D1569D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16" w:type="dxa"/>
            <w:noWrap w:val="0"/>
            <w:vAlign w:val="center"/>
          </w:tcPr>
          <w:p w14:paraId="7D0B54C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3B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85" w:type="dxa"/>
            <w:noWrap w:val="0"/>
            <w:vAlign w:val="center"/>
          </w:tcPr>
          <w:p w14:paraId="13245F5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586" w:type="dxa"/>
            <w:gridSpan w:val="2"/>
            <w:noWrap w:val="0"/>
            <w:vAlign w:val="center"/>
          </w:tcPr>
          <w:p w14:paraId="4BBE96E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7B0EB2E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1D277CA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16" w:type="dxa"/>
            <w:noWrap w:val="0"/>
            <w:vAlign w:val="center"/>
          </w:tcPr>
          <w:p w14:paraId="5DB1AC0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02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485" w:type="dxa"/>
            <w:noWrap w:val="0"/>
            <w:vAlign w:val="center"/>
          </w:tcPr>
          <w:p w14:paraId="10815DE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0FBBE56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586" w:type="dxa"/>
            <w:gridSpan w:val="2"/>
            <w:noWrap w:val="0"/>
            <w:vAlign w:val="center"/>
          </w:tcPr>
          <w:p w14:paraId="7177D23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102FD1A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03E2601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16" w:type="dxa"/>
            <w:noWrap w:val="0"/>
            <w:vAlign w:val="center"/>
          </w:tcPr>
          <w:p w14:paraId="59C9DAB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54D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1485" w:type="dxa"/>
            <w:noWrap w:val="0"/>
            <w:vAlign w:val="center"/>
          </w:tcPr>
          <w:p w14:paraId="7059B49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4476743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586" w:type="dxa"/>
            <w:gridSpan w:val="2"/>
            <w:noWrap w:val="0"/>
            <w:vAlign w:val="center"/>
          </w:tcPr>
          <w:p w14:paraId="375D098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6520508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573D84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16" w:type="dxa"/>
            <w:noWrap w:val="0"/>
            <w:vAlign w:val="center"/>
          </w:tcPr>
          <w:p w14:paraId="3B0533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91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5" w:type="dxa"/>
            <w:noWrap w:val="0"/>
            <w:vAlign w:val="center"/>
          </w:tcPr>
          <w:p w14:paraId="6BDB8E9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020" w:type="dxa"/>
            <w:gridSpan w:val="8"/>
            <w:noWrap w:val="0"/>
            <w:vAlign w:val="center"/>
          </w:tcPr>
          <w:p w14:paraId="2CA0F450">
            <w:pPr>
              <w:pStyle w:val="63"/>
              <w:wordWrap w:val="0"/>
              <w:adjustRightInd w:val="0"/>
              <w:snapToGrid w:val="0"/>
              <w:spacing w:line="360" w:lineRule="auto"/>
              <w:jc w:val="left"/>
              <w:rPr>
                <w:rFonts w:hint="eastAsia" w:ascii="宋体" w:hAnsi="宋体" w:eastAsia="宋体" w:cs="宋体"/>
                <w:snapToGrid w:val="0"/>
                <w:color w:val="auto"/>
                <w:kern w:val="0"/>
                <w:szCs w:val="21"/>
                <w:highlight w:val="none"/>
              </w:rPr>
            </w:pPr>
          </w:p>
        </w:tc>
      </w:tr>
      <w:tr w14:paraId="52E8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485" w:type="dxa"/>
            <w:noWrap w:val="0"/>
            <w:vAlign w:val="center"/>
          </w:tcPr>
          <w:p w14:paraId="4E31F12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020" w:type="dxa"/>
            <w:gridSpan w:val="8"/>
            <w:noWrap w:val="0"/>
            <w:vAlign w:val="center"/>
          </w:tcPr>
          <w:p w14:paraId="61991BD2">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25823A94">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法定代表人为同一人的。</w:t>
            </w:r>
          </w:p>
          <w:p w14:paraId="4A80F19E">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存在控股、管理关系的。</w:t>
            </w:r>
          </w:p>
          <w:p w14:paraId="546624C5">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主要人员相互任职的。</w:t>
            </w:r>
          </w:p>
        </w:tc>
      </w:tr>
      <w:tr w14:paraId="116F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5" w:type="dxa"/>
            <w:noWrap w:val="0"/>
            <w:vAlign w:val="center"/>
          </w:tcPr>
          <w:p w14:paraId="584EA06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020" w:type="dxa"/>
            <w:gridSpan w:val="8"/>
            <w:noWrap w:val="0"/>
            <w:vAlign w:val="center"/>
          </w:tcPr>
          <w:p w14:paraId="124B712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bl>
    <w:p w14:paraId="4939D955">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说明：</w:t>
      </w:r>
    </w:p>
    <w:p w14:paraId="2014D061">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bookmarkStart w:id="318" w:name="_Toc32526"/>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《投标人基本情况表》后应附以下资料：</w:t>
      </w:r>
      <w:bookmarkEnd w:id="318"/>
    </w:p>
    <w:p w14:paraId="5FC0DE77">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（1）企业营业执照、资质证书、安全生产许可证的</w:t>
      </w:r>
      <w:r>
        <w:rPr>
          <w:rFonts w:hint="eastAsia" w:ascii="宋体" w:hAnsi="宋体" w:eastAsia="宋体" w:cs="宋体"/>
          <w:snapToGrid w:val="0"/>
          <w:color w:val="auto"/>
          <w:kern w:val="0"/>
          <w:szCs w:val="21"/>
          <w:highlight w:val="none"/>
          <w:lang w:val="en-US"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 “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Cs w:val="21"/>
          <w:highlight w:val="none"/>
        </w:rPr>
        <w:t>；</w:t>
      </w:r>
    </w:p>
    <w:p w14:paraId="07D556BE">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（2）“进粤企业和人员诚信信</w:t>
      </w:r>
      <w:r>
        <w:rPr>
          <w:rFonts w:hint="eastAsia" w:ascii="宋体" w:hAnsi="宋体" w:eastAsia="宋体" w:cs="宋体"/>
          <w:snapToGrid w:val="0"/>
          <w:color w:val="auto"/>
          <w:kern w:val="0"/>
          <w:highlight w:val="none"/>
        </w:rPr>
        <w:t>息登记平台”企业信息情况打印页彩色扫描件或网页截图。（适用于省外建筑企业）；</w:t>
      </w:r>
    </w:p>
    <w:p w14:paraId="0280223A">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highlight w:val="none"/>
        </w:rPr>
        <w:t>《法人和非法人组织公共信用信息报告》(在“信用中国”网站企业查询界面中下载) 。</w:t>
      </w:r>
    </w:p>
    <w:p w14:paraId="17DD4076">
      <w:pPr>
        <w:pStyle w:val="6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p>
    <w:p w14:paraId="426AAF63">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9" w:name="_Toc8882"/>
      <w:bookmarkStart w:id="320" w:name="_Toc23039"/>
      <w:r>
        <w:rPr>
          <w:rFonts w:hint="eastAsia" w:ascii="宋体" w:hAnsi="宋体" w:eastAsia="宋体" w:cs="宋体"/>
          <w:b/>
          <w:bCs/>
          <w:color w:val="auto"/>
          <w:spacing w:val="-11"/>
          <w:sz w:val="24"/>
          <w:szCs w:val="24"/>
          <w:highlight w:val="none"/>
          <w:lang w:val="en-US" w:eastAsia="zh-CN"/>
        </w:rPr>
        <w:t>格式七   项目经理简历表</w:t>
      </w:r>
      <w:bookmarkEnd w:id="319"/>
      <w:bookmarkEnd w:id="320"/>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CB61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B56E75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7A85DF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183A7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D4225F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CA00F7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119A79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9C63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D5BABF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A3C9DB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96336A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4FF960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BA84E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484DC2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0CC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E1C2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C4DCE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E576E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B9EDB8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95D6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3C2143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3413E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63FE2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0952E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1CBA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EC89A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7962D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928A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653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267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345822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D82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49ADC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9924B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2DC386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475D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2ABFA7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520A4C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A91C0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2077B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18EA9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F2ECC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80BA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C3E40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2E7052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82ABA0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DB0CB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5657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2617E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F5CA8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CB66F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1A1B4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75A39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564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4D19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2E536B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CEDCDC0">
      <w:pPr>
        <w:jc w:val="center"/>
        <w:rPr>
          <w:rFonts w:hint="eastAsia" w:ascii="宋体" w:hAnsi="宋体" w:eastAsia="宋体" w:cs="宋体"/>
          <w:b/>
          <w:bCs/>
          <w:sz w:val="30"/>
          <w:szCs w:val="30"/>
        </w:rPr>
      </w:pPr>
      <w:bookmarkStart w:id="321" w:name="_Toc30114"/>
      <w:r>
        <w:rPr>
          <w:rFonts w:hint="eastAsia" w:ascii="宋体" w:hAnsi="宋体" w:eastAsia="宋体" w:cs="宋体"/>
          <w:b/>
          <w:bCs/>
          <w:sz w:val="30"/>
          <w:szCs w:val="30"/>
        </w:rPr>
        <w:t>项目经理简历表</w:t>
      </w:r>
      <w:bookmarkEnd w:id="321"/>
    </w:p>
    <w:p w14:paraId="5C260890">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7A758A1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0CE73ABD">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13DCC3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F54643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A2A543C">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59A691F7">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说明：《项目经理简历表》后应附拟派项目经理以下资料：</w:t>
      </w:r>
    </w:p>
    <w:p w14:paraId="5C22EF16">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bookmarkStart w:id="322" w:name="_Toc950"/>
      <w:r>
        <w:rPr>
          <w:rFonts w:hint="eastAsia" w:ascii="宋体" w:hAnsi="宋体" w:eastAsia="宋体" w:cs="宋体"/>
          <w:snapToGrid w:val="0"/>
          <w:color w:val="auto"/>
          <w:kern w:val="0"/>
          <w:sz w:val="21"/>
          <w:szCs w:val="28"/>
          <w:highlight w:val="none"/>
        </w:rPr>
        <w:t>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bookmarkEnd w:id="322"/>
    </w:p>
    <w:p w14:paraId="137698AC">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建造师电子注册证书（在使用有效期内的有效电子证书）；</w:t>
      </w:r>
    </w:p>
    <w:p w14:paraId="2F647E35">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B类安全生产考核合格证书彩色扫描件或广东省建筑施工企业管理人员安全生产考核系统考核合格信息；</w:t>
      </w:r>
    </w:p>
    <w:p w14:paraId="6A6DA73D">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）彩色扫描件。拟派项目经理为退休返聘人员无法提供社保证明的，提供退休证和劳动合同彩色扫描件。</w:t>
      </w:r>
    </w:p>
    <w:p w14:paraId="1A0A328B">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szCs w:val="28"/>
          <w:highlight w:val="none"/>
        </w:rPr>
        <w:t>5</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highlight w:val="none"/>
        </w:rPr>
        <w:t>“进粤企业和人员诚信信息登记平台”个人（项目经理等）信息情况截图。（适用于省外建筑企业）</w:t>
      </w:r>
    </w:p>
    <w:p w14:paraId="3BC740CB">
      <w:pPr>
        <w:rPr>
          <w:rFonts w:hint="eastAsia" w:ascii="宋体" w:hAnsi="宋体" w:eastAsia="宋体" w:cs="宋体"/>
        </w:rPr>
      </w:pPr>
    </w:p>
    <w:p w14:paraId="78BD32D6">
      <w:pPr>
        <w:rPr>
          <w:rFonts w:hint="eastAsia" w:ascii="宋体" w:hAnsi="宋体" w:eastAsia="宋体" w:cs="宋体"/>
        </w:rPr>
      </w:pPr>
    </w:p>
    <w:p w14:paraId="5A2A6006">
      <w:pPr>
        <w:rPr>
          <w:rFonts w:hint="eastAsia" w:ascii="宋体" w:hAnsi="宋体" w:eastAsia="宋体" w:cs="宋体"/>
        </w:rPr>
      </w:pPr>
    </w:p>
    <w:p w14:paraId="79CFF234">
      <w:pPr>
        <w:rPr>
          <w:rFonts w:hint="eastAsia" w:ascii="宋体" w:hAnsi="宋体" w:eastAsia="宋体" w:cs="宋体"/>
        </w:rPr>
      </w:pPr>
    </w:p>
    <w:p w14:paraId="161307C0">
      <w:pPr>
        <w:rPr>
          <w:rFonts w:hint="eastAsia" w:ascii="宋体" w:hAnsi="宋体" w:eastAsia="宋体" w:cs="宋体"/>
        </w:rPr>
      </w:pPr>
    </w:p>
    <w:p w14:paraId="53B5F7AD">
      <w:pPr>
        <w:rPr>
          <w:rFonts w:hint="eastAsia" w:ascii="宋体" w:hAnsi="宋体" w:eastAsia="宋体" w:cs="宋体"/>
        </w:rPr>
      </w:pPr>
    </w:p>
    <w:p w14:paraId="18551E3D">
      <w:pPr>
        <w:rPr>
          <w:rFonts w:hint="eastAsia" w:ascii="宋体" w:hAnsi="宋体" w:eastAsia="宋体" w:cs="宋体"/>
        </w:rPr>
      </w:pPr>
    </w:p>
    <w:p w14:paraId="582DBCE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3" w:name="_Toc25955"/>
      <w:bookmarkStart w:id="324" w:name="_Toc20129"/>
      <w:r>
        <w:rPr>
          <w:rFonts w:hint="eastAsia" w:ascii="宋体" w:hAnsi="宋体" w:eastAsia="宋体" w:cs="宋体"/>
          <w:b/>
          <w:bCs/>
          <w:color w:val="auto"/>
          <w:spacing w:val="-11"/>
          <w:sz w:val="24"/>
          <w:szCs w:val="24"/>
          <w:highlight w:val="none"/>
          <w:lang w:val="en-US" w:eastAsia="zh-CN"/>
        </w:rPr>
        <w:t>格式八   项目经理任职声明</w:t>
      </w:r>
      <w:bookmarkEnd w:id="323"/>
      <w:bookmarkEnd w:id="324"/>
    </w:p>
    <w:p w14:paraId="6509A88D">
      <w:pPr>
        <w:wordWrap w:val="0"/>
        <w:adjustRightInd w:val="0"/>
        <w:snapToGrid w:val="0"/>
        <w:spacing w:before="260" w:after="260" w:line="360" w:lineRule="auto"/>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73DA9097">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99AA83C">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5575BC8B">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60348B3F">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10BE7076">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5BFD446E">
      <w:pPr>
        <w:rPr>
          <w:rFonts w:hint="eastAsia" w:ascii="宋体" w:hAnsi="宋体" w:eastAsia="宋体" w:cs="宋体"/>
        </w:rPr>
      </w:pPr>
      <w:r>
        <w:rPr>
          <w:rFonts w:hint="eastAsia" w:ascii="宋体" w:hAnsi="宋体" w:eastAsia="宋体" w:cs="宋体"/>
          <w:snapToGrid w:val="0"/>
          <w:color w:val="auto"/>
          <w:kern w:val="0"/>
          <w:szCs w:val="28"/>
          <w:highlight w:val="none"/>
        </w:rPr>
        <w:t>　</w:t>
      </w:r>
    </w:p>
    <w:p w14:paraId="37BD09A4">
      <w:pPr>
        <w:rPr>
          <w:rFonts w:hint="eastAsia" w:ascii="宋体" w:hAnsi="宋体" w:eastAsia="宋体" w:cs="宋体"/>
        </w:rPr>
      </w:pPr>
      <w:r>
        <w:rPr>
          <w:rFonts w:hint="eastAsia" w:ascii="宋体" w:hAnsi="宋体" w:eastAsia="宋体" w:cs="宋体"/>
        </w:rPr>
        <w:t>　</w:t>
      </w:r>
    </w:p>
    <w:p w14:paraId="38BA62EC">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2D3E5E4F">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4EE621C8">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1BD82FD6">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3E30BC6E">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2EEA4A8A">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1CBEEDFF">
      <w:pPr>
        <w:rPr>
          <w:rFonts w:hint="eastAsia" w:ascii="宋体" w:hAnsi="宋体" w:eastAsia="宋体" w:cs="宋体"/>
        </w:rPr>
      </w:pPr>
    </w:p>
    <w:p w14:paraId="4C3B3340">
      <w:pPr>
        <w:rPr>
          <w:rFonts w:hint="eastAsia" w:ascii="宋体" w:hAnsi="宋体" w:eastAsia="宋体" w:cs="宋体"/>
        </w:rPr>
      </w:pPr>
    </w:p>
    <w:p w14:paraId="3085189B">
      <w:pPr>
        <w:rPr>
          <w:rFonts w:hint="eastAsia" w:ascii="宋体" w:hAnsi="宋体" w:eastAsia="宋体" w:cs="宋体"/>
        </w:rPr>
      </w:pPr>
    </w:p>
    <w:p w14:paraId="28919134">
      <w:pPr>
        <w:rPr>
          <w:rFonts w:hint="eastAsia" w:ascii="宋体" w:hAnsi="宋体" w:eastAsia="宋体" w:cs="宋体"/>
        </w:rPr>
      </w:pPr>
    </w:p>
    <w:p w14:paraId="6F63443F">
      <w:pPr>
        <w:rPr>
          <w:rFonts w:hint="eastAsia" w:ascii="宋体" w:hAnsi="宋体" w:eastAsia="宋体" w:cs="宋体"/>
        </w:rPr>
      </w:pPr>
    </w:p>
    <w:p w14:paraId="7826462E">
      <w:pPr>
        <w:rPr>
          <w:rFonts w:hint="eastAsia" w:ascii="宋体" w:hAnsi="宋体" w:eastAsia="宋体" w:cs="宋体"/>
        </w:rPr>
      </w:pPr>
    </w:p>
    <w:p w14:paraId="47844A6D">
      <w:pPr>
        <w:rPr>
          <w:rFonts w:hint="eastAsia" w:ascii="宋体" w:hAnsi="宋体" w:eastAsia="宋体" w:cs="宋体"/>
        </w:rPr>
      </w:pPr>
    </w:p>
    <w:p w14:paraId="0AC09AE7">
      <w:pPr>
        <w:rPr>
          <w:rFonts w:hint="eastAsia" w:ascii="宋体" w:hAnsi="宋体" w:eastAsia="宋体" w:cs="宋体"/>
        </w:rPr>
      </w:pPr>
    </w:p>
    <w:p w14:paraId="08929D72">
      <w:pPr>
        <w:rPr>
          <w:rFonts w:hint="eastAsia" w:ascii="宋体" w:hAnsi="宋体" w:eastAsia="宋体" w:cs="宋体"/>
        </w:rPr>
      </w:pPr>
    </w:p>
    <w:p w14:paraId="7B5D25EE">
      <w:pPr>
        <w:rPr>
          <w:rFonts w:hint="eastAsia" w:ascii="宋体" w:hAnsi="宋体" w:eastAsia="宋体" w:cs="宋体"/>
        </w:rPr>
      </w:pPr>
    </w:p>
    <w:p w14:paraId="3341094E">
      <w:pPr>
        <w:rPr>
          <w:rFonts w:hint="eastAsia" w:ascii="宋体" w:hAnsi="宋体" w:eastAsia="宋体" w:cs="宋体"/>
        </w:rPr>
      </w:pPr>
    </w:p>
    <w:p w14:paraId="37995BE5">
      <w:pPr>
        <w:rPr>
          <w:rFonts w:hint="eastAsia" w:ascii="宋体" w:hAnsi="宋体" w:eastAsia="宋体" w:cs="宋体"/>
        </w:rPr>
      </w:pPr>
    </w:p>
    <w:p w14:paraId="3F9FE769">
      <w:pPr>
        <w:rPr>
          <w:rFonts w:hint="eastAsia" w:ascii="宋体" w:hAnsi="宋体" w:eastAsia="宋体" w:cs="宋体"/>
        </w:rPr>
      </w:pPr>
    </w:p>
    <w:p w14:paraId="6B60A7C9">
      <w:pPr>
        <w:rPr>
          <w:rFonts w:hint="eastAsia" w:ascii="宋体" w:hAnsi="宋体" w:eastAsia="宋体" w:cs="宋体"/>
        </w:rPr>
      </w:pPr>
    </w:p>
    <w:p w14:paraId="217BAFFE">
      <w:pPr>
        <w:rPr>
          <w:rFonts w:hint="eastAsia" w:ascii="宋体" w:hAnsi="宋体" w:eastAsia="宋体" w:cs="宋体"/>
        </w:rPr>
      </w:pPr>
    </w:p>
    <w:p w14:paraId="35AEEA01">
      <w:pPr>
        <w:rPr>
          <w:rFonts w:hint="eastAsia" w:ascii="宋体" w:hAnsi="宋体" w:eastAsia="宋体" w:cs="宋体"/>
        </w:rPr>
      </w:pPr>
    </w:p>
    <w:p w14:paraId="377F15E3">
      <w:pPr>
        <w:rPr>
          <w:rFonts w:hint="eastAsia" w:ascii="宋体" w:hAnsi="宋体" w:eastAsia="宋体" w:cs="宋体"/>
        </w:rPr>
      </w:pPr>
    </w:p>
    <w:p w14:paraId="262F290D">
      <w:pPr>
        <w:rPr>
          <w:rFonts w:hint="eastAsia" w:ascii="宋体" w:hAnsi="宋体" w:eastAsia="宋体" w:cs="宋体"/>
        </w:rPr>
      </w:pPr>
    </w:p>
    <w:p w14:paraId="2C8F7B84">
      <w:pPr>
        <w:rPr>
          <w:rFonts w:hint="eastAsia" w:ascii="宋体" w:hAnsi="宋体" w:eastAsia="宋体" w:cs="宋体"/>
        </w:rPr>
      </w:pPr>
    </w:p>
    <w:p w14:paraId="06F11753">
      <w:pPr>
        <w:rPr>
          <w:rFonts w:hint="eastAsia" w:ascii="宋体" w:hAnsi="宋体" w:eastAsia="宋体" w:cs="宋体"/>
        </w:rPr>
      </w:pPr>
    </w:p>
    <w:p w14:paraId="6089CE80">
      <w:pPr>
        <w:rPr>
          <w:rFonts w:hint="eastAsia" w:ascii="宋体" w:hAnsi="宋体" w:eastAsia="宋体" w:cs="宋体"/>
        </w:rPr>
      </w:pPr>
    </w:p>
    <w:p w14:paraId="2331CFC2">
      <w:pPr>
        <w:rPr>
          <w:rFonts w:hint="eastAsia" w:ascii="宋体" w:hAnsi="宋体" w:eastAsia="宋体" w:cs="宋体"/>
        </w:rPr>
      </w:pPr>
    </w:p>
    <w:p w14:paraId="1BAA40A1">
      <w:pPr>
        <w:rPr>
          <w:rFonts w:hint="eastAsia" w:ascii="宋体" w:hAnsi="宋体" w:eastAsia="宋体" w:cs="宋体"/>
        </w:rPr>
      </w:pPr>
    </w:p>
    <w:p w14:paraId="1AA3FA13">
      <w:pPr>
        <w:rPr>
          <w:rFonts w:hint="eastAsia" w:ascii="宋体" w:hAnsi="宋体" w:eastAsia="宋体" w:cs="宋体"/>
        </w:rPr>
      </w:pPr>
    </w:p>
    <w:p w14:paraId="7451E2F5">
      <w:pPr>
        <w:rPr>
          <w:rFonts w:hint="eastAsia" w:ascii="宋体" w:hAnsi="宋体" w:eastAsia="宋体" w:cs="宋体"/>
        </w:rPr>
      </w:pPr>
    </w:p>
    <w:p w14:paraId="7EE4AA48">
      <w:pPr>
        <w:rPr>
          <w:rFonts w:hint="eastAsia" w:ascii="宋体" w:hAnsi="宋体" w:eastAsia="宋体" w:cs="宋体"/>
        </w:rPr>
      </w:pPr>
    </w:p>
    <w:p w14:paraId="2707167B">
      <w:pPr>
        <w:rPr>
          <w:rFonts w:hint="eastAsia" w:ascii="宋体" w:hAnsi="宋体" w:eastAsia="宋体" w:cs="宋体"/>
        </w:rPr>
      </w:pPr>
    </w:p>
    <w:p w14:paraId="4B8AAD1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5" w:name="_Toc8772"/>
      <w:bookmarkStart w:id="326" w:name="_Toc24090"/>
      <w:r>
        <w:rPr>
          <w:rFonts w:hint="eastAsia" w:ascii="宋体" w:hAnsi="宋体" w:eastAsia="宋体" w:cs="宋体"/>
          <w:b/>
          <w:bCs/>
          <w:color w:val="auto"/>
          <w:spacing w:val="-11"/>
          <w:sz w:val="24"/>
          <w:szCs w:val="24"/>
          <w:highlight w:val="none"/>
          <w:lang w:val="en-US" w:eastAsia="zh-CN"/>
        </w:rPr>
        <w:t>格式九   项目技术负责人简历表</w:t>
      </w:r>
      <w:bookmarkEnd w:id="325"/>
      <w:bookmarkEnd w:id="326"/>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00A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F005A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4B5C2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10007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E8C331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8E7004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DE873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CC5B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8FB1AA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F8807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4DF9C1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1F6F54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2AD9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1B398F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59E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644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98466A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444F55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754BA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6561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04EB1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763CE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2E3735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E7A2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0F15C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988C70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0AE0A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6F6DF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7470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C0AF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073AC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0E1BF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6F4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C93E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8D9E38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949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D28FB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49D7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199F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84DD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B832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C7E88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75E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C2D1F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F5D4B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DB15AD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D947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DE736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156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EC02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0C1A9E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9262A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A3951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B9CF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21B06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F26481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0FE2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9844E9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25EFA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EFD26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580E2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BA089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1AA1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A4A1EF9">
      <w:pPr>
        <w:jc w:val="center"/>
        <w:rPr>
          <w:rFonts w:hint="eastAsia" w:ascii="宋体" w:hAnsi="宋体" w:eastAsia="宋体" w:cs="宋体"/>
          <w:b/>
          <w:bCs/>
          <w:sz w:val="30"/>
          <w:szCs w:val="30"/>
        </w:rPr>
      </w:pPr>
      <w:r>
        <w:rPr>
          <w:rFonts w:hint="eastAsia" w:ascii="宋体" w:hAnsi="宋体" w:eastAsia="宋体" w:cs="宋体"/>
          <w:b/>
          <w:bCs/>
          <w:sz w:val="30"/>
          <w:szCs w:val="30"/>
        </w:rPr>
        <w:t>项目技术负责人简历表</w:t>
      </w:r>
    </w:p>
    <w:p w14:paraId="228E9C15">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458C4862">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C1852E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55BB5DB">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6D0F59C6">
      <w:pPr>
        <w:pStyle w:val="61"/>
        <w:wordWrap w:val="0"/>
        <w:adjustRightInd w:val="0"/>
        <w:snapToGrid w:val="0"/>
        <w:spacing w:line="360" w:lineRule="auto"/>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CE31011">
      <w:pPr>
        <w:wordWrap w:val="0"/>
        <w:adjustRightInd w:val="0"/>
        <w:snapToGrid w:val="0"/>
        <w:spacing w:line="360" w:lineRule="auto"/>
        <w:rPr>
          <w:rFonts w:hint="eastAsia" w:ascii="宋体" w:hAnsi="宋体" w:eastAsia="宋体" w:cs="宋体"/>
          <w:snapToGrid w:val="0"/>
          <w:color w:val="auto"/>
          <w:kern w:val="0"/>
          <w:szCs w:val="28"/>
          <w:highlight w:val="none"/>
        </w:rPr>
      </w:pPr>
    </w:p>
    <w:p w14:paraId="7459C7E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2A5C91F2">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p>
    <w:p w14:paraId="4F1CEC2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职称证彩色扫描件；</w:t>
      </w:r>
    </w:p>
    <w:p w14:paraId="7B9E03D8">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）彩色扫描件。拟派项目技术负责人为退休返聘人员无法提供社保证明的，提供退休证和劳动合同彩色扫描件。</w:t>
      </w:r>
    </w:p>
    <w:p w14:paraId="25EDB8F3">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0956FBE8">
      <w:pPr>
        <w:rPr>
          <w:rFonts w:hint="eastAsia" w:ascii="宋体" w:hAnsi="宋体" w:eastAsia="宋体" w:cs="宋体"/>
          <w:color w:val="auto"/>
        </w:rPr>
      </w:pPr>
    </w:p>
    <w:p w14:paraId="371F329B">
      <w:pPr>
        <w:rPr>
          <w:rFonts w:hint="eastAsia" w:ascii="宋体" w:hAnsi="宋体" w:eastAsia="宋体" w:cs="宋体"/>
          <w:color w:val="auto"/>
        </w:rPr>
      </w:pPr>
    </w:p>
    <w:p w14:paraId="1480D69F">
      <w:pPr>
        <w:rPr>
          <w:rFonts w:hint="eastAsia" w:ascii="宋体" w:hAnsi="宋体" w:eastAsia="宋体" w:cs="宋体"/>
          <w:color w:val="auto"/>
        </w:rPr>
      </w:pPr>
    </w:p>
    <w:p w14:paraId="3C0655B6">
      <w:pPr>
        <w:rPr>
          <w:rFonts w:hint="eastAsia" w:ascii="宋体" w:hAnsi="宋体" w:eastAsia="宋体" w:cs="宋体"/>
          <w:color w:val="auto"/>
        </w:rPr>
      </w:pPr>
    </w:p>
    <w:p w14:paraId="5247B84D">
      <w:pPr>
        <w:rPr>
          <w:rFonts w:hint="eastAsia" w:ascii="宋体" w:hAnsi="宋体" w:eastAsia="宋体" w:cs="宋体"/>
          <w:color w:val="auto"/>
        </w:rPr>
      </w:pPr>
    </w:p>
    <w:p w14:paraId="4BD7C232">
      <w:pPr>
        <w:rPr>
          <w:rFonts w:hint="eastAsia" w:ascii="宋体" w:hAnsi="宋体" w:eastAsia="宋体" w:cs="宋体"/>
          <w:color w:val="auto"/>
        </w:rPr>
      </w:pPr>
    </w:p>
    <w:p w14:paraId="21BBE282">
      <w:pPr>
        <w:rPr>
          <w:rFonts w:hint="eastAsia" w:ascii="宋体" w:hAnsi="宋体" w:eastAsia="宋体" w:cs="宋体"/>
          <w:color w:val="auto"/>
        </w:rPr>
      </w:pPr>
    </w:p>
    <w:p w14:paraId="3DBC95A9">
      <w:pPr>
        <w:rPr>
          <w:rFonts w:hint="eastAsia" w:ascii="宋体" w:hAnsi="宋体" w:eastAsia="宋体" w:cs="宋体"/>
          <w:color w:val="auto"/>
        </w:rPr>
      </w:pPr>
    </w:p>
    <w:p w14:paraId="228DC66D">
      <w:pPr>
        <w:rPr>
          <w:rFonts w:hint="eastAsia" w:ascii="宋体" w:hAnsi="宋体" w:eastAsia="宋体" w:cs="宋体"/>
          <w:color w:val="auto"/>
        </w:rPr>
      </w:pPr>
    </w:p>
    <w:bookmarkEnd w:id="298"/>
    <w:bookmarkEnd w:id="299"/>
    <w:p w14:paraId="29CBAFA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7" w:name="_Toc14261309"/>
      <w:bookmarkStart w:id="328" w:name="_Toc20506"/>
      <w:bookmarkStart w:id="329" w:name="_Toc6074"/>
      <w:bookmarkStart w:id="330" w:name="_Toc3720"/>
      <w:bookmarkStart w:id="331" w:name="_Toc8264"/>
      <w:bookmarkStart w:id="332" w:name="_Toc200338098"/>
      <w:r>
        <w:rPr>
          <w:rFonts w:hint="eastAsia" w:ascii="宋体" w:hAnsi="宋体" w:eastAsia="宋体" w:cs="宋体"/>
          <w:b/>
          <w:bCs/>
          <w:color w:val="auto"/>
          <w:spacing w:val="-11"/>
          <w:sz w:val="24"/>
          <w:szCs w:val="24"/>
          <w:highlight w:val="none"/>
          <w:lang w:val="en-US" w:eastAsia="zh-CN"/>
        </w:rPr>
        <w:t>格式</w:t>
      </w:r>
      <w:bookmarkStart w:id="333" w:name="_Hlt287950384"/>
      <w:bookmarkEnd w:id="333"/>
      <w:r>
        <w:rPr>
          <w:rFonts w:hint="eastAsia" w:ascii="宋体" w:hAnsi="宋体" w:eastAsia="宋体" w:cs="宋体"/>
          <w:b/>
          <w:bCs/>
          <w:color w:val="auto"/>
          <w:spacing w:val="-11"/>
          <w:sz w:val="24"/>
          <w:szCs w:val="24"/>
          <w:highlight w:val="none"/>
          <w:lang w:val="en-US" w:eastAsia="zh-CN"/>
        </w:rPr>
        <w:t>十   项目管理机构组成表</w:t>
      </w:r>
      <w:bookmarkEnd w:id="327"/>
      <w:bookmarkEnd w:id="328"/>
      <w:bookmarkEnd w:id="329"/>
      <w:bookmarkEnd w:id="330"/>
    </w:p>
    <w:p w14:paraId="62B89F36">
      <w:pPr>
        <w:jc w:val="center"/>
        <w:rPr>
          <w:rFonts w:hint="eastAsia" w:ascii="宋体" w:hAnsi="宋体" w:eastAsia="宋体" w:cs="宋体"/>
          <w:b/>
          <w:bCs/>
          <w:color w:val="auto"/>
          <w:sz w:val="30"/>
          <w:szCs w:val="30"/>
        </w:rPr>
      </w:pPr>
      <w:bookmarkStart w:id="334" w:name="_Toc23063"/>
      <w:bookmarkStart w:id="335" w:name="_Toc14261751"/>
      <w:r>
        <w:rPr>
          <w:rFonts w:hint="eastAsia" w:ascii="宋体" w:hAnsi="宋体" w:eastAsia="宋体" w:cs="宋体"/>
          <w:b/>
          <w:bCs/>
          <w:color w:val="auto"/>
          <w:sz w:val="30"/>
          <w:szCs w:val="30"/>
        </w:rPr>
        <w:t>项目管理机构组成表</w:t>
      </w:r>
      <w:bookmarkEnd w:id="334"/>
      <w:bookmarkEnd w:id="335"/>
    </w:p>
    <w:tbl>
      <w:tblPr>
        <w:tblStyle w:val="24"/>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10AF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6319B8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E0A2AA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93B41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F6959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1EAF56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C21F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135D58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CFC5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F3F43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510B71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2CB2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96924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7334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ED235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30241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5036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337B2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15604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77E88E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6A6B0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5849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075410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AAD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D6DBD1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130F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B01F99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0D401B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2A049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8D771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56AA8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2266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C8F32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6F738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24905C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660B0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4789C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6529B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5DEDF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E8788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3CB84C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199F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DEA96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A0B31A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27F6B8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FC9F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D807F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9B2733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CE170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7BD3E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6981A5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3BC5B1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CBFA0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354A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4132B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72891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DDC65F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164D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EE05B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E16E6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56539F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72489F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906DA7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DA4AC7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D5E9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A782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FE2FC8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35A7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B152D9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73081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A7366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6D4FEB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CC08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08D0A145">
      <w:pPr>
        <w:pStyle w:val="60"/>
        <w:widowControl w:val="0"/>
        <w:wordWrap w:val="0"/>
        <w:adjustRightInd w:val="0"/>
        <w:snapToGrid w:val="0"/>
        <w:spacing w:line="360" w:lineRule="auto"/>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31EA20B3">
      <w:pPr>
        <w:pStyle w:val="60"/>
        <w:widowControl w:val="0"/>
        <w:wordWrap w:val="0"/>
        <w:adjustRightInd w:val="0"/>
        <w:snapToGrid w:val="0"/>
        <w:spacing w:line="360" w:lineRule="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lang w:eastAsia="zh-CN"/>
        </w:rPr>
        <w:t>.</w:t>
      </w:r>
      <w:r>
        <w:rPr>
          <w:rFonts w:hint="eastAsia" w:ascii="宋体" w:hAnsi="宋体" w:eastAsia="宋体" w:cs="宋体"/>
          <w:snapToGrid w:val="0"/>
          <w:color w:val="auto"/>
          <w:sz w:val="21"/>
          <w:highlight w:val="none"/>
        </w:rPr>
        <w:t>《项目管理机构组成表》后应附表中拟派人员（项目经理、项目技术负责人</w:t>
      </w:r>
      <w:r>
        <w:rPr>
          <w:rFonts w:hint="eastAsia" w:ascii="宋体" w:hAnsi="宋体" w:eastAsia="宋体" w:cs="宋体"/>
          <w:snapToGrid w:val="0"/>
          <w:color w:val="auto"/>
          <w:sz w:val="21"/>
          <w:highlight w:val="none"/>
          <w:lang w:val="en-US" w:eastAsia="zh-CN"/>
        </w:rPr>
        <w:t>除外</w:t>
      </w:r>
      <w:r>
        <w:rPr>
          <w:rFonts w:hint="eastAsia" w:ascii="宋体" w:hAnsi="宋体" w:eastAsia="宋体" w:cs="宋体"/>
          <w:snapToGrid w:val="0"/>
          <w:color w:val="auto"/>
          <w:sz w:val="21"/>
          <w:highlight w:val="none"/>
        </w:rPr>
        <w:t>）以下资料：</w:t>
      </w:r>
    </w:p>
    <w:p w14:paraId="55F8A514">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（1）身份证彩色扫描件；</w:t>
      </w:r>
    </w:p>
    <w:p w14:paraId="5F3551B1">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职称证彩色扫描件（如有）</w:t>
      </w:r>
      <w:r>
        <w:rPr>
          <w:rFonts w:hint="eastAsia" w:ascii="宋体" w:hAnsi="宋体" w:eastAsia="宋体" w:cs="宋体"/>
          <w:snapToGrid w:val="0"/>
          <w:color w:val="auto"/>
          <w:kern w:val="0"/>
          <w:sz w:val="21"/>
          <w:szCs w:val="28"/>
          <w:highlight w:val="none"/>
        </w:rPr>
        <w:t>；</w:t>
      </w:r>
    </w:p>
    <w:p w14:paraId="7FD54262">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0"/>
          <w:highlight w:val="none"/>
          <w:lang w:val="en-US" w:eastAsia="zh-CN" w:bidi="ar-SA"/>
        </w:rPr>
        <w:t>至少一个月，其中必须有2025年7月）彩</w:t>
      </w:r>
      <w:r>
        <w:rPr>
          <w:rFonts w:hint="eastAsia" w:ascii="宋体" w:hAnsi="宋体" w:eastAsia="宋体" w:cs="宋体"/>
          <w:snapToGrid w:val="0"/>
          <w:color w:val="auto"/>
          <w:kern w:val="0"/>
          <w:sz w:val="21"/>
          <w:szCs w:val="28"/>
          <w:highlight w:val="none"/>
        </w:rPr>
        <w:t>色扫描件。拟派人员为退休返聘人员无法提供社保证明的，提供退休证和劳动合同彩色扫描件。</w:t>
      </w:r>
    </w:p>
    <w:p w14:paraId="6817F90A">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eastAsia="zh-CN"/>
        </w:rPr>
        <w:t>（</w:t>
      </w: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4667087B">
      <w:pPr>
        <w:rPr>
          <w:rFonts w:hint="eastAsia" w:ascii="宋体" w:hAnsi="宋体" w:eastAsia="宋体" w:cs="宋体"/>
          <w:color w:val="auto"/>
        </w:rPr>
      </w:pPr>
    </w:p>
    <w:p w14:paraId="74B6BA64">
      <w:pPr>
        <w:rPr>
          <w:rFonts w:hint="eastAsia" w:ascii="宋体" w:hAnsi="宋体" w:eastAsia="宋体" w:cs="宋体"/>
          <w:color w:val="auto"/>
        </w:rPr>
      </w:pPr>
    </w:p>
    <w:bookmarkEnd w:id="331"/>
    <w:bookmarkEnd w:id="332"/>
    <w:p w14:paraId="2C1C66D0">
      <w:pPr>
        <w:rPr>
          <w:rFonts w:hint="eastAsia" w:ascii="宋体" w:hAnsi="宋体" w:eastAsia="宋体" w:cs="宋体"/>
          <w:color w:val="auto"/>
        </w:rPr>
      </w:pPr>
      <w:bookmarkStart w:id="336" w:name="_Toc36804690"/>
    </w:p>
    <w:p w14:paraId="5D18D537">
      <w:pPr>
        <w:rPr>
          <w:rFonts w:hint="eastAsia" w:ascii="宋体" w:hAnsi="宋体" w:eastAsia="宋体" w:cs="宋体"/>
          <w:color w:val="auto"/>
        </w:rPr>
      </w:pPr>
    </w:p>
    <w:p w14:paraId="74EF7274">
      <w:pPr>
        <w:rPr>
          <w:rFonts w:hint="eastAsia" w:ascii="宋体" w:hAnsi="宋体" w:eastAsia="宋体" w:cs="宋体"/>
          <w:color w:val="auto"/>
        </w:rPr>
      </w:pPr>
    </w:p>
    <w:p w14:paraId="0E056B22">
      <w:pPr>
        <w:rPr>
          <w:rFonts w:hint="eastAsia" w:ascii="宋体" w:hAnsi="宋体" w:eastAsia="宋体" w:cs="宋体"/>
          <w:color w:val="auto"/>
        </w:rPr>
      </w:pPr>
    </w:p>
    <w:p w14:paraId="644B6F4D">
      <w:pPr>
        <w:rPr>
          <w:rFonts w:hint="eastAsia" w:ascii="宋体" w:hAnsi="宋体" w:eastAsia="宋体" w:cs="宋体"/>
          <w:color w:val="auto"/>
        </w:rPr>
      </w:pPr>
    </w:p>
    <w:p w14:paraId="0100F5D5">
      <w:pPr>
        <w:rPr>
          <w:rFonts w:hint="eastAsia" w:ascii="宋体" w:hAnsi="宋体" w:eastAsia="宋体" w:cs="宋体"/>
          <w:color w:val="auto"/>
        </w:rPr>
      </w:pPr>
    </w:p>
    <w:p w14:paraId="23A9867A">
      <w:pPr>
        <w:rPr>
          <w:rFonts w:hint="eastAsia" w:ascii="宋体" w:hAnsi="宋体" w:eastAsia="宋体" w:cs="宋体"/>
          <w:color w:val="auto"/>
        </w:rPr>
      </w:pPr>
    </w:p>
    <w:p w14:paraId="14C67C6C">
      <w:pPr>
        <w:rPr>
          <w:rFonts w:hint="eastAsia" w:ascii="宋体" w:hAnsi="宋体" w:eastAsia="宋体" w:cs="宋体"/>
          <w:color w:val="auto"/>
        </w:rPr>
      </w:pPr>
    </w:p>
    <w:p w14:paraId="1C1BD0BE">
      <w:pPr>
        <w:rPr>
          <w:rFonts w:hint="eastAsia" w:ascii="宋体" w:hAnsi="宋体" w:eastAsia="宋体" w:cs="宋体"/>
          <w:color w:val="auto"/>
        </w:rPr>
      </w:pPr>
    </w:p>
    <w:p w14:paraId="1B77EE0B">
      <w:pPr>
        <w:rPr>
          <w:rFonts w:hint="eastAsia" w:ascii="宋体" w:hAnsi="宋体" w:eastAsia="宋体" w:cs="宋体"/>
          <w:color w:val="auto"/>
        </w:rPr>
      </w:pPr>
    </w:p>
    <w:p w14:paraId="18DCF815">
      <w:pPr>
        <w:rPr>
          <w:rFonts w:hint="eastAsia" w:ascii="宋体" w:hAnsi="宋体" w:eastAsia="宋体" w:cs="宋体"/>
        </w:rPr>
      </w:pPr>
    </w:p>
    <w:p w14:paraId="436BB0BF">
      <w:pPr>
        <w:rPr>
          <w:rFonts w:hint="eastAsia" w:ascii="宋体" w:hAnsi="宋体" w:eastAsia="宋体" w:cs="宋体"/>
        </w:rPr>
      </w:pPr>
    </w:p>
    <w:p w14:paraId="59AF0E7F">
      <w:pPr>
        <w:rPr>
          <w:rFonts w:hint="eastAsia" w:ascii="宋体" w:hAnsi="宋体" w:eastAsia="宋体" w:cs="宋体"/>
        </w:rPr>
      </w:pPr>
    </w:p>
    <w:p w14:paraId="493B07A4">
      <w:pPr>
        <w:rPr>
          <w:rFonts w:hint="eastAsia" w:ascii="宋体" w:hAnsi="宋体" w:eastAsia="宋体" w:cs="宋体"/>
        </w:rPr>
      </w:pPr>
    </w:p>
    <w:p w14:paraId="33F88684">
      <w:pPr>
        <w:rPr>
          <w:rFonts w:hint="eastAsia" w:ascii="宋体" w:hAnsi="宋体" w:eastAsia="宋体" w:cs="宋体"/>
        </w:rPr>
      </w:pPr>
    </w:p>
    <w:p w14:paraId="21A8B33C">
      <w:pPr>
        <w:rPr>
          <w:rFonts w:hint="eastAsia" w:ascii="宋体" w:hAnsi="宋体" w:eastAsia="宋体" w:cs="宋体"/>
        </w:rPr>
      </w:pPr>
    </w:p>
    <w:p w14:paraId="038F0315">
      <w:pPr>
        <w:rPr>
          <w:rFonts w:hint="eastAsia" w:ascii="宋体" w:hAnsi="宋体" w:eastAsia="宋体" w:cs="宋体"/>
        </w:rPr>
      </w:pPr>
    </w:p>
    <w:p w14:paraId="17688ED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37" w:name="_Toc11234"/>
      <w:r>
        <w:rPr>
          <w:rFonts w:hint="eastAsia" w:ascii="宋体" w:hAnsi="宋体" w:eastAsia="宋体" w:cs="宋体"/>
          <w:b/>
          <w:bCs/>
          <w:color w:val="auto"/>
          <w:spacing w:val="-11"/>
          <w:sz w:val="24"/>
          <w:szCs w:val="24"/>
          <w:highlight w:val="none"/>
          <w:lang w:val="en-US" w:eastAsia="zh-CN"/>
        </w:rPr>
        <w:t>格式十一   建造师查询页（有效期+建造师签字）</w:t>
      </w:r>
      <w:bookmarkEnd w:id="337"/>
    </w:p>
    <w:p w14:paraId="7D361745">
      <w:pPr>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drawing>
          <wp:inline distT="0" distB="0" distL="114300" distR="114300">
            <wp:extent cx="6073775" cy="8491220"/>
            <wp:effectExtent l="0" t="0" r="3175" b="5080"/>
            <wp:docPr id="4" name="图片 1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3" descr="b7c3fa9a6b84aa75afaa6419d149817"/>
                    <pic:cNvPicPr>
                      <a:picLocks noChangeAspect="1"/>
                    </pic:cNvPicPr>
                  </pic:nvPicPr>
                  <pic:blipFill>
                    <a:blip r:embed="rId32"/>
                    <a:stretch>
                      <a:fillRect/>
                    </a:stretch>
                  </pic:blipFill>
                  <pic:spPr>
                    <a:xfrm>
                      <a:off x="0" y="0"/>
                      <a:ext cx="6073775" cy="8491220"/>
                    </a:xfrm>
                    <a:prstGeom prst="rect">
                      <a:avLst/>
                    </a:prstGeom>
                    <a:noFill/>
                    <a:ln>
                      <a:noFill/>
                    </a:ln>
                  </pic:spPr>
                </pic:pic>
              </a:graphicData>
            </a:graphic>
          </wp:inline>
        </w:drawing>
      </w:r>
    </w:p>
    <w:p w14:paraId="5233E5D8">
      <w:pPr>
        <w:rPr>
          <w:rFonts w:hint="eastAsia" w:ascii="宋体" w:hAnsi="宋体" w:eastAsia="宋体" w:cs="宋体"/>
          <w:snapToGrid w:val="0"/>
          <w:color w:val="auto"/>
          <w:sz w:val="21"/>
          <w:highlight w:val="none"/>
        </w:rPr>
      </w:pPr>
    </w:p>
    <w:p w14:paraId="5FBC33E1">
      <w:pPr>
        <w:rPr>
          <w:rFonts w:hint="eastAsia" w:ascii="宋体" w:hAnsi="宋体" w:eastAsia="宋体" w:cs="宋体"/>
          <w:snapToGrid w:val="0"/>
          <w:color w:val="auto"/>
          <w:sz w:val="21"/>
          <w:highlight w:val="none"/>
        </w:rPr>
      </w:pPr>
    </w:p>
    <w:p w14:paraId="3B43CCC4">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88380" cy="6311265"/>
            <wp:effectExtent l="0" t="0" r="7620" b="13335"/>
            <wp:docPr id="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4"/>
                    <pic:cNvPicPr>
                      <a:picLocks noChangeAspect="1"/>
                    </pic:cNvPicPr>
                  </pic:nvPicPr>
                  <pic:blipFill>
                    <a:blip r:embed="rId33"/>
                    <a:stretch>
                      <a:fillRect/>
                    </a:stretch>
                  </pic:blipFill>
                  <pic:spPr>
                    <a:xfrm>
                      <a:off x="0" y="0"/>
                      <a:ext cx="6088380" cy="6311265"/>
                    </a:xfrm>
                    <a:prstGeom prst="rect">
                      <a:avLst/>
                    </a:prstGeom>
                    <a:noFill/>
                    <a:ln>
                      <a:noFill/>
                    </a:ln>
                  </pic:spPr>
                </pic:pic>
              </a:graphicData>
            </a:graphic>
          </wp:inline>
        </w:drawing>
      </w:r>
    </w:p>
    <w:p w14:paraId="50E74E37">
      <w:pPr>
        <w:rPr>
          <w:rFonts w:hint="eastAsia" w:ascii="宋体" w:hAnsi="宋体" w:eastAsia="宋体" w:cs="宋体"/>
          <w:color w:val="auto"/>
          <w:highlight w:val="none"/>
        </w:rPr>
      </w:pPr>
    </w:p>
    <w:p w14:paraId="24137043">
      <w:pPr>
        <w:rPr>
          <w:rFonts w:hint="eastAsia" w:ascii="宋体" w:hAnsi="宋体" w:eastAsia="宋体" w:cs="宋体"/>
        </w:rPr>
      </w:pPr>
    </w:p>
    <w:p w14:paraId="77AA41E2">
      <w:pPr>
        <w:rPr>
          <w:rFonts w:hint="eastAsia" w:ascii="宋体" w:hAnsi="宋体" w:eastAsia="宋体" w:cs="宋体"/>
        </w:rPr>
      </w:pPr>
    </w:p>
    <w:p w14:paraId="2CBC0C8B">
      <w:pPr>
        <w:rPr>
          <w:rFonts w:hint="eastAsia" w:ascii="宋体" w:hAnsi="宋体" w:eastAsia="宋体" w:cs="宋体"/>
        </w:rPr>
      </w:pPr>
    </w:p>
    <w:p w14:paraId="44EC900C">
      <w:pPr>
        <w:rPr>
          <w:rFonts w:hint="eastAsia" w:ascii="宋体" w:hAnsi="宋体" w:eastAsia="宋体" w:cs="宋体"/>
        </w:rPr>
      </w:pPr>
    </w:p>
    <w:p w14:paraId="00EC1A2A">
      <w:pPr>
        <w:rPr>
          <w:rFonts w:hint="eastAsia" w:ascii="宋体" w:hAnsi="宋体" w:eastAsia="宋体" w:cs="宋体"/>
        </w:rPr>
      </w:pPr>
    </w:p>
    <w:p w14:paraId="2F8241EE">
      <w:pPr>
        <w:rPr>
          <w:rFonts w:hint="eastAsia" w:ascii="宋体" w:hAnsi="宋体" w:eastAsia="宋体" w:cs="宋体"/>
        </w:rPr>
      </w:pPr>
    </w:p>
    <w:p w14:paraId="798C45DD">
      <w:pPr>
        <w:rPr>
          <w:rFonts w:hint="eastAsia" w:ascii="宋体" w:hAnsi="宋体" w:eastAsia="宋体" w:cs="宋体"/>
        </w:rPr>
      </w:pPr>
    </w:p>
    <w:p w14:paraId="36C9709B">
      <w:pPr>
        <w:rPr>
          <w:rFonts w:hint="eastAsia" w:ascii="宋体" w:hAnsi="宋体" w:eastAsia="宋体" w:cs="宋体"/>
        </w:rPr>
      </w:pPr>
    </w:p>
    <w:p w14:paraId="4B6CCB7E">
      <w:pPr>
        <w:rPr>
          <w:rFonts w:hint="eastAsia" w:ascii="宋体" w:hAnsi="宋体" w:eastAsia="宋体" w:cs="宋体"/>
        </w:rPr>
      </w:pPr>
    </w:p>
    <w:p w14:paraId="07F606DA">
      <w:pPr>
        <w:rPr>
          <w:rFonts w:hint="eastAsia" w:ascii="宋体" w:hAnsi="宋体" w:eastAsia="宋体" w:cs="宋体"/>
        </w:rPr>
      </w:pPr>
    </w:p>
    <w:p w14:paraId="4AE815E4">
      <w:pPr>
        <w:rPr>
          <w:rFonts w:hint="eastAsia" w:ascii="宋体" w:hAnsi="宋体" w:eastAsia="宋体" w:cs="宋体"/>
        </w:rPr>
      </w:pPr>
    </w:p>
    <w:p w14:paraId="6FD2E8AF">
      <w:pPr>
        <w:rPr>
          <w:rFonts w:hint="eastAsia" w:ascii="宋体" w:hAnsi="宋体" w:eastAsia="宋体" w:cs="宋体"/>
        </w:rPr>
      </w:pPr>
    </w:p>
    <w:p w14:paraId="69D3EEE5">
      <w:pPr>
        <w:rPr>
          <w:rFonts w:hint="eastAsia" w:ascii="宋体" w:hAnsi="宋体" w:eastAsia="宋体" w:cs="宋体"/>
        </w:rPr>
      </w:pPr>
    </w:p>
    <w:p w14:paraId="7ECC2CAE">
      <w:pPr>
        <w:rPr>
          <w:rFonts w:hint="eastAsia" w:ascii="宋体" w:hAnsi="宋体" w:eastAsia="宋体" w:cs="宋体"/>
        </w:rPr>
      </w:pPr>
    </w:p>
    <w:p w14:paraId="566192B7">
      <w:pPr>
        <w:rPr>
          <w:rFonts w:hint="eastAsia" w:ascii="宋体" w:hAnsi="宋体" w:eastAsia="宋体" w:cs="宋体"/>
        </w:rPr>
      </w:pPr>
    </w:p>
    <w:p w14:paraId="184A419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38" w:name="_Toc16953"/>
      <w:bookmarkStart w:id="339" w:name="_Toc9813"/>
      <w:r>
        <w:rPr>
          <w:rFonts w:hint="eastAsia" w:ascii="宋体" w:hAnsi="宋体" w:eastAsia="宋体" w:cs="宋体"/>
          <w:b/>
          <w:bCs/>
          <w:color w:val="auto"/>
          <w:spacing w:val="-11"/>
          <w:sz w:val="24"/>
          <w:szCs w:val="24"/>
          <w:highlight w:val="none"/>
          <w:lang w:val="en-US" w:eastAsia="zh-CN"/>
        </w:rPr>
        <w:t>格式十二</w:t>
      </w:r>
      <w:bookmarkEnd w:id="338"/>
      <w:r>
        <w:rPr>
          <w:rFonts w:hint="eastAsia" w:ascii="宋体" w:hAnsi="宋体" w:eastAsia="宋体" w:cs="宋体"/>
          <w:b/>
          <w:bCs/>
          <w:color w:val="auto"/>
          <w:spacing w:val="-11"/>
          <w:sz w:val="24"/>
          <w:szCs w:val="24"/>
          <w:highlight w:val="none"/>
          <w:lang w:val="en-US" w:eastAsia="zh-CN"/>
        </w:rPr>
        <w:t xml:space="preserve">   危险性较大的分部分项工程清单及超过一定规模的危险性较大的分部分项工程清单</w:t>
      </w:r>
      <w:bookmarkEnd w:id="339"/>
    </w:p>
    <w:p w14:paraId="3C04293C">
      <w:pPr>
        <w:pStyle w:val="8"/>
        <w:spacing w:before="101" w:line="360" w:lineRule="auto"/>
        <w:ind w:left="3259" w:right="41" w:hanging="3213"/>
        <w:rPr>
          <w:rFonts w:hint="eastAsia" w:ascii="宋体" w:hAnsi="宋体" w:eastAsia="宋体" w:cs="宋体"/>
          <w:color w:val="auto"/>
          <w:sz w:val="28"/>
          <w:szCs w:val="28"/>
          <w:highlight w:val="none"/>
        </w:rPr>
      </w:pPr>
      <w:r>
        <w:rPr>
          <w:rFonts w:hint="eastAsia" w:ascii="宋体" w:hAnsi="宋体" w:eastAsia="宋体" w:cs="宋体"/>
          <w:b/>
          <w:bCs/>
          <w:color w:val="auto"/>
          <w:spacing w:val="7"/>
          <w:sz w:val="28"/>
          <w:szCs w:val="28"/>
          <w:highlight w:val="none"/>
        </w:rPr>
        <w:t>危险性较大的分部分项工程清单及超过一定规模的危险性较大的</w:t>
      </w:r>
      <w:r>
        <w:rPr>
          <w:rFonts w:hint="eastAsia" w:ascii="宋体" w:hAnsi="宋体" w:eastAsia="宋体" w:cs="宋体"/>
          <w:b/>
          <w:bCs/>
          <w:color w:val="auto"/>
          <w:spacing w:val="5"/>
          <w:sz w:val="28"/>
          <w:szCs w:val="28"/>
          <w:highlight w:val="none"/>
        </w:rPr>
        <w:t>分部分项工程清单</w:t>
      </w:r>
    </w:p>
    <w:p w14:paraId="0F06CFE4">
      <w:pPr>
        <w:pStyle w:val="8"/>
        <w:spacing w:before="6" w:line="360" w:lineRule="auto"/>
        <w:ind w:left="5" w:firstLine="492"/>
        <w:rPr>
          <w:rFonts w:hint="eastAsia" w:ascii="宋体" w:hAnsi="宋体" w:eastAsia="宋体" w:cs="宋体"/>
          <w:color w:val="auto"/>
          <w:highlight w:val="none"/>
        </w:rPr>
      </w:pPr>
      <w:r>
        <w:rPr>
          <w:rFonts w:hint="eastAsia" w:ascii="宋体" w:hAnsi="宋体" w:eastAsia="宋体" w:cs="宋体"/>
          <w:color w:val="auto"/>
          <w:spacing w:val="-1"/>
          <w:highlight w:val="none"/>
        </w:rPr>
        <w:t>1、根据中华人民共和国住房和城乡建设部令第37号《危险性较大的分部分项工程</w:t>
      </w:r>
      <w:r>
        <w:rPr>
          <w:rFonts w:hint="eastAsia" w:ascii="宋体" w:hAnsi="宋体" w:eastAsia="宋体" w:cs="宋体"/>
          <w:color w:val="auto"/>
          <w:spacing w:val="8"/>
          <w:highlight w:val="none"/>
        </w:rPr>
        <w:t xml:space="preserve"> </w:t>
      </w:r>
      <w:r>
        <w:rPr>
          <w:rFonts w:hint="eastAsia" w:ascii="宋体" w:hAnsi="宋体" w:eastAsia="宋体" w:cs="宋体"/>
          <w:color w:val="auto"/>
          <w:spacing w:val="-2"/>
          <w:highlight w:val="none"/>
        </w:rPr>
        <w:t>安全管理规定》（以下简称“37号文</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2"/>
          <w:highlight w:val="none"/>
        </w:rPr>
        <w:t>”</w:t>
      </w:r>
      <w:r>
        <w:rPr>
          <w:rFonts w:hint="eastAsia" w:ascii="宋体" w:hAnsi="宋体" w:eastAsia="宋体" w:cs="宋体"/>
          <w:color w:val="auto"/>
          <w:spacing w:val="-11"/>
          <w:highlight w:val="none"/>
        </w:rPr>
        <w:t>），</w:t>
      </w:r>
      <w:r>
        <w:rPr>
          <w:rFonts w:hint="eastAsia" w:ascii="宋体" w:hAnsi="宋体" w:eastAsia="宋体" w:cs="宋体"/>
          <w:color w:val="auto"/>
          <w:spacing w:val="-2"/>
          <w:highlight w:val="none"/>
        </w:rPr>
        <w:t>投标人在投标时须补充完善危大工程清单并</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明确相应的安全管理措施。</w:t>
      </w:r>
    </w:p>
    <w:p w14:paraId="66587309">
      <w:pPr>
        <w:pStyle w:val="8"/>
        <w:spacing w:before="208" w:line="360" w:lineRule="auto"/>
        <w:ind w:left="1" w:firstLine="481"/>
        <w:rPr>
          <w:rFonts w:hint="eastAsia" w:ascii="宋体" w:hAnsi="宋体" w:eastAsia="宋体" w:cs="宋体"/>
          <w:color w:val="auto"/>
          <w:highlight w:val="none"/>
        </w:rPr>
      </w:pPr>
      <w:r>
        <w:rPr>
          <w:rFonts w:hint="eastAsia" w:ascii="宋体" w:hAnsi="宋体" w:eastAsia="宋体" w:cs="宋体"/>
          <w:color w:val="auto"/>
          <w:spacing w:val="-2"/>
          <w:highlight w:val="none"/>
        </w:rPr>
        <w:t>2、招标人根据设计文件的要求及37号文、粤建规范〔2019〕2号文的规定列出“危</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2"/>
          <w:highlight w:val="none"/>
        </w:rPr>
        <w:t>险性较大的分部分项工程清单及超过一定规模的危</w:t>
      </w:r>
      <w:r>
        <w:rPr>
          <w:rFonts w:hint="eastAsia" w:ascii="宋体" w:hAnsi="宋体" w:eastAsia="宋体" w:cs="宋体"/>
          <w:color w:val="auto"/>
          <w:spacing w:val="-3"/>
          <w:highlight w:val="none"/>
        </w:rPr>
        <w:t>险性较大的分部分项工程清单</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”中与</w:t>
      </w:r>
      <w:r>
        <w:rPr>
          <w:rFonts w:hint="eastAsia" w:ascii="宋体" w:hAnsi="宋体" w:eastAsia="宋体" w:cs="宋体"/>
          <w:color w:val="auto"/>
          <w:highlight w:val="none"/>
        </w:rPr>
        <w:t xml:space="preserve"> </w:t>
      </w:r>
      <w:r>
        <w:rPr>
          <w:rFonts w:hint="eastAsia" w:ascii="宋体" w:hAnsi="宋体" w:eastAsia="宋体" w:cs="宋体"/>
          <w:color w:val="auto"/>
          <w:spacing w:val="-5"/>
          <w:highlight w:val="none"/>
        </w:rPr>
        <w:t>本招标项目相关的清单项，具体详见第5点“打</w:t>
      </w:r>
      <w:r>
        <w:rPr>
          <w:rFonts w:hint="eastAsia" w:ascii="宋体" w:hAnsi="宋体" w:eastAsia="宋体" w:cs="宋体"/>
          <w:color w:val="auto"/>
          <w:spacing w:val="-34"/>
          <w:highlight w:val="none"/>
        </w:rPr>
        <w:t xml:space="preserve"> </w:t>
      </w:r>
      <w:r>
        <w:rPr>
          <w:rFonts w:hint="eastAsia" w:ascii="宋体" w:hAnsi="宋体" w:eastAsia="宋体" w:cs="宋体"/>
          <w:color w:val="auto"/>
          <w:spacing w:val="-5"/>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5"/>
          <w:highlight w:val="none"/>
        </w:rPr>
        <w:t>”标识。</w:t>
      </w:r>
    </w:p>
    <w:p w14:paraId="688A95F4">
      <w:pPr>
        <w:pStyle w:val="8"/>
        <w:spacing w:before="208" w:line="360" w:lineRule="auto"/>
        <w:ind w:left="3" w:right="72" w:firstLine="488"/>
        <w:rPr>
          <w:rFonts w:hint="eastAsia" w:ascii="宋体" w:hAnsi="宋体" w:eastAsia="宋体" w:cs="宋体"/>
          <w:color w:val="auto"/>
          <w:highlight w:val="none"/>
        </w:rPr>
      </w:pPr>
      <w:r>
        <w:rPr>
          <w:rFonts w:hint="eastAsia" w:ascii="宋体" w:hAnsi="宋体" w:eastAsia="宋体" w:cs="宋体"/>
          <w:color w:val="auto"/>
          <w:spacing w:val="-3"/>
          <w:highlight w:val="none"/>
        </w:rPr>
        <w:t>（1）投标单位同意建设单位在清单中标识的该</w:t>
      </w:r>
      <w:r>
        <w:rPr>
          <w:rFonts w:hint="eastAsia" w:ascii="宋体" w:hAnsi="宋体" w:eastAsia="宋体" w:cs="宋体"/>
          <w:color w:val="auto"/>
          <w:spacing w:val="-4"/>
          <w:highlight w:val="none"/>
        </w:rPr>
        <w:t>项请在对应项打“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投标文件中提供相应的安全管理措施。</w:t>
      </w:r>
    </w:p>
    <w:p w14:paraId="10A3F36C">
      <w:pPr>
        <w:pStyle w:val="8"/>
        <w:spacing w:before="206" w:line="360" w:lineRule="auto"/>
        <w:ind w:left="2" w:right="72" w:firstLine="489"/>
        <w:rPr>
          <w:rFonts w:hint="eastAsia" w:ascii="宋体" w:hAnsi="宋体" w:eastAsia="宋体" w:cs="宋体"/>
          <w:color w:val="auto"/>
          <w:highlight w:val="none"/>
        </w:rPr>
      </w:pPr>
      <w:r>
        <w:rPr>
          <w:rFonts w:hint="eastAsia" w:ascii="宋体" w:hAnsi="宋体" w:eastAsia="宋体" w:cs="宋体"/>
          <w:color w:val="auto"/>
          <w:spacing w:val="-3"/>
          <w:highlight w:val="none"/>
        </w:rPr>
        <w:t>（2）投标单位对清单中认为需要补充的该项请</w:t>
      </w:r>
      <w:r>
        <w:rPr>
          <w:rFonts w:hint="eastAsia" w:ascii="宋体" w:hAnsi="宋体" w:eastAsia="宋体" w:cs="宋体"/>
          <w:color w:val="auto"/>
          <w:spacing w:val="-4"/>
          <w:highlight w:val="none"/>
        </w:rPr>
        <w:t>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”标识，并与投标</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文件中提供相应的安全管理措施。</w:t>
      </w:r>
    </w:p>
    <w:p w14:paraId="31E03A44">
      <w:pPr>
        <w:pStyle w:val="8"/>
        <w:spacing w:before="208" w:line="360" w:lineRule="auto"/>
        <w:ind w:right="72" w:firstLine="492"/>
        <w:rPr>
          <w:rFonts w:hint="eastAsia" w:ascii="宋体" w:hAnsi="宋体" w:eastAsia="宋体" w:cs="宋体"/>
          <w:color w:val="auto"/>
          <w:highlight w:val="none"/>
        </w:rPr>
      </w:pPr>
      <w:r>
        <w:rPr>
          <w:rFonts w:hint="eastAsia" w:ascii="宋体" w:hAnsi="宋体" w:eastAsia="宋体" w:cs="宋体"/>
          <w:color w:val="auto"/>
          <w:spacing w:val="-3"/>
          <w:highlight w:val="none"/>
        </w:rPr>
        <w:t>（3）投标单位不同意建设单位在清单中标识的该项请在对应项打“</w:t>
      </w:r>
      <w:r>
        <w:rPr>
          <w:rFonts w:hint="eastAsia" w:ascii="宋体" w:hAnsi="宋体" w:eastAsia="宋体" w:cs="宋体"/>
          <w:color w:val="auto"/>
          <w:spacing w:val="-66"/>
          <w:highlight w:val="none"/>
        </w:rPr>
        <w:t xml:space="preserve"> </w:t>
      </w:r>
      <w:r>
        <w:rPr>
          <w:rFonts w:hint="eastAsia" w:ascii="宋体" w:hAnsi="宋体" w:eastAsia="宋体" w:cs="宋体"/>
          <w:color w:val="auto"/>
          <w:spacing w:val="-3"/>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”标识，并</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在备注栏填上相关说明。</w:t>
      </w:r>
    </w:p>
    <w:p w14:paraId="4EFDC912">
      <w:pPr>
        <w:pStyle w:val="8"/>
        <w:spacing w:before="210" w:line="360" w:lineRule="auto"/>
        <w:ind w:firstLine="484"/>
        <w:jc w:val="both"/>
        <w:rPr>
          <w:rFonts w:hint="eastAsia" w:ascii="宋体" w:hAnsi="宋体" w:eastAsia="宋体" w:cs="宋体"/>
          <w:color w:val="auto"/>
          <w:highlight w:val="none"/>
        </w:rPr>
      </w:pPr>
      <w:r>
        <w:rPr>
          <w:rFonts w:hint="eastAsia" w:ascii="宋体" w:hAnsi="宋体" w:eastAsia="宋体" w:cs="宋体"/>
          <w:b/>
          <w:bCs/>
          <w:color w:val="auto"/>
          <w:spacing w:val="-4"/>
          <w:highlight w:val="none"/>
          <w:u w:val="single" w:color="auto"/>
        </w:rPr>
        <w:t>3、投标单位应当在投标时根据招标人提供的下述第5点清单，</w:t>
      </w:r>
      <w:r>
        <w:rPr>
          <w:rFonts w:hint="eastAsia" w:ascii="宋体" w:hAnsi="宋体" w:eastAsia="宋体" w:cs="宋体"/>
          <w:b/>
          <w:bCs/>
          <w:color w:val="auto"/>
          <w:spacing w:val="-5"/>
          <w:highlight w:val="none"/>
          <w:u w:val="single" w:color="auto"/>
        </w:rPr>
        <w:t>在投标施工组织中回</w:t>
      </w:r>
      <w:r>
        <w:rPr>
          <w:rFonts w:hint="eastAsia" w:ascii="宋体" w:hAnsi="宋体" w:eastAsia="宋体" w:cs="宋体"/>
          <w:b/>
          <w:bCs/>
          <w:color w:val="auto"/>
          <w:spacing w:val="-4"/>
          <w:highlight w:val="none"/>
          <w:u w:val="single" w:color="auto"/>
        </w:rPr>
        <w:t>应建设单位提供的危大工程清单，补充相应的安全管理措施。（为减轻标书编制</w:t>
      </w:r>
      <w:r>
        <w:rPr>
          <w:rFonts w:hint="eastAsia" w:ascii="宋体" w:hAnsi="宋体" w:eastAsia="宋体" w:cs="宋体"/>
          <w:b/>
          <w:bCs/>
          <w:color w:val="auto"/>
          <w:spacing w:val="-5"/>
          <w:highlight w:val="none"/>
          <w:u w:val="single" w:color="auto"/>
        </w:rPr>
        <w:t>的工作</w:t>
      </w:r>
      <w:r>
        <w:rPr>
          <w:rFonts w:hint="eastAsia" w:ascii="宋体" w:hAnsi="宋体" w:eastAsia="宋体" w:cs="宋体"/>
          <w:b/>
          <w:bCs/>
          <w:color w:val="auto"/>
          <w:spacing w:val="-2"/>
          <w:highlight w:val="none"/>
          <w:u w:val="single" w:color="auto"/>
        </w:rPr>
        <w:t>量，投标单位回应的危大工程清单该部分的页数应控制在3页内）</w:t>
      </w:r>
    </w:p>
    <w:p w14:paraId="06901094">
      <w:pPr>
        <w:pStyle w:val="8"/>
        <w:spacing w:before="37" w:line="360" w:lineRule="auto"/>
        <w:ind w:left="1" w:firstLine="478"/>
        <w:rPr>
          <w:rFonts w:hint="eastAsia" w:ascii="宋体" w:hAnsi="宋体" w:eastAsia="宋体" w:cs="宋体"/>
          <w:color w:val="auto"/>
          <w:highlight w:val="none"/>
        </w:rPr>
      </w:pPr>
      <w:r>
        <w:rPr>
          <w:rFonts w:hint="eastAsia" w:ascii="宋体" w:hAnsi="宋体" w:eastAsia="宋体" w:cs="宋体"/>
          <w:color w:val="auto"/>
          <w:highlight w:val="none"/>
        </w:rPr>
        <w:t>4、对于超过一定规模的危大工程，中标单位应当组织召开</w:t>
      </w:r>
      <w:r>
        <w:rPr>
          <w:rFonts w:hint="eastAsia" w:ascii="宋体" w:hAnsi="宋体" w:eastAsia="宋体" w:cs="宋体"/>
          <w:color w:val="auto"/>
          <w:spacing w:val="-1"/>
          <w:highlight w:val="none"/>
        </w:rPr>
        <w:t>专家论证会对专项施工</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方案进行论证。实行施工总承包的，由施工总承包单位组织召开专家论证会。专家论证</w:t>
      </w:r>
      <w:r>
        <w:rPr>
          <w:rFonts w:hint="eastAsia" w:ascii="宋体" w:hAnsi="宋体" w:eastAsia="宋体" w:cs="宋体"/>
          <w:color w:val="auto"/>
          <w:spacing w:val="16"/>
          <w:highlight w:val="none"/>
        </w:rPr>
        <w:t xml:space="preserve"> </w:t>
      </w:r>
      <w:r>
        <w:rPr>
          <w:rFonts w:hint="eastAsia" w:ascii="宋体" w:hAnsi="宋体" w:eastAsia="宋体" w:cs="宋体"/>
          <w:color w:val="auto"/>
          <w:spacing w:val="-1"/>
          <w:highlight w:val="none"/>
        </w:rPr>
        <w:t>前专项施工方案应当通过施工总承包单位审核和总监理工程师审查。</w:t>
      </w:r>
    </w:p>
    <w:p w14:paraId="3C5F3DD9">
      <w:pPr>
        <w:pStyle w:val="8"/>
        <w:spacing w:before="205" w:line="360" w:lineRule="auto"/>
        <w:ind w:firstLine="484"/>
        <w:rPr>
          <w:rFonts w:hint="eastAsia" w:ascii="宋体" w:hAnsi="宋体" w:eastAsia="宋体" w:cs="宋体"/>
          <w:color w:val="auto"/>
          <w:highlight w:val="none"/>
        </w:rPr>
      </w:pPr>
      <w:r>
        <w:rPr>
          <w:rFonts w:hint="eastAsia" w:ascii="宋体" w:hAnsi="宋体" w:eastAsia="宋体" w:cs="宋体"/>
          <w:color w:val="auto"/>
          <w:spacing w:val="2"/>
          <w:highlight w:val="none"/>
        </w:rPr>
        <w:t>5、危险性较大的分部分项工程清单及超过一</w:t>
      </w:r>
      <w:r>
        <w:rPr>
          <w:rFonts w:hint="eastAsia" w:ascii="宋体" w:hAnsi="宋体" w:eastAsia="宋体" w:cs="宋体"/>
          <w:color w:val="auto"/>
          <w:spacing w:val="1"/>
          <w:highlight w:val="none"/>
        </w:rPr>
        <w:t>定规模的危险性较大的分部分项工程</w:t>
      </w:r>
      <w:r>
        <w:rPr>
          <w:rFonts w:hint="eastAsia" w:ascii="宋体" w:hAnsi="宋体" w:eastAsia="宋体" w:cs="宋体"/>
          <w:color w:val="auto"/>
          <w:spacing w:val="-4"/>
          <w:highlight w:val="none"/>
        </w:rPr>
        <w:t>清单：</w:t>
      </w:r>
    </w:p>
    <w:p w14:paraId="4D834F10">
      <w:pPr>
        <w:spacing w:line="360" w:lineRule="auto"/>
        <w:rPr>
          <w:rFonts w:hint="eastAsia" w:ascii="宋体" w:hAnsi="宋体" w:eastAsia="宋体" w:cs="宋体"/>
          <w:color w:val="auto"/>
          <w:highlight w:val="none"/>
        </w:rPr>
      </w:pPr>
    </w:p>
    <w:p w14:paraId="673C810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snapToGrid w:val="0"/>
          <w:color w:val="auto"/>
          <w:kern w:val="0"/>
          <w:sz w:val="24"/>
          <w:szCs w:val="24"/>
          <w:highlight w:val="none"/>
          <w:u w:val="single"/>
          <w:lang w:val="en-US" w:eastAsia="zh-CN"/>
        </w:rPr>
      </w:pPr>
      <w:r>
        <w:rPr>
          <w:rFonts w:hint="eastAsia" w:ascii="宋体" w:hAnsi="宋体" w:eastAsia="宋体" w:cs="宋体"/>
          <w:b/>
          <w:bCs w:val="0"/>
          <w:snapToGrid w:val="0"/>
          <w:color w:val="auto"/>
          <w:kern w:val="0"/>
          <w:sz w:val="24"/>
          <w:szCs w:val="24"/>
          <w:highlight w:val="none"/>
          <w:u w:val="single"/>
          <w:lang w:val="en-US" w:eastAsia="zh-CN"/>
        </w:rPr>
        <w:t>本工程招标控制价、招标工程量清单及危大工程量清单（若有），在开标前15天另行发布于相关网站，各投标人可在全国公共资源交易平台 （广东省 · 韶关市）（https://ygp.gdzwfw.gov.cn/ggzy-portal/#/440200/index）等网站上自行下载。</w:t>
      </w:r>
    </w:p>
    <w:p w14:paraId="29C516F6">
      <w:pPr>
        <w:rPr>
          <w:rFonts w:hint="eastAsia" w:ascii="宋体" w:hAnsi="宋体" w:eastAsia="宋体" w:cs="宋体"/>
          <w:lang w:val="en-US" w:eastAsia="zh-CN"/>
        </w:rPr>
      </w:pPr>
    </w:p>
    <w:p w14:paraId="7F8521A1">
      <w:pPr>
        <w:rPr>
          <w:rFonts w:hint="eastAsia" w:ascii="宋体" w:hAnsi="宋体" w:eastAsia="宋体" w:cs="宋体"/>
          <w:lang w:val="en-US" w:eastAsia="zh-CN"/>
        </w:rPr>
      </w:pPr>
    </w:p>
    <w:p w14:paraId="58A8B20C">
      <w:pPr>
        <w:rPr>
          <w:rFonts w:hint="eastAsia" w:ascii="宋体" w:hAnsi="宋体" w:eastAsia="宋体" w:cs="宋体"/>
          <w:lang w:val="en-US" w:eastAsia="zh-CN"/>
        </w:rPr>
      </w:pPr>
    </w:p>
    <w:p w14:paraId="4E773BE7">
      <w:pPr>
        <w:rPr>
          <w:rFonts w:hint="eastAsia" w:ascii="宋体" w:hAnsi="宋体" w:eastAsia="宋体" w:cs="宋体"/>
          <w:lang w:val="en-US" w:eastAsia="zh-CN"/>
        </w:rPr>
      </w:pPr>
    </w:p>
    <w:p w14:paraId="28E4F02E">
      <w:pPr>
        <w:rPr>
          <w:rFonts w:hint="eastAsia" w:ascii="宋体" w:hAnsi="宋体" w:eastAsia="宋体" w:cs="宋体"/>
          <w:lang w:val="en-US" w:eastAsia="zh-CN"/>
        </w:rPr>
      </w:pPr>
    </w:p>
    <w:p w14:paraId="5D27FC03">
      <w:pPr>
        <w:rPr>
          <w:rFonts w:hint="eastAsia" w:ascii="宋体" w:hAnsi="宋体" w:eastAsia="宋体" w:cs="宋体"/>
          <w:lang w:val="en-US" w:eastAsia="zh-CN"/>
        </w:rPr>
      </w:pPr>
    </w:p>
    <w:p w14:paraId="123DB22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0" w:name="_Toc13446"/>
      <w:bookmarkStart w:id="341" w:name="_Toc6639"/>
      <w:bookmarkStart w:id="342" w:name="_Toc25639"/>
      <w:r>
        <w:rPr>
          <w:rFonts w:hint="eastAsia" w:ascii="宋体" w:hAnsi="宋体" w:eastAsia="宋体" w:cs="宋体"/>
          <w:b/>
          <w:bCs/>
          <w:color w:val="auto"/>
          <w:spacing w:val="-11"/>
          <w:sz w:val="24"/>
          <w:szCs w:val="24"/>
          <w:highlight w:val="none"/>
          <w:lang w:val="en-US" w:eastAsia="zh-CN"/>
        </w:rPr>
        <w:t>格式十三</w:t>
      </w:r>
      <w:bookmarkEnd w:id="340"/>
      <w:bookmarkEnd w:id="341"/>
      <w:r>
        <w:rPr>
          <w:rFonts w:hint="eastAsia" w:ascii="宋体" w:hAnsi="宋体" w:eastAsia="宋体" w:cs="宋体"/>
          <w:b/>
          <w:bCs/>
          <w:color w:val="auto"/>
          <w:spacing w:val="-11"/>
          <w:sz w:val="24"/>
          <w:szCs w:val="24"/>
          <w:highlight w:val="none"/>
          <w:lang w:val="en-US" w:eastAsia="zh-CN"/>
        </w:rPr>
        <w:t xml:space="preserve">   投标保证金信用承诺函</w:t>
      </w:r>
      <w:bookmarkEnd w:id="342"/>
    </w:p>
    <w:p w14:paraId="0A711391">
      <w:pPr>
        <w:pStyle w:val="8"/>
        <w:spacing w:before="140" w:line="360" w:lineRule="auto"/>
        <w:ind w:left="2338"/>
        <w:rPr>
          <w:rFonts w:hint="eastAsia" w:ascii="宋体" w:hAnsi="宋体" w:eastAsia="宋体" w:cs="宋体"/>
          <w:color w:val="auto"/>
          <w:sz w:val="36"/>
          <w:szCs w:val="36"/>
          <w:highlight w:val="none"/>
        </w:rPr>
      </w:pPr>
      <w:r>
        <w:rPr>
          <w:rFonts w:hint="eastAsia" w:ascii="宋体" w:hAnsi="宋体" w:eastAsia="宋体" w:cs="宋体"/>
          <w:b/>
          <w:bCs/>
          <w:color w:val="auto"/>
          <w:spacing w:val="4"/>
          <w:position w:val="3"/>
          <w:sz w:val="36"/>
          <w:szCs w:val="36"/>
          <w:highlight w:val="none"/>
        </w:rPr>
        <w:t>投标保证金信用承诺函</w:t>
      </w:r>
    </w:p>
    <w:p w14:paraId="325EB536">
      <w:pPr>
        <w:spacing w:line="360" w:lineRule="auto"/>
        <w:rPr>
          <w:rFonts w:hint="eastAsia" w:ascii="宋体" w:hAnsi="宋体" w:eastAsia="宋体" w:cs="宋体"/>
          <w:color w:val="auto"/>
          <w:sz w:val="21"/>
          <w:highlight w:val="none"/>
        </w:rPr>
      </w:pPr>
    </w:p>
    <w:p w14:paraId="32ED0890">
      <w:pPr>
        <w:pStyle w:val="8"/>
        <w:spacing w:before="101" w:line="360" w:lineRule="auto"/>
        <w:ind w:firstLine="450" w:firstLineChars="200"/>
        <w:jc w:val="both"/>
        <w:rPr>
          <w:rFonts w:hint="eastAsia" w:ascii="宋体" w:hAnsi="宋体" w:eastAsia="宋体" w:cs="宋体"/>
          <w:color w:val="auto"/>
          <w:highlight w:val="none"/>
        </w:rPr>
      </w:pPr>
      <w:r>
        <w:rPr>
          <w:rFonts w:hint="eastAsia" w:ascii="宋体" w:hAnsi="宋体" w:eastAsia="宋体" w:cs="宋体"/>
          <w:b/>
          <w:bCs/>
          <w:color w:val="auto"/>
          <w:spacing w:val="7"/>
          <w:highlight w:val="none"/>
        </w:rPr>
        <w:t>一、</w:t>
      </w:r>
      <w:r>
        <w:rPr>
          <w:rFonts w:hint="eastAsia" w:ascii="宋体" w:hAnsi="宋体" w:eastAsia="宋体" w:cs="宋体"/>
          <w:color w:val="auto"/>
          <w:spacing w:val="7"/>
          <w:highlight w:val="none"/>
        </w:rPr>
        <w:t>我单位参加</w:t>
      </w:r>
      <w:r>
        <w:rPr>
          <w:rFonts w:hint="eastAsia" w:ascii="宋体" w:hAnsi="宋体" w:eastAsia="宋体" w:cs="宋体"/>
          <w:color w:val="auto"/>
          <w:spacing w:val="7"/>
          <w:highlight w:val="none"/>
          <w:u w:val="single" w:color="auto"/>
        </w:rPr>
        <w:t xml:space="preserve">  （工程项目名称）  </w:t>
      </w:r>
      <w:r>
        <w:rPr>
          <w:rFonts w:hint="eastAsia" w:ascii="宋体" w:hAnsi="宋体" w:eastAsia="宋体" w:cs="宋体"/>
          <w:color w:val="auto"/>
          <w:spacing w:val="-116"/>
          <w:highlight w:val="none"/>
        </w:rPr>
        <w:t xml:space="preserve"> </w:t>
      </w:r>
      <w:r>
        <w:rPr>
          <w:rFonts w:hint="eastAsia" w:ascii="宋体" w:hAnsi="宋体" w:eastAsia="宋体" w:cs="宋体"/>
          <w:color w:val="auto"/>
          <w:spacing w:val="7"/>
          <w:highlight w:val="none"/>
        </w:rPr>
        <w:t>的投标活动，</w:t>
      </w:r>
      <w:r>
        <w:rPr>
          <w:rFonts w:hint="eastAsia" w:ascii="宋体" w:hAnsi="宋体" w:eastAsia="宋体" w:cs="宋体"/>
          <w:color w:val="auto"/>
          <w:spacing w:val="6"/>
          <w:highlight w:val="none"/>
        </w:rPr>
        <w:t>现承</w:t>
      </w:r>
      <w:r>
        <w:rPr>
          <w:rFonts w:hint="eastAsia" w:ascii="宋体" w:hAnsi="宋体" w:eastAsia="宋体" w:cs="宋体"/>
          <w:color w:val="auto"/>
          <w:spacing w:val="9"/>
          <w:highlight w:val="none"/>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ascii="宋体" w:hAnsi="宋体" w:eastAsia="宋体" w:cs="宋体"/>
          <w:color w:val="auto"/>
          <w:spacing w:val="7"/>
          <w:highlight w:val="none"/>
        </w:rPr>
        <w:t>招标文件规定的投标保证金</w:t>
      </w:r>
      <w:r>
        <w:rPr>
          <w:rFonts w:hint="eastAsia" w:ascii="宋体" w:hAnsi="宋体" w:eastAsia="宋体" w:cs="宋体"/>
          <w:color w:val="auto"/>
          <w:spacing w:val="-153"/>
          <w:highlight w:val="none"/>
        </w:rPr>
        <w:t xml:space="preserve">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38"/>
          <w:highlight w:val="none"/>
        </w:rPr>
        <w:t xml:space="preserve"> </w:t>
      </w:r>
      <w:r>
        <w:rPr>
          <w:rFonts w:hint="eastAsia" w:ascii="宋体" w:hAnsi="宋体" w:eastAsia="宋体" w:cs="宋体"/>
          <w:color w:val="auto"/>
          <w:spacing w:val="7"/>
          <w:highlight w:val="none"/>
        </w:rPr>
        <w:t>元。</w:t>
      </w:r>
    </w:p>
    <w:p w14:paraId="5B8BD4E7">
      <w:pPr>
        <w:pStyle w:val="8"/>
        <w:spacing w:before="48" w:line="360" w:lineRule="auto"/>
        <w:ind w:firstLine="456" w:firstLineChars="200"/>
        <w:jc w:val="both"/>
        <w:rPr>
          <w:rFonts w:hint="eastAsia" w:ascii="宋体" w:hAnsi="宋体" w:eastAsia="宋体" w:cs="宋体"/>
          <w:color w:val="auto"/>
          <w:highlight w:val="none"/>
        </w:rPr>
      </w:pPr>
      <w:r>
        <w:rPr>
          <w:rFonts w:hint="eastAsia" w:ascii="宋体" w:hAnsi="宋体" w:eastAsia="宋体" w:cs="宋体"/>
          <w:color w:val="auto"/>
          <w:spacing w:val="9"/>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5"/>
          <w:highlight w:val="none"/>
        </w:rPr>
        <w:t>台公布的信用等级为</w:t>
      </w:r>
      <w:r>
        <w:rPr>
          <w:rFonts w:hint="eastAsia" w:ascii="宋体" w:hAnsi="宋体" w:eastAsia="宋体" w:cs="宋体"/>
          <w:color w:val="auto"/>
          <w:spacing w:val="-62"/>
          <w:highlight w:val="none"/>
        </w:rPr>
        <w:t xml:space="preserve"> </w:t>
      </w:r>
      <w:r>
        <w:rPr>
          <w:rFonts w:hint="eastAsia" w:ascii="宋体" w:hAnsi="宋体" w:eastAsia="宋体" w:cs="宋体"/>
          <w:color w:val="auto"/>
          <w:spacing w:val="5"/>
          <w:highlight w:val="none"/>
        </w:rPr>
        <w:t>B</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级、C</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级、D</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级的企业。</w:t>
      </w:r>
    </w:p>
    <w:p w14:paraId="507C7C48">
      <w:pPr>
        <w:pStyle w:val="8"/>
        <w:spacing w:before="52" w:line="360" w:lineRule="auto"/>
        <w:ind w:left="6" w:right="2" w:firstLine="638"/>
        <w:rPr>
          <w:rFonts w:hint="eastAsia" w:ascii="宋体" w:hAnsi="宋体" w:eastAsia="宋体" w:cs="宋体"/>
          <w:color w:val="auto"/>
          <w:highlight w:val="none"/>
        </w:rPr>
      </w:pPr>
      <w:r>
        <w:rPr>
          <w:rFonts w:hint="eastAsia" w:ascii="宋体" w:hAnsi="宋体" w:eastAsia="宋体" w:cs="宋体"/>
          <w:color w:val="auto"/>
          <w:spacing w:val="9"/>
          <w:highlight w:val="none"/>
        </w:rPr>
        <w:t>本企业对以上承诺和声明负责。如有虚假，愿接受行政主管</w:t>
      </w:r>
      <w:r>
        <w:rPr>
          <w:rFonts w:hint="eastAsia" w:ascii="宋体" w:hAnsi="宋体" w:eastAsia="宋体" w:cs="宋体"/>
          <w:color w:val="auto"/>
          <w:spacing w:val="8"/>
          <w:highlight w:val="none"/>
        </w:rPr>
        <w:t>部门作出的处罚，并承担以下后果：</w:t>
      </w:r>
    </w:p>
    <w:p w14:paraId="06227EEC">
      <w:pPr>
        <w:pStyle w:val="8"/>
        <w:spacing w:before="48"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（一）取消本单位在本项目中的投标资格或中标资格；</w:t>
      </w:r>
    </w:p>
    <w:p w14:paraId="3217AACC">
      <w:pPr>
        <w:pStyle w:val="8"/>
        <w:spacing w:before="64"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（二）将本单位不良行为纳入信用信息管理系统；</w:t>
      </w:r>
    </w:p>
    <w:p w14:paraId="4FD92377">
      <w:pPr>
        <w:pStyle w:val="8"/>
        <w:spacing w:before="60" w:line="360" w:lineRule="auto"/>
        <w:ind w:left="41" w:right="2" w:firstLine="615"/>
        <w:rPr>
          <w:rFonts w:hint="eastAsia" w:ascii="宋体" w:hAnsi="宋体" w:eastAsia="宋体" w:cs="宋体"/>
          <w:color w:val="auto"/>
          <w:highlight w:val="none"/>
        </w:rPr>
      </w:pPr>
      <w:r>
        <w:rPr>
          <w:rFonts w:hint="eastAsia" w:ascii="宋体" w:hAnsi="宋体" w:eastAsia="宋体" w:cs="宋体"/>
          <w:color w:val="auto"/>
          <w:spacing w:val="9"/>
          <w:highlight w:val="none"/>
        </w:rPr>
        <w:t>（三）主动在产生不良行为所在的各县（市、区）行</w:t>
      </w:r>
      <w:r>
        <w:rPr>
          <w:rFonts w:hint="eastAsia" w:ascii="宋体" w:hAnsi="宋体" w:eastAsia="宋体" w:cs="宋体"/>
          <w:color w:val="auto"/>
          <w:spacing w:val="8"/>
          <w:highlight w:val="none"/>
        </w:rPr>
        <w:t>政区域</w:t>
      </w:r>
      <w:r>
        <w:rPr>
          <w:rFonts w:hint="eastAsia" w:ascii="宋体" w:hAnsi="宋体" w:eastAsia="宋体" w:cs="宋体"/>
          <w:color w:val="auto"/>
          <w:spacing w:val="6"/>
          <w:highlight w:val="none"/>
        </w:rPr>
        <w:t>内不参加房建市政工程项目的投标活动一年；</w:t>
      </w:r>
    </w:p>
    <w:p w14:paraId="2F7D485E">
      <w:pPr>
        <w:pStyle w:val="8"/>
        <w:spacing w:before="60" w:line="360" w:lineRule="auto"/>
        <w:ind w:left="41" w:right="2" w:firstLine="615"/>
        <w:rPr>
          <w:rFonts w:hint="eastAsia" w:ascii="宋体" w:hAnsi="宋体" w:eastAsia="宋体" w:cs="宋体"/>
          <w:color w:val="auto"/>
          <w:spacing w:val="9"/>
          <w:highlight w:val="none"/>
        </w:rPr>
      </w:pPr>
      <w:bookmarkStart w:id="343" w:name="_Toc30964"/>
      <w:r>
        <w:rPr>
          <w:rFonts w:hint="eastAsia" w:ascii="宋体" w:hAnsi="宋体" w:eastAsia="宋体" w:cs="宋体"/>
          <w:color w:val="auto"/>
          <w:spacing w:val="9"/>
          <w:highlight w:val="none"/>
        </w:rPr>
        <w:t>（四）应付的赔偿责任和相应法律责任。</w:t>
      </w:r>
      <w:bookmarkEnd w:id="343"/>
    </w:p>
    <w:p w14:paraId="2719E688">
      <w:pPr>
        <w:spacing w:line="360" w:lineRule="auto"/>
        <w:rPr>
          <w:rFonts w:hint="eastAsia" w:ascii="宋体" w:hAnsi="宋体" w:eastAsia="宋体" w:cs="宋体"/>
          <w:color w:val="auto"/>
          <w:sz w:val="21"/>
          <w:highlight w:val="none"/>
        </w:rPr>
      </w:pPr>
    </w:p>
    <w:p w14:paraId="1679D32F">
      <w:pPr>
        <w:pStyle w:val="8"/>
        <w:spacing w:before="101" w:line="360" w:lineRule="auto"/>
        <w:ind w:left="845"/>
        <w:rPr>
          <w:rFonts w:hint="eastAsia" w:ascii="宋体" w:hAnsi="宋体" w:eastAsia="宋体" w:cs="宋体"/>
          <w:color w:val="auto"/>
          <w:sz w:val="21"/>
          <w:highlight w:val="none"/>
        </w:rPr>
      </w:pPr>
      <w:r>
        <w:rPr>
          <w:rFonts w:hint="eastAsia" w:ascii="宋体" w:hAnsi="宋体" w:eastAsia="宋体" w:cs="宋体"/>
          <w:color w:val="auto"/>
          <w:spacing w:val="7"/>
          <w:highlight w:val="none"/>
        </w:rPr>
        <w:t>单位名称（公章</w:t>
      </w:r>
      <w:r>
        <w:rPr>
          <w:rFonts w:hint="eastAsia" w:ascii="宋体" w:hAnsi="宋体" w:eastAsia="宋体" w:cs="宋体"/>
          <w:color w:val="auto"/>
          <w:spacing w:val="1"/>
          <w:highlight w:val="none"/>
        </w:rPr>
        <w:t>）：</w:t>
      </w:r>
    </w:p>
    <w:p w14:paraId="4C878D69">
      <w:pPr>
        <w:pStyle w:val="8"/>
        <w:spacing w:before="101" w:line="360" w:lineRule="auto"/>
        <w:ind w:left="850"/>
        <w:rPr>
          <w:rFonts w:hint="eastAsia" w:ascii="宋体" w:hAnsi="宋体" w:eastAsia="宋体" w:cs="宋体"/>
          <w:color w:val="auto"/>
          <w:sz w:val="21"/>
          <w:highlight w:val="none"/>
        </w:rPr>
      </w:pPr>
      <w:r>
        <w:rPr>
          <w:rFonts w:hint="eastAsia" w:ascii="宋体" w:hAnsi="宋体" w:eastAsia="宋体" w:cs="宋体"/>
          <w:color w:val="auto"/>
          <w:spacing w:val="6"/>
          <w:highlight w:val="none"/>
        </w:rPr>
        <w:t>统一社会信用代码：</w:t>
      </w:r>
    </w:p>
    <w:p w14:paraId="1AA79C9D">
      <w:pPr>
        <w:pStyle w:val="8"/>
        <w:spacing w:before="101" w:line="360" w:lineRule="auto"/>
        <w:ind w:left="844" w:right="5000"/>
        <w:rPr>
          <w:rFonts w:hint="eastAsia" w:ascii="宋体" w:hAnsi="宋体" w:eastAsia="宋体" w:cs="宋体"/>
          <w:color w:val="auto"/>
          <w:highlight w:val="none"/>
        </w:rPr>
      </w:pPr>
      <w:r>
        <w:rPr>
          <w:rFonts w:hint="eastAsia" w:ascii="宋体" w:hAnsi="宋体" w:eastAsia="宋体" w:cs="宋体"/>
          <w:color w:val="auto"/>
          <w:spacing w:val="8"/>
          <w:highlight w:val="none"/>
        </w:rPr>
        <w:t>法定代表人（签字</w:t>
      </w:r>
      <w:r>
        <w:rPr>
          <w:rFonts w:hint="eastAsia" w:ascii="宋体" w:hAnsi="宋体" w:eastAsia="宋体" w:cs="宋体"/>
          <w:color w:val="auto"/>
          <w:spacing w:val="-29"/>
          <w:highlight w:val="none"/>
        </w:rPr>
        <w:t>）：</w:t>
      </w:r>
      <w:r>
        <w:rPr>
          <w:rFonts w:hint="eastAsia" w:ascii="宋体" w:hAnsi="宋体" w:eastAsia="宋体" w:cs="宋体"/>
          <w:color w:val="auto"/>
          <w:highlight w:val="none"/>
        </w:rPr>
        <w:t xml:space="preserve"> </w:t>
      </w:r>
    </w:p>
    <w:p w14:paraId="2E962505">
      <w:pPr>
        <w:pStyle w:val="8"/>
        <w:spacing w:before="101" w:line="360" w:lineRule="auto"/>
        <w:ind w:left="844" w:right="5000"/>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6"/>
          <w:highlight w:val="none"/>
        </w:rPr>
        <w:t>月</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6"/>
          <w:highlight w:val="none"/>
        </w:rPr>
        <w:t>日</w:t>
      </w:r>
    </w:p>
    <w:p w14:paraId="01374E41">
      <w:pPr>
        <w:rPr>
          <w:rFonts w:hint="eastAsia" w:ascii="宋体" w:hAnsi="宋体" w:eastAsia="宋体" w:cs="宋体"/>
        </w:rPr>
      </w:pPr>
    </w:p>
    <w:p w14:paraId="5088FFF0">
      <w:pPr>
        <w:rPr>
          <w:rFonts w:hint="eastAsia" w:ascii="宋体" w:hAnsi="宋体" w:eastAsia="宋体" w:cs="宋体"/>
        </w:rPr>
      </w:pPr>
    </w:p>
    <w:p w14:paraId="5EB4D332">
      <w:pPr>
        <w:rPr>
          <w:rFonts w:hint="eastAsia" w:ascii="宋体" w:hAnsi="宋体" w:eastAsia="宋体" w:cs="宋体"/>
        </w:rPr>
      </w:pPr>
    </w:p>
    <w:p w14:paraId="6860374C">
      <w:pPr>
        <w:rPr>
          <w:rFonts w:hint="eastAsia" w:ascii="宋体" w:hAnsi="宋体" w:eastAsia="宋体" w:cs="宋体"/>
        </w:rPr>
      </w:pPr>
    </w:p>
    <w:p w14:paraId="59829509">
      <w:pPr>
        <w:rPr>
          <w:rFonts w:hint="eastAsia" w:ascii="宋体" w:hAnsi="宋体" w:eastAsia="宋体" w:cs="宋体"/>
        </w:rPr>
      </w:pPr>
    </w:p>
    <w:p w14:paraId="218BF21A">
      <w:pPr>
        <w:rPr>
          <w:rFonts w:hint="eastAsia" w:ascii="宋体" w:hAnsi="宋体" w:eastAsia="宋体" w:cs="宋体"/>
        </w:rPr>
      </w:pPr>
    </w:p>
    <w:p w14:paraId="59129C04">
      <w:pPr>
        <w:rPr>
          <w:rFonts w:hint="eastAsia" w:ascii="宋体" w:hAnsi="宋体" w:eastAsia="宋体" w:cs="宋体"/>
        </w:rPr>
      </w:pPr>
    </w:p>
    <w:p w14:paraId="565B7FB3">
      <w:pPr>
        <w:rPr>
          <w:rFonts w:hint="eastAsia" w:ascii="宋体" w:hAnsi="宋体" w:eastAsia="宋体" w:cs="宋体"/>
        </w:rPr>
      </w:pPr>
    </w:p>
    <w:p w14:paraId="236DD346">
      <w:pPr>
        <w:rPr>
          <w:rFonts w:hint="eastAsia" w:ascii="宋体" w:hAnsi="宋体" w:eastAsia="宋体" w:cs="宋体"/>
        </w:rPr>
      </w:pPr>
    </w:p>
    <w:p w14:paraId="1AF2FE0F">
      <w:pPr>
        <w:rPr>
          <w:rFonts w:hint="eastAsia" w:ascii="宋体" w:hAnsi="宋体" w:eastAsia="宋体" w:cs="宋体"/>
        </w:rPr>
      </w:pPr>
    </w:p>
    <w:p w14:paraId="3581ADBE">
      <w:pPr>
        <w:rPr>
          <w:rFonts w:hint="eastAsia" w:ascii="宋体" w:hAnsi="宋体" w:eastAsia="宋体" w:cs="宋体"/>
        </w:rPr>
      </w:pPr>
    </w:p>
    <w:p w14:paraId="60CFB303">
      <w:pPr>
        <w:rPr>
          <w:rFonts w:hint="eastAsia" w:ascii="宋体" w:hAnsi="宋体" w:eastAsia="宋体" w:cs="宋体"/>
        </w:rPr>
      </w:pPr>
    </w:p>
    <w:p w14:paraId="1E8F4E39">
      <w:pPr>
        <w:rPr>
          <w:rFonts w:hint="eastAsia" w:ascii="宋体" w:hAnsi="宋体" w:eastAsia="宋体" w:cs="宋体"/>
        </w:rPr>
      </w:pPr>
    </w:p>
    <w:p w14:paraId="64428F04">
      <w:pPr>
        <w:rPr>
          <w:rFonts w:hint="eastAsia" w:ascii="宋体" w:hAnsi="宋体" w:eastAsia="宋体" w:cs="宋体"/>
        </w:rPr>
      </w:pPr>
    </w:p>
    <w:p w14:paraId="4DF9EF1E">
      <w:pPr>
        <w:rPr>
          <w:rFonts w:hint="eastAsia" w:ascii="宋体" w:hAnsi="宋体" w:eastAsia="宋体" w:cs="宋体"/>
        </w:rPr>
      </w:pPr>
    </w:p>
    <w:p w14:paraId="1AE19DCB">
      <w:pPr>
        <w:rPr>
          <w:rFonts w:hint="eastAsia" w:ascii="宋体" w:hAnsi="宋体" w:eastAsia="宋体" w:cs="宋体"/>
        </w:rPr>
      </w:pPr>
    </w:p>
    <w:p w14:paraId="654C7359">
      <w:pPr>
        <w:rPr>
          <w:rFonts w:hint="eastAsia" w:ascii="宋体" w:hAnsi="宋体" w:eastAsia="宋体" w:cs="宋体"/>
        </w:rPr>
      </w:pPr>
    </w:p>
    <w:p w14:paraId="292F7B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4" w:name="_Toc4336"/>
      <w:bookmarkStart w:id="345" w:name="_Toc29984"/>
      <w:r>
        <w:rPr>
          <w:rFonts w:hint="eastAsia" w:ascii="宋体" w:hAnsi="宋体" w:eastAsia="宋体" w:cs="宋体"/>
          <w:b/>
          <w:bCs/>
          <w:color w:val="auto"/>
          <w:spacing w:val="-11"/>
          <w:sz w:val="24"/>
          <w:szCs w:val="24"/>
          <w:highlight w:val="none"/>
          <w:lang w:val="en-US" w:eastAsia="zh-CN"/>
        </w:rPr>
        <w:t>格式十四   原件一览表</w:t>
      </w:r>
      <w:bookmarkEnd w:id="336"/>
      <w:bookmarkEnd w:id="344"/>
      <w:bookmarkEnd w:id="345"/>
    </w:p>
    <w:tbl>
      <w:tblPr>
        <w:tblStyle w:val="24"/>
        <w:tblpPr w:leftFromText="180" w:rightFromText="180" w:vertAnchor="text" w:horzAnchor="page" w:tblpX="1285"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80"/>
        <w:gridCol w:w="1598"/>
        <w:gridCol w:w="247"/>
        <w:gridCol w:w="1655"/>
        <w:gridCol w:w="1625"/>
        <w:gridCol w:w="754"/>
        <w:gridCol w:w="958"/>
        <w:gridCol w:w="1698"/>
      </w:tblGrid>
      <w:tr w14:paraId="20BF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615" w:type="dxa"/>
            <w:gridSpan w:val="8"/>
            <w:shd w:val="clear" w:color="000000" w:fill="FFFFFF"/>
            <w:noWrap w:val="0"/>
            <w:tcMar>
              <w:left w:w="108" w:type="dxa"/>
              <w:right w:w="108" w:type="dxa"/>
            </w:tcMar>
            <w:vAlign w:val="center"/>
          </w:tcPr>
          <w:p w14:paraId="1F5E68B5">
            <w:pPr>
              <w:spacing w:line="360" w:lineRule="auto"/>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16AE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18F342B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c>
        <w:tc>
          <w:tcPr>
            <w:tcW w:w="6937" w:type="dxa"/>
            <w:gridSpan w:val="6"/>
            <w:shd w:val="clear" w:color="000000" w:fill="FFFFFF"/>
            <w:noWrap w:val="0"/>
            <w:tcMar>
              <w:left w:w="108" w:type="dxa"/>
              <w:right w:w="108" w:type="dxa"/>
            </w:tcMar>
            <w:vAlign w:val="center"/>
          </w:tcPr>
          <w:p w14:paraId="22905A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r>
      <w:tr w14:paraId="2C43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20050AD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                (请务必填写单位全称)</w:t>
            </w:r>
          </w:p>
        </w:tc>
        <w:tc>
          <w:tcPr>
            <w:tcW w:w="6937" w:type="dxa"/>
            <w:gridSpan w:val="6"/>
            <w:shd w:val="clear" w:color="000000" w:fill="FFFFFF"/>
            <w:noWrap w:val="0"/>
            <w:tcMar>
              <w:left w:w="108" w:type="dxa"/>
              <w:right w:w="108" w:type="dxa"/>
            </w:tcMar>
            <w:vAlign w:val="center"/>
          </w:tcPr>
          <w:p w14:paraId="110EB8D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2AFD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4E7684AD">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投标人法定代表人或其</w:t>
            </w:r>
          </w:p>
          <w:p w14:paraId="3825BA0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委托代理人签名</w:t>
            </w:r>
          </w:p>
        </w:tc>
        <w:tc>
          <w:tcPr>
            <w:tcW w:w="3527" w:type="dxa"/>
            <w:gridSpan w:val="3"/>
            <w:shd w:val="clear" w:color="000000" w:fill="FFFFFF"/>
            <w:noWrap w:val="0"/>
            <w:tcMar>
              <w:left w:w="108" w:type="dxa"/>
              <w:right w:w="108" w:type="dxa"/>
            </w:tcMar>
            <w:vAlign w:val="center"/>
          </w:tcPr>
          <w:p w14:paraId="0B9FFC5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754" w:type="dxa"/>
            <w:shd w:val="clear" w:color="000000" w:fill="FFFFFF"/>
            <w:noWrap w:val="0"/>
            <w:tcMar>
              <w:left w:w="108" w:type="dxa"/>
              <w:right w:w="108" w:type="dxa"/>
            </w:tcMar>
            <w:vAlign w:val="center"/>
          </w:tcPr>
          <w:p w14:paraId="09C1EA2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手机号码</w:t>
            </w:r>
          </w:p>
        </w:tc>
        <w:tc>
          <w:tcPr>
            <w:tcW w:w="2656" w:type="dxa"/>
            <w:gridSpan w:val="2"/>
            <w:shd w:val="clear" w:color="000000" w:fill="FFFFFF"/>
            <w:noWrap w:val="0"/>
            <w:tcMar>
              <w:left w:w="108" w:type="dxa"/>
              <w:right w:w="108" w:type="dxa"/>
            </w:tcMar>
            <w:vAlign w:val="center"/>
          </w:tcPr>
          <w:p w14:paraId="2492265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3731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615" w:type="dxa"/>
            <w:gridSpan w:val="8"/>
            <w:shd w:val="clear" w:color="000000" w:fill="FFFFFF"/>
            <w:noWrap w:val="0"/>
            <w:tcMar>
              <w:left w:w="108" w:type="dxa"/>
              <w:right w:w="108" w:type="dxa"/>
            </w:tcMar>
            <w:vAlign w:val="center"/>
          </w:tcPr>
          <w:p w14:paraId="1C803DF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递交的证明材料原件如下：</w:t>
            </w:r>
          </w:p>
        </w:tc>
      </w:tr>
      <w:tr w14:paraId="1F2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auto" w:fill="FFFFFF"/>
            <w:noWrap w:val="0"/>
            <w:tcMar>
              <w:left w:w="108" w:type="dxa"/>
              <w:right w:w="108" w:type="dxa"/>
            </w:tcMar>
            <w:vAlign w:val="center"/>
          </w:tcPr>
          <w:p w14:paraId="179FC51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125" w:type="dxa"/>
            <w:gridSpan w:val="4"/>
            <w:shd w:val="clear" w:color="auto" w:fill="FFFFFF"/>
            <w:noWrap w:val="0"/>
            <w:tcMar>
              <w:left w:w="108" w:type="dxa"/>
              <w:right w:w="108" w:type="dxa"/>
            </w:tcMar>
            <w:vAlign w:val="center"/>
          </w:tcPr>
          <w:p w14:paraId="55F903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证明材料原件名称</w:t>
            </w:r>
          </w:p>
        </w:tc>
        <w:tc>
          <w:tcPr>
            <w:tcW w:w="1712" w:type="dxa"/>
            <w:gridSpan w:val="2"/>
            <w:shd w:val="clear" w:color="auto" w:fill="FFFFFF"/>
            <w:noWrap w:val="0"/>
            <w:tcMar>
              <w:left w:w="108" w:type="dxa"/>
              <w:right w:w="108" w:type="dxa"/>
            </w:tcMar>
            <w:vAlign w:val="center"/>
          </w:tcPr>
          <w:p w14:paraId="419D808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1698" w:type="dxa"/>
            <w:shd w:val="clear" w:color="auto" w:fill="FFFFFF"/>
            <w:noWrap w:val="0"/>
            <w:tcMar>
              <w:left w:w="108" w:type="dxa"/>
              <w:right w:w="108" w:type="dxa"/>
            </w:tcMar>
            <w:vAlign w:val="center"/>
          </w:tcPr>
          <w:p w14:paraId="6F0681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r>
      <w:tr w14:paraId="7276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318BD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25" w:type="dxa"/>
            <w:gridSpan w:val="4"/>
            <w:shd w:val="clear" w:color="000000" w:fill="FFFFFF"/>
            <w:noWrap w:val="0"/>
            <w:tcMar>
              <w:left w:w="108" w:type="dxa"/>
              <w:right w:w="108" w:type="dxa"/>
            </w:tcMar>
            <w:vAlign w:val="center"/>
          </w:tcPr>
          <w:p w14:paraId="3A1D0CDF">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7D63B07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C5FBD4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6E0C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0C62BB9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25" w:type="dxa"/>
            <w:gridSpan w:val="4"/>
            <w:shd w:val="clear" w:color="000000" w:fill="FFFFFF"/>
            <w:noWrap w:val="0"/>
            <w:tcMar>
              <w:left w:w="108" w:type="dxa"/>
              <w:right w:w="108" w:type="dxa"/>
            </w:tcMar>
            <w:vAlign w:val="center"/>
          </w:tcPr>
          <w:p w14:paraId="40C55F34">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67917E8">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B854666">
            <w:pPr>
              <w:spacing w:line="360" w:lineRule="auto"/>
              <w:jc w:val="center"/>
              <w:rPr>
                <w:rFonts w:hint="eastAsia" w:ascii="宋体" w:hAnsi="宋体" w:eastAsia="宋体" w:cs="宋体"/>
                <w:color w:val="auto"/>
                <w:sz w:val="21"/>
                <w:szCs w:val="21"/>
                <w:highlight w:val="none"/>
              </w:rPr>
            </w:pPr>
          </w:p>
        </w:tc>
      </w:tr>
      <w:tr w14:paraId="22F0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2C7621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25" w:type="dxa"/>
            <w:gridSpan w:val="4"/>
            <w:shd w:val="clear" w:color="000000" w:fill="FFFFFF"/>
            <w:noWrap w:val="0"/>
            <w:tcMar>
              <w:left w:w="108" w:type="dxa"/>
              <w:right w:w="108" w:type="dxa"/>
            </w:tcMar>
            <w:vAlign w:val="center"/>
          </w:tcPr>
          <w:p w14:paraId="1870EB1E">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0CF1B75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3469BE28">
            <w:pPr>
              <w:spacing w:line="360" w:lineRule="auto"/>
              <w:jc w:val="center"/>
              <w:rPr>
                <w:rFonts w:hint="eastAsia" w:ascii="宋体" w:hAnsi="宋体" w:eastAsia="宋体" w:cs="宋体"/>
                <w:color w:val="auto"/>
                <w:sz w:val="21"/>
                <w:szCs w:val="21"/>
                <w:highlight w:val="none"/>
              </w:rPr>
            </w:pPr>
          </w:p>
        </w:tc>
      </w:tr>
      <w:tr w14:paraId="664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C5423B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125" w:type="dxa"/>
            <w:gridSpan w:val="4"/>
            <w:shd w:val="clear" w:color="000000" w:fill="FFFFFF"/>
            <w:noWrap w:val="0"/>
            <w:tcMar>
              <w:left w:w="108" w:type="dxa"/>
              <w:right w:w="108" w:type="dxa"/>
            </w:tcMar>
            <w:vAlign w:val="center"/>
          </w:tcPr>
          <w:p w14:paraId="5F8B82ED">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B7E6AEF">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DC14E3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1262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1080" w:type="dxa"/>
            <w:shd w:val="clear" w:color="auto" w:fill="FFFFFF"/>
            <w:noWrap w:val="0"/>
            <w:tcMar>
              <w:left w:w="108" w:type="dxa"/>
              <w:right w:w="108" w:type="dxa"/>
            </w:tcMar>
            <w:vAlign w:val="center"/>
          </w:tcPr>
          <w:p w14:paraId="222C4310">
            <w:pPr>
              <w:spacing w:line="360" w:lineRule="auto"/>
              <w:ind w:left="8" w:hanging="9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w:t>
            </w:r>
          </w:p>
        </w:tc>
        <w:tc>
          <w:tcPr>
            <w:tcW w:w="8535" w:type="dxa"/>
            <w:gridSpan w:val="7"/>
            <w:shd w:val="clear" w:color="auto" w:fill="FFFFFF"/>
            <w:noWrap w:val="0"/>
            <w:tcMar>
              <w:left w:w="108" w:type="dxa"/>
              <w:right w:w="108" w:type="dxa"/>
            </w:tcMar>
            <w:vAlign w:val="center"/>
          </w:tcPr>
          <w:p w14:paraId="6FEC3244">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FCC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925" w:type="dxa"/>
            <w:gridSpan w:val="3"/>
            <w:shd w:val="clear" w:color="000000" w:fill="FFFFFF"/>
            <w:noWrap w:val="0"/>
            <w:tcMar>
              <w:left w:w="108" w:type="dxa"/>
              <w:right w:w="108" w:type="dxa"/>
            </w:tcMar>
            <w:vAlign w:val="center"/>
          </w:tcPr>
          <w:p w14:paraId="03326EDC">
            <w:pPr>
              <w:spacing w:line="360" w:lineRule="auto"/>
              <w:jc w:val="center"/>
              <w:rPr>
                <w:rFonts w:hint="eastAsia" w:ascii="宋体" w:hAnsi="宋体" w:eastAsia="宋体" w:cs="宋体"/>
                <w:color w:val="auto"/>
                <w:sz w:val="21"/>
                <w:szCs w:val="21"/>
                <w:highlight w:val="none"/>
              </w:rPr>
            </w:pPr>
          </w:p>
          <w:p w14:paraId="5D7850E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接收原件经办人(招标代理)：</w:t>
            </w:r>
          </w:p>
        </w:tc>
        <w:tc>
          <w:tcPr>
            <w:tcW w:w="1655" w:type="dxa"/>
            <w:shd w:val="clear" w:color="000000" w:fill="FFFFFF"/>
            <w:noWrap w:val="0"/>
            <w:tcMar>
              <w:left w:w="108" w:type="dxa"/>
              <w:right w:w="108" w:type="dxa"/>
            </w:tcMar>
            <w:vAlign w:val="center"/>
          </w:tcPr>
          <w:p w14:paraId="04093F2E">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6D09C81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接收时间：</w:t>
            </w:r>
          </w:p>
        </w:tc>
        <w:tc>
          <w:tcPr>
            <w:tcW w:w="3410" w:type="dxa"/>
            <w:gridSpan w:val="3"/>
            <w:shd w:val="clear" w:color="000000" w:fill="FFFFFF"/>
            <w:noWrap w:val="0"/>
            <w:tcMar>
              <w:left w:w="108" w:type="dxa"/>
              <w:right w:w="108" w:type="dxa"/>
            </w:tcMar>
            <w:vAlign w:val="center"/>
          </w:tcPr>
          <w:p w14:paraId="328608F6">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r w14:paraId="42F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925" w:type="dxa"/>
            <w:gridSpan w:val="3"/>
            <w:shd w:val="clear" w:color="000000" w:fill="FFFFFF"/>
            <w:noWrap w:val="0"/>
            <w:tcMar>
              <w:left w:w="108" w:type="dxa"/>
              <w:right w:w="108" w:type="dxa"/>
            </w:tcMar>
            <w:vAlign w:val="center"/>
          </w:tcPr>
          <w:p w14:paraId="33E1DEA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退还原件接收人(投标人)：</w:t>
            </w:r>
          </w:p>
        </w:tc>
        <w:tc>
          <w:tcPr>
            <w:tcW w:w="1655" w:type="dxa"/>
            <w:shd w:val="clear" w:color="000000" w:fill="FFFFFF"/>
            <w:noWrap w:val="0"/>
            <w:tcMar>
              <w:left w:w="108" w:type="dxa"/>
              <w:right w:w="108" w:type="dxa"/>
            </w:tcMar>
            <w:vAlign w:val="center"/>
          </w:tcPr>
          <w:p w14:paraId="55B339A2">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3A80372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退还时间：</w:t>
            </w:r>
          </w:p>
        </w:tc>
        <w:tc>
          <w:tcPr>
            <w:tcW w:w="3410" w:type="dxa"/>
            <w:gridSpan w:val="3"/>
            <w:shd w:val="clear" w:color="000000" w:fill="FFFFFF"/>
            <w:noWrap w:val="0"/>
            <w:tcMar>
              <w:left w:w="108" w:type="dxa"/>
              <w:right w:w="108" w:type="dxa"/>
            </w:tcMar>
            <w:vAlign w:val="center"/>
          </w:tcPr>
          <w:p w14:paraId="4FBE05ED">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bl>
    <w:p w14:paraId="22DF0E64">
      <w:pPr>
        <w:spacing w:line="360" w:lineRule="auto"/>
        <w:contextualSpacing/>
        <w:jc w:val="left"/>
        <w:rPr>
          <w:rFonts w:hint="eastAsia" w:ascii="宋体" w:hAnsi="宋体" w:eastAsia="宋体" w:cs="宋体"/>
          <w:color w:val="auto"/>
          <w:highlight w:val="none"/>
        </w:rPr>
      </w:pPr>
    </w:p>
    <w:p w14:paraId="4512EC5E">
      <w:pPr>
        <w:rPr>
          <w:rFonts w:hint="eastAsia" w:ascii="宋体" w:hAnsi="宋体" w:eastAsia="宋体" w:cs="宋体"/>
        </w:rPr>
      </w:pPr>
    </w:p>
    <w:p w14:paraId="7590B877">
      <w:pPr>
        <w:rPr>
          <w:rFonts w:hint="eastAsia" w:ascii="宋体" w:hAnsi="宋体" w:eastAsia="宋体" w:cs="宋体"/>
        </w:rPr>
      </w:pPr>
    </w:p>
    <w:p w14:paraId="7A69F993">
      <w:pPr>
        <w:rPr>
          <w:rFonts w:hint="eastAsia" w:ascii="宋体" w:hAnsi="宋体" w:eastAsia="宋体" w:cs="宋体"/>
        </w:rPr>
      </w:pPr>
    </w:p>
    <w:p w14:paraId="7EE4E867">
      <w:pPr>
        <w:rPr>
          <w:rFonts w:hint="eastAsia" w:ascii="宋体" w:hAnsi="宋体" w:eastAsia="宋体" w:cs="宋体"/>
        </w:rPr>
      </w:pPr>
    </w:p>
    <w:p w14:paraId="07574570">
      <w:pPr>
        <w:rPr>
          <w:rFonts w:hint="eastAsia" w:ascii="宋体" w:hAnsi="宋体" w:eastAsia="宋体" w:cs="宋体"/>
        </w:rPr>
      </w:pPr>
    </w:p>
    <w:p w14:paraId="0C4FB503">
      <w:pPr>
        <w:rPr>
          <w:rFonts w:hint="eastAsia" w:ascii="宋体" w:hAnsi="宋体" w:eastAsia="宋体" w:cs="宋体"/>
        </w:rPr>
      </w:pPr>
    </w:p>
    <w:p w14:paraId="0CD18182">
      <w:pPr>
        <w:rPr>
          <w:rFonts w:hint="eastAsia" w:ascii="宋体" w:hAnsi="宋体" w:eastAsia="宋体" w:cs="宋体"/>
        </w:rPr>
      </w:pPr>
    </w:p>
    <w:p w14:paraId="2A265FDA">
      <w:pPr>
        <w:rPr>
          <w:rFonts w:hint="eastAsia" w:ascii="宋体" w:hAnsi="宋体" w:eastAsia="宋体" w:cs="宋体"/>
        </w:rPr>
      </w:pPr>
    </w:p>
    <w:bookmarkEnd w:id="300"/>
    <w:bookmarkEnd w:id="301"/>
    <w:p w14:paraId="551B1C1D">
      <w:pPr>
        <w:pStyle w:val="3"/>
        <w:wordWrap w:val="0"/>
        <w:autoSpaceDE/>
        <w:autoSpaceDN/>
        <w:snapToGrid w:val="0"/>
        <w:spacing w:line="360" w:lineRule="auto"/>
        <w:jc w:val="center"/>
        <w:rPr>
          <w:rFonts w:hint="eastAsia" w:ascii="宋体" w:hAnsi="宋体" w:eastAsia="宋体" w:cs="宋体"/>
          <w:snapToGrid w:val="0"/>
          <w:color w:val="auto"/>
          <w:kern w:val="0"/>
          <w:highlight w:val="none"/>
        </w:rPr>
      </w:pPr>
      <w:bookmarkStart w:id="346" w:name="_Hlt87783244"/>
      <w:bookmarkEnd w:id="346"/>
      <w:bookmarkStart w:id="347" w:name="_附件十六：措施项目清单计价表"/>
      <w:bookmarkEnd w:id="347"/>
      <w:bookmarkStart w:id="348" w:name="_Hlt87793582"/>
      <w:bookmarkEnd w:id="348"/>
      <w:bookmarkStart w:id="349" w:name="_附件二十一：土建工程、电气工程、给排水工程工程清单项目费汇总表"/>
      <w:bookmarkEnd w:id="349"/>
      <w:bookmarkStart w:id="350" w:name="_Toc1967"/>
      <w:bookmarkStart w:id="351" w:name="_Toc132687128"/>
      <w:bookmarkStart w:id="352" w:name="_Toc133160683"/>
      <w:bookmarkStart w:id="353" w:name="_Toc137444778"/>
      <w:bookmarkStart w:id="354" w:name="_Toc13722"/>
      <w:bookmarkStart w:id="355" w:name="_Toc142468134"/>
      <w:bookmarkStart w:id="356" w:name="_Toc11550"/>
      <w:bookmarkStart w:id="357" w:name="_Toc133815902"/>
      <w:bookmarkStart w:id="358" w:name="_Toc78794873"/>
      <w:r>
        <w:rPr>
          <w:rFonts w:hint="eastAsia" w:ascii="宋体" w:hAnsi="宋体" w:eastAsia="宋体" w:cs="宋体"/>
          <w:b/>
          <w:snapToGrid w:val="0"/>
          <w:color w:val="auto"/>
          <w:sz w:val="24"/>
          <w:highlight w:val="none"/>
        </w:rPr>
        <w:t>第七章</w:t>
      </w:r>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建设工程施工合同</w:t>
      </w:r>
      <w:bookmarkEnd w:id="350"/>
      <w:bookmarkEnd w:id="351"/>
      <w:bookmarkEnd w:id="352"/>
      <w:bookmarkEnd w:id="353"/>
      <w:bookmarkEnd w:id="354"/>
      <w:bookmarkEnd w:id="355"/>
      <w:bookmarkEnd w:id="356"/>
    </w:p>
    <w:p w14:paraId="7DA73BEC">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57"/>
      <w:bookmarkEnd w:id="358"/>
      <w:r>
        <w:rPr>
          <w:rFonts w:hint="eastAsia" w:ascii="宋体" w:hAnsi="宋体" w:eastAsia="宋体" w:cs="宋体"/>
          <w:snapToGrid w:val="0"/>
          <w:color w:val="auto"/>
          <w:kern w:val="0"/>
          <w:highlight w:val="none"/>
        </w:rPr>
        <w:t>按《广东省建设工程标准施工合同》（2009年版）或《建设工程施工合同（示范文本）》（GF—2017—0201）执行。</w:t>
      </w:r>
    </w:p>
    <w:p w14:paraId="7A471E72">
      <w:pPr>
        <w:spacing w:before="78" w:line="360" w:lineRule="auto"/>
        <w:ind w:firstLine="480"/>
        <w:rPr>
          <w:rFonts w:hint="eastAsia" w:ascii="宋体" w:hAnsi="宋体" w:eastAsia="宋体" w:cs="宋体"/>
          <w:color w:val="auto"/>
          <w:sz w:val="24"/>
          <w:szCs w:val="24"/>
          <w:highlight w:val="none"/>
        </w:rPr>
      </w:pPr>
    </w:p>
    <w:sectPr>
      <w:footerReference r:id="rId4" w:type="default"/>
      <w:pgSz w:w="11906" w:h="16839"/>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C086">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D21ABA">
                          <w:pPr>
                            <w:pStyle w:val="16"/>
                          </w:pPr>
                          <w:r>
                            <w:fldChar w:fldCharType="begin"/>
                          </w:r>
                          <w:r>
                            <w:instrText xml:space="preserve"> PAGE  \* MERGEFORMAT </w:instrText>
                          </w:r>
                          <w:r>
                            <w:fldChar w:fldCharType="separate"/>
                          </w:r>
                          <w:r>
                            <w:t>102</w:t>
                          </w:r>
                          <w:r>
                            <w:fldChar w:fldCharType="end"/>
                          </w:r>
                        </w:p>
                      </w:txbxContent>
                    </wps:txbx>
                    <wps:bodyPr vert="horz" wrap="none" lIns="0" tIns="0" rIns="0" bIns="0" anchor="t" anchorCtr="0" upright="0">
                      <a:spAutoFit/>
                    </wps:bodyPr>
                  </wps:wsp>
                </a:graphicData>
              </a:graphic>
            </wp:anchor>
          </w:drawing>
        </mc:Choice>
        <mc:Fallback>
          <w:pict>
            <v:shape id="文本框 8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WDBN8BAADAAwAADgAAAGRycy9lMm9Eb2MueG1srVPBjtMwEL0j8Q+W&#10;7zTZCqES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NecuaEpYmff3w///x9/vWN&#10;rZ4ngXqPFeXdesqMw2sYKHn2IzkT76ENNv2JEaM4yXu6yKuGyGS6tFquViWFJMXmA+EX99d9wPhW&#10;gWXJqHmg+WVZxfE9xjF1TknVHNxoY/IMjfvLQZjJU6Texx6TFYfdMBHaQXMiPvQQqE4H4StnPa1B&#10;zR1tPWfmnSOV08bMRpiN3WwIJ+lizSNno/kmjpt18EHvu7xrqSn0rw6ROs0EUhtj7ak7GmyWYFrC&#10;tDl/nnPW/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HCWDBN8BAADAAwAADgAAAAAA&#10;AAABACAAAAAeAQAAZHJzL2Uyb0RvYy54bWxQSwUGAAAAAAYABgBZAQAAbwUAAAAA&#10;">
              <v:fill on="f" focussize="0,0"/>
              <v:stroke on="f"/>
              <v:imagedata o:title=""/>
              <o:lock v:ext="edit" aspectratio="f"/>
              <v:textbox inset="0mm,0mm,0mm,0mm" style="mso-fit-shape-to-text:t;">
                <w:txbxContent>
                  <w:p w14:paraId="0ED21ABA">
                    <w:pPr>
                      <w:pStyle w:val="16"/>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DB66">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IxMTBiNDNjZjYzNDdjYzI5YTAwYjZmMGE0NTMifQ=="/>
    <w:docVar w:name="KSO_WPS_MARK_KEY" w:val="6f1ed6e0-1a31-40b8-b5e7-63682a01dd85"/>
  </w:docVars>
  <w:rsids>
    <w:rsidRoot w:val="00D93B1F"/>
    <w:rsid w:val="002271DC"/>
    <w:rsid w:val="00375761"/>
    <w:rsid w:val="0061778C"/>
    <w:rsid w:val="007902EC"/>
    <w:rsid w:val="008145AB"/>
    <w:rsid w:val="00A47D6E"/>
    <w:rsid w:val="00B311AF"/>
    <w:rsid w:val="00D93B1F"/>
    <w:rsid w:val="00DD4CCE"/>
    <w:rsid w:val="00E365EF"/>
    <w:rsid w:val="014D560B"/>
    <w:rsid w:val="024149A6"/>
    <w:rsid w:val="024A3A67"/>
    <w:rsid w:val="026B3007"/>
    <w:rsid w:val="03695DE7"/>
    <w:rsid w:val="04182A85"/>
    <w:rsid w:val="0462389C"/>
    <w:rsid w:val="048C3708"/>
    <w:rsid w:val="049E7782"/>
    <w:rsid w:val="05023882"/>
    <w:rsid w:val="053D5C48"/>
    <w:rsid w:val="057E0DE3"/>
    <w:rsid w:val="05DC138F"/>
    <w:rsid w:val="06C1202B"/>
    <w:rsid w:val="082B68AC"/>
    <w:rsid w:val="08897E49"/>
    <w:rsid w:val="097F6AA4"/>
    <w:rsid w:val="09C86F91"/>
    <w:rsid w:val="0A2166A1"/>
    <w:rsid w:val="0A4A5BF8"/>
    <w:rsid w:val="0A9B6453"/>
    <w:rsid w:val="0AA51080"/>
    <w:rsid w:val="0B0A655D"/>
    <w:rsid w:val="0B1F549C"/>
    <w:rsid w:val="0B293A5F"/>
    <w:rsid w:val="0C8A1D9B"/>
    <w:rsid w:val="0CA1581F"/>
    <w:rsid w:val="0D7F57E0"/>
    <w:rsid w:val="0D9A5BFA"/>
    <w:rsid w:val="0DB241E0"/>
    <w:rsid w:val="0DBF556A"/>
    <w:rsid w:val="0EA0228A"/>
    <w:rsid w:val="0ED12D6A"/>
    <w:rsid w:val="0EF27F68"/>
    <w:rsid w:val="0F0806AD"/>
    <w:rsid w:val="0F0E2D86"/>
    <w:rsid w:val="10091ED2"/>
    <w:rsid w:val="10C36704"/>
    <w:rsid w:val="12445622"/>
    <w:rsid w:val="12940347"/>
    <w:rsid w:val="12EA61CA"/>
    <w:rsid w:val="132959D5"/>
    <w:rsid w:val="132E3428"/>
    <w:rsid w:val="13864617"/>
    <w:rsid w:val="15033573"/>
    <w:rsid w:val="154E1149"/>
    <w:rsid w:val="157103D5"/>
    <w:rsid w:val="15881947"/>
    <w:rsid w:val="160D2073"/>
    <w:rsid w:val="162A4334"/>
    <w:rsid w:val="16951380"/>
    <w:rsid w:val="17012438"/>
    <w:rsid w:val="17422EB4"/>
    <w:rsid w:val="175B58E8"/>
    <w:rsid w:val="17E94CA2"/>
    <w:rsid w:val="183B5119"/>
    <w:rsid w:val="19067AD5"/>
    <w:rsid w:val="19143FA0"/>
    <w:rsid w:val="19636CD6"/>
    <w:rsid w:val="19A327C1"/>
    <w:rsid w:val="1AF84A59"/>
    <w:rsid w:val="1B1B5C83"/>
    <w:rsid w:val="1B3A75C2"/>
    <w:rsid w:val="1B520060"/>
    <w:rsid w:val="1BB83309"/>
    <w:rsid w:val="1BC872C4"/>
    <w:rsid w:val="1CF0262F"/>
    <w:rsid w:val="1D962329"/>
    <w:rsid w:val="1E162BB9"/>
    <w:rsid w:val="1E2A7432"/>
    <w:rsid w:val="1EC75611"/>
    <w:rsid w:val="20060769"/>
    <w:rsid w:val="20895274"/>
    <w:rsid w:val="210802D8"/>
    <w:rsid w:val="21315CC2"/>
    <w:rsid w:val="214C004F"/>
    <w:rsid w:val="21BC6555"/>
    <w:rsid w:val="23113827"/>
    <w:rsid w:val="240259E5"/>
    <w:rsid w:val="24B95358"/>
    <w:rsid w:val="257D5945"/>
    <w:rsid w:val="25EF3DCB"/>
    <w:rsid w:val="26F57B3D"/>
    <w:rsid w:val="27FC7AB5"/>
    <w:rsid w:val="281318C7"/>
    <w:rsid w:val="28136333"/>
    <w:rsid w:val="294E1145"/>
    <w:rsid w:val="298B2C60"/>
    <w:rsid w:val="298D5819"/>
    <w:rsid w:val="29957EB6"/>
    <w:rsid w:val="2A170EE6"/>
    <w:rsid w:val="2AA35349"/>
    <w:rsid w:val="2B2C33CC"/>
    <w:rsid w:val="2B6F5066"/>
    <w:rsid w:val="2B7946DC"/>
    <w:rsid w:val="2BD6464A"/>
    <w:rsid w:val="2C1C51EE"/>
    <w:rsid w:val="2C7D05EC"/>
    <w:rsid w:val="2CC71519"/>
    <w:rsid w:val="2CE86152"/>
    <w:rsid w:val="2DE60A9D"/>
    <w:rsid w:val="2E521472"/>
    <w:rsid w:val="2E7E14C9"/>
    <w:rsid w:val="2EEB0EA8"/>
    <w:rsid w:val="2EF20488"/>
    <w:rsid w:val="2F5B695D"/>
    <w:rsid w:val="30120709"/>
    <w:rsid w:val="306C7DC6"/>
    <w:rsid w:val="30800BE7"/>
    <w:rsid w:val="31F33790"/>
    <w:rsid w:val="32A55E11"/>
    <w:rsid w:val="333A41AC"/>
    <w:rsid w:val="33D938EC"/>
    <w:rsid w:val="3525070E"/>
    <w:rsid w:val="35444468"/>
    <w:rsid w:val="354971CF"/>
    <w:rsid w:val="35DB7EC8"/>
    <w:rsid w:val="36421CF5"/>
    <w:rsid w:val="36716471"/>
    <w:rsid w:val="371D1E1A"/>
    <w:rsid w:val="37F963E3"/>
    <w:rsid w:val="38351E66"/>
    <w:rsid w:val="386D5023"/>
    <w:rsid w:val="38D26C34"/>
    <w:rsid w:val="390A0223"/>
    <w:rsid w:val="395D4987"/>
    <w:rsid w:val="3B653D90"/>
    <w:rsid w:val="3C1852A6"/>
    <w:rsid w:val="3C3B1478"/>
    <w:rsid w:val="3D844B7C"/>
    <w:rsid w:val="3EF67200"/>
    <w:rsid w:val="3F233925"/>
    <w:rsid w:val="3FAD641B"/>
    <w:rsid w:val="3FB44612"/>
    <w:rsid w:val="3FE01B1C"/>
    <w:rsid w:val="40046D13"/>
    <w:rsid w:val="40CA5C2D"/>
    <w:rsid w:val="42154762"/>
    <w:rsid w:val="4233012A"/>
    <w:rsid w:val="43041937"/>
    <w:rsid w:val="43DD3E5A"/>
    <w:rsid w:val="44355C57"/>
    <w:rsid w:val="443A6632"/>
    <w:rsid w:val="45287D24"/>
    <w:rsid w:val="454964D0"/>
    <w:rsid w:val="45DF68CB"/>
    <w:rsid w:val="45E5269D"/>
    <w:rsid w:val="460A64D2"/>
    <w:rsid w:val="46203E24"/>
    <w:rsid w:val="464C7C9B"/>
    <w:rsid w:val="46A967E4"/>
    <w:rsid w:val="474D04FA"/>
    <w:rsid w:val="477200AE"/>
    <w:rsid w:val="4785185A"/>
    <w:rsid w:val="47BE6D02"/>
    <w:rsid w:val="481B63B6"/>
    <w:rsid w:val="48F73CF4"/>
    <w:rsid w:val="48F74BC1"/>
    <w:rsid w:val="4905068C"/>
    <w:rsid w:val="49411970"/>
    <w:rsid w:val="496E7F48"/>
    <w:rsid w:val="4A1B1471"/>
    <w:rsid w:val="4ADA5F68"/>
    <w:rsid w:val="4B1362E3"/>
    <w:rsid w:val="4C6C5AF1"/>
    <w:rsid w:val="4C8C6E2A"/>
    <w:rsid w:val="4C917D41"/>
    <w:rsid w:val="4CBA0424"/>
    <w:rsid w:val="4CC16D7F"/>
    <w:rsid w:val="4CE313E9"/>
    <w:rsid w:val="4D5679DC"/>
    <w:rsid w:val="4D866514"/>
    <w:rsid w:val="4DB4554A"/>
    <w:rsid w:val="4E037EE6"/>
    <w:rsid w:val="4E893884"/>
    <w:rsid w:val="4EDA51D8"/>
    <w:rsid w:val="4EF632AE"/>
    <w:rsid w:val="4F190832"/>
    <w:rsid w:val="4F292F55"/>
    <w:rsid w:val="50264C5C"/>
    <w:rsid w:val="504306EC"/>
    <w:rsid w:val="50B909AE"/>
    <w:rsid w:val="50C406E4"/>
    <w:rsid w:val="513B1BE3"/>
    <w:rsid w:val="541C1980"/>
    <w:rsid w:val="546108D5"/>
    <w:rsid w:val="554178E8"/>
    <w:rsid w:val="55443DFC"/>
    <w:rsid w:val="557529F8"/>
    <w:rsid w:val="55781588"/>
    <w:rsid w:val="55B9763E"/>
    <w:rsid w:val="55F24830"/>
    <w:rsid w:val="56326745"/>
    <w:rsid w:val="566413BC"/>
    <w:rsid w:val="56A676EB"/>
    <w:rsid w:val="56F83D0C"/>
    <w:rsid w:val="572763EB"/>
    <w:rsid w:val="572F455A"/>
    <w:rsid w:val="575B631B"/>
    <w:rsid w:val="57766A4D"/>
    <w:rsid w:val="577B28F1"/>
    <w:rsid w:val="57830607"/>
    <w:rsid w:val="57F4758F"/>
    <w:rsid w:val="585F0BD8"/>
    <w:rsid w:val="58871392"/>
    <w:rsid w:val="58C6175D"/>
    <w:rsid w:val="58CD2D07"/>
    <w:rsid w:val="59AD6BD6"/>
    <w:rsid w:val="5A3C3F0A"/>
    <w:rsid w:val="5A4D499A"/>
    <w:rsid w:val="5A537966"/>
    <w:rsid w:val="5A772246"/>
    <w:rsid w:val="5A7D0C9E"/>
    <w:rsid w:val="5ACE0C44"/>
    <w:rsid w:val="5AE90694"/>
    <w:rsid w:val="5AF466D4"/>
    <w:rsid w:val="5B0F405E"/>
    <w:rsid w:val="5B1433B1"/>
    <w:rsid w:val="5B325FEC"/>
    <w:rsid w:val="5B7052F9"/>
    <w:rsid w:val="5C13353F"/>
    <w:rsid w:val="5CFF3BED"/>
    <w:rsid w:val="5D861C18"/>
    <w:rsid w:val="5DCD3CEB"/>
    <w:rsid w:val="5DF72526"/>
    <w:rsid w:val="5E0B123F"/>
    <w:rsid w:val="5E9860A7"/>
    <w:rsid w:val="5EE52C75"/>
    <w:rsid w:val="5F321E6E"/>
    <w:rsid w:val="5F473B2B"/>
    <w:rsid w:val="5FD54C27"/>
    <w:rsid w:val="605E28A2"/>
    <w:rsid w:val="6101712B"/>
    <w:rsid w:val="611F4E36"/>
    <w:rsid w:val="6166423A"/>
    <w:rsid w:val="6338060C"/>
    <w:rsid w:val="64044202"/>
    <w:rsid w:val="6507503C"/>
    <w:rsid w:val="6535464F"/>
    <w:rsid w:val="65384C44"/>
    <w:rsid w:val="659415BD"/>
    <w:rsid w:val="666D1BC7"/>
    <w:rsid w:val="66B06A9E"/>
    <w:rsid w:val="66DD63E5"/>
    <w:rsid w:val="66EA3218"/>
    <w:rsid w:val="66F97A54"/>
    <w:rsid w:val="68DC416E"/>
    <w:rsid w:val="694C01BA"/>
    <w:rsid w:val="69656389"/>
    <w:rsid w:val="69D4452F"/>
    <w:rsid w:val="6A5C61DA"/>
    <w:rsid w:val="6A6E23B2"/>
    <w:rsid w:val="6A9C2A7B"/>
    <w:rsid w:val="6B713F07"/>
    <w:rsid w:val="6B8003A5"/>
    <w:rsid w:val="6B85333E"/>
    <w:rsid w:val="6B9B48D9"/>
    <w:rsid w:val="6C1C0677"/>
    <w:rsid w:val="6C7207B7"/>
    <w:rsid w:val="6D592EA5"/>
    <w:rsid w:val="6DAB380B"/>
    <w:rsid w:val="6DD97740"/>
    <w:rsid w:val="6E4C2A0A"/>
    <w:rsid w:val="6E551AFF"/>
    <w:rsid w:val="6EDA6400"/>
    <w:rsid w:val="702D1B02"/>
    <w:rsid w:val="708E757A"/>
    <w:rsid w:val="7101188A"/>
    <w:rsid w:val="71593474"/>
    <w:rsid w:val="719B55D2"/>
    <w:rsid w:val="71B13050"/>
    <w:rsid w:val="728577B6"/>
    <w:rsid w:val="72CE73C6"/>
    <w:rsid w:val="72D311B2"/>
    <w:rsid w:val="733C302D"/>
    <w:rsid w:val="73E85905"/>
    <w:rsid w:val="747F3DA7"/>
    <w:rsid w:val="74F02341"/>
    <w:rsid w:val="74FB14A6"/>
    <w:rsid w:val="74FC5B91"/>
    <w:rsid w:val="75156511"/>
    <w:rsid w:val="75AF7C6E"/>
    <w:rsid w:val="75B8488D"/>
    <w:rsid w:val="75CF6598"/>
    <w:rsid w:val="75FC6AC3"/>
    <w:rsid w:val="762001BB"/>
    <w:rsid w:val="76A21419"/>
    <w:rsid w:val="77354CF9"/>
    <w:rsid w:val="773D3837"/>
    <w:rsid w:val="77743287"/>
    <w:rsid w:val="77A26F92"/>
    <w:rsid w:val="77B318CB"/>
    <w:rsid w:val="78F3578F"/>
    <w:rsid w:val="7A3A25F4"/>
    <w:rsid w:val="7A6B598B"/>
    <w:rsid w:val="7AAE3295"/>
    <w:rsid w:val="7B046B46"/>
    <w:rsid w:val="7B252618"/>
    <w:rsid w:val="7B2F3B4A"/>
    <w:rsid w:val="7B610879"/>
    <w:rsid w:val="7BC7188B"/>
    <w:rsid w:val="7C0725D2"/>
    <w:rsid w:val="7C853A45"/>
    <w:rsid w:val="7C952547"/>
    <w:rsid w:val="7CBE03EA"/>
    <w:rsid w:val="7D1D47BD"/>
    <w:rsid w:val="7E533563"/>
    <w:rsid w:val="7E5714CF"/>
    <w:rsid w:val="7EF42459"/>
    <w:rsid w:val="7F777DF7"/>
    <w:rsid w:val="7FA553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autoSpaceDE w:val="0"/>
      <w:autoSpaceDN w:val="0"/>
      <w:adjustRightInd w:val="0"/>
      <w:jc w:val="left"/>
      <w:outlineLvl w:val="0"/>
    </w:pPr>
    <w:rPr>
      <w:rFonts w:ascii="Times New Roman"/>
      <w:kern w:val="0"/>
      <w:sz w:val="30"/>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pacing w:line="360" w:lineRule="auto"/>
      <w:ind w:firstLine="200" w:firstLineChars="200"/>
    </w:pPr>
    <w:rPr>
      <w:rFonts w:ascii="Times New Roman" w:hAnsi="Times New Roman" w:eastAsia="宋体" w:cs="Times New Roman"/>
      <w:sz w:val="24"/>
    </w:rPr>
  </w:style>
  <w:style w:type="paragraph" w:styleId="7">
    <w:name w:val="annotation text"/>
    <w:basedOn w:val="1"/>
    <w:qFormat/>
    <w:uiPriority w:val="0"/>
    <w:pPr>
      <w:adjustRightInd w:val="0"/>
      <w:spacing w:line="360" w:lineRule="atLeast"/>
      <w:jc w:val="left"/>
      <w:textAlignment w:val="baseline"/>
    </w:pPr>
    <w:rPr>
      <w:kern w:val="0"/>
    </w:r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next w:val="10"/>
    <w:qFormat/>
    <w:uiPriority w:val="0"/>
    <w:pPr>
      <w:spacing w:after="120" w:afterLines="0"/>
      <w:ind w:left="420" w:leftChars="200"/>
    </w:pPr>
  </w:style>
  <w:style w:type="paragraph" w:styleId="10">
    <w:name w:val="envelope return"/>
    <w:basedOn w:val="1"/>
    <w:qFormat/>
    <w:uiPriority w:val="99"/>
    <w:pPr>
      <w:snapToGrid w:val="0"/>
    </w:pPr>
    <w:rPr>
      <w:rFonts w:ascii="Arial" w:hAnsi="Arial"/>
    </w:rPr>
  </w:style>
  <w:style w:type="paragraph" w:styleId="11">
    <w:name w:val="toc 3"/>
    <w:basedOn w:val="1"/>
    <w:next w:val="1"/>
    <w:qFormat/>
    <w:uiPriority w:val="0"/>
    <w:pPr>
      <w:ind w:left="840" w:leftChars="400"/>
    </w:pPr>
  </w:style>
  <w:style w:type="paragraph" w:styleId="12">
    <w:name w:val="Plain Text"/>
    <w:basedOn w:val="1"/>
    <w:next w:val="13"/>
    <w:qFormat/>
    <w:uiPriority w:val="0"/>
    <w:pPr>
      <w:ind w:firstLine="200" w:firstLineChars="200"/>
    </w:pPr>
    <w:rPr>
      <w:rFonts w:ascii="宋体" w:hAnsi="Courier New"/>
      <w:szCs w:val="21"/>
    </w:rPr>
  </w:style>
  <w:style w:type="paragraph" w:customStyle="1" w:styleId="13">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4">
    <w:name w:val="Body Text Indent 2"/>
    <w:basedOn w:val="1"/>
    <w:qFormat/>
    <w:uiPriority w:val="0"/>
    <w:pPr>
      <w:spacing w:line="480" w:lineRule="auto"/>
      <w:ind w:firstLine="561"/>
    </w:pPr>
    <w:rPr>
      <w:rFonts w:ascii="宋体"/>
    </w:rPr>
  </w:style>
  <w:style w:type="paragraph" w:styleId="15">
    <w:name w:val="Balloon Text"/>
    <w:basedOn w:val="1"/>
    <w:link w:val="28"/>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link w:val="29"/>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next w:val="8"/>
    <w:qFormat/>
    <w:uiPriority w:val="0"/>
    <w:pPr>
      <w:spacing w:line="500" w:lineRule="exact"/>
    </w:pPr>
    <w:rPr>
      <w:rFonts w:hint="default"/>
    </w:rPr>
  </w:style>
  <w:style w:type="paragraph" w:styleId="21">
    <w:name w:val="Normal (Web)"/>
    <w:basedOn w:val="1"/>
    <w:qFormat/>
    <w:uiPriority w:val="0"/>
    <w:pPr>
      <w:spacing w:beforeAutospacing="1" w:afterAutospacing="1"/>
      <w:jc w:val="left"/>
    </w:pPr>
    <w:rPr>
      <w:rFonts w:cs="Times New Roman"/>
      <w:kern w:val="0"/>
      <w:sz w:val="24"/>
    </w:rPr>
  </w:style>
  <w:style w:type="paragraph" w:styleId="22">
    <w:name w:val="Body Text First Indent"/>
    <w:basedOn w:val="8"/>
    <w:qFormat/>
    <w:uiPriority w:val="99"/>
    <w:pPr>
      <w:spacing w:line="240" w:lineRule="auto"/>
      <w:ind w:firstLine="420" w:firstLineChars="100"/>
    </w:pPr>
    <w:rPr>
      <w:rFonts w:ascii="Times New Roman" w:cs="Times New Roman"/>
      <w:sz w:val="20"/>
      <w:szCs w:val="20"/>
    </w:rPr>
  </w:style>
  <w:style w:type="paragraph" w:styleId="23">
    <w:name w:val="Body Text First Indent 2"/>
    <w:basedOn w:val="6"/>
    <w:unhideWhenUsed/>
    <w:qFormat/>
    <w:uiPriority w:val="99"/>
    <w:pPr>
      <w:tabs>
        <w:tab w:val="left" w:pos="0"/>
        <w:tab w:val="left" w:pos="8130"/>
      </w:tabs>
      <w:ind w:firstLine="42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character" w:customStyle="1" w:styleId="28">
    <w:name w:val="批注框文本 Char"/>
    <w:link w:val="15"/>
    <w:qFormat/>
    <w:uiPriority w:val="0"/>
    <w:rPr>
      <w:rFonts w:ascii="Arial" w:hAnsi="Arial" w:eastAsia="Arial" w:cs="Arial"/>
      <w:snapToGrid/>
      <w:color w:val="000000"/>
      <w:sz w:val="18"/>
      <w:szCs w:val="18"/>
      <w:lang w:eastAsia="en-US"/>
    </w:rPr>
  </w:style>
  <w:style w:type="character" w:customStyle="1" w:styleId="29">
    <w:name w:val="页眉 Char"/>
    <w:link w:val="17"/>
    <w:qFormat/>
    <w:uiPriority w:val="0"/>
    <w:rPr>
      <w:rFonts w:ascii="Arial" w:hAnsi="Arial" w:eastAsia="Arial" w:cs="Arial"/>
      <w:snapToGrid/>
      <w:color w:val="000000"/>
      <w:sz w:val="18"/>
      <w:szCs w:val="18"/>
      <w:lang w:eastAsia="en-US"/>
    </w:rPr>
  </w:style>
  <w:style w:type="paragraph" w:customStyle="1" w:styleId="30">
    <w:name w:val="章标题"/>
    <w:next w:val="1"/>
    <w:qFormat/>
    <w:uiPriority w:val="0"/>
    <w:pPr>
      <w:spacing w:before="50" w:after="50"/>
      <w:jc w:val="both"/>
      <w:outlineLvl w:val="1"/>
    </w:pPr>
    <w:rPr>
      <w:rFonts w:ascii="黑体" w:hAnsi="Calibri" w:eastAsia="黑体" w:cs="Times New Roman"/>
      <w:kern w:val="0"/>
      <w:sz w:val="21"/>
      <w:szCs w:val="20"/>
      <w:lang w:val="en-US" w:eastAsia="zh-CN" w:bidi="ar-SA"/>
    </w:rPr>
  </w:style>
  <w:style w:type="table" w:customStyle="1" w:styleId="3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32">
    <w:name w:val="Table Text"/>
    <w:basedOn w:val="1"/>
    <w:semiHidden/>
    <w:qFormat/>
    <w:uiPriority w:val="0"/>
    <w:rPr>
      <w:rFonts w:ascii="Arial" w:hAnsi="Arial" w:eastAsia="Arial" w:cs="Arial"/>
      <w:sz w:val="21"/>
      <w:szCs w:val="21"/>
      <w:lang w:val="en-US" w:eastAsia="en-US" w:bidi="ar-SA"/>
    </w:rPr>
  </w:style>
  <w:style w:type="paragraph" w:customStyle="1" w:styleId="33">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7">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Chars="400"/>
    </w:pPr>
    <w:rPr>
      <w:rFonts w:ascii="Times New Roman" w:hAnsi="Times New Roman" w:eastAsia="宋体" w:cs="Times New Roman"/>
      <w:lang w:val="en-US" w:eastAsia="zh-CN" w:bidi="ar-SA"/>
    </w:rPr>
  </w:style>
  <w:style w:type="paragraph" w:customStyle="1" w:styleId="41">
    <w:name w:val="正文缩进1"/>
    <w:basedOn w:val="1"/>
    <w:qFormat/>
    <w:uiPriority w:val="0"/>
    <w:pPr>
      <w:widowControl/>
      <w:ind w:firstLine="420"/>
      <w:jc w:val="left"/>
    </w:pPr>
    <w:rPr>
      <w:kern w:val="0"/>
    </w:rPr>
  </w:style>
  <w:style w:type="paragraph" w:customStyle="1" w:styleId="4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4">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5">
    <w:name w:val="样式 宋体 行距: 1.5 倍行距"/>
    <w:basedOn w:val="46"/>
    <w:next w:val="1"/>
    <w:qFormat/>
    <w:uiPriority w:val="99"/>
    <w:pPr>
      <w:jc w:val="center"/>
    </w:pPr>
    <w:rPr>
      <w:b/>
    </w:rPr>
  </w:style>
  <w:style w:type="paragraph" w:customStyle="1" w:styleId="4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5"/>
    <w:qFormat/>
    <w:uiPriority w:val="0"/>
    <w:pPr>
      <w:widowControl w:val="0"/>
      <w:jc w:val="both"/>
    </w:pPr>
    <w:rPr>
      <w:rFonts w:ascii="Calibri" w:hAnsi="Calibri" w:eastAsia="宋体" w:cs="黑体"/>
      <w:kern w:val="2"/>
      <w:sz w:val="21"/>
      <w:szCs w:val="24"/>
      <w:lang w:val="en-US" w:eastAsia="zh-CN" w:bidi="ar-SA"/>
    </w:rPr>
  </w:style>
  <w:style w:type="paragraph" w:customStyle="1" w:styleId="4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48">
    <w:name w:val="NormalCharacter"/>
    <w:qFormat/>
    <w:uiPriority w:val="99"/>
  </w:style>
  <w:style w:type="paragraph" w:customStyle="1" w:styleId="49">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50">
    <w:name w:val="Heading2"/>
    <w:basedOn w:val="1"/>
    <w:next w:val="1"/>
    <w:qFormat/>
    <w:uiPriority w:val="99"/>
    <w:pPr>
      <w:jc w:val="left"/>
    </w:pPr>
    <w:rPr>
      <w:kern w:val="0"/>
    </w:rPr>
  </w:style>
  <w:style w:type="paragraph" w:customStyle="1" w:styleId="51">
    <w:name w:val="AnnotationText"/>
    <w:basedOn w:val="1"/>
    <w:qFormat/>
    <w:uiPriority w:val="99"/>
    <w:pPr>
      <w:spacing w:line="360" w:lineRule="atLeast"/>
      <w:jc w:val="left"/>
    </w:pPr>
    <w:rPr>
      <w:kern w:val="0"/>
    </w:rPr>
  </w:style>
  <w:style w:type="paragraph" w:customStyle="1" w:styleId="52">
    <w:name w:val="UserStyle_44"/>
    <w:basedOn w:val="53"/>
    <w:qFormat/>
    <w:uiPriority w:val="99"/>
    <w:rPr>
      <w:sz w:val="24"/>
      <w:szCs w:val="24"/>
    </w:rPr>
  </w:style>
  <w:style w:type="paragraph" w:customStyle="1" w:styleId="53">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4">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55">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56">
    <w:name w:val="Heading1"/>
    <w:basedOn w:val="1"/>
    <w:next w:val="1"/>
    <w:qFormat/>
    <w:uiPriority w:val="99"/>
    <w:pPr>
      <w:jc w:val="left"/>
    </w:pPr>
    <w:rPr>
      <w:kern w:val="0"/>
      <w:sz w:val="30"/>
      <w:szCs w:val="30"/>
    </w:rPr>
  </w:style>
  <w:style w:type="paragraph" w:customStyle="1" w:styleId="57">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8">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标题 3 New New"/>
    <w:basedOn w:val="60"/>
    <w:next w:val="60"/>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0">
    <w:name w:val="正文缩进 New"/>
    <w:basedOn w:val="61"/>
    <w:qFormat/>
    <w:uiPriority w:val="0"/>
    <w:pPr>
      <w:widowControl/>
      <w:ind w:firstLine="420"/>
      <w:jc w:val="left"/>
    </w:pPr>
    <w:rPr>
      <w:kern w:val="0"/>
      <w:sz w:val="20"/>
    </w:rPr>
  </w:style>
  <w:style w:type="paragraph" w:customStyle="1" w:styleId="6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正文文本缩进 New"/>
    <w:basedOn w:val="61"/>
    <w:qFormat/>
    <w:uiPriority w:val="0"/>
    <w:pPr>
      <w:ind w:firstLine="560" w:firstLineChars="200"/>
    </w:pPr>
    <w:rPr>
      <w:rFonts w:ascii="宋体"/>
      <w:kern w:val="2"/>
      <w:sz w:val="24"/>
    </w:rPr>
  </w:style>
  <w:style w:type="paragraph" w:customStyle="1" w:styleId="6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文本1"/>
    <w:basedOn w:val="1"/>
    <w:qFormat/>
    <w:uiPriority w:val="0"/>
    <w:pPr>
      <w:spacing w:after="120"/>
    </w:pPr>
  </w:style>
  <w:style w:type="character" w:customStyle="1" w:styleId="66">
    <w:name w:val="正文文本 (2) + 间距 0 pt3"/>
    <w:basedOn w:val="26"/>
    <w:qFormat/>
    <w:uiPriority w:val="99"/>
    <w:rPr>
      <w:rFonts w:ascii="MingLiU"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761</Words>
  <Characters>885</Characters>
  <Lines>459</Lines>
  <Paragraphs>129</Paragraphs>
  <TotalTime>1</TotalTime>
  <ScaleCrop>false</ScaleCrop>
  <LinksUpToDate>false</LinksUpToDate>
  <CharactersWithSpaces>1039</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2024-07-04T19:08:00Z</dcterms:created>
  <dc:creator>Administrator</dc:creator>
  <cp:lastModifiedBy>明正</cp:lastModifiedBy>
  <cp:lastPrinted>2024-10-31T01:02:00Z</cp:lastPrinted>
  <dcterms:modified xsi:type="dcterms:W3CDTF">2025-08-29T06:09:15Z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2024-07-30T11:15:44Z</vt:filetime>
  </property>
  <property fmtid="{D5CDD505-2E9C-101B-9397-08002B2CF9AE}" pid="4" name="KSOProductBuildVer">
    <vt:lpwstr>2052-12.1.0.22089</vt:lpwstr>
  </property>
  <property fmtid="{D5CDD505-2E9C-101B-9397-08002B2CF9AE}" pid="5" name="ICV">
    <vt:lpwstr>C9FAD581C3C34FDD94E9D7784186DFA7_13</vt:lpwstr>
  </property>
  <property fmtid="{D5CDD505-2E9C-101B-9397-08002B2CF9AE}" pid="6" name="KSOTemplateDocerSaveRecord">
    <vt:lpwstr>eyJoZGlkIjoiY2ZiMzI0MGUwZmU4OTk2OGQwYTNlYmNmYzRlNTVkMmIiLCJ1c2VySWQiOiIzMjI4NDYzOTkifQ==</vt:lpwstr>
  </property>
</Properties>
</file>