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33808F">
      <w:pPr>
        <w:tabs>
          <w:tab w:val="left" w:pos="900"/>
          <w:tab w:val="left" w:pos="1080"/>
        </w:tabs>
        <w:jc w:val="center"/>
        <w:rPr>
          <w:rFonts w:hint="eastAsia" w:ascii="黑体" w:hAnsi="Times New Roman" w:eastAsia="黑体" w:cs="Times New Roman"/>
          <w:sz w:val="44"/>
          <w:szCs w:val="44"/>
        </w:rPr>
      </w:pPr>
      <w:r>
        <w:rPr>
          <w:rFonts w:hint="eastAsia" w:ascii="黑体" w:hAnsi="Times New Roman" w:eastAsia="黑体" w:cs="Times New Roman"/>
          <w:sz w:val="44"/>
          <w:szCs w:val="44"/>
          <w:lang w:eastAsia="zh-CN"/>
        </w:rPr>
        <w:t>编</w:t>
      </w:r>
      <w:r>
        <w:rPr>
          <w:rFonts w:hint="eastAsia" w:ascii="黑体" w:hAnsi="Times New Roman" w:eastAsia="黑体" w:cs="Times New Roman"/>
          <w:sz w:val="44"/>
          <w:szCs w:val="44"/>
          <w:lang w:val="en-US" w:eastAsia="zh-CN"/>
        </w:rPr>
        <w:t xml:space="preserve"> </w:t>
      </w:r>
      <w:r>
        <w:rPr>
          <w:rFonts w:hint="eastAsia" w:ascii="黑体" w:hAnsi="Times New Roman" w:eastAsia="黑体" w:cs="Times New Roman"/>
          <w:sz w:val="44"/>
          <w:szCs w:val="44"/>
          <w:lang w:eastAsia="zh-CN"/>
        </w:rPr>
        <w:t>制</w:t>
      </w:r>
      <w:r>
        <w:rPr>
          <w:rFonts w:hint="eastAsia" w:ascii="黑体" w:hAnsi="Times New Roman" w:eastAsia="黑体" w:cs="Times New Roman"/>
          <w:sz w:val="44"/>
          <w:szCs w:val="44"/>
        </w:rPr>
        <w:t xml:space="preserve"> 说 明</w:t>
      </w:r>
    </w:p>
    <w:p w14:paraId="4A26E21A">
      <w:pPr>
        <w:pStyle w:val="2"/>
        <w:rPr>
          <w:rFonts w:hint="eastAsia"/>
          <w:lang w:eastAsia="zh-CN"/>
        </w:rPr>
      </w:pPr>
    </w:p>
    <w:p w14:paraId="7B0F6B49">
      <w:pPr>
        <w:tabs>
          <w:tab w:val="left" w:pos="900"/>
          <w:tab w:val="left" w:pos="1080"/>
        </w:tabs>
        <w:spacing w:line="520" w:lineRule="exact"/>
        <w:ind w:firstLine="636" w:firstLineChars="199"/>
        <w:rPr>
          <w:rFonts w:ascii="黑体" w:hAnsi="Times New Roman" w:eastAsia="黑体"/>
          <w:bCs/>
          <w:sz w:val="32"/>
          <w:szCs w:val="32"/>
        </w:rPr>
      </w:pPr>
      <w:r>
        <w:rPr>
          <w:rFonts w:hint="eastAsia" w:ascii="黑体" w:hAnsi="Times New Roman" w:eastAsia="黑体"/>
          <w:sz w:val="32"/>
          <w:szCs w:val="32"/>
        </w:rPr>
        <w:t>一、项目概况</w:t>
      </w:r>
    </w:p>
    <w:p w14:paraId="1A75BA18">
      <w:pPr>
        <w:tabs>
          <w:tab w:val="left" w:pos="900"/>
          <w:tab w:val="left" w:pos="1080"/>
        </w:tabs>
        <w:spacing w:line="52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（一）项目内容：</w:t>
      </w:r>
    </w:p>
    <w:p w14:paraId="35F4FDBC">
      <w:pPr>
        <w:tabs>
          <w:tab w:val="left" w:pos="900"/>
          <w:tab w:val="left" w:pos="1080"/>
        </w:tabs>
        <w:spacing w:line="520" w:lineRule="exact"/>
        <w:ind w:firstLine="640" w:firstLineChars="200"/>
        <w:rPr>
          <w:rFonts w:hint="default" w:ascii="仿宋_GB2312" w:hAnsi="Times New Roman" w:eastAsia="仿宋_GB2312"/>
          <w:snapToGrid w:val="0"/>
          <w:color w:val="auto"/>
          <w:kern w:val="0"/>
          <w:sz w:val="32"/>
          <w:szCs w:val="24"/>
          <w:highlight w:val="yellow"/>
          <w:lang w:val="en-US" w:eastAsia="zh-CN"/>
        </w:rPr>
      </w:pPr>
      <w:r>
        <w:rPr>
          <w:rFonts w:hint="eastAsia" w:ascii="仿宋_GB2312" w:hAnsi="Times New Roman" w:eastAsia="仿宋_GB2312"/>
          <w:snapToGrid w:val="0"/>
          <w:color w:val="auto"/>
          <w:kern w:val="0"/>
          <w:sz w:val="32"/>
          <w:szCs w:val="24"/>
          <w:lang w:eastAsia="zh"/>
        </w:rPr>
        <w:t>主要修缮3栋原有宿舍（A2、A3、A4）栋和2栋文物本体（A1、A5），主要包括建筑结构补强、建筑装饰装修、水电安装工程、园林绿化工程、消防改造工程；新建公厕及连廊；提升室外电力、照明、雨污水、给排水系统等基础配套设施</w:t>
      </w:r>
      <w:r>
        <w:rPr>
          <w:rFonts w:hint="eastAsia" w:ascii="仿宋_GB2312" w:hAnsi="Times New Roman" w:eastAsia="仿宋_GB2312"/>
          <w:snapToGrid w:val="0"/>
          <w:color w:val="auto"/>
          <w:kern w:val="0"/>
          <w:sz w:val="32"/>
          <w:szCs w:val="24"/>
          <w:highlight w:val="none"/>
          <w:lang w:val="en-US" w:eastAsia="zh-CN"/>
        </w:rPr>
        <w:t>。</w:t>
      </w:r>
    </w:p>
    <w:p w14:paraId="1D299B96">
      <w:pPr>
        <w:tabs>
          <w:tab w:val="left" w:pos="900"/>
          <w:tab w:val="left" w:pos="1080"/>
        </w:tabs>
        <w:spacing w:line="520" w:lineRule="exact"/>
        <w:ind w:firstLine="640" w:firstLineChars="200"/>
        <w:rPr>
          <w:rFonts w:ascii="仿宋_GB2312" w:hAnsi="宋体" w:eastAsia="仿宋_GB2312"/>
          <w:sz w:val="32"/>
          <w:szCs w:val="32"/>
        </w:rPr>
      </w:pPr>
      <w:r>
        <w:rPr>
          <w:rFonts w:hint="eastAsia" w:ascii="仿宋_GB2312" w:hAnsi="宋体" w:eastAsia="仿宋_GB2312"/>
          <w:sz w:val="32"/>
          <w:szCs w:val="32"/>
        </w:rPr>
        <w:t>（二）实施地点：</w:t>
      </w:r>
      <w:r>
        <w:rPr>
          <w:rFonts w:hint="eastAsia" w:ascii="仿宋_GB2312" w:hAnsi="宋体" w:eastAsia="仿宋_GB2312"/>
          <w:sz w:val="32"/>
          <w:szCs w:val="32"/>
          <w:lang w:val="en-US" w:eastAsia="zh-CN"/>
        </w:rPr>
        <w:t>韶关市武江区</w:t>
      </w:r>
      <w:r>
        <w:rPr>
          <w:rFonts w:hint="eastAsia" w:ascii="仿宋_GB2312" w:hAnsi="宋体" w:eastAsia="仿宋_GB2312"/>
          <w:sz w:val="32"/>
          <w:szCs w:val="32"/>
          <w:highlight w:val="none"/>
          <w:lang w:val="en-US" w:eastAsia="zh-CN"/>
        </w:rPr>
        <w:t>光明巷</w:t>
      </w:r>
      <w:r>
        <w:rPr>
          <w:rFonts w:hint="eastAsia" w:ascii="仿宋_GB2312" w:hAnsi="宋体" w:eastAsia="仿宋_GB2312"/>
          <w:sz w:val="32"/>
          <w:szCs w:val="32"/>
        </w:rPr>
        <w:t>。</w:t>
      </w:r>
    </w:p>
    <w:p w14:paraId="2CA0345D">
      <w:pPr>
        <w:tabs>
          <w:tab w:val="left" w:pos="900"/>
          <w:tab w:val="left" w:pos="1080"/>
        </w:tabs>
        <w:spacing w:line="52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（三）实施单位：</w:t>
      </w:r>
    </w:p>
    <w:p w14:paraId="4F5B9299">
      <w:pPr>
        <w:tabs>
          <w:tab w:val="left" w:pos="900"/>
          <w:tab w:val="left" w:pos="1080"/>
        </w:tabs>
        <w:spacing w:line="520" w:lineRule="exact"/>
        <w:ind w:firstLine="640" w:firstLineChars="200"/>
        <w:rPr>
          <w:rFonts w:hint="eastAsia" w:ascii="仿宋_GB2312" w:hAnsi="Times New Roman" w:eastAsia="仿宋_GB2312"/>
          <w:snapToGrid w:val="0"/>
          <w:kern w:val="0"/>
          <w:sz w:val="32"/>
          <w:szCs w:val="24"/>
          <w:highlight w:val="none"/>
          <w:lang w:eastAsia="zh-CN"/>
        </w:rPr>
      </w:pPr>
      <w:r>
        <w:rPr>
          <w:rFonts w:hint="eastAsia" w:ascii="仿宋_GB2312" w:hAnsi="Times New Roman" w:eastAsia="仿宋_GB2312"/>
          <w:snapToGrid w:val="0"/>
          <w:kern w:val="0"/>
          <w:sz w:val="32"/>
          <w:szCs w:val="24"/>
          <w:highlight w:val="none"/>
          <w:lang w:eastAsia="zh-CN"/>
        </w:rPr>
        <w:t>1</w:t>
      </w:r>
      <w:r>
        <w:rPr>
          <w:rFonts w:hint="eastAsia" w:ascii="仿宋_GB2312" w:hAnsi="宋体" w:eastAsia="仿宋_GB2312"/>
          <w:snapToGrid w:val="0"/>
          <w:kern w:val="0"/>
          <w:sz w:val="32"/>
          <w:szCs w:val="24"/>
          <w:lang w:val="en-US" w:eastAsia="zh-CN"/>
        </w:rPr>
        <w:t xml:space="preserve">. </w:t>
      </w:r>
      <w:r>
        <w:rPr>
          <w:rFonts w:hint="eastAsia" w:ascii="仿宋_GB2312" w:hAnsi="Times New Roman" w:eastAsia="仿宋_GB2312"/>
          <w:snapToGrid w:val="0"/>
          <w:kern w:val="0"/>
          <w:sz w:val="32"/>
          <w:szCs w:val="24"/>
          <w:highlight w:val="none"/>
          <w:lang w:eastAsia="zh-CN"/>
        </w:rPr>
        <w:t>建设单位：韶关市武江区文化旅游体育局；</w:t>
      </w:r>
    </w:p>
    <w:p w14:paraId="0E1B6A3D">
      <w:pPr>
        <w:tabs>
          <w:tab w:val="left" w:pos="900"/>
          <w:tab w:val="left" w:pos="1080"/>
        </w:tabs>
        <w:spacing w:line="520" w:lineRule="exact"/>
        <w:ind w:firstLine="640" w:firstLineChars="200"/>
        <w:rPr>
          <w:rFonts w:hint="eastAsia" w:ascii="仿宋_GB2312" w:hAnsi="Times New Roman" w:eastAsia="仿宋_GB2312"/>
          <w:snapToGrid w:val="0"/>
          <w:kern w:val="0"/>
          <w:sz w:val="32"/>
          <w:szCs w:val="24"/>
          <w:highlight w:val="none"/>
          <w:lang w:eastAsia="zh-CN"/>
        </w:rPr>
      </w:pPr>
      <w:r>
        <w:rPr>
          <w:rFonts w:hint="eastAsia" w:ascii="仿宋_GB2312" w:hAnsi="Times New Roman" w:eastAsia="仿宋_GB2312"/>
          <w:snapToGrid w:val="0"/>
          <w:kern w:val="0"/>
          <w:sz w:val="32"/>
          <w:szCs w:val="24"/>
          <w:highlight w:val="none"/>
          <w:lang w:eastAsia="zh-CN"/>
        </w:rPr>
        <w:t>2</w:t>
      </w:r>
      <w:r>
        <w:rPr>
          <w:rFonts w:hint="eastAsia" w:ascii="仿宋_GB2312" w:hAnsi="宋体" w:eastAsia="仿宋_GB2312"/>
          <w:snapToGrid w:val="0"/>
          <w:kern w:val="0"/>
          <w:sz w:val="32"/>
          <w:szCs w:val="24"/>
          <w:highlight w:val="none"/>
          <w:lang w:val="en-US" w:eastAsia="zh-CN"/>
        </w:rPr>
        <w:t xml:space="preserve">. </w:t>
      </w:r>
      <w:r>
        <w:rPr>
          <w:rFonts w:hint="eastAsia" w:ascii="仿宋_GB2312" w:hAnsi="Times New Roman" w:eastAsia="仿宋_GB2312"/>
          <w:snapToGrid w:val="0"/>
          <w:kern w:val="0"/>
          <w:sz w:val="32"/>
          <w:szCs w:val="24"/>
          <w:highlight w:val="none"/>
          <w:lang w:eastAsia="zh-CN"/>
        </w:rPr>
        <w:t>设计单位：广东建筑艺术设计院有限公司；</w:t>
      </w:r>
    </w:p>
    <w:p w14:paraId="3FF7FF95">
      <w:pPr>
        <w:tabs>
          <w:tab w:val="left" w:pos="900"/>
          <w:tab w:val="left" w:pos="1080"/>
        </w:tabs>
        <w:spacing w:line="520" w:lineRule="exact"/>
        <w:ind w:firstLine="640" w:firstLineChars="200"/>
        <w:rPr>
          <w:rFonts w:hint="eastAsia" w:ascii="仿宋_GB2312" w:hAnsi="宋体" w:eastAsia="仿宋_GB2312" w:cs="Times New Roman"/>
          <w:b/>
          <w:bCs/>
          <w:sz w:val="32"/>
          <w:szCs w:val="32"/>
        </w:rPr>
      </w:pPr>
      <w:r>
        <w:rPr>
          <w:rFonts w:hint="eastAsia" w:ascii="仿宋_GB2312" w:hAnsi="Times New Roman" w:eastAsia="仿宋_GB2312" w:cs="Times New Roman"/>
          <w:snapToGrid w:val="0"/>
          <w:kern w:val="0"/>
          <w:sz w:val="32"/>
          <w:szCs w:val="24"/>
          <w:highlight w:val="none"/>
          <w:lang w:val="en-US" w:eastAsia="zh-CN"/>
        </w:rPr>
        <w:t>3. 编制单位：</w:t>
      </w:r>
      <w:r>
        <w:rPr>
          <w:rFonts w:hint="eastAsia" w:ascii="仿宋_GB2312" w:hAnsi="Times New Roman" w:eastAsia="仿宋_GB2312"/>
          <w:snapToGrid w:val="0"/>
          <w:kern w:val="0"/>
          <w:sz w:val="32"/>
          <w:szCs w:val="24"/>
          <w:highlight w:val="none"/>
          <w:lang w:eastAsia="zh-CN"/>
        </w:rPr>
        <w:t>深圳市腾达工程顾问有限公司</w:t>
      </w:r>
      <w:r>
        <w:rPr>
          <w:rFonts w:hint="eastAsia" w:ascii="仿宋_GB2312" w:hAnsi="Times New Roman" w:eastAsia="仿宋_GB2312" w:cs="Times New Roman"/>
          <w:snapToGrid w:val="0"/>
          <w:kern w:val="0"/>
          <w:sz w:val="32"/>
          <w:szCs w:val="24"/>
          <w:highlight w:val="none"/>
          <w:lang w:val="en-US" w:eastAsia="zh-CN"/>
        </w:rPr>
        <w:t>。</w:t>
      </w:r>
    </w:p>
    <w:p w14:paraId="1D0CA261">
      <w:pPr>
        <w:tabs>
          <w:tab w:val="left" w:pos="1080"/>
        </w:tabs>
        <w:spacing w:before="156" w:beforeLines="50" w:line="520" w:lineRule="exact"/>
        <w:ind w:firstLine="640" w:firstLineChars="200"/>
        <w:outlineLvl w:val="0"/>
        <w:rPr>
          <w:rFonts w:hint="eastAsia" w:ascii="黑体" w:hAnsi="Times New Roman" w:eastAsia="黑体"/>
          <w:sz w:val="32"/>
          <w:szCs w:val="32"/>
        </w:rPr>
      </w:pPr>
      <w:r>
        <w:rPr>
          <w:rFonts w:hint="eastAsia" w:ascii="黑体" w:hAnsi="Times New Roman" w:eastAsia="黑体"/>
          <w:sz w:val="32"/>
          <w:szCs w:val="32"/>
        </w:rPr>
        <w:t>二、</w:t>
      </w:r>
      <w:r>
        <w:rPr>
          <w:rFonts w:hint="eastAsia" w:ascii="黑体" w:hAnsi="Times New Roman" w:eastAsia="黑体"/>
          <w:sz w:val="32"/>
          <w:szCs w:val="32"/>
          <w:lang w:eastAsia="zh-CN"/>
        </w:rPr>
        <w:t>编制</w:t>
      </w:r>
      <w:r>
        <w:rPr>
          <w:rFonts w:hint="eastAsia" w:ascii="黑体" w:hAnsi="Times New Roman" w:eastAsia="黑体"/>
          <w:sz w:val="32"/>
          <w:szCs w:val="32"/>
        </w:rPr>
        <w:t>依据</w:t>
      </w:r>
    </w:p>
    <w:p w14:paraId="4D473A69">
      <w:pPr>
        <w:tabs>
          <w:tab w:val="left" w:pos="900"/>
          <w:tab w:val="left" w:pos="1080"/>
        </w:tabs>
        <w:spacing w:line="520" w:lineRule="exact"/>
        <w:ind w:firstLine="640" w:firstLineChars="200"/>
        <w:rPr>
          <w:rFonts w:hint="eastAsia" w:ascii="仿宋_GB2312" w:hAnsi="宋体" w:eastAsia="仿宋_GB2312" w:cs="Times New Roman"/>
          <w:sz w:val="32"/>
          <w:szCs w:val="32"/>
          <w:highlight w:val="none"/>
        </w:rPr>
      </w:pPr>
      <w:r>
        <w:rPr>
          <w:rFonts w:hint="eastAsia" w:ascii="仿宋_GB2312" w:hAnsi="宋体" w:eastAsia="仿宋_GB2312" w:cs="Times New Roman"/>
          <w:sz w:val="32"/>
          <w:szCs w:val="32"/>
          <w:highlight w:val="none"/>
        </w:rPr>
        <w:t>（一）送审资料</w:t>
      </w:r>
    </w:p>
    <w:p w14:paraId="55DCA66F">
      <w:pPr>
        <w:pStyle w:val="2"/>
        <w:ind w:firstLine="640"/>
        <w:rPr>
          <w:rFonts w:hint="eastAsia" w:ascii="仿宋" w:hAnsi="仿宋" w:eastAsia="仿宋" w:cs="仿宋"/>
          <w:snapToGrid w:val="0"/>
          <w:color w:val="auto"/>
          <w:w w:val="100"/>
          <w:kern w:val="0"/>
          <w:sz w:val="32"/>
          <w:szCs w:val="32"/>
          <w:highlight w:val="none"/>
          <w:lang w:val="en-US" w:eastAsia="zh-CN"/>
        </w:rPr>
      </w:pPr>
      <w:r>
        <w:rPr>
          <w:rFonts w:hint="eastAsia" w:ascii="仿宋" w:hAnsi="仿宋" w:eastAsia="仿宋" w:cs="仿宋"/>
          <w:snapToGrid w:val="0"/>
          <w:color w:val="auto"/>
          <w:w w:val="100"/>
          <w:kern w:val="0"/>
          <w:sz w:val="32"/>
          <w:szCs w:val="32"/>
          <w:highlight w:val="none"/>
          <w:lang w:val="en-US" w:eastAsia="zh-CN"/>
        </w:rPr>
        <w:t>1.建设单位提供的《关于武江区全域旅游基础建设项目—光明巷片区项目初步设计概算的批复》。</w:t>
      </w:r>
    </w:p>
    <w:p w14:paraId="159982C0">
      <w:pPr>
        <w:pStyle w:val="2"/>
        <w:ind w:firstLine="640"/>
        <w:rPr>
          <w:rFonts w:hint="eastAsia" w:ascii="仿宋" w:hAnsi="仿宋" w:eastAsia="仿宋" w:cs="仿宋"/>
          <w:snapToGrid w:val="0"/>
          <w:color w:val="auto"/>
          <w:w w:val="100"/>
          <w:kern w:val="0"/>
          <w:sz w:val="32"/>
          <w:szCs w:val="32"/>
          <w:highlight w:val="none"/>
          <w:lang w:val="en-US" w:eastAsia="zh-CN"/>
        </w:rPr>
      </w:pPr>
      <w:r>
        <w:rPr>
          <w:rFonts w:hint="eastAsia" w:ascii="仿宋" w:hAnsi="仿宋" w:eastAsia="仿宋" w:cs="仿宋"/>
          <w:snapToGrid w:val="0"/>
          <w:color w:val="auto"/>
          <w:w w:val="100"/>
          <w:kern w:val="0"/>
          <w:sz w:val="32"/>
          <w:szCs w:val="32"/>
          <w:highlight w:val="none"/>
          <w:lang w:val="en-US" w:eastAsia="zh-CN"/>
        </w:rPr>
        <w:t>2.建设单位提供的《武江区全域旅游基础建设项目—光明巷片区》施工图。</w:t>
      </w:r>
    </w:p>
    <w:p w14:paraId="577572D7">
      <w:pPr>
        <w:pStyle w:val="2"/>
        <w:ind w:firstLine="640"/>
        <w:rPr>
          <w:rFonts w:hint="eastAsia" w:ascii="仿宋" w:hAnsi="仿宋" w:eastAsia="仿宋" w:cs="仿宋"/>
          <w:snapToGrid w:val="0"/>
          <w:color w:val="auto"/>
          <w:w w:val="100"/>
          <w:kern w:val="0"/>
          <w:sz w:val="32"/>
          <w:szCs w:val="32"/>
          <w:highlight w:val="none"/>
          <w:lang w:val="en-US" w:eastAsia="zh-CN"/>
        </w:rPr>
      </w:pPr>
      <w:r>
        <w:rPr>
          <w:rFonts w:hint="eastAsia" w:ascii="仿宋" w:hAnsi="仿宋" w:eastAsia="仿宋" w:cs="仿宋"/>
          <w:snapToGrid w:val="0"/>
          <w:color w:val="auto"/>
          <w:w w:val="100"/>
          <w:kern w:val="0"/>
          <w:sz w:val="32"/>
          <w:szCs w:val="32"/>
          <w:highlight w:val="none"/>
          <w:lang w:val="en-US" w:eastAsia="zh-CN"/>
        </w:rPr>
        <w:t>3.《武江区全域旅游基础建设项目—光明巷片区项目》送审招标控制价及工程量清单。</w:t>
      </w:r>
    </w:p>
    <w:p w14:paraId="117F1977">
      <w:pPr>
        <w:pStyle w:val="2"/>
        <w:ind w:firstLine="640"/>
        <w:rPr>
          <w:rFonts w:hint="eastAsia" w:ascii="仿宋" w:hAnsi="仿宋" w:eastAsia="仿宋" w:cs="仿宋"/>
          <w:snapToGrid w:val="0"/>
          <w:color w:val="auto"/>
          <w:w w:val="100"/>
          <w:kern w:val="0"/>
          <w:sz w:val="32"/>
          <w:szCs w:val="32"/>
          <w:highlight w:val="none"/>
          <w:lang w:val="en-US" w:eastAsia="zh-CN"/>
        </w:rPr>
      </w:pPr>
      <w:r>
        <w:rPr>
          <w:rFonts w:hint="eastAsia" w:ascii="仿宋" w:hAnsi="仿宋" w:eastAsia="仿宋" w:cs="仿宋"/>
          <w:snapToGrid w:val="0"/>
          <w:color w:val="auto"/>
          <w:w w:val="100"/>
          <w:kern w:val="0"/>
          <w:sz w:val="32"/>
          <w:szCs w:val="32"/>
          <w:highlight w:val="none"/>
          <w:lang w:val="en-US" w:eastAsia="zh-CN"/>
        </w:rPr>
        <w:t>4.《武江区全域旅游基础建设项目一光明巷片区项目的工作联系函》招标控制价审核征询意见表。</w:t>
      </w:r>
    </w:p>
    <w:p w14:paraId="720247E5">
      <w:pPr>
        <w:tabs>
          <w:tab w:val="left" w:pos="900"/>
          <w:tab w:val="left" w:pos="1080"/>
        </w:tabs>
        <w:spacing w:line="520" w:lineRule="exact"/>
        <w:ind w:firstLine="640" w:firstLineChars="200"/>
        <w:rPr>
          <w:rFonts w:ascii="仿宋_GB2312" w:hAnsi="宋体" w:eastAsia="仿宋_GB2312"/>
          <w:sz w:val="32"/>
          <w:szCs w:val="32"/>
        </w:rPr>
      </w:pPr>
      <w:r>
        <w:rPr>
          <w:rFonts w:hint="eastAsia" w:ascii="仿宋_GB2312" w:hAnsi="宋体" w:eastAsia="仿宋_GB2312"/>
          <w:sz w:val="32"/>
          <w:szCs w:val="32"/>
        </w:rPr>
        <w:t>（二）执行规范及定额</w:t>
      </w:r>
    </w:p>
    <w:p w14:paraId="3E76B7CA">
      <w:pPr>
        <w:pStyle w:val="2"/>
        <w:ind w:firstLine="640"/>
        <w:rPr>
          <w:rFonts w:hint="default" w:ascii="仿宋" w:hAnsi="仿宋" w:eastAsia="仿宋" w:cs="仿宋"/>
          <w:snapToGrid w:val="0"/>
          <w:color w:val="auto"/>
          <w:w w:val="100"/>
          <w:kern w:val="0"/>
          <w:sz w:val="32"/>
          <w:szCs w:val="32"/>
          <w:highlight w:val="none"/>
          <w:lang w:val="en-US" w:eastAsia="zh-CN"/>
          <w:woUserID w:val="2"/>
        </w:rPr>
      </w:pPr>
      <w:r>
        <w:rPr>
          <w:rFonts w:hint="default" w:ascii="仿宋" w:hAnsi="仿宋" w:eastAsia="仿宋" w:cs="仿宋"/>
          <w:snapToGrid w:val="0"/>
          <w:color w:val="auto"/>
          <w:w w:val="100"/>
          <w:kern w:val="0"/>
          <w:sz w:val="32"/>
          <w:szCs w:val="32"/>
          <w:highlight w:val="none"/>
          <w:lang w:val="en-US" w:eastAsia="zh-CN"/>
          <w:woUserID w:val="2"/>
        </w:rPr>
        <w:t>1.《建设工程工程量清单计价规范》（GB50500-2013）；</w:t>
      </w:r>
    </w:p>
    <w:p w14:paraId="26E7A12F">
      <w:pPr>
        <w:pStyle w:val="2"/>
        <w:ind w:firstLine="640"/>
        <w:rPr>
          <w:rFonts w:hint="default" w:ascii="仿宋" w:hAnsi="仿宋" w:eastAsia="仿宋" w:cs="仿宋"/>
          <w:snapToGrid w:val="0"/>
          <w:color w:val="auto"/>
          <w:w w:val="100"/>
          <w:kern w:val="0"/>
          <w:sz w:val="32"/>
          <w:szCs w:val="32"/>
          <w:highlight w:val="none"/>
          <w:lang w:val="en-US" w:eastAsia="zh-CN"/>
          <w:woUserID w:val="2"/>
        </w:rPr>
      </w:pPr>
      <w:r>
        <w:rPr>
          <w:rFonts w:hint="default" w:ascii="仿宋" w:hAnsi="仿宋" w:eastAsia="仿宋" w:cs="仿宋"/>
          <w:snapToGrid w:val="0"/>
          <w:color w:val="auto"/>
          <w:w w:val="100"/>
          <w:kern w:val="0"/>
          <w:sz w:val="32"/>
          <w:szCs w:val="32"/>
          <w:highlight w:val="none"/>
          <w:lang w:val="en-US" w:eastAsia="zh-CN"/>
          <w:woUserID w:val="2"/>
        </w:rPr>
        <w:t>2.《房屋建筑与装饰工程工程量计算规范》（GB50854-2013）；</w:t>
      </w:r>
    </w:p>
    <w:p w14:paraId="7FA9B12D">
      <w:pPr>
        <w:pStyle w:val="2"/>
        <w:ind w:firstLine="640"/>
        <w:rPr>
          <w:rFonts w:hint="default" w:ascii="仿宋" w:hAnsi="仿宋" w:eastAsia="仿宋" w:cs="仿宋"/>
          <w:snapToGrid w:val="0"/>
          <w:color w:val="auto"/>
          <w:w w:val="100"/>
          <w:kern w:val="0"/>
          <w:sz w:val="32"/>
          <w:szCs w:val="32"/>
          <w:highlight w:val="none"/>
          <w:lang w:val="en-US" w:eastAsia="zh-CN"/>
          <w:woUserID w:val="2"/>
        </w:rPr>
      </w:pPr>
      <w:r>
        <w:rPr>
          <w:rFonts w:hint="default" w:ascii="仿宋" w:hAnsi="仿宋" w:eastAsia="仿宋" w:cs="仿宋"/>
          <w:snapToGrid w:val="0"/>
          <w:color w:val="auto"/>
          <w:w w:val="100"/>
          <w:kern w:val="0"/>
          <w:sz w:val="32"/>
          <w:szCs w:val="32"/>
          <w:highlight w:val="none"/>
          <w:lang w:val="en-US" w:eastAsia="zh-CN"/>
          <w:woUserID w:val="2"/>
        </w:rPr>
        <w:t>3.《通用安装工程工程量计算规范》（GB50856-2013）；</w:t>
      </w:r>
    </w:p>
    <w:p w14:paraId="56788820">
      <w:pPr>
        <w:pStyle w:val="2"/>
        <w:ind w:firstLine="640"/>
        <w:rPr>
          <w:rFonts w:hint="default" w:ascii="仿宋" w:hAnsi="仿宋" w:eastAsia="仿宋" w:cs="仿宋"/>
          <w:snapToGrid w:val="0"/>
          <w:color w:val="auto"/>
          <w:w w:val="100"/>
          <w:kern w:val="0"/>
          <w:sz w:val="32"/>
          <w:szCs w:val="32"/>
          <w:highlight w:val="none"/>
          <w:lang w:val="en-US" w:eastAsia="zh-CN"/>
          <w:woUserID w:val="2"/>
        </w:rPr>
      </w:pPr>
      <w:r>
        <w:rPr>
          <w:rFonts w:hint="default" w:ascii="仿宋" w:hAnsi="仿宋" w:eastAsia="仿宋" w:cs="仿宋"/>
          <w:snapToGrid w:val="0"/>
          <w:color w:val="auto"/>
          <w:w w:val="100"/>
          <w:kern w:val="0"/>
          <w:sz w:val="32"/>
          <w:szCs w:val="32"/>
          <w:highlight w:val="none"/>
          <w:lang w:val="en-US" w:eastAsia="zh-CN"/>
          <w:woUserID w:val="2"/>
        </w:rPr>
        <w:t>4.《市政工程工程量计算规范》（GB50857-2013）；</w:t>
      </w:r>
    </w:p>
    <w:p w14:paraId="0261CF3B">
      <w:pPr>
        <w:pStyle w:val="2"/>
        <w:ind w:firstLine="640"/>
        <w:rPr>
          <w:rFonts w:hint="default" w:ascii="仿宋" w:hAnsi="仿宋" w:eastAsia="仿宋" w:cs="仿宋"/>
          <w:snapToGrid w:val="0"/>
          <w:color w:val="auto"/>
          <w:w w:val="100"/>
          <w:kern w:val="0"/>
          <w:sz w:val="32"/>
          <w:szCs w:val="32"/>
          <w:highlight w:val="none"/>
          <w:lang w:val="en-US" w:eastAsia="zh-CN"/>
          <w:woUserID w:val="2"/>
        </w:rPr>
      </w:pPr>
      <w:r>
        <w:rPr>
          <w:rFonts w:hint="default" w:ascii="仿宋" w:hAnsi="仿宋" w:eastAsia="仿宋" w:cs="仿宋"/>
          <w:snapToGrid w:val="0"/>
          <w:color w:val="auto"/>
          <w:w w:val="100"/>
          <w:kern w:val="0"/>
          <w:sz w:val="32"/>
          <w:szCs w:val="32"/>
          <w:highlight w:val="none"/>
          <w:lang w:val="en-US" w:eastAsia="zh-CN"/>
          <w:woUserID w:val="2"/>
        </w:rPr>
        <w:t>5.</w:t>
      </w:r>
      <w:r>
        <w:rPr>
          <w:rFonts w:hint="eastAsia" w:ascii="仿宋" w:hAnsi="仿宋" w:eastAsia="仿宋" w:cs="仿宋"/>
          <w:snapToGrid w:val="0"/>
          <w:color w:val="auto"/>
          <w:w w:val="100"/>
          <w:kern w:val="0"/>
          <w:sz w:val="32"/>
          <w:szCs w:val="32"/>
          <w:highlight w:val="none"/>
          <w:lang w:val="en-US" w:eastAsia="zh"/>
          <w:woUserID w:val="2"/>
        </w:rPr>
        <w:t>《仿古建筑工程工程量计算规范》(GB50855-2013)；</w:t>
      </w:r>
    </w:p>
    <w:p w14:paraId="24AC3D53">
      <w:pPr>
        <w:pStyle w:val="2"/>
        <w:ind w:firstLine="640"/>
        <w:rPr>
          <w:rFonts w:hint="default" w:ascii="仿宋" w:hAnsi="仿宋" w:eastAsia="仿宋" w:cs="仿宋"/>
          <w:snapToGrid w:val="0"/>
          <w:color w:val="auto"/>
          <w:w w:val="100"/>
          <w:kern w:val="0"/>
          <w:sz w:val="32"/>
          <w:szCs w:val="32"/>
          <w:highlight w:val="none"/>
          <w:lang w:val="en-US" w:eastAsia="zh-CN"/>
        </w:rPr>
      </w:pPr>
      <w:r>
        <w:rPr>
          <w:rFonts w:hint="eastAsia" w:ascii="仿宋" w:hAnsi="仿宋" w:eastAsia="仿宋" w:cs="仿宋"/>
          <w:snapToGrid w:val="0"/>
          <w:color w:val="auto"/>
          <w:w w:val="100"/>
          <w:kern w:val="0"/>
          <w:sz w:val="32"/>
          <w:szCs w:val="32"/>
          <w:highlight w:val="none"/>
          <w:lang w:val="en-US" w:eastAsia="zh"/>
          <w:woUserID w:val="2"/>
        </w:rPr>
        <w:t>6</w:t>
      </w:r>
      <w:r>
        <w:rPr>
          <w:rFonts w:hint="eastAsia" w:ascii="仿宋" w:hAnsi="仿宋" w:eastAsia="仿宋" w:cs="仿宋"/>
          <w:snapToGrid w:val="0"/>
          <w:color w:val="auto"/>
          <w:w w:val="100"/>
          <w:kern w:val="0"/>
          <w:sz w:val="32"/>
          <w:szCs w:val="32"/>
          <w:highlight w:val="none"/>
          <w:lang w:val="en-US" w:eastAsia="zh"/>
        </w:rPr>
        <w:t>.</w:t>
      </w:r>
      <w:r>
        <w:rPr>
          <w:rFonts w:hint="default" w:ascii="仿宋" w:hAnsi="仿宋" w:eastAsia="仿宋" w:cs="仿宋"/>
          <w:snapToGrid w:val="0"/>
          <w:color w:val="auto"/>
          <w:w w:val="100"/>
          <w:kern w:val="0"/>
          <w:sz w:val="32"/>
          <w:szCs w:val="32"/>
          <w:highlight w:val="none"/>
          <w:lang w:val="en-US" w:eastAsia="zh-CN"/>
        </w:rPr>
        <w:t>《广东省住房和城乡建设厅关于调整广东省建设工程计价依据增值税税率的通知》粤建标函〔2019〕819号。</w:t>
      </w:r>
    </w:p>
    <w:p w14:paraId="242E2C18">
      <w:pPr>
        <w:numPr>
          <w:ilvl w:val="0"/>
          <w:numId w:val="0"/>
        </w:numPr>
        <w:suppressAutoHyphens/>
        <w:adjustRightInd w:val="0"/>
        <w:spacing w:line="360" w:lineRule="auto"/>
        <w:ind w:firstLine="640" w:firstLineChars="200"/>
        <w:jc w:val="left"/>
        <w:rPr>
          <w:rFonts w:hint="eastAsia" w:ascii="Times New Roman" w:hAnsi="Times New Roman" w:eastAsia="黑体"/>
          <w:snapToGrid w:val="0"/>
          <w:kern w:val="0"/>
          <w:sz w:val="32"/>
          <w:szCs w:val="24"/>
          <w:lang w:eastAsia="zh-CN"/>
        </w:rPr>
      </w:pPr>
      <w:r>
        <w:rPr>
          <w:rFonts w:hint="eastAsia" w:ascii="Times New Roman" w:hAnsi="Times New Roman" w:eastAsia="黑体"/>
          <w:snapToGrid w:val="0"/>
          <w:kern w:val="0"/>
          <w:sz w:val="32"/>
          <w:szCs w:val="24"/>
          <w:lang w:eastAsia="zh-CN"/>
        </w:rPr>
        <w:t>三、其他说明</w:t>
      </w:r>
    </w:p>
    <w:p w14:paraId="783ED4DF">
      <w:pPr>
        <w:pStyle w:val="5"/>
        <w:keepNext w:val="0"/>
        <w:keepLines w:val="0"/>
        <w:widowControl w:val="0"/>
        <w:numPr>
          <w:ilvl w:val="0"/>
          <w:numId w:val="1"/>
        </w:numPr>
        <w:suppressLineNumbers w:val="0"/>
        <w:adjustRightInd w:val="0"/>
        <w:spacing w:before="0" w:beforeAutospacing="0" w:after="0" w:afterAutospacing="0" w:line="360" w:lineRule="atLeast"/>
        <w:ind w:left="0" w:leftChars="0" w:right="0" w:firstLine="640" w:firstLineChars="200"/>
        <w:jc w:val="left"/>
        <w:textAlignment w:val="baseline"/>
        <w:rPr>
          <w:rFonts w:hint="eastAsia" w:ascii="仿宋_GB2312" w:hAnsi="宋体" w:eastAsia="仿宋_GB2312" w:cs="仿宋_GB2312"/>
          <w:kern w:val="0"/>
          <w:sz w:val="32"/>
          <w:szCs w:val="32"/>
          <w:lang w:val="en-US" w:eastAsia="zh-CN" w:bidi="ar"/>
        </w:rPr>
      </w:pPr>
      <w:r>
        <w:rPr>
          <w:rFonts w:hint="eastAsia" w:ascii="仿宋_GB2312" w:hAnsi="宋体" w:eastAsia="仿宋_GB2312" w:cs="仿宋_GB2312"/>
          <w:kern w:val="0"/>
          <w:sz w:val="32"/>
          <w:szCs w:val="32"/>
          <w:lang w:val="en-US" w:eastAsia="zh-CN" w:bidi="ar"/>
        </w:rPr>
        <w:t>暂列金按109846.34元计算，</w:t>
      </w:r>
      <w:r>
        <w:rPr>
          <w:rFonts w:hint="eastAsia" w:ascii="仿宋_GB2312" w:hAnsi="宋体" w:eastAsia="仿宋_GB2312"/>
          <w:sz w:val="32"/>
          <w:szCs w:val="32"/>
          <w:lang w:val="en-US" w:eastAsia="zh-CN"/>
        </w:rPr>
        <w:t>暂列金额虽列入预算价，但不属于承包人所有，也不必然发生，只能按照发包人（建设单位）的指示使用，其最终结算费用应以实际发生为准，其余额仍归发包人（建设单位）所有</w:t>
      </w:r>
      <w:r>
        <w:rPr>
          <w:rFonts w:hint="eastAsia" w:ascii="仿宋_GB2312" w:hAnsi="宋体" w:eastAsia="仿宋_GB2312" w:cs="仿宋_GB2312"/>
          <w:kern w:val="0"/>
          <w:sz w:val="32"/>
          <w:szCs w:val="32"/>
          <w:lang w:val="en-US" w:eastAsia="zh-CN" w:bidi="ar"/>
        </w:rPr>
        <w:t>。</w:t>
      </w:r>
      <w:bookmarkStart w:id="0" w:name="_GoBack"/>
      <w:bookmarkEnd w:id="0"/>
    </w:p>
    <w:p w14:paraId="269D299B">
      <w:pPr>
        <w:pStyle w:val="5"/>
        <w:keepNext w:val="0"/>
        <w:keepLines w:val="0"/>
        <w:widowControl w:val="0"/>
        <w:numPr>
          <w:ilvl w:val="0"/>
          <w:numId w:val="1"/>
        </w:numPr>
        <w:suppressLineNumbers w:val="0"/>
        <w:adjustRightInd w:val="0"/>
        <w:spacing w:before="0" w:beforeAutospacing="0" w:after="0" w:afterAutospacing="0" w:line="360" w:lineRule="atLeast"/>
        <w:ind w:left="0" w:leftChars="0" w:right="0" w:firstLine="640" w:firstLineChars="200"/>
        <w:jc w:val="left"/>
        <w:textAlignment w:val="baseline"/>
        <w:rPr>
          <w:rFonts w:hint="eastAsia" w:ascii="仿宋_GB2312" w:hAnsi="Times New Roman" w:eastAsia="仿宋_GB2312" w:cs="Times New Roman"/>
          <w:kern w:val="0"/>
          <w:sz w:val="32"/>
          <w:szCs w:val="32"/>
        </w:rPr>
      </w:pPr>
      <w:r>
        <w:rPr>
          <w:rFonts w:hint="eastAsia" w:ascii="仿宋_GB2312" w:hAnsi="宋体" w:eastAsia="仿宋_GB2312" w:cs="仿宋_GB2312"/>
          <w:kern w:val="0"/>
          <w:sz w:val="32"/>
          <w:szCs w:val="32"/>
          <w:lang w:val="en-US" w:eastAsia="zh-CN" w:bidi="ar"/>
        </w:rPr>
        <w:t>根据建设单位提供的《关于武江区全域旅游基础建设项目—光明巷片区项目招标控制价的工作联系函》</w:t>
      </w:r>
      <w:r>
        <w:rPr>
          <w:rFonts w:hint="eastAsia" w:ascii="仿宋_GB2312" w:hAnsi="Times New Roman" w:eastAsia="仿宋_GB2312" w:cs="仿宋_GB2312"/>
          <w:kern w:val="0"/>
          <w:sz w:val="32"/>
          <w:szCs w:val="32"/>
          <w:lang w:val="en-US" w:eastAsia="zh-CN" w:bidi="ar"/>
        </w:rPr>
        <w:t>，园建部分的雕塑、雕像不在本项目中计算。</w:t>
      </w:r>
    </w:p>
    <w:p w14:paraId="4B65B9F0">
      <w:pPr>
        <w:pStyle w:val="5"/>
        <w:keepNext w:val="0"/>
        <w:keepLines w:val="0"/>
        <w:widowControl w:val="0"/>
        <w:numPr>
          <w:ilvl w:val="0"/>
          <w:numId w:val="1"/>
        </w:numPr>
        <w:suppressLineNumbers w:val="0"/>
        <w:adjustRightInd w:val="0"/>
        <w:spacing w:before="0" w:beforeAutospacing="0" w:after="0" w:afterAutospacing="0" w:line="360" w:lineRule="atLeast"/>
        <w:ind w:left="0" w:leftChars="0" w:right="0" w:firstLine="640" w:firstLineChars="200"/>
        <w:jc w:val="left"/>
        <w:textAlignment w:val="baseline"/>
        <w:rPr>
          <w:rFonts w:hint="eastAsia" w:ascii="仿宋_GB2312" w:hAnsi="Times New Roman" w:eastAsia="仿宋_GB2312" w:cs="Times New Roman"/>
          <w:kern w:val="0"/>
          <w:sz w:val="32"/>
          <w:szCs w:val="32"/>
        </w:rPr>
      </w:pPr>
      <w:r>
        <w:rPr>
          <w:rFonts w:hint="eastAsia" w:ascii="仿宋_GB2312" w:hAnsi="宋体" w:eastAsia="仿宋_GB2312" w:cs="仿宋_GB2312"/>
          <w:kern w:val="0"/>
          <w:sz w:val="32"/>
          <w:szCs w:val="32"/>
          <w:lang w:val="en-US" w:eastAsia="zh-CN" w:bidi="ar"/>
        </w:rPr>
        <w:t>根据建设单位提供的《关于武江区全域旅游基础建设项目—光明巷片区项目招标控制价的工作联系函》</w:t>
      </w:r>
      <w:r>
        <w:rPr>
          <w:rFonts w:hint="eastAsia" w:ascii="仿宋_GB2312" w:hAnsi="Times New Roman" w:eastAsia="仿宋_GB2312" w:cs="仿宋_GB2312"/>
          <w:kern w:val="0"/>
          <w:sz w:val="32"/>
          <w:szCs w:val="32"/>
          <w:lang w:val="en-US" w:eastAsia="zh-CN" w:bidi="ar"/>
        </w:rPr>
        <w:t>，概算单位工程名称为“南幢洋楼A01、南幢洋楼A05”，预算为“A1#文物修缮-土建工程，A1#文物修缮-土建工程”，均为同一内容，以预算名称为准。</w:t>
      </w:r>
    </w:p>
    <w:p w14:paraId="1DF477F5">
      <w:pPr>
        <w:pStyle w:val="5"/>
        <w:keepNext w:val="0"/>
        <w:keepLines w:val="0"/>
        <w:widowControl w:val="0"/>
        <w:numPr>
          <w:ilvl w:val="0"/>
          <w:numId w:val="1"/>
        </w:numPr>
        <w:suppressLineNumbers w:val="0"/>
        <w:adjustRightInd w:val="0"/>
        <w:spacing w:before="0" w:beforeAutospacing="0" w:after="0" w:afterAutospacing="0" w:line="360" w:lineRule="atLeast"/>
        <w:ind w:left="0" w:leftChars="0" w:right="0" w:firstLine="640" w:firstLineChars="200"/>
        <w:jc w:val="left"/>
        <w:textAlignment w:val="baseline"/>
        <w:rPr>
          <w:rFonts w:hint="eastAsia" w:ascii="仿宋_GB2312" w:hAnsi="Times New Roman" w:eastAsia="仿宋_GB2312" w:cs="Times New Roman"/>
          <w:kern w:val="0"/>
          <w:sz w:val="32"/>
          <w:szCs w:val="32"/>
        </w:rPr>
      </w:pPr>
      <w:r>
        <w:rPr>
          <w:rFonts w:hint="eastAsia" w:ascii="仿宋_GB2312" w:hAnsi="宋体" w:eastAsia="仿宋_GB2312" w:cs="仿宋_GB2312"/>
          <w:kern w:val="0"/>
          <w:sz w:val="32"/>
          <w:szCs w:val="32"/>
          <w:lang w:val="en-US" w:eastAsia="zh-CN" w:bidi="ar"/>
        </w:rPr>
        <w:t>根据建设单位提供的《关于武江区全域旅游基础建设项目—光明巷片区项目招标控制价的工作联系函》</w:t>
      </w:r>
      <w:r>
        <w:rPr>
          <w:rFonts w:hint="eastAsia" w:ascii="仿宋_GB2312" w:hAnsi="Times New Roman" w:eastAsia="仿宋_GB2312" w:cs="仿宋_GB2312"/>
          <w:kern w:val="0"/>
          <w:sz w:val="32"/>
          <w:szCs w:val="32"/>
          <w:lang w:val="en-US" w:eastAsia="zh-CN" w:bidi="ar"/>
        </w:rPr>
        <w:t>，图纸工程名称为“广东省韶关市武江区全域旅游配套设施项目—武江区全域旅游基础建设项目—光明巷片区项目勘察设计”，概算批复工程名称为“武江区全域旅游基础建设项目—光明巷片区项目”，预算申请表为武江区全域旅游基础建设项目-光明巷片区项目，均为同一内容，以预算名称为准。</w:t>
      </w:r>
    </w:p>
    <w:p w14:paraId="3B129139">
      <w:pPr>
        <w:pStyle w:val="5"/>
        <w:keepNext w:val="0"/>
        <w:keepLines w:val="0"/>
        <w:widowControl w:val="0"/>
        <w:numPr>
          <w:ilvl w:val="0"/>
          <w:numId w:val="1"/>
        </w:numPr>
        <w:suppressLineNumbers w:val="0"/>
        <w:adjustRightInd w:val="0"/>
        <w:spacing w:before="0" w:beforeAutospacing="0" w:after="0" w:afterAutospacing="0" w:line="360" w:lineRule="atLeast"/>
        <w:ind w:left="0" w:leftChars="0" w:right="0" w:firstLine="640" w:firstLineChars="200"/>
        <w:jc w:val="left"/>
        <w:textAlignment w:val="baseline"/>
        <w:rPr>
          <w:rFonts w:hint="eastAsia" w:ascii="仿宋_GB2312" w:hAnsi="Times New Roman" w:eastAsia="仿宋_GB2312" w:cs="仿宋_GB2312"/>
          <w:kern w:val="0"/>
          <w:sz w:val="32"/>
          <w:szCs w:val="32"/>
          <w:lang w:val="en-US" w:eastAsia="zh-CN" w:bidi="ar"/>
        </w:rPr>
      </w:pPr>
      <w:r>
        <w:rPr>
          <w:rFonts w:hint="eastAsia" w:ascii="仿宋_GB2312" w:hAnsi="Times New Roman" w:eastAsia="仿宋_GB2312" w:cs="仿宋_GB2312"/>
          <w:kern w:val="0"/>
          <w:sz w:val="32"/>
          <w:szCs w:val="32"/>
          <w:lang w:val="en-US" w:eastAsia="zh-CN" w:bidi="ar"/>
        </w:rPr>
        <w:t>根据建设单位提供的《关于武江区全域旅游基础建设项目—光明巷片区项目招标控制价的工作联系函》，以下工程内容列入专业工程暂估价。结算时按实际采购的发票及相关资料结算，结算价不超专业工程暂估价。</w:t>
      </w:r>
    </w:p>
    <w:p w14:paraId="180FD99B">
      <w:pPr>
        <w:pStyle w:val="5"/>
        <w:keepNext w:val="0"/>
        <w:keepLines w:val="0"/>
        <w:widowControl w:val="0"/>
        <w:numPr>
          <w:ilvl w:val="0"/>
          <w:numId w:val="2"/>
        </w:numPr>
        <w:suppressLineNumbers w:val="0"/>
        <w:adjustRightInd w:val="0"/>
        <w:spacing w:before="0" w:beforeAutospacing="0" w:after="0" w:afterAutospacing="0" w:line="360" w:lineRule="atLeast"/>
        <w:ind w:left="0" w:right="0" w:firstLine="640" w:firstLineChars="200"/>
        <w:jc w:val="left"/>
        <w:textAlignment w:val="baseline"/>
        <w:rPr>
          <w:rFonts w:hint="eastAsia" w:ascii="仿宋_GB2312" w:hAnsi="Times New Roman" w:eastAsia="仿宋_GB2312" w:cs="仿宋_GB2312"/>
          <w:kern w:val="0"/>
          <w:sz w:val="32"/>
          <w:szCs w:val="32"/>
          <w:vertAlign w:val="baseline"/>
          <w:woUserID w:val="2"/>
        </w:rPr>
      </w:pPr>
      <w:r>
        <w:rPr>
          <w:rFonts w:hint="eastAsia" w:ascii="仿宋_GB2312" w:hAnsi="Times New Roman" w:eastAsia="仿宋_GB2312" w:cs="仿宋_GB2312"/>
          <w:kern w:val="0"/>
          <w:sz w:val="32"/>
          <w:szCs w:val="32"/>
          <w:vertAlign w:val="baseline"/>
          <w:lang w:val="en-US" w:eastAsia="zh-CN" w:bidi="ar"/>
          <w:woUserID w:val="2"/>
        </w:rPr>
        <w:t>定制柜按2500元/个，共31个，共计77500元（不含税）</w:t>
      </w:r>
      <w:r>
        <w:rPr>
          <w:rFonts w:hint="eastAsia" w:ascii="仿宋_GB2312" w:hAnsi="Times New Roman" w:eastAsia="仿宋_GB2312" w:cs="仿宋_GB2312"/>
          <w:kern w:val="0"/>
          <w:sz w:val="32"/>
          <w:szCs w:val="32"/>
          <w:vertAlign w:val="baseline"/>
          <w:lang w:val="en-US" w:eastAsia="zh" w:bidi="ar"/>
          <w:woUserID w:val="2"/>
        </w:rPr>
        <w:t>，</w:t>
      </w:r>
      <w:r>
        <w:rPr>
          <w:rFonts w:hint="eastAsia" w:ascii="仿宋_GB2312" w:hAnsi="Times New Roman" w:eastAsia="仿宋_GB2312" w:cs="仿宋_GB2312"/>
          <w:kern w:val="0"/>
          <w:sz w:val="32"/>
          <w:szCs w:val="32"/>
          <w:vertAlign w:val="baseline"/>
          <w:lang w:val="en-US" w:eastAsia="zh-CN" w:bidi="ar"/>
          <w:woUserID w:val="2"/>
        </w:rPr>
        <w:t>列入专业工程暂估价计算，后续根据图纸等资料完善造价，按实计算。</w:t>
      </w:r>
    </w:p>
    <w:p w14:paraId="4BD39157">
      <w:pPr>
        <w:pStyle w:val="5"/>
        <w:keepNext w:val="0"/>
        <w:keepLines w:val="0"/>
        <w:widowControl w:val="0"/>
        <w:numPr>
          <w:ilvl w:val="0"/>
          <w:numId w:val="2"/>
        </w:numPr>
        <w:suppressLineNumbers w:val="0"/>
        <w:adjustRightInd w:val="0"/>
        <w:spacing w:before="0" w:beforeAutospacing="0" w:after="0" w:afterAutospacing="0" w:line="360" w:lineRule="atLeast"/>
        <w:ind w:left="0" w:right="0" w:firstLine="640" w:firstLineChars="200"/>
        <w:jc w:val="left"/>
        <w:textAlignment w:val="baseline"/>
        <w:rPr>
          <w:rFonts w:hint="eastAsia" w:ascii="仿宋_GB2312" w:hAnsi="Times New Roman" w:eastAsia="仿宋_GB2312" w:cs="Times New Roman"/>
          <w:kern w:val="0"/>
          <w:sz w:val="32"/>
          <w:szCs w:val="32"/>
          <w:vertAlign w:val="baseline"/>
          <w:woUserID w:val="2"/>
        </w:rPr>
      </w:pPr>
      <w:r>
        <w:rPr>
          <w:rFonts w:hint="eastAsia" w:ascii="仿宋_GB2312" w:hAnsi="Times New Roman" w:eastAsia="仿宋_GB2312" w:cs="仿宋_GB2312"/>
          <w:kern w:val="0"/>
          <w:sz w:val="32"/>
          <w:szCs w:val="32"/>
          <w:vertAlign w:val="baseline"/>
          <w:lang w:val="en-US" w:eastAsia="zh-CN" w:bidi="ar"/>
          <w:woUserID w:val="2"/>
        </w:rPr>
        <w:t>定制成品装饰灯</w:t>
      </w:r>
      <w:r>
        <w:rPr>
          <w:rFonts w:hint="eastAsia" w:ascii="仿宋_GB2312" w:hAnsi="宋体" w:eastAsia="仿宋_GB2312" w:cs="仿宋_GB2312"/>
          <w:kern w:val="0"/>
          <w:sz w:val="32"/>
          <w:szCs w:val="32"/>
          <w:vertAlign w:val="baseline"/>
          <w:lang w:val="en-US" w:eastAsia="zh-CN" w:bidi="ar"/>
          <w:woUserID w:val="2"/>
        </w:rPr>
        <w:t>送审</w:t>
      </w:r>
      <w:r>
        <w:rPr>
          <w:rFonts w:hint="eastAsia" w:ascii="仿宋_GB2312" w:hAnsi="Times New Roman" w:eastAsia="仿宋_GB2312" w:cs="仿宋_GB2312"/>
          <w:kern w:val="0"/>
          <w:sz w:val="32"/>
          <w:szCs w:val="32"/>
          <w:vertAlign w:val="baseline"/>
          <w:lang w:val="en-US" w:eastAsia="zh-CN" w:bidi="ar"/>
          <w:woUserID w:val="2"/>
        </w:rPr>
        <w:t>按1500元/个，共29个，共计43500元（不含税）</w:t>
      </w:r>
      <w:r>
        <w:rPr>
          <w:rFonts w:hint="eastAsia" w:ascii="仿宋_GB2312" w:hAnsi="Times New Roman" w:eastAsia="仿宋_GB2312" w:cs="仿宋_GB2312"/>
          <w:kern w:val="0"/>
          <w:sz w:val="32"/>
          <w:szCs w:val="32"/>
          <w:vertAlign w:val="baseline"/>
          <w:lang w:val="en-US" w:eastAsia="zh" w:bidi="ar"/>
          <w:woUserID w:val="2"/>
        </w:rPr>
        <w:t>，</w:t>
      </w:r>
      <w:r>
        <w:rPr>
          <w:rFonts w:hint="eastAsia" w:ascii="仿宋_GB2312" w:hAnsi="Times New Roman" w:eastAsia="仿宋_GB2312" w:cs="仿宋_GB2312"/>
          <w:kern w:val="0"/>
          <w:sz w:val="32"/>
          <w:szCs w:val="32"/>
          <w:vertAlign w:val="baseline"/>
          <w:lang w:val="en-US" w:eastAsia="zh-CN" w:bidi="ar"/>
          <w:woUserID w:val="2"/>
        </w:rPr>
        <w:t>列入专业工程暂估价计算。</w:t>
      </w:r>
    </w:p>
    <w:p w14:paraId="126B7CC5">
      <w:pPr>
        <w:pStyle w:val="5"/>
        <w:keepNext w:val="0"/>
        <w:keepLines w:val="0"/>
        <w:widowControl w:val="0"/>
        <w:numPr>
          <w:ilvl w:val="0"/>
          <w:numId w:val="2"/>
        </w:numPr>
        <w:suppressLineNumbers w:val="0"/>
        <w:adjustRightInd w:val="0"/>
        <w:spacing w:before="0" w:beforeAutospacing="0" w:after="0" w:afterAutospacing="0" w:line="360" w:lineRule="atLeast"/>
        <w:ind w:left="0" w:right="0" w:firstLine="640" w:firstLineChars="200"/>
        <w:jc w:val="left"/>
        <w:textAlignment w:val="baseline"/>
        <w:rPr>
          <w:rFonts w:hint="eastAsia" w:ascii="仿宋_GB2312" w:hAnsi="Times New Roman" w:eastAsia="仿宋_GB2312" w:cs="Times New Roman"/>
          <w:kern w:val="0"/>
          <w:sz w:val="32"/>
          <w:szCs w:val="32"/>
          <w:vertAlign w:val="baseline"/>
          <w:woUserID w:val="2"/>
        </w:rPr>
      </w:pPr>
      <w:r>
        <w:rPr>
          <w:rFonts w:hint="eastAsia" w:ascii="仿宋_GB2312" w:hAnsi="Times New Roman" w:eastAsia="仿宋_GB2312" w:cs="仿宋_GB2312"/>
          <w:kern w:val="0"/>
          <w:sz w:val="32"/>
          <w:szCs w:val="32"/>
          <w:vertAlign w:val="baseline"/>
          <w:lang w:val="en-US" w:eastAsia="zh-CN" w:bidi="ar"/>
          <w:woUserID w:val="2"/>
        </w:rPr>
        <w:t>铁艺栏杆按133.60元</w:t>
      </w:r>
      <w:r>
        <w:rPr>
          <w:rFonts w:hint="eastAsia" w:ascii="仿宋_GB2312" w:hAnsi="Times New Roman" w:eastAsia="仿宋_GB2312" w:cs="Times New Roman"/>
          <w:kern w:val="0"/>
          <w:sz w:val="32"/>
          <w:szCs w:val="32"/>
          <w:vertAlign w:val="baseline"/>
          <w:lang w:val="en-US" w:eastAsia="zh-CN" w:bidi="ar"/>
          <w:woUserID w:val="2"/>
        </w:rPr>
        <w:t>/</w:t>
      </w:r>
      <w:r>
        <w:rPr>
          <w:rFonts w:hint="eastAsia" w:ascii="仿宋_GB2312" w:hAnsi="Times New Roman" w:eastAsia="仿宋_GB2312" w:cs="仿宋_GB2312"/>
          <w:kern w:val="0"/>
          <w:sz w:val="32"/>
          <w:szCs w:val="32"/>
          <w:vertAlign w:val="baseline"/>
          <w:lang w:val="en-US" w:eastAsia="zh-CN" w:bidi="ar"/>
          <w:woUserID w:val="2"/>
        </w:rPr>
        <w:t>m,共</w:t>
      </w:r>
      <w:r>
        <w:rPr>
          <w:rFonts w:hint="eastAsia" w:ascii="仿宋_GB2312" w:hAnsi="Times New Roman" w:eastAsia="仿宋_GB2312" w:cs="Times New Roman"/>
          <w:kern w:val="0"/>
          <w:sz w:val="32"/>
          <w:szCs w:val="32"/>
          <w:vertAlign w:val="baseline"/>
          <w:lang w:val="en-US" w:eastAsia="zh-CN" w:bidi="ar"/>
          <w:woUserID w:val="2"/>
        </w:rPr>
        <w:t>42</w:t>
      </w:r>
      <w:r>
        <w:rPr>
          <w:rFonts w:hint="eastAsia" w:ascii="仿宋_GB2312" w:hAnsi="Times New Roman" w:eastAsia="仿宋_GB2312" w:cs="仿宋_GB2312"/>
          <w:kern w:val="0"/>
          <w:sz w:val="32"/>
          <w:szCs w:val="32"/>
          <w:vertAlign w:val="baseline"/>
          <w:lang w:val="en-US" w:eastAsia="zh-CN" w:bidi="ar"/>
          <w:woUserID w:val="2"/>
        </w:rPr>
        <w:t>m，共计5611.20元（不含税），列入专业工程暂估价计算。</w:t>
      </w:r>
    </w:p>
    <w:p w14:paraId="23C61117">
      <w:pPr>
        <w:pStyle w:val="5"/>
        <w:keepNext w:val="0"/>
        <w:keepLines w:val="0"/>
        <w:widowControl w:val="0"/>
        <w:numPr>
          <w:ilvl w:val="0"/>
          <w:numId w:val="2"/>
        </w:numPr>
        <w:suppressLineNumbers w:val="0"/>
        <w:adjustRightInd w:val="0"/>
        <w:spacing w:before="0" w:beforeAutospacing="0" w:after="0" w:afterAutospacing="0" w:line="360" w:lineRule="atLeast"/>
        <w:ind w:left="0" w:right="0" w:firstLine="640" w:firstLineChars="200"/>
        <w:jc w:val="left"/>
        <w:textAlignment w:val="baseline"/>
        <w:rPr>
          <w:rFonts w:hint="eastAsia" w:ascii="仿宋_GB2312" w:hAnsi="Times New Roman" w:eastAsia="仿宋_GB2312" w:cs="Times New Roman"/>
          <w:kern w:val="0"/>
          <w:sz w:val="32"/>
          <w:szCs w:val="32"/>
          <w:vertAlign w:val="baseline"/>
          <w:woUserID w:val="2"/>
        </w:rPr>
      </w:pPr>
      <w:r>
        <w:rPr>
          <w:rFonts w:hint="eastAsia" w:ascii="仿宋_GB2312" w:hAnsi="Times New Roman" w:eastAsia="仿宋_GB2312" w:cs="仿宋_GB2312"/>
          <w:kern w:val="0"/>
          <w:sz w:val="32"/>
          <w:szCs w:val="32"/>
          <w:vertAlign w:val="baseline"/>
          <w:lang w:val="en-US" w:eastAsia="zh-CN" w:bidi="ar"/>
          <w:woUserID w:val="2"/>
        </w:rPr>
        <w:t>入口铁艺大门按777.87元</w:t>
      </w:r>
      <w:r>
        <w:rPr>
          <w:rFonts w:hint="eastAsia" w:ascii="仿宋_GB2312" w:hAnsi="Times New Roman" w:eastAsia="仿宋_GB2312" w:cs="Times New Roman"/>
          <w:kern w:val="0"/>
          <w:sz w:val="32"/>
          <w:szCs w:val="32"/>
          <w:vertAlign w:val="baseline"/>
          <w:lang w:val="en-US" w:eastAsia="zh-CN" w:bidi="ar"/>
          <w:woUserID w:val="2"/>
        </w:rPr>
        <w:t>/</w:t>
      </w:r>
      <w:r>
        <w:rPr>
          <w:rFonts w:hint="eastAsia" w:ascii="仿宋_GB2312" w:hAnsi="Times New Roman" w:eastAsia="仿宋_GB2312" w:cs="仿宋_GB2312"/>
          <w:kern w:val="0"/>
          <w:sz w:val="32"/>
          <w:szCs w:val="32"/>
          <w:vertAlign w:val="baseline"/>
          <w:lang w:val="en-US" w:eastAsia="zh-CN" w:bidi="ar"/>
          <w:woUserID w:val="2"/>
        </w:rPr>
        <w:t>㎡,共50㎡，共计38893.50元（不含税），列入专业工程暂估价计算。</w:t>
      </w:r>
    </w:p>
    <w:p w14:paraId="2320DE31">
      <w:pPr>
        <w:pStyle w:val="5"/>
        <w:keepNext w:val="0"/>
        <w:keepLines w:val="0"/>
        <w:widowControl w:val="0"/>
        <w:numPr>
          <w:ilvl w:val="0"/>
          <w:numId w:val="2"/>
        </w:numPr>
        <w:suppressLineNumbers w:val="0"/>
        <w:adjustRightInd w:val="0"/>
        <w:spacing w:before="0" w:beforeAutospacing="0" w:after="0" w:afterAutospacing="0" w:line="360" w:lineRule="atLeast"/>
        <w:ind w:left="0" w:right="0" w:firstLine="640" w:firstLineChars="200"/>
        <w:jc w:val="left"/>
        <w:textAlignment w:val="baseline"/>
        <w:rPr>
          <w:rFonts w:hint="eastAsia" w:ascii="仿宋_GB2312" w:hAnsi="Times New Roman" w:eastAsia="仿宋_GB2312" w:cs="Times New Roman"/>
          <w:kern w:val="0"/>
          <w:sz w:val="32"/>
          <w:szCs w:val="32"/>
          <w:vertAlign w:val="baseline"/>
          <w:woUserID w:val="2"/>
        </w:rPr>
      </w:pPr>
      <w:r>
        <w:rPr>
          <w:rFonts w:hint="eastAsia" w:ascii="仿宋_GB2312" w:hAnsi="Times New Roman" w:eastAsia="仿宋_GB2312" w:cs="仿宋_GB2312"/>
          <w:kern w:val="0"/>
          <w:sz w:val="32"/>
          <w:szCs w:val="32"/>
          <w:vertAlign w:val="baseline"/>
          <w:lang w:val="en-US" w:eastAsia="zh-CN" w:bidi="ar"/>
          <w:woUserID w:val="2"/>
        </w:rPr>
        <w:t>次入口大门1按692.80元</w:t>
      </w:r>
      <w:r>
        <w:rPr>
          <w:rFonts w:hint="eastAsia" w:ascii="仿宋_GB2312" w:hAnsi="Times New Roman" w:eastAsia="仿宋_GB2312" w:cs="Times New Roman"/>
          <w:kern w:val="0"/>
          <w:sz w:val="32"/>
          <w:szCs w:val="32"/>
          <w:vertAlign w:val="baseline"/>
          <w:lang w:val="en-US" w:eastAsia="zh-CN" w:bidi="ar"/>
          <w:woUserID w:val="2"/>
        </w:rPr>
        <w:t>/</w:t>
      </w:r>
      <w:r>
        <w:rPr>
          <w:rFonts w:hint="eastAsia" w:ascii="仿宋_GB2312" w:hAnsi="Times New Roman" w:eastAsia="仿宋_GB2312" w:cs="仿宋_GB2312"/>
          <w:kern w:val="0"/>
          <w:sz w:val="32"/>
          <w:szCs w:val="32"/>
          <w:vertAlign w:val="baseline"/>
          <w:lang w:val="en-US" w:eastAsia="zh-CN" w:bidi="ar"/>
          <w:woUserID w:val="2"/>
        </w:rPr>
        <w:t>㎡,共6㎡，共计4156.80元（不含税），列入专业工程暂估价计算。</w:t>
      </w:r>
    </w:p>
    <w:p w14:paraId="52D76BAC">
      <w:pPr>
        <w:pStyle w:val="5"/>
        <w:keepNext w:val="0"/>
        <w:keepLines w:val="0"/>
        <w:widowControl w:val="0"/>
        <w:numPr>
          <w:ilvl w:val="0"/>
          <w:numId w:val="2"/>
        </w:numPr>
        <w:suppressLineNumbers w:val="0"/>
        <w:adjustRightInd w:val="0"/>
        <w:spacing w:before="0" w:beforeAutospacing="0" w:after="0" w:afterAutospacing="0" w:line="360" w:lineRule="atLeast"/>
        <w:ind w:left="0" w:right="0" w:firstLine="640" w:firstLineChars="200"/>
        <w:jc w:val="left"/>
        <w:textAlignment w:val="baseline"/>
        <w:rPr>
          <w:rFonts w:hint="eastAsia" w:ascii="仿宋_GB2312" w:hAnsi="Times New Roman" w:eastAsia="仿宋_GB2312" w:cs="Times New Roman"/>
          <w:kern w:val="0"/>
          <w:sz w:val="32"/>
          <w:szCs w:val="32"/>
          <w:vertAlign w:val="baseline"/>
          <w:woUserID w:val="2"/>
        </w:rPr>
      </w:pPr>
      <w:r>
        <w:rPr>
          <w:rFonts w:hint="eastAsia" w:ascii="仿宋_GB2312" w:hAnsi="Times New Roman" w:eastAsia="仿宋_GB2312" w:cs="仿宋_GB2312"/>
          <w:kern w:val="0"/>
          <w:sz w:val="32"/>
          <w:szCs w:val="32"/>
          <w:vertAlign w:val="baseline"/>
          <w:lang w:val="en-US" w:eastAsia="zh-CN" w:bidi="ar"/>
          <w:woUserID w:val="2"/>
        </w:rPr>
        <w:t>次入口大门</w:t>
      </w:r>
      <w:r>
        <w:rPr>
          <w:rFonts w:hint="eastAsia" w:ascii="仿宋_GB2312" w:hAnsi="Times New Roman" w:eastAsia="仿宋_GB2312" w:cs="Times New Roman"/>
          <w:kern w:val="0"/>
          <w:sz w:val="32"/>
          <w:szCs w:val="32"/>
          <w:vertAlign w:val="baseline"/>
          <w:lang w:val="en-US" w:eastAsia="zh-CN" w:bidi="ar"/>
          <w:woUserID w:val="2"/>
        </w:rPr>
        <w:t>2</w:t>
      </w:r>
      <w:r>
        <w:rPr>
          <w:rFonts w:hint="eastAsia" w:ascii="仿宋_GB2312" w:hAnsi="Times New Roman" w:eastAsia="仿宋_GB2312" w:cs="仿宋_GB2312"/>
          <w:kern w:val="0"/>
          <w:sz w:val="32"/>
          <w:szCs w:val="32"/>
          <w:vertAlign w:val="baseline"/>
          <w:lang w:val="en-US" w:eastAsia="zh-CN" w:bidi="ar"/>
          <w:woUserID w:val="2"/>
        </w:rPr>
        <w:t>按729.07元/㎡,共8㎡，共计5832.56元（不含税），列入专业工程暂估价计算。</w:t>
      </w:r>
    </w:p>
    <w:p w14:paraId="739DC579">
      <w:pPr>
        <w:pStyle w:val="5"/>
        <w:keepNext w:val="0"/>
        <w:keepLines w:val="0"/>
        <w:widowControl w:val="0"/>
        <w:numPr>
          <w:ilvl w:val="0"/>
          <w:numId w:val="2"/>
        </w:numPr>
        <w:suppressLineNumbers w:val="0"/>
        <w:adjustRightInd w:val="0"/>
        <w:spacing w:before="0" w:beforeAutospacing="0" w:after="0" w:afterAutospacing="0" w:line="360" w:lineRule="atLeast"/>
        <w:ind w:left="0" w:right="0" w:firstLine="640" w:firstLineChars="200"/>
        <w:jc w:val="left"/>
        <w:textAlignment w:val="baseline"/>
        <w:rPr>
          <w:rFonts w:hint="eastAsia" w:ascii="仿宋_GB2312" w:hAnsi="Times New Roman" w:eastAsia="仿宋_GB2312" w:cs="Times New Roman"/>
          <w:kern w:val="0"/>
          <w:sz w:val="32"/>
          <w:szCs w:val="32"/>
          <w:vertAlign w:val="baseline"/>
          <w:woUserID w:val="2"/>
        </w:rPr>
      </w:pPr>
      <w:r>
        <w:rPr>
          <w:rFonts w:hint="eastAsia" w:ascii="仿宋_GB2312" w:hAnsi="Times New Roman" w:eastAsia="仿宋_GB2312" w:cs="仿宋_GB2312"/>
          <w:kern w:val="0"/>
          <w:sz w:val="32"/>
          <w:szCs w:val="32"/>
          <w:vertAlign w:val="baseline"/>
          <w:lang w:val="en-US" w:eastAsia="zh-CN" w:bidi="ar"/>
          <w:woUserID w:val="2"/>
        </w:rPr>
        <w:t>次入口大门</w:t>
      </w:r>
      <w:r>
        <w:rPr>
          <w:rFonts w:hint="eastAsia" w:ascii="仿宋_GB2312" w:hAnsi="Times New Roman" w:eastAsia="仿宋_GB2312" w:cs="Times New Roman"/>
          <w:kern w:val="0"/>
          <w:sz w:val="32"/>
          <w:szCs w:val="32"/>
          <w:vertAlign w:val="baseline"/>
          <w:lang w:val="en-US" w:eastAsia="zh-CN" w:bidi="ar"/>
          <w:woUserID w:val="2"/>
        </w:rPr>
        <w:t>3</w:t>
      </w:r>
      <w:r>
        <w:rPr>
          <w:rFonts w:hint="eastAsia" w:ascii="仿宋_GB2312" w:hAnsi="Times New Roman" w:eastAsia="仿宋_GB2312" w:cs="Times New Roman"/>
          <w:kern w:val="0"/>
          <w:sz w:val="32"/>
          <w:szCs w:val="32"/>
          <w:vertAlign w:val="baseline"/>
          <w:lang w:val="en-US" w:eastAsia="zh" w:bidi="ar"/>
          <w:woUserID w:val="2"/>
        </w:rPr>
        <w:t>按</w:t>
      </w:r>
      <w:r>
        <w:rPr>
          <w:rFonts w:hint="eastAsia" w:ascii="仿宋_GB2312" w:hAnsi="Times New Roman" w:eastAsia="仿宋_GB2312" w:cs="仿宋_GB2312"/>
          <w:kern w:val="0"/>
          <w:sz w:val="32"/>
          <w:szCs w:val="32"/>
          <w:vertAlign w:val="baseline"/>
          <w:lang w:val="en-US" w:eastAsia="zh-CN" w:bidi="ar"/>
          <w:woUserID w:val="2"/>
        </w:rPr>
        <w:t>666.93元</w:t>
      </w:r>
      <w:r>
        <w:rPr>
          <w:rFonts w:hint="eastAsia" w:ascii="仿宋_GB2312" w:hAnsi="Times New Roman" w:eastAsia="仿宋_GB2312" w:cs="Times New Roman"/>
          <w:kern w:val="0"/>
          <w:sz w:val="32"/>
          <w:szCs w:val="32"/>
          <w:vertAlign w:val="baseline"/>
          <w:lang w:val="en-US" w:eastAsia="zh-CN" w:bidi="ar"/>
          <w:woUserID w:val="2"/>
        </w:rPr>
        <w:t>/</w:t>
      </w:r>
      <w:r>
        <w:rPr>
          <w:rFonts w:hint="eastAsia" w:ascii="仿宋_GB2312" w:hAnsi="Times New Roman" w:eastAsia="仿宋_GB2312" w:cs="仿宋_GB2312"/>
          <w:kern w:val="0"/>
          <w:sz w:val="32"/>
          <w:szCs w:val="32"/>
          <w:vertAlign w:val="baseline"/>
          <w:lang w:val="en-US" w:eastAsia="zh-CN" w:bidi="ar"/>
          <w:woUserID w:val="2"/>
        </w:rPr>
        <w:t>㎡,共4㎡，共计2667.72元（不含税），列入专业工程暂估价计算。</w:t>
      </w:r>
    </w:p>
    <w:p w14:paraId="071D4581">
      <w:pPr>
        <w:pStyle w:val="5"/>
        <w:keepNext w:val="0"/>
        <w:keepLines w:val="0"/>
        <w:widowControl w:val="0"/>
        <w:numPr>
          <w:ilvl w:val="0"/>
          <w:numId w:val="1"/>
        </w:numPr>
        <w:suppressLineNumbers w:val="0"/>
        <w:adjustRightInd w:val="0"/>
        <w:spacing w:before="0" w:beforeAutospacing="0" w:after="0" w:afterAutospacing="0" w:line="360" w:lineRule="atLeast"/>
        <w:ind w:left="0" w:leftChars="0" w:right="0" w:firstLine="640" w:firstLineChars="200"/>
        <w:jc w:val="left"/>
        <w:textAlignment w:val="baseline"/>
        <w:rPr>
          <w:rFonts w:hint="eastAsia" w:ascii="仿宋_GB2312" w:hAnsi="宋体" w:eastAsia="仿宋_GB2312" w:cs="仿宋_GB2312"/>
          <w:kern w:val="0"/>
          <w:sz w:val="32"/>
          <w:szCs w:val="32"/>
          <w:lang w:val="en-US" w:eastAsia="zh-CN" w:bidi="ar"/>
        </w:rPr>
      </w:pPr>
      <w:r>
        <w:rPr>
          <w:rFonts w:hint="eastAsia" w:ascii="仿宋_GB2312" w:hAnsi="宋体" w:eastAsia="仿宋_GB2312" w:cs="仿宋_GB2312"/>
          <w:kern w:val="0"/>
          <w:sz w:val="32"/>
          <w:szCs w:val="32"/>
          <w:lang w:val="en-US" w:eastAsia="zh-CN" w:bidi="ar"/>
        </w:rPr>
        <w:t>图纸不详之处详见设计单位、建设单位回复的《招标控制价审核征询意见表》。</w:t>
      </w:r>
    </w:p>
    <w:sectPr>
      <w:pgSz w:w="11906" w:h="16838"/>
      <w:pgMar w:top="1020" w:right="1417" w:bottom="1018"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8E17A2"/>
    <w:multiLevelType w:val="multilevel"/>
    <w:tmpl w:val="988E17A2"/>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rPr>
        <w:rFonts w:hint="default" w:ascii="Times New Roman" w:hAnsi="Times New Roman" w:cs="Times New Roman"/>
      </w:rPr>
    </w:lvl>
    <w:lvl w:ilvl="2" w:tentative="0">
      <w:start w:val="1"/>
      <w:numFmt w:val="decimal"/>
      <w:lvlText w:val="%3."/>
      <w:lvlJc w:val="left"/>
      <w:pPr>
        <w:tabs>
          <w:tab w:val="left" w:pos="2160"/>
        </w:tabs>
        <w:ind w:left="2160" w:hanging="36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decimal"/>
      <w:lvlText w:val="%5."/>
      <w:lvlJc w:val="left"/>
      <w:pPr>
        <w:tabs>
          <w:tab w:val="left" w:pos="3600"/>
        </w:tabs>
        <w:ind w:left="3600" w:hanging="360"/>
      </w:pPr>
      <w:rPr>
        <w:rFonts w:hint="default" w:ascii="Times New Roman" w:hAnsi="Times New Roman" w:cs="Times New Roman"/>
      </w:rPr>
    </w:lvl>
    <w:lvl w:ilvl="5" w:tentative="0">
      <w:start w:val="1"/>
      <w:numFmt w:val="decimal"/>
      <w:lvlText w:val="%6."/>
      <w:lvlJc w:val="left"/>
      <w:pPr>
        <w:tabs>
          <w:tab w:val="left" w:pos="4320"/>
        </w:tabs>
        <w:ind w:left="4320" w:hanging="36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decimal"/>
      <w:lvlText w:val="%8."/>
      <w:lvlJc w:val="left"/>
      <w:pPr>
        <w:tabs>
          <w:tab w:val="left" w:pos="5760"/>
        </w:tabs>
        <w:ind w:left="5760" w:hanging="360"/>
      </w:pPr>
      <w:rPr>
        <w:rFonts w:hint="default" w:ascii="Times New Roman" w:hAnsi="Times New Roman" w:cs="Times New Roman"/>
      </w:rPr>
    </w:lvl>
    <w:lvl w:ilvl="8" w:tentative="0">
      <w:start w:val="1"/>
      <w:numFmt w:val="decimal"/>
      <w:lvlText w:val="%9."/>
      <w:lvlJc w:val="left"/>
      <w:pPr>
        <w:tabs>
          <w:tab w:val="left" w:pos="6480"/>
        </w:tabs>
        <w:ind w:left="6480" w:hanging="360"/>
      </w:pPr>
      <w:rPr>
        <w:rFonts w:hint="default" w:ascii="Times New Roman" w:hAnsi="Times New Roman" w:cs="Times New Roman"/>
      </w:rPr>
    </w:lvl>
  </w:abstractNum>
  <w:abstractNum w:abstractNumId="1">
    <w:nsid w:val="12DF3CB2"/>
    <w:multiLevelType w:val="singleLevel"/>
    <w:tmpl w:val="12DF3CB2"/>
    <w:lvl w:ilvl="0" w:tentative="0">
      <w:start w:val="1"/>
      <w:numFmt w:val="decimal"/>
      <w:suff w:val="nothing"/>
      <w:lvlText w:val="%1．"/>
      <w:lvlJc w:val="left"/>
      <w:pPr>
        <w:ind w:left="0" w:firstLine="4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QyYThiOGEwMzMyNzdhMzdhNTkyNmYzYmFhZWZlZmEifQ=="/>
  </w:docVars>
  <w:rsids>
    <w:rsidRoot w:val="713E16E8"/>
    <w:rsid w:val="001F303E"/>
    <w:rsid w:val="00625E51"/>
    <w:rsid w:val="007C05EF"/>
    <w:rsid w:val="00B948B3"/>
    <w:rsid w:val="02367D74"/>
    <w:rsid w:val="024711DF"/>
    <w:rsid w:val="03824055"/>
    <w:rsid w:val="03C3286F"/>
    <w:rsid w:val="0BEC343E"/>
    <w:rsid w:val="0CB82A52"/>
    <w:rsid w:val="0D141A34"/>
    <w:rsid w:val="0DA8159E"/>
    <w:rsid w:val="10074FA7"/>
    <w:rsid w:val="10B93CC5"/>
    <w:rsid w:val="117009AE"/>
    <w:rsid w:val="11BD0CCB"/>
    <w:rsid w:val="1327184E"/>
    <w:rsid w:val="14876E6C"/>
    <w:rsid w:val="15120EDC"/>
    <w:rsid w:val="151B1C30"/>
    <w:rsid w:val="1529426A"/>
    <w:rsid w:val="1645367E"/>
    <w:rsid w:val="17E17EDC"/>
    <w:rsid w:val="17F43F68"/>
    <w:rsid w:val="18805A8F"/>
    <w:rsid w:val="1A0C2973"/>
    <w:rsid w:val="1A203384"/>
    <w:rsid w:val="1B5D6177"/>
    <w:rsid w:val="1B6D679A"/>
    <w:rsid w:val="1B9A461E"/>
    <w:rsid w:val="1BAA1DEE"/>
    <w:rsid w:val="1D706756"/>
    <w:rsid w:val="21AF0F7E"/>
    <w:rsid w:val="21C60A5C"/>
    <w:rsid w:val="25093CB7"/>
    <w:rsid w:val="25E0500F"/>
    <w:rsid w:val="262F4618"/>
    <w:rsid w:val="28FD525E"/>
    <w:rsid w:val="29446030"/>
    <w:rsid w:val="2A2715DD"/>
    <w:rsid w:val="2AA77D87"/>
    <w:rsid w:val="2CA2633B"/>
    <w:rsid w:val="2CC36E16"/>
    <w:rsid w:val="2CC36E42"/>
    <w:rsid w:val="2D480837"/>
    <w:rsid w:val="2D8D6895"/>
    <w:rsid w:val="2DA37DF5"/>
    <w:rsid w:val="2E1054B0"/>
    <w:rsid w:val="2E422901"/>
    <w:rsid w:val="2E5A0ACC"/>
    <w:rsid w:val="2ECF76CF"/>
    <w:rsid w:val="3030697B"/>
    <w:rsid w:val="307D0CDB"/>
    <w:rsid w:val="319E09A5"/>
    <w:rsid w:val="32326EC9"/>
    <w:rsid w:val="32E50496"/>
    <w:rsid w:val="330870A4"/>
    <w:rsid w:val="33747C7D"/>
    <w:rsid w:val="33A72B79"/>
    <w:rsid w:val="33EA252D"/>
    <w:rsid w:val="348F2DD7"/>
    <w:rsid w:val="358C6356"/>
    <w:rsid w:val="35F00533"/>
    <w:rsid w:val="35F41BFC"/>
    <w:rsid w:val="3650258D"/>
    <w:rsid w:val="37CF76C8"/>
    <w:rsid w:val="398D0612"/>
    <w:rsid w:val="3AFA683F"/>
    <w:rsid w:val="3BA92C34"/>
    <w:rsid w:val="3C2B0489"/>
    <w:rsid w:val="3DA03F39"/>
    <w:rsid w:val="3F7A63C2"/>
    <w:rsid w:val="426944AD"/>
    <w:rsid w:val="43B94141"/>
    <w:rsid w:val="442F268D"/>
    <w:rsid w:val="47414799"/>
    <w:rsid w:val="4AA406F0"/>
    <w:rsid w:val="4C016E23"/>
    <w:rsid w:val="4D0B3AFD"/>
    <w:rsid w:val="4F77691C"/>
    <w:rsid w:val="4FEE654D"/>
    <w:rsid w:val="515733E7"/>
    <w:rsid w:val="539347B6"/>
    <w:rsid w:val="553E6087"/>
    <w:rsid w:val="563625D1"/>
    <w:rsid w:val="581043D4"/>
    <w:rsid w:val="5A535976"/>
    <w:rsid w:val="5D2153EA"/>
    <w:rsid w:val="5DAA666C"/>
    <w:rsid w:val="5E4C66DB"/>
    <w:rsid w:val="5EEB5943"/>
    <w:rsid w:val="5EFD2130"/>
    <w:rsid w:val="61640A02"/>
    <w:rsid w:val="62001E71"/>
    <w:rsid w:val="633D3BE3"/>
    <w:rsid w:val="639500A7"/>
    <w:rsid w:val="640C1262"/>
    <w:rsid w:val="6448234D"/>
    <w:rsid w:val="6619707E"/>
    <w:rsid w:val="68B536B2"/>
    <w:rsid w:val="69285A6D"/>
    <w:rsid w:val="6B656390"/>
    <w:rsid w:val="6B744F4D"/>
    <w:rsid w:val="6D461FF8"/>
    <w:rsid w:val="6F6614F5"/>
    <w:rsid w:val="6FE4229B"/>
    <w:rsid w:val="711E2E7D"/>
    <w:rsid w:val="713E16E8"/>
    <w:rsid w:val="72C5513F"/>
    <w:rsid w:val="742A74C3"/>
    <w:rsid w:val="75606BF7"/>
    <w:rsid w:val="77682AC6"/>
    <w:rsid w:val="78935C36"/>
    <w:rsid w:val="79CA2E50"/>
    <w:rsid w:val="7A4169D3"/>
    <w:rsid w:val="7A58338F"/>
    <w:rsid w:val="7AE53606"/>
    <w:rsid w:val="7CF131F1"/>
    <w:rsid w:val="7D53138D"/>
    <w:rsid w:val="7DAB6B5B"/>
    <w:rsid w:val="7E2761AA"/>
    <w:rsid w:val="7E979777"/>
    <w:rsid w:val="7FF515D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qFormat/>
    <w:uiPriority w:val="0"/>
    <w:pPr>
      <w:adjustRightInd w:val="0"/>
      <w:spacing w:line="360" w:lineRule="atLeast"/>
      <w:jc w:val="left"/>
      <w:textAlignment w:val="baseline"/>
    </w:pPr>
    <w:rPr>
      <w:rFonts w:ascii="宋体"/>
      <w:kern w:val="0"/>
      <w:sz w:val="24"/>
    </w:rPr>
  </w:style>
  <w:style w:type="paragraph" w:styleId="3">
    <w:name w:val="footer"/>
    <w:basedOn w:val="1"/>
    <w:link w:val="9"/>
    <w:autoRedefine/>
    <w:qFormat/>
    <w:uiPriority w:val="0"/>
    <w:pPr>
      <w:tabs>
        <w:tab w:val="center" w:pos="4153"/>
        <w:tab w:val="right" w:pos="8306"/>
      </w:tabs>
      <w:snapToGrid w:val="0"/>
      <w:jc w:val="left"/>
    </w:pPr>
    <w:rPr>
      <w:sz w:val="18"/>
      <w:szCs w:val="18"/>
    </w:rPr>
  </w:style>
  <w:style w:type="paragraph" w:styleId="4">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customStyle="1" w:styleId="8">
    <w:name w:val="页眉 Char"/>
    <w:basedOn w:val="7"/>
    <w:link w:val="4"/>
    <w:autoRedefine/>
    <w:qFormat/>
    <w:uiPriority w:val="0"/>
    <w:rPr>
      <w:rFonts w:asciiTheme="minorHAnsi" w:hAnsiTheme="minorHAnsi" w:eastAsiaTheme="minorEastAsia" w:cstheme="minorBidi"/>
      <w:kern w:val="2"/>
      <w:sz w:val="18"/>
      <w:szCs w:val="18"/>
    </w:rPr>
  </w:style>
  <w:style w:type="character" w:customStyle="1" w:styleId="9">
    <w:name w:val="页脚 Char"/>
    <w:basedOn w:val="7"/>
    <w:link w:val="3"/>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1392</Words>
  <Characters>1566</Characters>
  <Lines>8</Lines>
  <Paragraphs>2</Paragraphs>
  <TotalTime>0</TotalTime>
  <ScaleCrop>false</ScaleCrop>
  <LinksUpToDate>false</LinksUpToDate>
  <CharactersWithSpaces>1572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2020-03-21T19:06:00Z</dcterms:created>
  <dc:creator>七苇。</dc:creator>
  <cp:lastModifiedBy>空杯子</cp:lastModifiedBy>
  <cp:lastPrinted>2022-06-17T04:20:00Z</cp:lastPrinted>
  <dcterms:modified xsi:type="dcterms:W3CDTF">2025-09-12T15:22:02Z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553F6AF1028200F0B127C468DAD8526D_43</vt:lpwstr>
  </property>
  <property fmtid="{D5CDD505-2E9C-101B-9397-08002B2CF9AE}" pid="4" name="KSOTemplateDocerSaveRecord">
    <vt:lpwstr>eyJoZGlkIjoiODU5ZDhlMjNhMDhlODc4OGQ2MDllMjhlYjU5NDkwYTYiLCJ1c2VySWQiOiIzODczNDk3NDcifQ==</vt:lpwstr>
  </property>
</Properties>
</file>