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F767E">
      <w:pPr>
        <w:pStyle w:val="6"/>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212DD3FF">
      <w:pPr>
        <w:keepNext w:val="0"/>
        <w:keepLines w:val="0"/>
        <w:pageBreakBefore w:val="0"/>
        <w:wordWrap w:val="0"/>
        <w:overflowPunct/>
        <w:topLinePunct w:val="0"/>
        <w:bidi w:val="0"/>
        <w:rPr>
          <w:rFonts w:hint="eastAsia" w:ascii="宋体" w:hAnsi="宋体" w:eastAsia="宋体" w:cs="宋体"/>
          <w:color w:val="auto"/>
          <w:spacing w:val="0"/>
          <w:highlight w:val="none"/>
          <w:lang w:val="en-US" w:eastAsia="zh-CN"/>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pacing w:val="0"/>
          <w:highlight w:val="none"/>
          <w:lang w:val="en-US" w:eastAsia="zh-CN"/>
        </w:rPr>
        <w:drawing>
          <wp:inline distT="0" distB="0" distL="114300" distR="114300">
            <wp:extent cx="6049645" cy="8555990"/>
            <wp:effectExtent l="0" t="0" r="8255" b="16510"/>
            <wp:docPr id="3" name="图片 3" descr="SKM_C36826031615171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SKM_C36826031615171_01"/>
                    <pic:cNvPicPr>
                      <a:picLocks noChangeAspect="1"/>
                    </pic:cNvPicPr>
                  </pic:nvPicPr>
                  <pic:blipFill>
                    <a:blip r:embed="rId31"/>
                    <a:stretch>
                      <a:fillRect/>
                    </a:stretch>
                  </pic:blipFill>
                  <pic:spPr>
                    <a:xfrm>
                      <a:off x="0" y="0"/>
                      <a:ext cx="6049645" cy="8555990"/>
                    </a:xfrm>
                    <a:prstGeom prst="rect">
                      <a:avLst/>
                    </a:prstGeom>
                  </pic:spPr>
                </pic:pic>
              </a:graphicData>
            </a:graphic>
          </wp:inline>
        </w:drawing>
      </w:r>
    </w:p>
    <w:p w14:paraId="018A4953">
      <w:pPr>
        <w:keepNext w:val="0"/>
        <w:keepLines w:val="0"/>
        <w:pageBreakBefore w:val="0"/>
        <w:wordWrap w:val="0"/>
        <w:overflowPunct/>
        <w:topLinePunct w:val="0"/>
        <w:bidi w:val="0"/>
        <w:rPr>
          <w:rFonts w:hint="eastAsia" w:ascii="宋体" w:hAnsi="宋体" w:eastAsia="宋体" w:cs="宋体"/>
          <w:color w:val="auto"/>
          <w:spacing w:val="0"/>
          <w:highlight w:val="none"/>
        </w:rPr>
      </w:pPr>
    </w:p>
    <w:p w14:paraId="31B9AE70">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3363FA0C">
      <w:pPr>
        <w:keepNext w:val="0"/>
        <w:keepLines w:val="0"/>
        <w:pageBreakBefore w:val="0"/>
        <w:wordWrap w:val="0"/>
        <w:overflowPunct/>
        <w:topLinePunct w:val="0"/>
        <w:bidi w:val="0"/>
        <w:jc w:val="center"/>
        <w:rPr>
          <w:rFonts w:hint="eastAsia" w:ascii="宋体" w:hAnsi="宋体" w:eastAsia="宋体" w:cs="宋体"/>
          <w:b/>
          <w:bCs/>
          <w:color w:val="auto"/>
          <w:spacing w:val="0"/>
          <w:sz w:val="28"/>
          <w:szCs w:val="28"/>
          <w:highlight w:val="none"/>
        </w:rPr>
      </w:pPr>
      <w:r>
        <w:rPr>
          <w:rFonts w:hint="eastAsia" w:ascii="宋体" w:hAnsi="宋体" w:eastAsia="宋体" w:cs="宋体"/>
          <w:b/>
          <w:bCs/>
          <w:color w:val="auto"/>
          <w:spacing w:val="0"/>
          <w:sz w:val="28"/>
          <w:szCs w:val="28"/>
          <w:highlight w:val="none"/>
        </w:rPr>
        <w:t>目录</w:t>
      </w:r>
    </w:p>
    <w:p w14:paraId="47D62CB7">
      <w:pPr>
        <w:pStyle w:val="10"/>
        <w:tabs>
          <w:tab w:val="right" w:leader="dot" w:pos="9746"/>
        </w:tabs>
      </w:pP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TOC \o "1-3" \h \u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_Toc9179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w:t>
      </w:r>
      <w:r>
        <w:tab/>
      </w:r>
      <w:r>
        <w:fldChar w:fldCharType="begin"/>
      </w:r>
      <w:r>
        <w:instrText xml:space="preserve"> PAGEREF _Toc9179 \h </w:instrText>
      </w:r>
      <w:r>
        <w:fldChar w:fldCharType="separate"/>
      </w:r>
      <w:r>
        <w:t>3</w:t>
      </w:r>
      <w:r>
        <w:fldChar w:fldCharType="end"/>
      </w:r>
      <w:r>
        <w:rPr>
          <w:rFonts w:hint="eastAsia" w:ascii="宋体" w:hAnsi="宋体" w:eastAsia="宋体" w:cs="宋体"/>
          <w:color w:val="auto"/>
          <w:spacing w:val="0"/>
          <w:szCs w:val="24"/>
          <w:highlight w:val="none"/>
        </w:rPr>
        <w:fldChar w:fldCharType="end"/>
      </w:r>
    </w:p>
    <w:p w14:paraId="739676B7">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_Toc10939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第一节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投标人须知前附表</w:t>
      </w:r>
      <w:r>
        <w:tab/>
      </w:r>
      <w:r>
        <w:fldChar w:fldCharType="begin"/>
      </w:r>
      <w:r>
        <w:instrText xml:space="preserve"> PAGEREF _Toc10939 \h </w:instrText>
      </w:r>
      <w:r>
        <w:fldChar w:fldCharType="separate"/>
      </w:r>
      <w:r>
        <w:t>3</w:t>
      </w:r>
      <w:r>
        <w:fldChar w:fldCharType="end"/>
      </w:r>
      <w:r>
        <w:rPr>
          <w:rFonts w:hint="eastAsia" w:ascii="宋体" w:hAnsi="宋体" w:eastAsia="宋体" w:cs="宋体"/>
          <w:color w:val="auto"/>
          <w:spacing w:val="0"/>
          <w:szCs w:val="24"/>
          <w:highlight w:val="none"/>
        </w:rPr>
        <w:fldChar w:fldCharType="end"/>
      </w:r>
    </w:p>
    <w:p w14:paraId="286356EF">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_Toc9665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第二节 重要事项时间地点一览表</w:t>
      </w:r>
      <w:r>
        <w:tab/>
      </w:r>
      <w:r>
        <w:fldChar w:fldCharType="begin"/>
      </w:r>
      <w:r>
        <w:instrText xml:space="preserve"> PAGEREF _Toc9665 \h </w:instrText>
      </w:r>
      <w:r>
        <w:fldChar w:fldCharType="separate"/>
      </w:r>
      <w:r>
        <w:t>10</w:t>
      </w:r>
      <w:r>
        <w:fldChar w:fldCharType="end"/>
      </w:r>
      <w:r>
        <w:rPr>
          <w:rFonts w:hint="eastAsia" w:ascii="宋体" w:hAnsi="宋体" w:eastAsia="宋体" w:cs="宋体"/>
          <w:color w:val="auto"/>
          <w:spacing w:val="0"/>
          <w:szCs w:val="24"/>
          <w:highlight w:val="none"/>
        </w:rPr>
        <w:fldChar w:fldCharType="end"/>
      </w:r>
    </w:p>
    <w:p w14:paraId="24C56C2E">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_Toc2226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投标人须知正文</w:t>
      </w:r>
      <w:r>
        <w:tab/>
      </w:r>
      <w:r>
        <w:fldChar w:fldCharType="begin"/>
      </w:r>
      <w:r>
        <w:instrText xml:space="preserve"> PAGEREF _Toc2226 \h </w:instrText>
      </w:r>
      <w:r>
        <w:fldChar w:fldCharType="separate"/>
      </w:r>
      <w:r>
        <w:t>11</w:t>
      </w:r>
      <w:r>
        <w:fldChar w:fldCharType="end"/>
      </w:r>
      <w:r>
        <w:rPr>
          <w:rFonts w:hint="eastAsia" w:ascii="宋体" w:hAnsi="宋体" w:eastAsia="宋体" w:cs="宋体"/>
          <w:color w:val="auto"/>
          <w:spacing w:val="0"/>
          <w:szCs w:val="24"/>
          <w:highlight w:val="none"/>
        </w:rPr>
        <w:fldChar w:fldCharType="end"/>
      </w:r>
    </w:p>
    <w:p w14:paraId="0E297D93">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_Toc6914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．项目概况、招标范围和标段划分、投标费用等</w:t>
      </w:r>
      <w:r>
        <w:tab/>
      </w:r>
      <w:r>
        <w:fldChar w:fldCharType="begin"/>
      </w:r>
      <w:r>
        <w:instrText xml:space="preserve"> PAGEREF _Toc6914 \h </w:instrText>
      </w:r>
      <w:r>
        <w:fldChar w:fldCharType="separate"/>
      </w:r>
      <w:r>
        <w:t>11</w:t>
      </w:r>
      <w:r>
        <w:fldChar w:fldCharType="end"/>
      </w:r>
      <w:r>
        <w:rPr>
          <w:rFonts w:hint="eastAsia" w:ascii="宋体" w:hAnsi="宋体" w:eastAsia="宋体" w:cs="宋体"/>
          <w:color w:val="auto"/>
          <w:spacing w:val="0"/>
          <w:szCs w:val="24"/>
          <w:highlight w:val="none"/>
        </w:rPr>
        <w:fldChar w:fldCharType="end"/>
      </w:r>
    </w:p>
    <w:p w14:paraId="760C55EE">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_Toc19735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w:t>
      </w:r>
      <w:r>
        <w:rPr>
          <w:rFonts w:hint="eastAsia" w:ascii="宋体" w:hAnsi="宋体" w:eastAsia="宋体" w:cs="宋体"/>
          <w:bCs/>
          <w:spacing w:val="0"/>
          <w:szCs w:val="24"/>
          <w:highlight w:val="none"/>
          <w:lang w:eastAsia="zh-CN"/>
        </w:rPr>
        <w:t>投标人</w:t>
      </w:r>
      <w:r>
        <w:rPr>
          <w:rFonts w:hint="eastAsia" w:ascii="宋体" w:hAnsi="宋体" w:eastAsia="宋体" w:cs="宋体"/>
          <w:bCs/>
          <w:spacing w:val="0"/>
          <w:szCs w:val="24"/>
          <w:highlight w:val="none"/>
        </w:rPr>
        <w:t>资质要求</w:t>
      </w:r>
      <w:r>
        <w:tab/>
      </w:r>
      <w:r>
        <w:fldChar w:fldCharType="begin"/>
      </w:r>
      <w:r>
        <w:instrText xml:space="preserve"> PAGEREF _Toc19735 \h </w:instrText>
      </w:r>
      <w:r>
        <w:fldChar w:fldCharType="separate"/>
      </w:r>
      <w:r>
        <w:t>11</w:t>
      </w:r>
      <w:r>
        <w:fldChar w:fldCharType="end"/>
      </w:r>
      <w:r>
        <w:rPr>
          <w:rFonts w:hint="eastAsia" w:ascii="宋体" w:hAnsi="宋体" w:eastAsia="宋体" w:cs="宋体"/>
          <w:color w:val="auto"/>
          <w:spacing w:val="0"/>
          <w:szCs w:val="24"/>
          <w:highlight w:val="none"/>
        </w:rPr>
        <w:fldChar w:fldCharType="end"/>
      </w:r>
    </w:p>
    <w:p w14:paraId="09E9EFD4">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_Toc27770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3．招标文件的获取</w:t>
      </w:r>
      <w:r>
        <w:tab/>
      </w:r>
      <w:r>
        <w:fldChar w:fldCharType="begin"/>
      </w:r>
      <w:r>
        <w:instrText xml:space="preserve"> PAGEREF _Toc27770 \h </w:instrText>
      </w:r>
      <w:r>
        <w:fldChar w:fldCharType="separate"/>
      </w:r>
      <w:r>
        <w:t>13</w:t>
      </w:r>
      <w:r>
        <w:fldChar w:fldCharType="end"/>
      </w:r>
      <w:r>
        <w:rPr>
          <w:rFonts w:hint="eastAsia" w:ascii="宋体" w:hAnsi="宋体" w:eastAsia="宋体" w:cs="宋体"/>
          <w:color w:val="auto"/>
          <w:spacing w:val="0"/>
          <w:szCs w:val="24"/>
          <w:highlight w:val="none"/>
        </w:rPr>
        <w:fldChar w:fldCharType="end"/>
      </w:r>
    </w:p>
    <w:p w14:paraId="6C27E3F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_Toc23385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4"/>
          <w:highlight w:val="none"/>
        </w:rPr>
        <w:t>．工期要求</w:t>
      </w:r>
      <w:r>
        <w:tab/>
      </w:r>
      <w:r>
        <w:fldChar w:fldCharType="begin"/>
      </w:r>
      <w:r>
        <w:instrText xml:space="preserve"> PAGEREF _Toc23385 \h </w:instrText>
      </w:r>
      <w:r>
        <w:fldChar w:fldCharType="separate"/>
      </w:r>
      <w:r>
        <w:t>15</w:t>
      </w:r>
      <w:r>
        <w:fldChar w:fldCharType="end"/>
      </w:r>
      <w:r>
        <w:rPr>
          <w:rFonts w:hint="eastAsia" w:ascii="宋体" w:hAnsi="宋体" w:eastAsia="宋体" w:cs="宋体"/>
          <w:color w:val="auto"/>
          <w:spacing w:val="0"/>
          <w:szCs w:val="24"/>
          <w:highlight w:val="none"/>
        </w:rPr>
        <w:fldChar w:fldCharType="end"/>
      </w:r>
    </w:p>
    <w:p w14:paraId="725D659B">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_Toc7638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5</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4"/>
          <w:highlight w:val="none"/>
        </w:rPr>
        <w:t>．质量标准和材料、机械要求</w:t>
      </w:r>
      <w:r>
        <w:tab/>
      </w:r>
      <w:r>
        <w:fldChar w:fldCharType="begin"/>
      </w:r>
      <w:r>
        <w:instrText xml:space="preserve"> PAGEREF _Toc7638 \h </w:instrText>
      </w:r>
      <w:r>
        <w:fldChar w:fldCharType="separate"/>
      </w:r>
      <w:r>
        <w:t>15</w:t>
      </w:r>
      <w:r>
        <w:fldChar w:fldCharType="end"/>
      </w:r>
      <w:r>
        <w:rPr>
          <w:rFonts w:hint="eastAsia" w:ascii="宋体" w:hAnsi="宋体" w:eastAsia="宋体" w:cs="宋体"/>
          <w:color w:val="auto"/>
          <w:spacing w:val="0"/>
          <w:szCs w:val="24"/>
          <w:highlight w:val="none"/>
        </w:rPr>
        <w:fldChar w:fldCharType="end"/>
      </w:r>
    </w:p>
    <w:p w14:paraId="4AE407B4">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_Toc1668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6 ．施工条件及现场踏勘</w:t>
      </w:r>
      <w:r>
        <w:tab/>
      </w:r>
      <w:r>
        <w:fldChar w:fldCharType="begin"/>
      </w:r>
      <w:r>
        <w:instrText xml:space="preserve"> PAGEREF _Toc1668 \h </w:instrText>
      </w:r>
      <w:r>
        <w:fldChar w:fldCharType="separate"/>
      </w:r>
      <w:r>
        <w:t>16</w:t>
      </w:r>
      <w:r>
        <w:fldChar w:fldCharType="end"/>
      </w:r>
      <w:r>
        <w:rPr>
          <w:rFonts w:hint="eastAsia" w:ascii="宋体" w:hAnsi="宋体" w:eastAsia="宋体" w:cs="宋体"/>
          <w:color w:val="auto"/>
          <w:spacing w:val="0"/>
          <w:szCs w:val="24"/>
          <w:highlight w:val="none"/>
        </w:rPr>
        <w:fldChar w:fldCharType="end"/>
      </w:r>
    </w:p>
    <w:p w14:paraId="0BE97E0C">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_Toc25529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7 ．招标文件的提问和答疑</w:t>
      </w:r>
      <w:r>
        <w:tab/>
      </w:r>
      <w:r>
        <w:fldChar w:fldCharType="begin"/>
      </w:r>
      <w:r>
        <w:instrText xml:space="preserve"> PAGEREF _Toc25529 \h </w:instrText>
      </w:r>
      <w:r>
        <w:fldChar w:fldCharType="separate"/>
      </w:r>
      <w:r>
        <w:t>16</w:t>
      </w:r>
      <w:r>
        <w:fldChar w:fldCharType="end"/>
      </w:r>
      <w:r>
        <w:rPr>
          <w:rFonts w:hint="eastAsia" w:ascii="宋体" w:hAnsi="宋体" w:eastAsia="宋体" w:cs="宋体"/>
          <w:color w:val="auto"/>
          <w:spacing w:val="0"/>
          <w:szCs w:val="24"/>
          <w:highlight w:val="none"/>
        </w:rPr>
        <w:fldChar w:fldCharType="end"/>
      </w:r>
    </w:p>
    <w:p w14:paraId="12B050FF">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_Toc20304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8 ．</w:t>
      </w:r>
      <w:r>
        <w:rPr>
          <w:rFonts w:hint="eastAsia" w:ascii="宋体" w:hAnsi="宋体" w:eastAsia="宋体" w:cs="宋体"/>
          <w:bCs/>
          <w:spacing w:val="0"/>
          <w:szCs w:val="24"/>
          <w:highlight w:val="none"/>
          <w:lang w:val="en-US" w:eastAsia="zh-CN"/>
        </w:rPr>
        <w:t>最高投标限价</w:t>
      </w:r>
      <w:r>
        <w:tab/>
      </w:r>
      <w:r>
        <w:fldChar w:fldCharType="begin"/>
      </w:r>
      <w:r>
        <w:instrText xml:space="preserve"> PAGEREF _Toc20304 \h </w:instrText>
      </w:r>
      <w:r>
        <w:fldChar w:fldCharType="separate"/>
      </w:r>
      <w:r>
        <w:t>17</w:t>
      </w:r>
      <w:r>
        <w:fldChar w:fldCharType="end"/>
      </w:r>
      <w:r>
        <w:rPr>
          <w:rFonts w:hint="eastAsia" w:ascii="宋体" w:hAnsi="宋体" w:eastAsia="宋体" w:cs="宋体"/>
          <w:color w:val="auto"/>
          <w:spacing w:val="0"/>
          <w:szCs w:val="24"/>
          <w:highlight w:val="none"/>
        </w:rPr>
        <w:fldChar w:fldCharType="end"/>
      </w:r>
    </w:p>
    <w:p w14:paraId="50BBF76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_Toc26644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9 ．投标报价</w:t>
      </w:r>
      <w:r>
        <w:tab/>
      </w:r>
      <w:r>
        <w:fldChar w:fldCharType="begin"/>
      </w:r>
      <w:r>
        <w:instrText xml:space="preserve"> PAGEREF _Toc26644 \h </w:instrText>
      </w:r>
      <w:r>
        <w:fldChar w:fldCharType="separate"/>
      </w:r>
      <w:r>
        <w:t>18</w:t>
      </w:r>
      <w:r>
        <w:fldChar w:fldCharType="end"/>
      </w:r>
      <w:r>
        <w:rPr>
          <w:rFonts w:hint="eastAsia" w:ascii="宋体" w:hAnsi="宋体" w:eastAsia="宋体" w:cs="宋体"/>
          <w:color w:val="auto"/>
          <w:spacing w:val="0"/>
          <w:szCs w:val="24"/>
          <w:highlight w:val="none"/>
        </w:rPr>
        <w:fldChar w:fldCharType="end"/>
      </w:r>
    </w:p>
    <w:p w14:paraId="4CBAB4CA">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_Toc7069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10 ．投标文件的编制要求</w:t>
      </w:r>
      <w:r>
        <w:tab/>
      </w:r>
      <w:r>
        <w:fldChar w:fldCharType="begin"/>
      </w:r>
      <w:r>
        <w:instrText xml:space="preserve"> PAGEREF _Toc7069 \h </w:instrText>
      </w:r>
      <w:r>
        <w:fldChar w:fldCharType="separate"/>
      </w:r>
      <w:r>
        <w:t>19</w:t>
      </w:r>
      <w:r>
        <w:fldChar w:fldCharType="end"/>
      </w:r>
      <w:r>
        <w:rPr>
          <w:rFonts w:hint="eastAsia" w:ascii="宋体" w:hAnsi="宋体" w:eastAsia="宋体" w:cs="宋体"/>
          <w:color w:val="auto"/>
          <w:spacing w:val="0"/>
          <w:szCs w:val="24"/>
          <w:highlight w:val="none"/>
        </w:rPr>
        <w:fldChar w:fldCharType="end"/>
      </w:r>
    </w:p>
    <w:p w14:paraId="6FAD58D8">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_Toc5686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 xml:space="preserve">11. </w:t>
      </w:r>
      <w:r>
        <w:rPr>
          <w:rFonts w:hint="eastAsia" w:ascii="宋体" w:hAnsi="宋体" w:eastAsia="宋体" w:cs="宋体"/>
          <w:spacing w:val="0"/>
          <w:szCs w:val="24"/>
          <w:highlight w:val="none"/>
        </w:rPr>
        <w:t>电子投标：</w:t>
      </w:r>
      <w:r>
        <w:tab/>
      </w:r>
      <w:r>
        <w:fldChar w:fldCharType="begin"/>
      </w:r>
      <w:r>
        <w:instrText xml:space="preserve"> PAGEREF _Toc5686 \h </w:instrText>
      </w:r>
      <w:r>
        <w:fldChar w:fldCharType="separate"/>
      </w:r>
      <w:r>
        <w:t>23</w:t>
      </w:r>
      <w:r>
        <w:fldChar w:fldCharType="end"/>
      </w:r>
      <w:r>
        <w:rPr>
          <w:rFonts w:hint="eastAsia" w:ascii="宋体" w:hAnsi="宋体" w:eastAsia="宋体" w:cs="宋体"/>
          <w:color w:val="auto"/>
          <w:spacing w:val="0"/>
          <w:szCs w:val="24"/>
          <w:highlight w:val="none"/>
        </w:rPr>
        <w:fldChar w:fldCharType="end"/>
      </w:r>
    </w:p>
    <w:p w14:paraId="16432649">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_Toc31421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lang w:val="en-US" w:eastAsia="zh-CN"/>
        </w:rPr>
        <w:t>12.</w:t>
      </w:r>
      <w:r>
        <w:rPr>
          <w:rFonts w:hint="eastAsia" w:ascii="宋体" w:hAnsi="宋体" w:eastAsia="宋体" w:cs="宋体"/>
          <w:bCs/>
          <w:spacing w:val="0"/>
          <w:w w:val="101"/>
          <w:szCs w:val="24"/>
          <w:highlight w:val="none"/>
        </w:rPr>
        <w:t xml:space="preserve"> </w:t>
      </w:r>
      <w:r>
        <w:rPr>
          <w:rFonts w:hint="eastAsia" w:ascii="宋体" w:hAnsi="宋体" w:eastAsia="宋体" w:cs="宋体"/>
          <w:bCs/>
          <w:spacing w:val="0"/>
          <w:szCs w:val="24"/>
          <w:highlight w:val="none"/>
        </w:rPr>
        <w:t>电子投标及投标解密失败及突发情况的补救方案</w:t>
      </w:r>
      <w:r>
        <w:tab/>
      </w:r>
      <w:r>
        <w:fldChar w:fldCharType="begin"/>
      </w:r>
      <w:r>
        <w:instrText xml:space="preserve"> PAGEREF _Toc31421 \h </w:instrText>
      </w:r>
      <w:r>
        <w:fldChar w:fldCharType="separate"/>
      </w:r>
      <w:r>
        <w:t>23</w:t>
      </w:r>
      <w:r>
        <w:fldChar w:fldCharType="end"/>
      </w:r>
      <w:r>
        <w:rPr>
          <w:rFonts w:hint="eastAsia" w:ascii="宋体" w:hAnsi="宋体" w:eastAsia="宋体" w:cs="宋体"/>
          <w:color w:val="auto"/>
          <w:spacing w:val="0"/>
          <w:szCs w:val="24"/>
          <w:highlight w:val="none"/>
        </w:rPr>
        <w:fldChar w:fldCharType="end"/>
      </w:r>
    </w:p>
    <w:p w14:paraId="61A13848">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_Toc21599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13 ．投标文件的提交</w:t>
      </w:r>
      <w:r>
        <w:tab/>
      </w:r>
      <w:r>
        <w:fldChar w:fldCharType="begin"/>
      </w:r>
      <w:r>
        <w:instrText xml:space="preserve"> PAGEREF _Toc21599 \h </w:instrText>
      </w:r>
      <w:r>
        <w:fldChar w:fldCharType="separate"/>
      </w:r>
      <w:r>
        <w:t>24</w:t>
      </w:r>
      <w:r>
        <w:fldChar w:fldCharType="end"/>
      </w:r>
      <w:r>
        <w:rPr>
          <w:rFonts w:hint="eastAsia" w:ascii="宋体" w:hAnsi="宋体" w:eastAsia="宋体" w:cs="宋体"/>
          <w:color w:val="auto"/>
          <w:spacing w:val="0"/>
          <w:szCs w:val="24"/>
          <w:highlight w:val="none"/>
        </w:rPr>
        <w:fldChar w:fldCharType="end"/>
      </w:r>
    </w:p>
    <w:p w14:paraId="658356FF">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_Toc25927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14 ．开标</w:t>
      </w:r>
      <w:r>
        <w:tab/>
      </w:r>
      <w:r>
        <w:fldChar w:fldCharType="begin"/>
      </w:r>
      <w:r>
        <w:instrText xml:space="preserve"> PAGEREF _Toc25927 \h </w:instrText>
      </w:r>
      <w:r>
        <w:fldChar w:fldCharType="separate"/>
      </w:r>
      <w:r>
        <w:t>24</w:t>
      </w:r>
      <w:r>
        <w:fldChar w:fldCharType="end"/>
      </w:r>
      <w:r>
        <w:rPr>
          <w:rFonts w:hint="eastAsia" w:ascii="宋体" w:hAnsi="宋体" w:eastAsia="宋体" w:cs="宋体"/>
          <w:color w:val="auto"/>
          <w:spacing w:val="0"/>
          <w:szCs w:val="24"/>
          <w:highlight w:val="none"/>
        </w:rPr>
        <w:fldChar w:fldCharType="end"/>
      </w:r>
    </w:p>
    <w:p w14:paraId="1208A90B">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_Toc32470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15 ．评标</w:t>
      </w:r>
      <w:r>
        <w:tab/>
      </w:r>
      <w:r>
        <w:fldChar w:fldCharType="begin"/>
      </w:r>
      <w:r>
        <w:instrText xml:space="preserve"> PAGEREF _Toc32470 \h </w:instrText>
      </w:r>
      <w:r>
        <w:fldChar w:fldCharType="separate"/>
      </w:r>
      <w:r>
        <w:t>26</w:t>
      </w:r>
      <w:r>
        <w:fldChar w:fldCharType="end"/>
      </w:r>
      <w:r>
        <w:rPr>
          <w:rFonts w:hint="eastAsia" w:ascii="宋体" w:hAnsi="宋体" w:eastAsia="宋体" w:cs="宋体"/>
          <w:color w:val="auto"/>
          <w:spacing w:val="0"/>
          <w:szCs w:val="24"/>
          <w:highlight w:val="none"/>
        </w:rPr>
        <w:fldChar w:fldCharType="end"/>
      </w:r>
    </w:p>
    <w:p w14:paraId="3561CBA2">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_Toc7236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16 ．</w:t>
      </w:r>
      <w:r>
        <w:rPr>
          <w:rFonts w:hint="eastAsia" w:ascii="宋体" w:hAnsi="宋体" w:eastAsia="宋体" w:cs="宋体"/>
          <w:bCs/>
          <w:spacing w:val="0"/>
          <w:szCs w:val="24"/>
          <w:highlight w:val="none"/>
          <w:lang w:val="en-US" w:eastAsia="zh-CN"/>
        </w:rPr>
        <w:t>定</w:t>
      </w:r>
      <w:r>
        <w:rPr>
          <w:rFonts w:hint="eastAsia" w:ascii="宋体" w:hAnsi="宋体" w:eastAsia="宋体" w:cs="宋体"/>
          <w:bCs/>
          <w:spacing w:val="0"/>
          <w:szCs w:val="24"/>
          <w:highlight w:val="none"/>
        </w:rPr>
        <w:t>标</w:t>
      </w:r>
      <w:r>
        <w:tab/>
      </w:r>
      <w:r>
        <w:fldChar w:fldCharType="begin"/>
      </w:r>
      <w:r>
        <w:instrText xml:space="preserve"> PAGEREF _Toc7236 \h </w:instrText>
      </w:r>
      <w:r>
        <w:fldChar w:fldCharType="separate"/>
      </w:r>
      <w:r>
        <w:t>37</w:t>
      </w:r>
      <w:r>
        <w:fldChar w:fldCharType="end"/>
      </w:r>
      <w:r>
        <w:rPr>
          <w:rFonts w:hint="eastAsia" w:ascii="宋体" w:hAnsi="宋体" w:eastAsia="宋体" w:cs="宋体"/>
          <w:color w:val="auto"/>
          <w:spacing w:val="0"/>
          <w:szCs w:val="24"/>
          <w:highlight w:val="none"/>
        </w:rPr>
        <w:fldChar w:fldCharType="end"/>
      </w:r>
    </w:p>
    <w:p w14:paraId="74058D06">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_Toc22744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lang w:val="en-US" w:eastAsia="zh-CN"/>
        </w:rPr>
        <w:t>17</w:t>
      </w:r>
      <w:r>
        <w:rPr>
          <w:rFonts w:hint="eastAsia" w:ascii="宋体" w:hAnsi="宋体" w:eastAsia="宋体" w:cs="宋体"/>
          <w:bCs/>
          <w:spacing w:val="0"/>
          <w:szCs w:val="24"/>
          <w:highlight w:val="none"/>
        </w:rPr>
        <w:t xml:space="preserve"> ．</w:t>
      </w:r>
      <w:r>
        <w:rPr>
          <w:rFonts w:hint="eastAsia" w:ascii="宋体" w:hAnsi="宋体" w:eastAsia="宋体" w:cs="宋体"/>
          <w:bCs/>
          <w:spacing w:val="0"/>
          <w:szCs w:val="24"/>
          <w:highlight w:val="none"/>
          <w:lang w:val="en-US" w:eastAsia="zh-CN"/>
        </w:rPr>
        <w:t>定</w:t>
      </w:r>
      <w:r>
        <w:rPr>
          <w:rFonts w:hint="eastAsia" w:ascii="宋体" w:hAnsi="宋体" w:eastAsia="宋体" w:cs="宋体"/>
          <w:bCs/>
          <w:spacing w:val="0"/>
          <w:szCs w:val="24"/>
          <w:highlight w:val="none"/>
        </w:rPr>
        <w:t>标</w:t>
      </w:r>
      <w:r>
        <w:rPr>
          <w:rFonts w:hint="eastAsia" w:ascii="宋体" w:hAnsi="宋体" w:eastAsia="宋体" w:cs="宋体"/>
          <w:bCs/>
          <w:spacing w:val="0"/>
          <w:szCs w:val="24"/>
          <w:highlight w:val="none"/>
          <w:lang w:val="en-US" w:eastAsia="zh-CN"/>
        </w:rPr>
        <w:t>结果</w:t>
      </w:r>
      <w:r>
        <w:rPr>
          <w:rFonts w:hint="eastAsia" w:ascii="宋体" w:hAnsi="宋体" w:eastAsia="宋体" w:cs="宋体"/>
          <w:bCs/>
          <w:spacing w:val="0"/>
          <w:szCs w:val="24"/>
          <w:highlight w:val="none"/>
        </w:rPr>
        <w:t>公示</w:t>
      </w:r>
      <w:r>
        <w:tab/>
      </w:r>
      <w:r>
        <w:fldChar w:fldCharType="begin"/>
      </w:r>
      <w:r>
        <w:instrText xml:space="preserve"> PAGEREF _Toc22744 \h </w:instrText>
      </w:r>
      <w:r>
        <w:fldChar w:fldCharType="separate"/>
      </w:r>
      <w:r>
        <w:t>39</w:t>
      </w:r>
      <w:r>
        <w:fldChar w:fldCharType="end"/>
      </w:r>
      <w:r>
        <w:rPr>
          <w:rFonts w:hint="eastAsia" w:ascii="宋体" w:hAnsi="宋体" w:eastAsia="宋体" w:cs="宋体"/>
          <w:color w:val="auto"/>
          <w:spacing w:val="0"/>
          <w:szCs w:val="24"/>
          <w:highlight w:val="none"/>
        </w:rPr>
        <w:fldChar w:fldCharType="end"/>
      </w:r>
    </w:p>
    <w:p w14:paraId="4F8BF5D6">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_Toc10994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第四节</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否决投标条件</w:t>
      </w:r>
      <w:r>
        <w:tab/>
      </w:r>
      <w:r>
        <w:fldChar w:fldCharType="begin"/>
      </w:r>
      <w:r>
        <w:instrText xml:space="preserve"> PAGEREF _Toc10994 \h </w:instrText>
      </w:r>
      <w:r>
        <w:fldChar w:fldCharType="separate"/>
      </w:r>
      <w:r>
        <w:t>40</w:t>
      </w:r>
      <w:r>
        <w:fldChar w:fldCharType="end"/>
      </w:r>
      <w:r>
        <w:rPr>
          <w:rFonts w:hint="eastAsia" w:ascii="宋体" w:hAnsi="宋体" w:eastAsia="宋体" w:cs="宋体"/>
          <w:color w:val="auto"/>
          <w:spacing w:val="0"/>
          <w:szCs w:val="24"/>
          <w:highlight w:val="none"/>
        </w:rPr>
        <w:fldChar w:fldCharType="end"/>
      </w:r>
    </w:p>
    <w:p w14:paraId="14905F45">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_Toc2521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．资格评审环节</w:t>
      </w:r>
      <w:r>
        <w:tab/>
      </w:r>
      <w:r>
        <w:fldChar w:fldCharType="begin"/>
      </w:r>
      <w:r>
        <w:instrText xml:space="preserve"> PAGEREF _Toc2521 \h </w:instrText>
      </w:r>
      <w:r>
        <w:fldChar w:fldCharType="separate"/>
      </w:r>
      <w:r>
        <w:t>40</w:t>
      </w:r>
      <w:r>
        <w:fldChar w:fldCharType="end"/>
      </w:r>
      <w:r>
        <w:rPr>
          <w:rFonts w:hint="eastAsia" w:ascii="宋体" w:hAnsi="宋体" w:eastAsia="宋体" w:cs="宋体"/>
          <w:color w:val="auto"/>
          <w:spacing w:val="0"/>
          <w:szCs w:val="24"/>
          <w:highlight w:val="none"/>
        </w:rPr>
        <w:fldChar w:fldCharType="end"/>
      </w:r>
    </w:p>
    <w:p w14:paraId="467E3262">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_Toc26481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．形式评审环节</w:t>
      </w:r>
      <w:r>
        <w:tab/>
      </w:r>
      <w:r>
        <w:fldChar w:fldCharType="begin"/>
      </w:r>
      <w:r>
        <w:instrText xml:space="preserve"> PAGEREF _Toc26481 \h </w:instrText>
      </w:r>
      <w:r>
        <w:fldChar w:fldCharType="separate"/>
      </w:r>
      <w:r>
        <w:t>41</w:t>
      </w:r>
      <w:r>
        <w:fldChar w:fldCharType="end"/>
      </w:r>
      <w:r>
        <w:rPr>
          <w:rFonts w:hint="eastAsia" w:ascii="宋体" w:hAnsi="宋体" w:eastAsia="宋体" w:cs="宋体"/>
          <w:color w:val="auto"/>
          <w:spacing w:val="0"/>
          <w:szCs w:val="24"/>
          <w:highlight w:val="none"/>
        </w:rPr>
        <w:fldChar w:fldCharType="end"/>
      </w:r>
    </w:p>
    <w:p w14:paraId="4F99A468">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_Toc12782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．响应性评审环节</w:t>
      </w:r>
      <w:r>
        <w:tab/>
      </w:r>
      <w:r>
        <w:fldChar w:fldCharType="begin"/>
      </w:r>
      <w:r>
        <w:instrText xml:space="preserve"> PAGEREF _Toc12782 \h </w:instrText>
      </w:r>
      <w:r>
        <w:fldChar w:fldCharType="separate"/>
      </w:r>
      <w:r>
        <w:t>41</w:t>
      </w:r>
      <w:r>
        <w:fldChar w:fldCharType="end"/>
      </w:r>
      <w:r>
        <w:rPr>
          <w:rFonts w:hint="eastAsia" w:ascii="宋体" w:hAnsi="宋体" w:eastAsia="宋体" w:cs="宋体"/>
          <w:color w:val="auto"/>
          <w:spacing w:val="0"/>
          <w:szCs w:val="24"/>
          <w:highlight w:val="none"/>
        </w:rPr>
        <w:fldChar w:fldCharType="end"/>
      </w:r>
    </w:p>
    <w:p w14:paraId="31A612A5">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_Toc29211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．其他</w:t>
      </w:r>
      <w:r>
        <w:tab/>
      </w:r>
      <w:r>
        <w:fldChar w:fldCharType="begin"/>
      </w:r>
      <w:r>
        <w:instrText xml:space="preserve"> PAGEREF _Toc29211 \h </w:instrText>
      </w:r>
      <w:r>
        <w:fldChar w:fldCharType="separate"/>
      </w:r>
      <w:r>
        <w:t>42</w:t>
      </w:r>
      <w:r>
        <w:fldChar w:fldCharType="end"/>
      </w:r>
      <w:r>
        <w:rPr>
          <w:rFonts w:hint="eastAsia" w:ascii="宋体" w:hAnsi="宋体" w:eastAsia="宋体" w:cs="宋体"/>
          <w:color w:val="auto"/>
          <w:spacing w:val="0"/>
          <w:szCs w:val="24"/>
          <w:highlight w:val="none"/>
        </w:rPr>
        <w:fldChar w:fldCharType="end"/>
      </w:r>
    </w:p>
    <w:p w14:paraId="25F2F58D">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_Toc13909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第二章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中标人须知</w:t>
      </w:r>
      <w:r>
        <w:tab/>
      </w:r>
      <w:r>
        <w:fldChar w:fldCharType="begin"/>
      </w:r>
      <w:r>
        <w:instrText xml:space="preserve"> PAGEREF _Toc13909 \h </w:instrText>
      </w:r>
      <w:r>
        <w:fldChar w:fldCharType="separate"/>
      </w:r>
      <w:r>
        <w:t>43</w:t>
      </w:r>
      <w:r>
        <w:fldChar w:fldCharType="end"/>
      </w:r>
      <w:r>
        <w:rPr>
          <w:rFonts w:hint="eastAsia" w:ascii="宋体" w:hAnsi="宋体" w:eastAsia="宋体" w:cs="宋体"/>
          <w:color w:val="auto"/>
          <w:spacing w:val="0"/>
          <w:szCs w:val="24"/>
          <w:highlight w:val="none"/>
        </w:rPr>
        <w:fldChar w:fldCharType="end"/>
      </w:r>
    </w:p>
    <w:p w14:paraId="12A928F4">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_Toc28758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．中标通知书</w:t>
      </w:r>
      <w:r>
        <w:tab/>
      </w:r>
      <w:r>
        <w:fldChar w:fldCharType="begin"/>
      </w:r>
      <w:r>
        <w:instrText xml:space="preserve"> PAGEREF _Toc28758 \h </w:instrText>
      </w:r>
      <w:r>
        <w:fldChar w:fldCharType="separate"/>
      </w:r>
      <w:r>
        <w:t>43</w:t>
      </w:r>
      <w:r>
        <w:fldChar w:fldCharType="end"/>
      </w:r>
      <w:r>
        <w:rPr>
          <w:rFonts w:hint="eastAsia" w:ascii="宋体" w:hAnsi="宋体" w:eastAsia="宋体" w:cs="宋体"/>
          <w:color w:val="auto"/>
          <w:spacing w:val="0"/>
          <w:szCs w:val="24"/>
          <w:highlight w:val="none"/>
        </w:rPr>
        <w:fldChar w:fldCharType="end"/>
      </w:r>
    </w:p>
    <w:p w14:paraId="5C5CF235">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_Toc12152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．中结果公示</w:t>
      </w:r>
      <w:r>
        <w:tab/>
      </w:r>
      <w:r>
        <w:fldChar w:fldCharType="begin"/>
      </w:r>
      <w:r>
        <w:instrText xml:space="preserve"> PAGEREF _Toc12152 \h </w:instrText>
      </w:r>
      <w:r>
        <w:fldChar w:fldCharType="separate"/>
      </w:r>
      <w:r>
        <w:t>43</w:t>
      </w:r>
      <w:r>
        <w:fldChar w:fldCharType="end"/>
      </w:r>
      <w:r>
        <w:rPr>
          <w:rFonts w:hint="eastAsia" w:ascii="宋体" w:hAnsi="宋体" w:eastAsia="宋体" w:cs="宋体"/>
          <w:color w:val="auto"/>
          <w:spacing w:val="0"/>
          <w:szCs w:val="24"/>
          <w:highlight w:val="none"/>
        </w:rPr>
        <w:fldChar w:fldCharType="end"/>
      </w:r>
    </w:p>
    <w:p w14:paraId="0791404C">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_Toc26389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．履约保证</w:t>
      </w:r>
      <w:r>
        <w:tab/>
      </w:r>
      <w:r>
        <w:fldChar w:fldCharType="begin"/>
      </w:r>
      <w:r>
        <w:instrText xml:space="preserve"> PAGEREF _Toc26389 \h </w:instrText>
      </w:r>
      <w:r>
        <w:fldChar w:fldCharType="separate"/>
      </w:r>
      <w:r>
        <w:t>43</w:t>
      </w:r>
      <w:r>
        <w:fldChar w:fldCharType="end"/>
      </w:r>
      <w:r>
        <w:rPr>
          <w:rFonts w:hint="eastAsia" w:ascii="宋体" w:hAnsi="宋体" w:eastAsia="宋体" w:cs="宋体"/>
          <w:color w:val="auto"/>
          <w:spacing w:val="0"/>
          <w:szCs w:val="24"/>
          <w:highlight w:val="none"/>
        </w:rPr>
        <w:fldChar w:fldCharType="end"/>
      </w:r>
    </w:p>
    <w:p w14:paraId="1D636604">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_Toc27619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．合同订立</w:t>
      </w:r>
      <w:r>
        <w:tab/>
      </w:r>
      <w:r>
        <w:fldChar w:fldCharType="begin"/>
      </w:r>
      <w:r>
        <w:instrText xml:space="preserve"> PAGEREF _Toc27619 \h </w:instrText>
      </w:r>
      <w:r>
        <w:fldChar w:fldCharType="separate"/>
      </w:r>
      <w:r>
        <w:t>43</w:t>
      </w:r>
      <w:r>
        <w:fldChar w:fldCharType="end"/>
      </w:r>
      <w:r>
        <w:rPr>
          <w:rFonts w:hint="eastAsia" w:ascii="宋体" w:hAnsi="宋体" w:eastAsia="宋体" w:cs="宋体"/>
          <w:color w:val="auto"/>
          <w:spacing w:val="0"/>
          <w:szCs w:val="24"/>
          <w:highlight w:val="none"/>
        </w:rPr>
        <w:fldChar w:fldCharType="end"/>
      </w:r>
    </w:p>
    <w:p w14:paraId="5571D33F">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_Toc31349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5 ．放弃中标的处理</w:t>
      </w:r>
      <w:r>
        <w:tab/>
      </w:r>
      <w:r>
        <w:fldChar w:fldCharType="begin"/>
      </w:r>
      <w:r>
        <w:instrText xml:space="preserve"> PAGEREF _Toc31349 \h </w:instrText>
      </w:r>
      <w:r>
        <w:fldChar w:fldCharType="separate"/>
      </w:r>
      <w:r>
        <w:t>45</w:t>
      </w:r>
      <w:r>
        <w:fldChar w:fldCharType="end"/>
      </w:r>
      <w:r>
        <w:rPr>
          <w:rFonts w:hint="eastAsia" w:ascii="宋体" w:hAnsi="宋体" w:eastAsia="宋体" w:cs="宋体"/>
          <w:color w:val="auto"/>
          <w:spacing w:val="0"/>
          <w:szCs w:val="24"/>
          <w:highlight w:val="none"/>
        </w:rPr>
        <w:fldChar w:fldCharType="end"/>
      </w:r>
    </w:p>
    <w:p w14:paraId="07D55EEF">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_Toc22529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第三章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拟签订合同的主要条款</w:t>
      </w:r>
      <w:r>
        <w:tab/>
      </w:r>
      <w:r>
        <w:fldChar w:fldCharType="begin"/>
      </w:r>
      <w:r>
        <w:instrText xml:space="preserve"> PAGEREF _Toc22529 \h </w:instrText>
      </w:r>
      <w:r>
        <w:fldChar w:fldCharType="separate"/>
      </w:r>
      <w:r>
        <w:t>45</w:t>
      </w:r>
      <w:r>
        <w:fldChar w:fldCharType="end"/>
      </w:r>
      <w:r>
        <w:rPr>
          <w:rFonts w:hint="eastAsia" w:ascii="宋体" w:hAnsi="宋体" w:eastAsia="宋体" w:cs="宋体"/>
          <w:color w:val="auto"/>
          <w:spacing w:val="0"/>
          <w:szCs w:val="24"/>
          <w:highlight w:val="none"/>
        </w:rPr>
        <w:fldChar w:fldCharType="end"/>
      </w:r>
    </w:p>
    <w:p w14:paraId="13498D86">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_Toc17162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．工程承包方式</w:t>
      </w:r>
      <w:r>
        <w:tab/>
      </w:r>
      <w:r>
        <w:fldChar w:fldCharType="begin"/>
      </w:r>
      <w:r>
        <w:instrText xml:space="preserve"> PAGEREF _Toc17162 \h </w:instrText>
      </w:r>
      <w:r>
        <w:fldChar w:fldCharType="separate"/>
      </w:r>
      <w:r>
        <w:t>45</w:t>
      </w:r>
      <w:r>
        <w:fldChar w:fldCharType="end"/>
      </w:r>
      <w:r>
        <w:rPr>
          <w:rFonts w:hint="eastAsia" w:ascii="宋体" w:hAnsi="宋体" w:eastAsia="宋体" w:cs="宋体"/>
          <w:color w:val="auto"/>
          <w:spacing w:val="0"/>
          <w:szCs w:val="24"/>
          <w:highlight w:val="none"/>
        </w:rPr>
        <w:fldChar w:fldCharType="end"/>
      </w:r>
    </w:p>
    <w:p w14:paraId="6C838FA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_Toc22680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．工程结算原则</w:t>
      </w:r>
      <w:r>
        <w:tab/>
      </w:r>
      <w:r>
        <w:fldChar w:fldCharType="begin"/>
      </w:r>
      <w:r>
        <w:instrText xml:space="preserve"> PAGEREF _Toc22680 \h </w:instrText>
      </w:r>
      <w:r>
        <w:fldChar w:fldCharType="separate"/>
      </w:r>
      <w:r>
        <w:t>45</w:t>
      </w:r>
      <w:r>
        <w:fldChar w:fldCharType="end"/>
      </w:r>
      <w:r>
        <w:rPr>
          <w:rFonts w:hint="eastAsia" w:ascii="宋体" w:hAnsi="宋体" w:eastAsia="宋体" w:cs="宋体"/>
          <w:color w:val="auto"/>
          <w:spacing w:val="0"/>
          <w:szCs w:val="24"/>
          <w:highlight w:val="none"/>
        </w:rPr>
        <w:fldChar w:fldCharType="end"/>
      </w:r>
    </w:p>
    <w:p w14:paraId="74C468C6">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_Toc12000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工程付款办法</w:t>
      </w:r>
      <w:r>
        <w:tab/>
      </w:r>
      <w:r>
        <w:fldChar w:fldCharType="begin"/>
      </w:r>
      <w:r>
        <w:instrText xml:space="preserve"> PAGEREF _Toc12000 \h </w:instrText>
      </w:r>
      <w:r>
        <w:fldChar w:fldCharType="separate"/>
      </w:r>
      <w:r>
        <w:t>51</w:t>
      </w:r>
      <w:r>
        <w:fldChar w:fldCharType="end"/>
      </w:r>
      <w:r>
        <w:rPr>
          <w:rFonts w:hint="eastAsia" w:ascii="宋体" w:hAnsi="宋体" w:eastAsia="宋体" w:cs="宋体"/>
          <w:color w:val="auto"/>
          <w:spacing w:val="0"/>
          <w:szCs w:val="24"/>
          <w:highlight w:val="none"/>
        </w:rPr>
        <w:fldChar w:fldCharType="end"/>
      </w:r>
    </w:p>
    <w:p w14:paraId="4966181D">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_Toc22114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4 ．其他专用合同条款</w:t>
      </w:r>
      <w:r>
        <w:tab/>
      </w:r>
      <w:r>
        <w:fldChar w:fldCharType="begin"/>
      </w:r>
      <w:r>
        <w:instrText xml:space="preserve"> PAGEREF _Toc22114 \h </w:instrText>
      </w:r>
      <w:r>
        <w:fldChar w:fldCharType="separate"/>
      </w:r>
      <w:r>
        <w:t>54</w:t>
      </w:r>
      <w:r>
        <w:fldChar w:fldCharType="end"/>
      </w:r>
      <w:r>
        <w:rPr>
          <w:rFonts w:hint="eastAsia" w:ascii="宋体" w:hAnsi="宋体" w:eastAsia="宋体" w:cs="宋体"/>
          <w:color w:val="auto"/>
          <w:spacing w:val="0"/>
          <w:szCs w:val="24"/>
          <w:highlight w:val="none"/>
        </w:rPr>
        <w:fldChar w:fldCharType="end"/>
      </w:r>
    </w:p>
    <w:p w14:paraId="04B20427">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_Toc21309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第四章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技术要求</w:t>
      </w:r>
      <w:r>
        <w:tab/>
      </w:r>
      <w:r>
        <w:fldChar w:fldCharType="begin"/>
      </w:r>
      <w:r>
        <w:instrText xml:space="preserve"> PAGEREF _Toc21309 \h </w:instrText>
      </w:r>
      <w:r>
        <w:fldChar w:fldCharType="separate"/>
      </w:r>
      <w:r>
        <w:t>62</w:t>
      </w:r>
      <w:r>
        <w:fldChar w:fldCharType="end"/>
      </w:r>
      <w:r>
        <w:rPr>
          <w:rFonts w:hint="eastAsia" w:ascii="宋体" w:hAnsi="宋体" w:eastAsia="宋体" w:cs="宋体"/>
          <w:color w:val="auto"/>
          <w:spacing w:val="0"/>
          <w:szCs w:val="24"/>
          <w:highlight w:val="none"/>
        </w:rPr>
        <w:fldChar w:fldCharType="end"/>
      </w:r>
    </w:p>
    <w:p w14:paraId="532BC7BF">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_Toc27447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．房屋建筑工程建设项目</w:t>
      </w:r>
      <w:r>
        <w:tab/>
      </w:r>
      <w:r>
        <w:fldChar w:fldCharType="begin"/>
      </w:r>
      <w:r>
        <w:instrText xml:space="preserve"> PAGEREF _Toc27447 \h </w:instrText>
      </w:r>
      <w:r>
        <w:fldChar w:fldCharType="separate"/>
      </w:r>
      <w:r>
        <w:t>62</w:t>
      </w:r>
      <w:r>
        <w:fldChar w:fldCharType="end"/>
      </w:r>
      <w:r>
        <w:rPr>
          <w:rFonts w:hint="eastAsia" w:ascii="宋体" w:hAnsi="宋体" w:eastAsia="宋体" w:cs="宋体"/>
          <w:color w:val="auto"/>
          <w:spacing w:val="0"/>
          <w:szCs w:val="24"/>
          <w:highlight w:val="none"/>
        </w:rPr>
        <w:fldChar w:fldCharType="end"/>
      </w:r>
    </w:p>
    <w:p w14:paraId="3B85A27D">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_Toc32158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．市政基础设施工程建设项目</w:t>
      </w:r>
      <w:r>
        <w:tab/>
      </w:r>
      <w:r>
        <w:fldChar w:fldCharType="begin"/>
      </w:r>
      <w:r>
        <w:instrText xml:space="preserve"> PAGEREF _Toc32158 \h </w:instrText>
      </w:r>
      <w:r>
        <w:fldChar w:fldCharType="separate"/>
      </w:r>
      <w:r>
        <w:t>62</w:t>
      </w:r>
      <w:r>
        <w:fldChar w:fldCharType="end"/>
      </w:r>
      <w:r>
        <w:rPr>
          <w:rFonts w:hint="eastAsia" w:ascii="宋体" w:hAnsi="宋体" w:eastAsia="宋体" w:cs="宋体"/>
          <w:color w:val="auto"/>
          <w:spacing w:val="0"/>
          <w:szCs w:val="24"/>
          <w:highlight w:val="none"/>
        </w:rPr>
        <w:fldChar w:fldCharType="end"/>
      </w:r>
    </w:p>
    <w:p w14:paraId="60A56AA9">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_Toc26007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3 ．备查要求</w:t>
      </w:r>
      <w:r>
        <w:tab/>
      </w:r>
      <w:r>
        <w:fldChar w:fldCharType="begin"/>
      </w:r>
      <w:r>
        <w:instrText xml:space="preserve"> PAGEREF _Toc26007 \h </w:instrText>
      </w:r>
      <w:r>
        <w:fldChar w:fldCharType="separate"/>
      </w:r>
      <w:r>
        <w:t>63</w:t>
      </w:r>
      <w:r>
        <w:fldChar w:fldCharType="end"/>
      </w:r>
      <w:r>
        <w:rPr>
          <w:rFonts w:hint="eastAsia" w:ascii="宋体" w:hAnsi="宋体" w:eastAsia="宋体" w:cs="宋体"/>
          <w:color w:val="auto"/>
          <w:spacing w:val="0"/>
          <w:szCs w:val="24"/>
          <w:highlight w:val="none"/>
        </w:rPr>
        <w:fldChar w:fldCharType="end"/>
      </w:r>
    </w:p>
    <w:p w14:paraId="76D3BD06">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_Toc1425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第五章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图纸和招标工程量清单</w:t>
      </w:r>
      <w:r>
        <w:tab/>
      </w:r>
      <w:r>
        <w:fldChar w:fldCharType="begin"/>
      </w:r>
      <w:r>
        <w:instrText xml:space="preserve"> PAGEREF _Toc1425 \h </w:instrText>
      </w:r>
      <w:r>
        <w:fldChar w:fldCharType="separate"/>
      </w:r>
      <w:r>
        <w:t>64</w:t>
      </w:r>
      <w:r>
        <w:fldChar w:fldCharType="end"/>
      </w:r>
      <w:r>
        <w:rPr>
          <w:rFonts w:hint="eastAsia" w:ascii="宋体" w:hAnsi="宋体" w:eastAsia="宋体" w:cs="宋体"/>
          <w:color w:val="auto"/>
          <w:spacing w:val="0"/>
          <w:szCs w:val="24"/>
          <w:highlight w:val="none"/>
        </w:rPr>
        <w:fldChar w:fldCharType="end"/>
      </w:r>
    </w:p>
    <w:p w14:paraId="6784CD70">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_Toc15780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1 ．图纸</w:t>
      </w:r>
      <w:r>
        <w:tab/>
      </w:r>
      <w:r>
        <w:fldChar w:fldCharType="begin"/>
      </w:r>
      <w:r>
        <w:instrText xml:space="preserve"> PAGEREF _Toc15780 \h </w:instrText>
      </w:r>
      <w:r>
        <w:fldChar w:fldCharType="separate"/>
      </w:r>
      <w:r>
        <w:t>64</w:t>
      </w:r>
      <w:r>
        <w:fldChar w:fldCharType="end"/>
      </w:r>
      <w:r>
        <w:rPr>
          <w:rFonts w:hint="eastAsia" w:ascii="宋体" w:hAnsi="宋体" w:eastAsia="宋体" w:cs="宋体"/>
          <w:color w:val="auto"/>
          <w:spacing w:val="0"/>
          <w:szCs w:val="24"/>
          <w:highlight w:val="none"/>
        </w:rPr>
        <w:fldChar w:fldCharType="end"/>
      </w:r>
    </w:p>
    <w:p w14:paraId="0CE4809B">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_Toc11857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2 ．招标工程量清单</w:t>
      </w:r>
      <w:r>
        <w:tab/>
      </w:r>
      <w:r>
        <w:fldChar w:fldCharType="begin"/>
      </w:r>
      <w:r>
        <w:instrText xml:space="preserve"> PAGEREF _Toc11857 \h </w:instrText>
      </w:r>
      <w:r>
        <w:fldChar w:fldCharType="separate"/>
      </w:r>
      <w:r>
        <w:t>64</w:t>
      </w:r>
      <w:r>
        <w:fldChar w:fldCharType="end"/>
      </w:r>
      <w:r>
        <w:rPr>
          <w:rFonts w:hint="eastAsia" w:ascii="宋体" w:hAnsi="宋体" w:eastAsia="宋体" w:cs="宋体"/>
          <w:color w:val="auto"/>
          <w:spacing w:val="0"/>
          <w:szCs w:val="24"/>
          <w:highlight w:val="none"/>
        </w:rPr>
        <w:fldChar w:fldCharType="end"/>
      </w:r>
    </w:p>
    <w:p w14:paraId="567A844E">
      <w:pPr>
        <w:pStyle w:val="10"/>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_Toc11979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第六章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投标文件格式</w:t>
      </w:r>
      <w:r>
        <w:tab/>
      </w:r>
      <w:r>
        <w:fldChar w:fldCharType="begin"/>
      </w:r>
      <w:r>
        <w:instrText xml:space="preserve"> PAGEREF _Toc11979 \h </w:instrText>
      </w:r>
      <w:r>
        <w:fldChar w:fldCharType="separate"/>
      </w:r>
      <w:r>
        <w:t>65</w:t>
      </w:r>
      <w:r>
        <w:fldChar w:fldCharType="end"/>
      </w:r>
      <w:r>
        <w:rPr>
          <w:rFonts w:hint="eastAsia" w:ascii="宋体" w:hAnsi="宋体" w:eastAsia="宋体" w:cs="宋体"/>
          <w:color w:val="auto"/>
          <w:spacing w:val="0"/>
          <w:szCs w:val="24"/>
          <w:highlight w:val="none"/>
        </w:rPr>
        <w:fldChar w:fldCharType="end"/>
      </w:r>
    </w:p>
    <w:p w14:paraId="53EEFE70">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_Toc7759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格式一</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封面</w:t>
      </w:r>
      <w:r>
        <w:tab/>
      </w:r>
      <w:r>
        <w:fldChar w:fldCharType="begin"/>
      </w:r>
      <w:r>
        <w:instrText xml:space="preserve"> PAGEREF _Toc7759 \h </w:instrText>
      </w:r>
      <w:r>
        <w:fldChar w:fldCharType="separate"/>
      </w:r>
      <w:r>
        <w:t>65</w:t>
      </w:r>
      <w:r>
        <w:fldChar w:fldCharType="end"/>
      </w:r>
      <w:r>
        <w:rPr>
          <w:rFonts w:hint="eastAsia" w:ascii="宋体" w:hAnsi="宋体" w:eastAsia="宋体" w:cs="宋体"/>
          <w:color w:val="auto"/>
          <w:spacing w:val="0"/>
          <w:szCs w:val="24"/>
          <w:highlight w:val="none"/>
        </w:rPr>
        <w:fldChar w:fldCharType="end"/>
      </w:r>
    </w:p>
    <w:p w14:paraId="67D93E3E">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_Toc924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格式二 投标函</w:t>
      </w:r>
      <w:r>
        <w:tab/>
      </w:r>
      <w:r>
        <w:fldChar w:fldCharType="begin"/>
      </w:r>
      <w:r>
        <w:instrText xml:space="preserve"> PAGEREF _Toc924 \h </w:instrText>
      </w:r>
      <w:r>
        <w:fldChar w:fldCharType="separate"/>
      </w:r>
      <w:r>
        <w:t>66</w:t>
      </w:r>
      <w:r>
        <w:fldChar w:fldCharType="end"/>
      </w:r>
      <w:r>
        <w:rPr>
          <w:rFonts w:hint="eastAsia" w:ascii="宋体" w:hAnsi="宋体" w:eastAsia="宋体" w:cs="宋体"/>
          <w:color w:val="auto"/>
          <w:spacing w:val="0"/>
          <w:szCs w:val="24"/>
          <w:highlight w:val="none"/>
        </w:rPr>
        <w:fldChar w:fldCharType="end"/>
      </w:r>
    </w:p>
    <w:p w14:paraId="790C8D64">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_Toc25622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格式三 各项承诺一览表</w:t>
      </w:r>
      <w:r>
        <w:tab/>
      </w:r>
      <w:r>
        <w:fldChar w:fldCharType="begin"/>
      </w:r>
      <w:r>
        <w:instrText xml:space="preserve"> PAGEREF _Toc25622 \h </w:instrText>
      </w:r>
      <w:r>
        <w:fldChar w:fldCharType="separate"/>
      </w:r>
      <w:r>
        <w:t>67</w:t>
      </w:r>
      <w:r>
        <w:fldChar w:fldCharType="end"/>
      </w:r>
      <w:r>
        <w:rPr>
          <w:rFonts w:hint="eastAsia" w:ascii="宋体" w:hAnsi="宋体" w:eastAsia="宋体" w:cs="宋体"/>
          <w:color w:val="auto"/>
          <w:spacing w:val="0"/>
          <w:szCs w:val="24"/>
          <w:highlight w:val="none"/>
        </w:rPr>
        <w:fldChar w:fldCharType="end"/>
      </w:r>
    </w:p>
    <w:p w14:paraId="2A272261">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_Toc19893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格式四 授权委托书</w:t>
      </w:r>
      <w:r>
        <w:tab/>
      </w:r>
      <w:r>
        <w:fldChar w:fldCharType="begin"/>
      </w:r>
      <w:r>
        <w:instrText xml:space="preserve"> PAGEREF _Toc19893 \h </w:instrText>
      </w:r>
      <w:r>
        <w:fldChar w:fldCharType="separate"/>
      </w:r>
      <w:r>
        <w:t>69</w:t>
      </w:r>
      <w:r>
        <w:fldChar w:fldCharType="end"/>
      </w:r>
      <w:r>
        <w:rPr>
          <w:rFonts w:hint="eastAsia" w:ascii="宋体" w:hAnsi="宋体" w:eastAsia="宋体" w:cs="宋体"/>
          <w:color w:val="auto"/>
          <w:spacing w:val="0"/>
          <w:szCs w:val="24"/>
          <w:highlight w:val="none"/>
        </w:rPr>
        <w:fldChar w:fldCharType="end"/>
      </w:r>
    </w:p>
    <w:p w14:paraId="2891A81C">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_Toc31524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格式五 法定代表人身份证明</w:t>
      </w:r>
      <w:r>
        <w:tab/>
      </w:r>
      <w:r>
        <w:fldChar w:fldCharType="begin"/>
      </w:r>
      <w:r>
        <w:instrText xml:space="preserve"> PAGEREF _Toc31524 \h </w:instrText>
      </w:r>
      <w:r>
        <w:fldChar w:fldCharType="separate"/>
      </w:r>
      <w:r>
        <w:t>70</w:t>
      </w:r>
      <w:r>
        <w:fldChar w:fldCharType="end"/>
      </w:r>
      <w:r>
        <w:rPr>
          <w:rFonts w:hint="eastAsia" w:ascii="宋体" w:hAnsi="宋体" w:eastAsia="宋体" w:cs="宋体"/>
          <w:color w:val="auto"/>
          <w:spacing w:val="0"/>
          <w:szCs w:val="24"/>
          <w:highlight w:val="none"/>
        </w:rPr>
        <w:fldChar w:fldCharType="end"/>
      </w:r>
    </w:p>
    <w:p w14:paraId="26D0CCBC">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_Toc20900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格式六 联合体协议书</w:t>
      </w:r>
      <w:r>
        <w:rPr>
          <w:rFonts w:hint="eastAsia" w:ascii="宋体" w:hAnsi="宋体" w:eastAsia="宋体" w:cs="宋体"/>
          <w:bCs/>
          <w:spacing w:val="0"/>
          <w:szCs w:val="24"/>
          <w:highlight w:val="none"/>
          <w:lang w:eastAsia="zh-CN"/>
        </w:rPr>
        <w:t>（</w:t>
      </w:r>
      <w:r>
        <w:rPr>
          <w:rFonts w:hint="eastAsia" w:ascii="宋体" w:hAnsi="宋体" w:eastAsia="宋体" w:cs="宋体"/>
          <w:bCs/>
          <w:spacing w:val="0"/>
          <w:szCs w:val="24"/>
          <w:highlight w:val="none"/>
          <w:lang w:val="en-US" w:eastAsia="zh-CN"/>
        </w:rPr>
        <w:t>如有</w:t>
      </w:r>
      <w:r>
        <w:rPr>
          <w:rFonts w:hint="eastAsia" w:ascii="宋体" w:hAnsi="宋体" w:eastAsia="宋体" w:cs="宋体"/>
          <w:bCs/>
          <w:spacing w:val="0"/>
          <w:szCs w:val="24"/>
          <w:highlight w:val="none"/>
          <w:lang w:eastAsia="zh-CN"/>
        </w:rPr>
        <w:t>）</w:t>
      </w:r>
      <w:r>
        <w:tab/>
      </w:r>
      <w:r>
        <w:fldChar w:fldCharType="begin"/>
      </w:r>
      <w:r>
        <w:instrText xml:space="preserve"> PAGEREF _Toc20900 \h </w:instrText>
      </w:r>
      <w:r>
        <w:fldChar w:fldCharType="separate"/>
      </w:r>
      <w:r>
        <w:t>71</w:t>
      </w:r>
      <w:r>
        <w:fldChar w:fldCharType="end"/>
      </w:r>
      <w:r>
        <w:rPr>
          <w:rFonts w:hint="eastAsia" w:ascii="宋体" w:hAnsi="宋体" w:eastAsia="宋体" w:cs="宋体"/>
          <w:color w:val="auto"/>
          <w:spacing w:val="0"/>
          <w:szCs w:val="24"/>
          <w:highlight w:val="none"/>
        </w:rPr>
        <w:fldChar w:fldCharType="end"/>
      </w:r>
    </w:p>
    <w:p w14:paraId="231D255C">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_Toc6317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格式七 投标人基本情况表</w:t>
      </w:r>
      <w:r>
        <w:tab/>
      </w:r>
      <w:r>
        <w:fldChar w:fldCharType="begin"/>
      </w:r>
      <w:r>
        <w:instrText xml:space="preserve"> PAGEREF _Toc6317 \h </w:instrText>
      </w:r>
      <w:r>
        <w:fldChar w:fldCharType="separate"/>
      </w:r>
      <w:r>
        <w:t>72</w:t>
      </w:r>
      <w:r>
        <w:fldChar w:fldCharType="end"/>
      </w:r>
      <w:r>
        <w:rPr>
          <w:rFonts w:hint="eastAsia" w:ascii="宋体" w:hAnsi="宋体" w:eastAsia="宋体" w:cs="宋体"/>
          <w:color w:val="auto"/>
          <w:spacing w:val="0"/>
          <w:szCs w:val="24"/>
          <w:highlight w:val="none"/>
        </w:rPr>
        <w:fldChar w:fldCharType="end"/>
      </w:r>
    </w:p>
    <w:p w14:paraId="101EE158">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_Toc28455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格式八 项目经理简历表</w:t>
      </w:r>
      <w:r>
        <w:tab/>
      </w:r>
      <w:r>
        <w:fldChar w:fldCharType="begin"/>
      </w:r>
      <w:r>
        <w:instrText xml:space="preserve"> PAGEREF _Toc28455 \h </w:instrText>
      </w:r>
      <w:r>
        <w:fldChar w:fldCharType="separate"/>
      </w:r>
      <w:r>
        <w:t>73</w:t>
      </w:r>
      <w:r>
        <w:fldChar w:fldCharType="end"/>
      </w:r>
      <w:r>
        <w:rPr>
          <w:rFonts w:hint="eastAsia" w:ascii="宋体" w:hAnsi="宋体" w:eastAsia="宋体" w:cs="宋体"/>
          <w:color w:val="auto"/>
          <w:spacing w:val="0"/>
          <w:szCs w:val="24"/>
          <w:highlight w:val="none"/>
        </w:rPr>
        <w:fldChar w:fldCharType="end"/>
      </w:r>
    </w:p>
    <w:p w14:paraId="50046B01">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_Toc1897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格式九 项目经理任职声明</w:t>
      </w:r>
      <w:r>
        <w:tab/>
      </w:r>
      <w:r>
        <w:fldChar w:fldCharType="begin"/>
      </w:r>
      <w:r>
        <w:instrText xml:space="preserve"> PAGEREF _Toc1897 \h </w:instrText>
      </w:r>
      <w:r>
        <w:fldChar w:fldCharType="separate"/>
      </w:r>
      <w:r>
        <w:t>74</w:t>
      </w:r>
      <w:r>
        <w:fldChar w:fldCharType="end"/>
      </w:r>
      <w:r>
        <w:rPr>
          <w:rFonts w:hint="eastAsia" w:ascii="宋体" w:hAnsi="宋体" w:eastAsia="宋体" w:cs="宋体"/>
          <w:color w:val="auto"/>
          <w:spacing w:val="0"/>
          <w:szCs w:val="24"/>
          <w:highlight w:val="none"/>
        </w:rPr>
        <w:fldChar w:fldCharType="end"/>
      </w:r>
    </w:p>
    <w:p w14:paraId="5BA02129">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_Toc20543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 项目技术负责人简历表</w:t>
      </w:r>
      <w:r>
        <w:tab/>
      </w:r>
      <w:r>
        <w:fldChar w:fldCharType="begin"/>
      </w:r>
      <w:r>
        <w:instrText xml:space="preserve"> PAGEREF _Toc20543 \h </w:instrText>
      </w:r>
      <w:r>
        <w:fldChar w:fldCharType="separate"/>
      </w:r>
      <w:r>
        <w:t>75</w:t>
      </w:r>
      <w:r>
        <w:fldChar w:fldCharType="end"/>
      </w:r>
      <w:r>
        <w:rPr>
          <w:rFonts w:hint="eastAsia" w:ascii="宋体" w:hAnsi="宋体" w:eastAsia="宋体" w:cs="宋体"/>
          <w:color w:val="auto"/>
          <w:spacing w:val="0"/>
          <w:szCs w:val="24"/>
          <w:highlight w:val="none"/>
        </w:rPr>
        <w:fldChar w:fldCharType="end"/>
      </w:r>
    </w:p>
    <w:p w14:paraId="664B3999">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_Toc21210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格式十一 项目管理机构组成表</w:t>
      </w:r>
      <w:r>
        <w:tab/>
      </w:r>
      <w:r>
        <w:fldChar w:fldCharType="begin"/>
      </w:r>
      <w:r>
        <w:instrText xml:space="preserve"> PAGEREF _Toc21210 \h </w:instrText>
      </w:r>
      <w:r>
        <w:fldChar w:fldCharType="separate"/>
      </w:r>
      <w:r>
        <w:t>76</w:t>
      </w:r>
      <w:r>
        <w:fldChar w:fldCharType="end"/>
      </w:r>
      <w:r>
        <w:rPr>
          <w:rFonts w:hint="eastAsia" w:ascii="宋体" w:hAnsi="宋体" w:eastAsia="宋体" w:cs="宋体"/>
          <w:color w:val="auto"/>
          <w:spacing w:val="0"/>
          <w:szCs w:val="24"/>
          <w:highlight w:val="none"/>
        </w:rPr>
        <w:fldChar w:fldCharType="end"/>
      </w:r>
    </w:p>
    <w:p w14:paraId="754F6FAF">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_Toc15844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格式十二 建造师查询页（有效期+建造师签字）</w:t>
      </w:r>
      <w:r>
        <w:tab/>
      </w:r>
      <w:r>
        <w:fldChar w:fldCharType="begin"/>
      </w:r>
      <w:r>
        <w:instrText xml:space="preserve"> PAGEREF _Toc15844 \h </w:instrText>
      </w:r>
      <w:r>
        <w:fldChar w:fldCharType="separate"/>
      </w:r>
      <w:r>
        <w:t>77</w:t>
      </w:r>
      <w:r>
        <w:fldChar w:fldCharType="end"/>
      </w:r>
      <w:r>
        <w:rPr>
          <w:rFonts w:hint="eastAsia" w:ascii="宋体" w:hAnsi="宋体" w:eastAsia="宋体" w:cs="宋体"/>
          <w:color w:val="auto"/>
          <w:spacing w:val="0"/>
          <w:szCs w:val="24"/>
          <w:highlight w:val="none"/>
        </w:rPr>
        <w:fldChar w:fldCharType="end"/>
      </w:r>
    </w:p>
    <w:p w14:paraId="5A8B8771">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_Toc17831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格式十三</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szCs w:val="22"/>
          <w:highlight w:val="none"/>
        </w:rPr>
        <w:t>危险性较大的分部分项工程清单及超过一定规模的危险性较大的分部分项工程清单</w:t>
      </w:r>
      <w:r>
        <w:tab/>
      </w:r>
      <w:r>
        <w:fldChar w:fldCharType="begin"/>
      </w:r>
      <w:r>
        <w:instrText xml:space="preserve"> PAGEREF _Toc17831 \h </w:instrText>
      </w:r>
      <w:r>
        <w:fldChar w:fldCharType="separate"/>
      </w:r>
      <w:r>
        <w:t>79</w:t>
      </w:r>
      <w:r>
        <w:fldChar w:fldCharType="end"/>
      </w:r>
      <w:r>
        <w:rPr>
          <w:rFonts w:hint="eastAsia" w:ascii="宋体" w:hAnsi="宋体" w:eastAsia="宋体" w:cs="宋体"/>
          <w:color w:val="auto"/>
          <w:spacing w:val="0"/>
          <w:szCs w:val="24"/>
          <w:highlight w:val="none"/>
        </w:rPr>
        <w:fldChar w:fldCharType="end"/>
      </w:r>
    </w:p>
    <w:p w14:paraId="3556BEC9">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_Toc12132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格式十四</w:t>
      </w:r>
      <w:r>
        <w:rPr>
          <w:rFonts w:hint="eastAsia" w:ascii="宋体" w:hAnsi="宋体" w:eastAsia="宋体" w:cs="宋体"/>
          <w:bCs/>
          <w:spacing w:val="0"/>
          <w:szCs w:val="24"/>
          <w:highlight w:val="none"/>
          <w:lang w:val="en-US" w:eastAsia="zh-CN"/>
        </w:rPr>
        <w:t xml:space="preserve">  </w:t>
      </w:r>
      <w:r>
        <w:rPr>
          <w:rFonts w:hint="eastAsia" w:ascii="宋体" w:hAnsi="宋体" w:eastAsia="宋体" w:cs="宋体"/>
          <w:bCs/>
          <w:spacing w:val="0"/>
          <w:position w:val="3"/>
          <w:szCs w:val="21"/>
          <w:highlight w:val="none"/>
        </w:rPr>
        <w:t>投标保证金信用承诺函</w:t>
      </w:r>
      <w:r>
        <w:tab/>
      </w:r>
      <w:r>
        <w:fldChar w:fldCharType="begin"/>
      </w:r>
      <w:r>
        <w:instrText xml:space="preserve"> PAGEREF _Toc12132 \h </w:instrText>
      </w:r>
      <w:r>
        <w:fldChar w:fldCharType="separate"/>
      </w:r>
      <w:r>
        <w:t>84</w:t>
      </w:r>
      <w:r>
        <w:fldChar w:fldCharType="end"/>
      </w:r>
      <w:r>
        <w:rPr>
          <w:rFonts w:hint="eastAsia" w:ascii="宋体" w:hAnsi="宋体" w:eastAsia="宋体" w:cs="宋体"/>
          <w:color w:val="auto"/>
          <w:spacing w:val="0"/>
          <w:szCs w:val="24"/>
          <w:highlight w:val="none"/>
        </w:rPr>
        <w:fldChar w:fldCharType="end"/>
      </w:r>
    </w:p>
    <w:p w14:paraId="56472937">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_Toc7178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格式十</w:t>
      </w:r>
      <w:r>
        <w:rPr>
          <w:rFonts w:hint="eastAsia" w:ascii="宋体" w:hAnsi="宋体" w:eastAsia="宋体" w:cs="宋体"/>
          <w:bCs/>
          <w:spacing w:val="0"/>
          <w:szCs w:val="24"/>
          <w:highlight w:val="none"/>
          <w:lang w:eastAsia="zh-CN"/>
        </w:rPr>
        <w:t>五</w:t>
      </w:r>
      <w:r>
        <w:rPr>
          <w:rFonts w:hint="eastAsia" w:ascii="宋体" w:hAnsi="宋体" w:eastAsia="宋体" w:cs="宋体"/>
          <w:bCs/>
          <w:spacing w:val="0"/>
          <w:szCs w:val="24"/>
          <w:highlight w:val="none"/>
        </w:rPr>
        <w:t xml:space="preserve">  原件一览表</w:t>
      </w:r>
      <w:r>
        <w:tab/>
      </w:r>
      <w:r>
        <w:fldChar w:fldCharType="begin"/>
      </w:r>
      <w:r>
        <w:instrText xml:space="preserve"> PAGEREF _Toc7178 \h </w:instrText>
      </w:r>
      <w:r>
        <w:fldChar w:fldCharType="separate"/>
      </w:r>
      <w:r>
        <w:t>85</w:t>
      </w:r>
      <w:r>
        <w:fldChar w:fldCharType="end"/>
      </w:r>
      <w:r>
        <w:rPr>
          <w:rFonts w:hint="eastAsia" w:ascii="宋体" w:hAnsi="宋体" w:eastAsia="宋体" w:cs="宋体"/>
          <w:color w:val="auto"/>
          <w:spacing w:val="0"/>
          <w:szCs w:val="24"/>
          <w:highlight w:val="none"/>
        </w:rPr>
        <w:fldChar w:fldCharType="end"/>
      </w:r>
    </w:p>
    <w:p w14:paraId="6D578A62">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_Toc4531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w:t>
      </w:r>
      <w:r>
        <w:rPr>
          <w:rFonts w:hint="eastAsia" w:ascii="宋体" w:hAnsi="宋体" w:eastAsia="宋体" w:cs="宋体"/>
          <w:bCs/>
          <w:spacing w:val="0"/>
          <w:szCs w:val="24"/>
          <w:highlight w:val="none"/>
          <w:lang w:val="en-US" w:eastAsia="zh-CN"/>
        </w:rPr>
        <w:t>十六</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lang w:val="en-US" w:eastAsia="zh-CN"/>
        </w:rPr>
        <w:t>定标文件</w:t>
      </w:r>
      <w:r>
        <w:rPr>
          <w:rFonts w:hint="eastAsia" w:ascii="宋体" w:hAnsi="宋体" w:eastAsia="宋体" w:cs="宋体"/>
          <w:bCs/>
          <w:spacing w:val="0"/>
          <w:szCs w:val="24"/>
          <w:highlight w:val="none"/>
        </w:rPr>
        <w:t>封面</w:t>
      </w:r>
      <w:r>
        <w:tab/>
      </w:r>
      <w:r>
        <w:fldChar w:fldCharType="begin"/>
      </w:r>
      <w:r>
        <w:instrText xml:space="preserve"> PAGEREF _Toc4531 \h </w:instrText>
      </w:r>
      <w:r>
        <w:fldChar w:fldCharType="separate"/>
      </w:r>
      <w:r>
        <w:t>86</w:t>
      </w:r>
      <w:r>
        <w:fldChar w:fldCharType="end"/>
      </w:r>
      <w:r>
        <w:rPr>
          <w:rFonts w:hint="eastAsia" w:ascii="宋体" w:hAnsi="宋体" w:eastAsia="宋体" w:cs="宋体"/>
          <w:color w:val="auto"/>
          <w:spacing w:val="0"/>
          <w:szCs w:val="24"/>
          <w:highlight w:val="none"/>
        </w:rPr>
        <w:fldChar w:fldCharType="end"/>
      </w:r>
    </w:p>
    <w:p w14:paraId="0905CC09">
      <w:pPr>
        <w:pStyle w:val="7"/>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_Toc4699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格式</w:t>
      </w:r>
      <w:r>
        <w:rPr>
          <w:rFonts w:hint="eastAsia" w:ascii="宋体" w:hAnsi="宋体" w:eastAsia="宋体" w:cs="宋体"/>
          <w:bCs/>
          <w:spacing w:val="0"/>
          <w:szCs w:val="24"/>
          <w:highlight w:val="none"/>
          <w:lang w:val="en-US" w:eastAsia="zh-CN"/>
        </w:rPr>
        <w:t>十七</w:t>
      </w:r>
      <w:r>
        <w:rPr>
          <w:rFonts w:hint="eastAsia" w:ascii="宋体" w:hAnsi="宋体" w:eastAsia="宋体" w:cs="宋体"/>
          <w:bCs/>
          <w:spacing w:val="0"/>
          <w:szCs w:val="24"/>
          <w:highlight w:val="none"/>
        </w:rPr>
        <w:t xml:space="preserve"> </w:t>
      </w:r>
      <w:r>
        <w:rPr>
          <w:rFonts w:hint="eastAsia" w:ascii="宋体" w:hAnsi="宋体" w:eastAsia="宋体" w:cs="宋体"/>
          <w:bCs/>
          <w:spacing w:val="0"/>
          <w:szCs w:val="24"/>
          <w:highlight w:val="none"/>
          <w:lang w:val="en-US" w:eastAsia="zh-CN"/>
        </w:rPr>
        <w:t>定标因素评审资料</w:t>
      </w:r>
      <w:r>
        <w:tab/>
      </w:r>
      <w:r>
        <w:fldChar w:fldCharType="begin"/>
      </w:r>
      <w:r>
        <w:instrText xml:space="preserve"> PAGEREF _Toc4699 \h </w:instrText>
      </w:r>
      <w:r>
        <w:fldChar w:fldCharType="separate"/>
      </w:r>
      <w:r>
        <w:t>87</w:t>
      </w:r>
      <w:r>
        <w:fldChar w:fldCharType="end"/>
      </w:r>
      <w:r>
        <w:rPr>
          <w:rFonts w:hint="eastAsia" w:ascii="宋体" w:hAnsi="宋体" w:eastAsia="宋体" w:cs="宋体"/>
          <w:color w:val="auto"/>
          <w:spacing w:val="0"/>
          <w:szCs w:val="24"/>
          <w:highlight w:val="none"/>
        </w:rPr>
        <w:fldChar w:fldCharType="end"/>
      </w:r>
    </w:p>
    <w:p w14:paraId="1987D562">
      <w:pPr>
        <w:pStyle w:val="11"/>
        <w:tabs>
          <w:tab w:val="right" w:leader="dot" w:pos="9746"/>
        </w:tabs>
      </w:pPr>
      <w:r>
        <w:rPr>
          <w:rFonts w:hint="eastAsia" w:ascii="宋体" w:hAnsi="宋体" w:eastAsia="宋体" w:cs="宋体"/>
          <w:color w:val="auto"/>
          <w:spacing w:val="0"/>
          <w:szCs w:val="24"/>
          <w:highlight w:val="none"/>
        </w:rPr>
        <w:fldChar w:fldCharType="begin"/>
      </w:r>
      <w:r>
        <w:rPr>
          <w:rFonts w:hint="eastAsia" w:ascii="宋体" w:hAnsi="宋体" w:eastAsia="宋体" w:cs="宋体"/>
          <w:spacing w:val="0"/>
          <w:szCs w:val="24"/>
          <w:highlight w:val="none"/>
        </w:rPr>
        <w:instrText xml:space="preserve"> HYPERLINK \l _Toc28207 </w:instrText>
      </w:r>
      <w:r>
        <w:rPr>
          <w:rFonts w:hint="eastAsia" w:ascii="宋体" w:hAnsi="宋体" w:eastAsia="宋体" w:cs="宋体"/>
          <w:spacing w:val="0"/>
          <w:szCs w:val="24"/>
          <w:highlight w:val="none"/>
        </w:rPr>
        <w:fldChar w:fldCharType="separate"/>
      </w:r>
      <w:r>
        <w:rPr>
          <w:rFonts w:hint="eastAsia" w:ascii="宋体" w:hAnsi="宋体" w:eastAsia="宋体" w:cs="宋体"/>
          <w:bCs/>
          <w:spacing w:val="0"/>
          <w:szCs w:val="24"/>
          <w:highlight w:val="none"/>
        </w:rPr>
        <w:t>第七章</w:t>
      </w:r>
      <w:r>
        <w:rPr>
          <w:rFonts w:hint="eastAsia" w:ascii="宋体" w:hAnsi="宋体" w:eastAsia="宋体" w:cs="宋体"/>
          <w:spacing w:val="0"/>
          <w:szCs w:val="24"/>
          <w:highlight w:val="none"/>
        </w:rPr>
        <w:t xml:space="preserve"> </w:t>
      </w:r>
      <w:r>
        <w:rPr>
          <w:rFonts w:hint="eastAsia" w:ascii="宋体" w:hAnsi="宋体" w:eastAsia="宋体" w:cs="宋体"/>
          <w:bCs/>
          <w:spacing w:val="0"/>
          <w:szCs w:val="24"/>
          <w:highlight w:val="none"/>
        </w:rPr>
        <w:t>建设工程施工合同</w:t>
      </w:r>
      <w:r>
        <w:tab/>
      </w:r>
      <w:r>
        <w:fldChar w:fldCharType="begin"/>
      </w:r>
      <w:r>
        <w:instrText xml:space="preserve"> PAGEREF _Toc28207 \h </w:instrText>
      </w:r>
      <w:r>
        <w:fldChar w:fldCharType="separate"/>
      </w:r>
      <w:r>
        <w:t>88</w:t>
      </w:r>
      <w:r>
        <w:fldChar w:fldCharType="end"/>
      </w:r>
      <w:r>
        <w:rPr>
          <w:rFonts w:hint="eastAsia" w:ascii="宋体" w:hAnsi="宋体" w:eastAsia="宋体" w:cs="宋体"/>
          <w:color w:val="auto"/>
          <w:spacing w:val="0"/>
          <w:szCs w:val="24"/>
          <w:highlight w:val="none"/>
        </w:rPr>
        <w:fldChar w:fldCharType="end"/>
      </w:r>
    </w:p>
    <w:p w14:paraId="5C2DA271">
      <w:pPr>
        <w:keepNext w:val="0"/>
        <w:keepLines w:val="0"/>
        <w:pageBreakBefore w:val="0"/>
        <w:wordWrap w:val="0"/>
        <w:overflowPunct/>
        <w:topLinePunct w:val="0"/>
        <w:bidi w:val="0"/>
        <w:spacing w:line="220" w:lineRule="auto"/>
        <w:jc w:val="center"/>
        <w:rPr>
          <w:rFonts w:hint="eastAsia" w:ascii="宋体" w:hAnsi="宋体" w:eastAsia="宋体" w:cs="宋体"/>
          <w:color w:val="auto"/>
          <w:spacing w:val="0"/>
          <w:sz w:val="24"/>
          <w:szCs w:val="24"/>
          <w:highlight w:val="none"/>
        </w:rPr>
        <w:sectPr>
          <w:footerReference r:id="rId6" w:type="default"/>
          <w:pgSz w:w="11906" w:h="16839"/>
          <w:pgMar w:top="1440" w:right="1080" w:bottom="1440" w:left="1080" w:header="1200" w:footer="1134" w:gutter="0"/>
          <w:pgBorders>
            <w:top w:val="none" w:sz="0" w:space="0"/>
            <w:left w:val="none" w:sz="0" w:space="0"/>
            <w:bottom w:val="none" w:sz="0" w:space="0"/>
            <w:right w:val="none" w:sz="0" w:space="0"/>
          </w:pgBorders>
          <w:pgNumType w:fmt="decimal" w:start="1"/>
          <w:cols w:space="720" w:num="1"/>
        </w:sectPr>
      </w:pPr>
      <w:r>
        <w:rPr>
          <w:rFonts w:hint="eastAsia" w:ascii="宋体" w:hAnsi="宋体" w:eastAsia="宋体" w:cs="宋体"/>
          <w:color w:val="auto"/>
          <w:spacing w:val="0"/>
          <w:szCs w:val="24"/>
          <w:highlight w:val="none"/>
        </w:rPr>
        <w:fldChar w:fldCharType="end"/>
      </w:r>
    </w:p>
    <w:p w14:paraId="5E00BD9D">
      <w:pPr>
        <w:pStyle w:val="6"/>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469BBC3">
      <w:pPr>
        <w:keepNext w:val="0"/>
        <w:keepLines w:val="0"/>
        <w:pageBreakBefore w:val="0"/>
        <w:wordWrap w:val="0"/>
        <w:overflowPunct/>
        <w:topLinePunct w:val="0"/>
        <w:bidi w:val="0"/>
        <w:spacing w:before="78" w:line="219" w:lineRule="auto"/>
        <w:ind w:left="3416"/>
        <w:outlineLvl w:val="0"/>
        <w:rPr>
          <w:rFonts w:hint="eastAsia" w:ascii="宋体" w:hAnsi="宋体" w:eastAsia="宋体" w:cs="宋体"/>
          <w:color w:val="auto"/>
          <w:spacing w:val="0"/>
          <w:sz w:val="24"/>
          <w:szCs w:val="24"/>
          <w:highlight w:val="none"/>
        </w:rPr>
      </w:pPr>
      <w:bookmarkStart w:id="0" w:name="bookmark1"/>
      <w:bookmarkEnd w:id="0"/>
      <w:bookmarkStart w:id="1" w:name="_Toc9179"/>
      <w:r>
        <w:rPr>
          <w:rFonts w:hint="eastAsia" w:ascii="宋体" w:hAnsi="宋体" w:eastAsia="宋体" w:cs="宋体"/>
          <w:b/>
          <w:bCs/>
          <w:color w:val="auto"/>
          <w:spacing w:val="0"/>
          <w:sz w:val="24"/>
          <w:szCs w:val="24"/>
          <w:highlight w:val="none"/>
        </w:rPr>
        <w:t>第一章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w:t>
      </w:r>
      <w:bookmarkEnd w:id="1"/>
    </w:p>
    <w:p w14:paraId="2CEDFB2C">
      <w:pPr>
        <w:keepNext w:val="0"/>
        <w:keepLines w:val="0"/>
        <w:pageBreakBefore w:val="0"/>
        <w:wordWrap w:val="0"/>
        <w:overflowPunct/>
        <w:topLinePunct w:val="0"/>
        <w:bidi w:val="0"/>
        <w:spacing w:before="156" w:line="219" w:lineRule="auto"/>
        <w:ind w:left="17"/>
        <w:outlineLvl w:val="1"/>
        <w:rPr>
          <w:rFonts w:hint="eastAsia" w:ascii="宋体" w:hAnsi="宋体" w:eastAsia="宋体" w:cs="宋体"/>
          <w:color w:val="auto"/>
          <w:spacing w:val="0"/>
          <w:sz w:val="24"/>
          <w:szCs w:val="24"/>
          <w:highlight w:val="none"/>
        </w:rPr>
      </w:pPr>
      <w:bookmarkStart w:id="2" w:name="bookmark3"/>
      <w:bookmarkEnd w:id="2"/>
      <w:bookmarkStart w:id="3" w:name="_Toc10939"/>
      <w:r>
        <w:rPr>
          <w:rFonts w:hint="eastAsia" w:ascii="宋体" w:hAnsi="宋体" w:eastAsia="宋体" w:cs="宋体"/>
          <w:b/>
          <w:bCs/>
          <w:color w:val="auto"/>
          <w:spacing w:val="0"/>
          <w:sz w:val="24"/>
          <w:szCs w:val="24"/>
          <w:highlight w:val="none"/>
        </w:rPr>
        <w:t>第一节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投标人须知前附表</w:t>
      </w:r>
      <w:bookmarkEnd w:id="3"/>
    </w:p>
    <w:p w14:paraId="196CB528">
      <w:pPr>
        <w:keepNext w:val="0"/>
        <w:keepLines w:val="0"/>
        <w:pageBreakBefore w:val="0"/>
        <w:wordWrap w:val="0"/>
        <w:overflowPunct/>
        <w:topLinePunct w:val="0"/>
        <w:bidi w:val="0"/>
        <w:spacing w:before="25"/>
        <w:rPr>
          <w:rFonts w:hint="eastAsia" w:ascii="宋体" w:hAnsi="宋体" w:eastAsia="宋体" w:cs="宋体"/>
          <w:color w:val="auto"/>
          <w:spacing w:val="0"/>
          <w:highlight w:val="none"/>
        </w:rPr>
      </w:pPr>
    </w:p>
    <w:tbl>
      <w:tblPr>
        <w:tblStyle w:val="15"/>
        <w:tblW w:w="100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942"/>
        <w:gridCol w:w="7574"/>
      </w:tblGrid>
      <w:tr w14:paraId="4DD9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center"/>
          </w:tcPr>
          <w:p w14:paraId="48996B63">
            <w:pPr>
              <w:keepNext w:val="0"/>
              <w:keepLines w:val="0"/>
              <w:pageBreakBefore w:val="0"/>
              <w:wordWrap w:val="0"/>
              <w:overflowPunct/>
              <w:topLinePunct w:val="0"/>
              <w:bidi w:val="0"/>
              <w:spacing w:before="203" w:line="209" w:lineRule="auto"/>
              <w:ind w:left="0" w:leftChars="0" w:firstLine="0" w:firstLineChars="0"/>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序号</w:t>
            </w:r>
          </w:p>
        </w:tc>
        <w:tc>
          <w:tcPr>
            <w:tcW w:w="1942" w:type="dxa"/>
            <w:vAlign w:val="center"/>
          </w:tcPr>
          <w:p w14:paraId="38542E1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内容</w:t>
            </w:r>
          </w:p>
        </w:tc>
        <w:tc>
          <w:tcPr>
            <w:tcW w:w="7574" w:type="dxa"/>
            <w:vAlign w:val="center"/>
          </w:tcPr>
          <w:p w14:paraId="19700D4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说明与要求</w:t>
            </w:r>
          </w:p>
        </w:tc>
      </w:tr>
      <w:tr w14:paraId="1E24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6F0E6307">
            <w:pPr>
              <w:keepNext w:val="0"/>
              <w:keepLines w:val="0"/>
              <w:pageBreakBefore w:val="0"/>
              <w:wordWrap w:val="0"/>
              <w:overflowPunct/>
              <w:topLinePunct w:val="0"/>
              <w:bidi w:val="0"/>
              <w:spacing w:before="223" w:line="195" w:lineRule="auto"/>
              <w:jc w:val="center"/>
              <w:rPr>
                <w:rFonts w:hint="eastAsia" w:asciiTheme="minorEastAsia" w:hAnsiTheme="minorEastAsia" w:eastAsiaTheme="minorEastAsia" w:cstheme="minorEastAsia"/>
                <w:color w:val="auto"/>
                <w:spacing w:val="0"/>
                <w:sz w:val="21"/>
                <w:szCs w:val="21"/>
                <w:highlight w:val="none"/>
              </w:rPr>
            </w:pPr>
            <w:bookmarkStart w:id="4" w:name="OLE_LINK2" w:colFirst="2" w:colLast="2"/>
            <w:r>
              <w:rPr>
                <w:rFonts w:hint="eastAsia" w:asciiTheme="minorEastAsia" w:hAnsiTheme="minorEastAsia" w:eastAsiaTheme="minorEastAsia" w:cstheme="minorEastAsia"/>
                <w:color w:val="auto"/>
                <w:spacing w:val="0"/>
                <w:sz w:val="21"/>
                <w:szCs w:val="21"/>
                <w:highlight w:val="none"/>
              </w:rPr>
              <w:t>1</w:t>
            </w:r>
          </w:p>
        </w:tc>
        <w:tc>
          <w:tcPr>
            <w:tcW w:w="1942" w:type="dxa"/>
            <w:vAlign w:val="center"/>
          </w:tcPr>
          <w:p w14:paraId="222BCE8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项目名称</w:t>
            </w:r>
          </w:p>
        </w:tc>
        <w:tc>
          <w:tcPr>
            <w:tcW w:w="7574" w:type="dxa"/>
            <w:vAlign w:val="center"/>
          </w:tcPr>
          <w:p w14:paraId="7BFDA06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韶关市风采桥桥面人行道修缮工程施工</w:t>
            </w:r>
          </w:p>
        </w:tc>
      </w:tr>
      <w:tr w14:paraId="27FD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582" w:type="dxa"/>
            <w:vAlign w:val="center"/>
          </w:tcPr>
          <w:p w14:paraId="6896A5ED">
            <w:pPr>
              <w:keepNext w:val="0"/>
              <w:keepLines w:val="0"/>
              <w:pageBreakBefore w:val="0"/>
              <w:wordWrap w:val="0"/>
              <w:overflowPunct/>
              <w:topLinePunct w:val="0"/>
              <w:bidi w:val="0"/>
              <w:spacing w:before="22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w:t>
            </w:r>
          </w:p>
        </w:tc>
        <w:tc>
          <w:tcPr>
            <w:tcW w:w="1942" w:type="dxa"/>
            <w:vAlign w:val="center"/>
          </w:tcPr>
          <w:p w14:paraId="14419B9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项目业主</w:t>
            </w:r>
          </w:p>
        </w:tc>
        <w:tc>
          <w:tcPr>
            <w:tcW w:w="7574" w:type="dxa"/>
            <w:vAlign w:val="center"/>
          </w:tcPr>
          <w:p w14:paraId="24B962E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韶关市市政管理中心</w:t>
            </w:r>
          </w:p>
        </w:tc>
      </w:tr>
      <w:tr w14:paraId="23B3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rPr>
        <w:tc>
          <w:tcPr>
            <w:tcW w:w="582" w:type="dxa"/>
            <w:vAlign w:val="center"/>
          </w:tcPr>
          <w:p w14:paraId="6BE10F56">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w:t>
            </w:r>
          </w:p>
        </w:tc>
        <w:tc>
          <w:tcPr>
            <w:tcW w:w="1942" w:type="dxa"/>
            <w:vAlign w:val="center"/>
          </w:tcPr>
          <w:p w14:paraId="4E3BE1B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项目批准部门及项目批准文号</w:t>
            </w:r>
          </w:p>
        </w:tc>
        <w:tc>
          <w:tcPr>
            <w:tcW w:w="7574" w:type="dxa"/>
            <w:vAlign w:val="center"/>
          </w:tcPr>
          <w:p w14:paraId="627A030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韶关市发展和改革局</w:t>
            </w:r>
          </w:p>
          <w:p w14:paraId="281FC55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韶发改投审〔2025〕34号</w:t>
            </w:r>
          </w:p>
        </w:tc>
      </w:tr>
      <w:tr w14:paraId="14883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037AC272">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4</w:t>
            </w:r>
          </w:p>
        </w:tc>
        <w:tc>
          <w:tcPr>
            <w:tcW w:w="1942" w:type="dxa"/>
            <w:vAlign w:val="center"/>
          </w:tcPr>
          <w:p w14:paraId="1EAD014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建设地点</w:t>
            </w:r>
          </w:p>
        </w:tc>
        <w:tc>
          <w:tcPr>
            <w:tcW w:w="7574" w:type="dxa"/>
            <w:tcMar>
              <w:top w:w="0" w:type="dxa"/>
              <w:left w:w="0" w:type="dxa"/>
              <w:bottom w:w="0" w:type="dxa"/>
              <w:right w:w="0" w:type="dxa"/>
            </w:tcMar>
            <w:vAlign w:val="center"/>
          </w:tcPr>
          <w:p w14:paraId="1DDCBB2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韶关市风采桥</w:t>
            </w:r>
          </w:p>
        </w:tc>
      </w:tr>
      <w:tr w14:paraId="75CB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trPr>
        <w:tc>
          <w:tcPr>
            <w:tcW w:w="582" w:type="dxa"/>
            <w:vAlign w:val="center"/>
          </w:tcPr>
          <w:p w14:paraId="75BBD9EE">
            <w:pPr>
              <w:keepNext w:val="0"/>
              <w:keepLines w:val="0"/>
              <w:pageBreakBefore w:val="0"/>
              <w:wordWrap w:val="0"/>
              <w:overflowPunct/>
              <w:topLinePunct w:val="0"/>
              <w:bidi w:val="0"/>
              <w:spacing w:before="226"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5</w:t>
            </w:r>
          </w:p>
        </w:tc>
        <w:tc>
          <w:tcPr>
            <w:tcW w:w="1942" w:type="dxa"/>
            <w:vAlign w:val="center"/>
          </w:tcPr>
          <w:p w14:paraId="5664470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项目代码</w:t>
            </w:r>
          </w:p>
        </w:tc>
        <w:tc>
          <w:tcPr>
            <w:tcW w:w="7574" w:type="dxa"/>
            <w:vAlign w:val="center"/>
          </w:tcPr>
          <w:p w14:paraId="04C821F9">
            <w:pPr>
              <w:keepNext w:val="0"/>
              <w:keepLines w:val="0"/>
              <w:widowControl/>
              <w:suppressLineNumbers w:val="0"/>
              <w:ind w:firstLine="210" w:firstLineChars="100"/>
              <w:jc w:val="left"/>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2508-440200-04-01-131387</w:t>
            </w:r>
          </w:p>
        </w:tc>
      </w:tr>
      <w:tr w14:paraId="016F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3AF433F2">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6</w:t>
            </w:r>
          </w:p>
        </w:tc>
        <w:tc>
          <w:tcPr>
            <w:tcW w:w="1942" w:type="dxa"/>
            <w:vAlign w:val="center"/>
          </w:tcPr>
          <w:p w14:paraId="6092623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资金来源及落实情况</w:t>
            </w:r>
          </w:p>
        </w:tc>
        <w:tc>
          <w:tcPr>
            <w:tcW w:w="7574" w:type="dxa"/>
            <w:vAlign w:val="center"/>
          </w:tcPr>
          <w:p w14:paraId="6E2376B4">
            <w:pPr>
              <w:keepNext w:val="0"/>
              <w:keepLines w:val="0"/>
              <w:widowControl/>
              <w:suppressLineNumbers w:val="0"/>
              <w:ind w:firstLine="210" w:firstLineChars="100"/>
              <w:jc w:val="left"/>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项目建设所需资金由政府一般债予以支持，其余部分由财政统筹解决</w:t>
            </w:r>
          </w:p>
        </w:tc>
      </w:tr>
      <w:tr w14:paraId="1B38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1" w:hRule="atLeast"/>
        </w:trPr>
        <w:tc>
          <w:tcPr>
            <w:tcW w:w="582" w:type="dxa"/>
            <w:vAlign w:val="center"/>
          </w:tcPr>
          <w:p w14:paraId="187C06E1">
            <w:pPr>
              <w:keepNext w:val="0"/>
              <w:keepLines w:val="0"/>
              <w:pageBreakBefore w:val="0"/>
              <w:wordWrap w:val="0"/>
              <w:overflowPunct/>
              <w:topLinePunct w:val="0"/>
              <w:bidi w:val="0"/>
              <w:spacing w:before="228" w:line="192"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7</w:t>
            </w:r>
          </w:p>
        </w:tc>
        <w:tc>
          <w:tcPr>
            <w:tcW w:w="1942" w:type="dxa"/>
            <w:vAlign w:val="center"/>
          </w:tcPr>
          <w:p w14:paraId="4C2F1E0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招标人</w:t>
            </w:r>
          </w:p>
        </w:tc>
        <w:tc>
          <w:tcPr>
            <w:tcW w:w="7574" w:type="dxa"/>
            <w:vAlign w:val="center"/>
          </w:tcPr>
          <w:p w14:paraId="7D53AF3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韶关市市政管理中心</w:t>
            </w:r>
          </w:p>
        </w:tc>
      </w:tr>
      <w:tr w14:paraId="20EE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582" w:type="dxa"/>
            <w:vAlign w:val="center"/>
          </w:tcPr>
          <w:p w14:paraId="3A2A6D51">
            <w:pPr>
              <w:keepNext w:val="0"/>
              <w:keepLines w:val="0"/>
              <w:pageBreakBefore w:val="0"/>
              <w:wordWrap w:val="0"/>
              <w:overflowPunct/>
              <w:topLinePunct w:val="0"/>
              <w:bidi w:val="0"/>
              <w:spacing w:before="224"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8</w:t>
            </w:r>
          </w:p>
        </w:tc>
        <w:tc>
          <w:tcPr>
            <w:tcW w:w="1942" w:type="dxa"/>
            <w:vAlign w:val="center"/>
          </w:tcPr>
          <w:p w14:paraId="028C8CE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招标代理机构</w:t>
            </w:r>
          </w:p>
        </w:tc>
        <w:tc>
          <w:tcPr>
            <w:tcW w:w="7574" w:type="dxa"/>
            <w:vAlign w:val="center"/>
          </w:tcPr>
          <w:p w14:paraId="0C9CFC1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韶关成果项目管理有限公司</w:t>
            </w:r>
          </w:p>
        </w:tc>
      </w:tr>
      <w:tr w14:paraId="40B44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866847F">
            <w:pPr>
              <w:keepNext w:val="0"/>
              <w:keepLines w:val="0"/>
              <w:pageBreakBefore w:val="0"/>
              <w:wordWrap w:val="0"/>
              <w:overflowPunct/>
              <w:topLinePunct w:val="0"/>
              <w:bidi w:val="0"/>
              <w:spacing w:before="22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9</w:t>
            </w:r>
          </w:p>
        </w:tc>
        <w:tc>
          <w:tcPr>
            <w:tcW w:w="1942" w:type="dxa"/>
            <w:vAlign w:val="center"/>
          </w:tcPr>
          <w:p w14:paraId="4223215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设计单位</w:t>
            </w:r>
          </w:p>
        </w:tc>
        <w:tc>
          <w:tcPr>
            <w:tcW w:w="7574" w:type="dxa"/>
            <w:vAlign w:val="center"/>
          </w:tcPr>
          <w:p w14:paraId="7259E99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中都工程设计有限公司</w:t>
            </w:r>
          </w:p>
        </w:tc>
      </w:tr>
      <w:bookmarkEnd w:id="4"/>
      <w:tr w14:paraId="41040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atLeast"/>
        </w:trPr>
        <w:tc>
          <w:tcPr>
            <w:tcW w:w="582" w:type="dxa"/>
            <w:vAlign w:val="center"/>
          </w:tcPr>
          <w:p w14:paraId="768DA257">
            <w:pPr>
              <w:keepNext w:val="0"/>
              <w:keepLines w:val="0"/>
              <w:pageBreakBefore w:val="0"/>
              <w:wordWrap w:val="0"/>
              <w:overflowPunct/>
              <w:topLinePunct w:val="0"/>
              <w:bidi w:val="0"/>
              <w:spacing w:before="245"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10</w:t>
            </w:r>
          </w:p>
        </w:tc>
        <w:tc>
          <w:tcPr>
            <w:tcW w:w="1942" w:type="dxa"/>
            <w:vAlign w:val="center"/>
          </w:tcPr>
          <w:p w14:paraId="59B7A72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造价咨询单位</w:t>
            </w:r>
          </w:p>
        </w:tc>
        <w:tc>
          <w:tcPr>
            <w:tcW w:w="7574" w:type="dxa"/>
            <w:vAlign w:val="center"/>
          </w:tcPr>
          <w:p w14:paraId="01D21B5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□非全过程造价咨询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☑全过程造价咨询</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p>
        </w:tc>
      </w:tr>
      <w:tr w14:paraId="05A06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3B5417C">
            <w:pPr>
              <w:keepNext w:val="0"/>
              <w:keepLines w:val="0"/>
              <w:pageBreakBefore w:val="0"/>
              <w:wordWrap w:val="0"/>
              <w:overflowPunct/>
              <w:topLinePunct w:val="0"/>
              <w:bidi w:val="0"/>
              <w:spacing w:before="242"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11</w:t>
            </w:r>
          </w:p>
        </w:tc>
        <w:tc>
          <w:tcPr>
            <w:tcW w:w="1942" w:type="dxa"/>
            <w:vAlign w:val="center"/>
          </w:tcPr>
          <w:p w14:paraId="6CFC11F7">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监理单位</w:t>
            </w:r>
          </w:p>
        </w:tc>
        <w:tc>
          <w:tcPr>
            <w:tcW w:w="7574" w:type="dxa"/>
            <w:vAlign w:val="center"/>
          </w:tcPr>
          <w:p w14:paraId="1ABFA49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☑已确定监理单位</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□未确定监理单位</w:t>
            </w:r>
          </w:p>
        </w:tc>
      </w:tr>
      <w:tr w14:paraId="25D15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2" w:hRule="atLeast"/>
        </w:trPr>
        <w:tc>
          <w:tcPr>
            <w:tcW w:w="582" w:type="dxa"/>
            <w:vAlign w:val="center"/>
          </w:tcPr>
          <w:p w14:paraId="2114EF9C">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eastAsia="zh-CN"/>
              </w:rPr>
              <w:t>1</w:t>
            </w:r>
            <w:r>
              <w:rPr>
                <w:rFonts w:hint="eastAsia" w:asciiTheme="minorEastAsia" w:hAnsiTheme="minorEastAsia" w:eastAsiaTheme="minorEastAsia" w:cstheme="minorEastAsia"/>
                <w:color w:val="auto"/>
                <w:spacing w:val="0"/>
                <w:sz w:val="21"/>
                <w:szCs w:val="21"/>
                <w:highlight w:val="none"/>
              </w:rPr>
              <w:t>2</w:t>
            </w:r>
          </w:p>
        </w:tc>
        <w:tc>
          <w:tcPr>
            <w:tcW w:w="1942" w:type="dxa"/>
            <w:vAlign w:val="center"/>
          </w:tcPr>
          <w:p w14:paraId="0E4B842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建设内容和规模</w:t>
            </w:r>
          </w:p>
        </w:tc>
        <w:tc>
          <w:tcPr>
            <w:tcW w:w="7574" w:type="dxa"/>
            <w:vAlign w:val="center"/>
          </w:tcPr>
          <w:p w14:paraId="3331303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☑建设规模：</w:t>
            </w:r>
            <w:r>
              <w:rPr>
                <w:rFonts w:hint="eastAsia" w:asciiTheme="minorEastAsia" w:hAnsiTheme="minorEastAsia" w:eastAsiaTheme="minorEastAsia" w:cstheme="minorEastAsia"/>
                <w:snapToGrid w:val="0"/>
                <w:color w:val="auto"/>
                <w:spacing w:val="0"/>
                <w:kern w:val="0"/>
                <w:sz w:val="21"/>
                <w:szCs w:val="21"/>
                <w:highlight w:val="none"/>
                <w:lang w:val="en-US" w:eastAsia="zh-CN"/>
              </w:rPr>
              <w:t>/</w:t>
            </w:r>
          </w:p>
          <w:p w14:paraId="545B734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☑建设内容：</w:t>
            </w:r>
          </w:p>
          <w:p w14:paraId="2163DE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对风采桥主桥、引桥进行修缮，桥</w:t>
            </w:r>
            <w:r>
              <w:rPr>
                <w:rFonts w:hint="default" w:asciiTheme="minorEastAsia" w:hAnsiTheme="minorEastAsia" w:eastAsiaTheme="minorEastAsia" w:cstheme="minorEastAsia"/>
                <w:snapToGrid w:val="0"/>
                <w:color w:val="auto"/>
                <w:spacing w:val="0"/>
                <w:kern w:val="0"/>
                <w:sz w:val="21"/>
                <w:szCs w:val="21"/>
                <w:highlight w:val="none"/>
                <w:lang w:val="en-US" w:eastAsia="zh-CN"/>
              </w:rPr>
              <w:t>梁全长约482米，桥宽12米，建筑面积5784平方米。</w:t>
            </w:r>
          </w:p>
        </w:tc>
      </w:tr>
      <w:tr w14:paraId="454D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67FC595D">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13</w:t>
            </w:r>
          </w:p>
        </w:tc>
        <w:tc>
          <w:tcPr>
            <w:tcW w:w="1942" w:type="dxa"/>
            <w:vAlign w:val="center"/>
          </w:tcPr>
          <w:p w14:paraId="57C4E78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项目总投资</w:t>
            </w:r>
          </w:p>
        </w:tc>
        <w:tc>
          <w:tcPr>
            <w:tcW w:w="7574" w:type="dxa"/>
            <w:vAlign w:val="center"/>
          </w:tcPr>
          <w:p w14:paraId="45D7A72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项目概算总投资462.44万元，其中工程费用353.87万元，工程建设其他费用95.10万元，预备费用13.47万元。</w:t>
            </w:r>
          </w:p>
        </w:tc>
      </w:tr>
      <w:tr w14:paraId="2BECE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343ADD2F">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14</w:t>
            </w:r>
          </w:p>
        </w:tc>
        <w:tc>
          <w:tcPr>
            <w:tcW w:w="1942" w:type="dxa"/>
            <w:vAlign w:val="center"/>
          </w:tcPr>
          <w:p w14:paraId="6A7E5B2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招标范围</w:t>
            </w:r>
          </w:p>
        </w:tc>
        <w:tc>
          <w:tcPr>
            <w:tcW w:w="7574" w:type="dxa"/>
            <w:vAlign w:val="center"/>
          </w:tcPr>
          <w:p w14:paraId="3110504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按审查合格的施工图纸及工程量清单内容施工</w:t>
            </w:r>
          </w:p>
        </w:tc>
      </w:tr>
      <w:tr w14:paraId="71BE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120FB47A">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15</w:t>
            </w:r>
          </w:p>
        </w:tc>
        <w:tc>
          <w:tcPr>
            <w:tcW w:w="1942" w:type="dxa"/>
            <w:vAlign w:val="center"/>
          </w:tcPr>
          <w:p w14:paraId="61B9B9E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标段划分</w:t>
            </w:r>
          </w:p>
        </w:tc>
        <w:tc>
          <w:tcPr>
            <w:tcW w:w="7574" w:type="dxa"/>
            <w:vAlign w:val="center"/>
          </w:tcPr>
          <w:p w14:paraId="04448B7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本招标项目不划分标段。 </w:t>
            </w:r>
          </w:p>
        </w:tc>
      </w:tr>
      <w:tr w14:paraId="0CDC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170AAA65">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rPr>
              <w:t>16</w:t>
            </w:r>
          </w:p>
        </w:tc>
        <w:tc>
          <w:tcPr>
            <w:tcW w:w="1942" w:type="dxa"/>
            <w:vAlign w:val="center"/>
          </w:tcPr>
          <w:p w14:paraId="13DCED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工期</w:t>
            </w:r>
          </w:p>
        </w:tc>
        <w:tc>
          <w:tcPr>
            <w:tcW w:w="7574" w:type="dxa"/>
            <w:vAlign w:val="top"/>
          </w:tcPr>
          <w:p w14:paraId="33DD960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spacing w:val="0"/>
                <w:kern w:val="0"/>
                <w:sz w:val="21"/>
                <w:szCs w:val="21"/>
                <w:highlight w:val="none"/>
                <w:lang w:val="en-US" w:eastAsia="zh-CN"/>
              </w:rPr>
              <w:t>180个日历天</w:t>
            </w:r>
            <w:r>
              <w:rPr>
                <w:rFonts w:hint="eastAsia" w:asciiTheme="minorEastAsia" w:hAnsiTheme="minorEastAsia" w:eastAsiaTheme="minorEastAsia" w:cstheme="minorEastAsia"/>
                <w:snapToGrid w:val="0"/>
                <w:color w:val="auto"/>
                <w:spacing w:val="0"/>
                <w:kern w:val="0"/>
                <w:sz w:val="21"/>
                <w:szCs w:val="21"/>
                <w:highlight w:val="none"/>
                <w:lang w:eastAsia="zh-CN"/>
              </w:rPr>
              <w:t>。具体如下：</w:t>
            </w:r>
          </w:p>
          <w:p w14:paraId="2E23EB4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☑总工期：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180</w:t>
            </w:r>
            <w:r>
              <w:rPr>
                <w:rFonts w:hint="eastAsia" w:asciiTheme="minorEastAsia" w:hAnsiTheme="minorEastAsia" w:eastAsiaTheme="minorEastAsia" w:cstheme="minorEastAsia"/>
                <w:snapToGrid w:val="0"/>
                <w:color w:val="auto"/>
                <w:spacing w:val="0"/>
                <w:kern w:val="0"/>
                <w:sz w:val="21"/>
                <w:szCs w:val="21"/>
                <w:highlight w:val="none"/>
                <w:lang w:eastAsia="zh-CN"/>
              </w:rPr>
              <w:t>天 （日历天）。</w:t>
            </w:r>
          </w:p>
          <w:p w14:paraId="26AB2D3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□计划开工日期：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日（具体开工日期以合同为准）</w:t>
            </w:r>
          </w:p>
          <w:p w14:paraId="419633D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□计划竣工日期：</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年</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月</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日</w:t>
            </w:r>
          </w:p>
          <w:p w14:paraId="447708E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□除上述总工期外，发包人还要求以下阶段工期：</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w:t>
            </w:r>
          </w:p>
        </w:tc>
      </w:tr>
      <w:tr w14:paraId="08323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582" w:type="dxa"/>
            <w:vAlign w:val="center"/>
          </w:tcPr>
          <w:p w14:paraId="5C8BA544">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17</w:t>
            </w:r>
          </w:p>
        </w:tc>
        <w:tc>
          <w:tcPr>
            <w:tcW w:w="1942" w:type="dxa"/>
            <w:vAlign w:val="center"/>
          </w:tcPr>
          <w:p w14:paraId="4CEAC5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质量标准</w:t>
            </w:r>
          </w:p>
        </w:tc>
        <w:tc>
          <w:tcPr>
            <w:tcW w:w="7574" w:type="dxa"/>
            <w:vAlign w:val="top"/>
          </w:tcPr>
          <w:p w14:paraId="42F99ED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符合现行国家有关工程施工质量验收规范和标准的要求，达到验收合格标准。</w:t>
            </w:r>
          </w:p>
        </w:tc>
      </w:tr>
      <w:tr w14:paraId="4CB1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1D59D55F">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18</w:t>
            </w:r>
          </w:p>
        </w:tc>
        <w:tc>
          <w:tcPr>
            <w:tcW w:w="1942" w:type="dxa"/>
            <w:vMerge w:val="restart"/>
            <w:vAlign w:val="center"/>
          </w:tcPr>
          <w:p w14:paraId="1086669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合同类型</w:t>
            </w:r>
          </w:p>
        </w:tc>
        <w:tc>
          <w:tcPr>
            <w:tcW w:w="7574" w:type="dxa"/>
            <w:vAlign w:val="top"/>
          </w:tcPr>
          <w:p w14:paraId="34BB545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☑单价合同：发承包双方约定以工程量清单及其综合单价进行合同价款计算、调整和确认的建设工程施工合同。</w:t>
            </w:r>
          </w:p>
          <w:p w14:paraId="5FBB177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328D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4992AFE9">
            <w:pPr>
              <w:keepNext w:val="0"/>
              <w:keepLines w:val="0"/>
              <w:pageBreakBefore w:val="0"/>
              <w:wordWrap w:val="0"/>
              <w:overflowPunct/>
              <w:topLinePunct w:val="0"/>
              <w:bidi w:val="0"/>
              <w:spacing w:before="57" w:line="195" w:lineRule="auto"/>
              <w:jc w:val="center"/>
              <w:rPr>
                <w:rFonts w:hint="eastAsia" w:asciiTheme="minorEastAsia" w:hAnsiTheme="minorEastAsia" w:eastAsiaTheme="minorEastAsia" w:cstheme="minorEastAsia"/>
                <w:color w:val="auto"/>
                <w:spacing w:val="0"/>
                <w:sz w:val="21"/>
                <w:szCs w:val="21"/>
                <w:highlight w:val="none"/>
              </w:rPr>
            </w:pPr>
          </w:p>
        </w:tc>
        <w:tc>
          <w:tcPr>
            <w:tcW w:w="1942" w:type="dxa"/>
            <w:vMerge w:val="continue"/>
            <w:vAlign w:val="center"/>
          </w:tcPr>
          <w:p w14:paraId="67B171E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p>
        </w:tc>
        <w:tc>
          <w:tcPr>
            <w:tcW w:w="7574" w:type="dxa"/>
            <w:vAlign w:val="top"/>
          </w:tcPr>
          <w:p w14:paraId="5B2A157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□总价合同：发承包双方约定以施工图及其预算和有关条件进行合同价款计算、调整和确认的建设工程施工合同。 </w:t>
            </w:r>
          </w:p>
          <w:p w14:paraId="576C359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注：总价合同是以施工图纸、规范为基础，在工程任务内容明确、发包人的要求条件清楚、计价标准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标准原则。</w:t>
            </w:r>
          </w:p>
        </w:tc>
      </w:tr>
      <w:tr w14:paraId="7E0F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5799A098">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w:t>
            </w:r>
          </w:p>
        </w:tc>
        <w:tc>
          <w:tcPr>
            <w:tcW w:w="1942" w:type="dxa"/>
            <w:vAlign w:val="center"/>
          </w:tcPr>
          <w:p w14:paraId="4BA854B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房屋建筑工程绿色建筑标准</w:t>
            </w:r>
          </w:p>
        </w:tc>
        <w:tc>
          <w:tcPr>
            <w:tcW w:w="7574" w:type="dxa"/>
            <w:vAlign w:val="center"/>
          </w:tcPr>
          <w:p w14:paraId="6EA25BEB">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纳入绿色建设实施范围。</w:t>
            </w:r>
          </w:p>
        </w:tc>
      </w:tr>
      <w:tr w14:paraId="2F4B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5BB5351C">
            <w:pPr>
              <w:keepNext w:val="0"/>
              <w:keepLines w:val="0"/>
              <w:pageBreakBefore w:val="0"/>
              <w:wordWrap w:val="0"/>
              <w:overflowPunct/>
              <w:topLinePunct w:val="0"/>
              <w:bidi w:val="0"/>
              <w:spacing w:before="58" w:line="195"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19. 1</w:t>
            </w:r>
          </w:p>
        </w:tc>
        <w:tc>
          <w:tcPr>
            <w:tcW w:w="1942" w:type="dxa"/>
            <w:vAlign w:val="center"/>
          </w:tcPr>
          <w:p w14:paraId="117D2CE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装配式建筑标准</w:t>
            </w:r>
          </w:p>
        </w:tc>
        <w:tc>
          <w:tcPr>
            <w:tcW w:w="7574" w:type="dxa"/>
            <w:vAlign w:val="center"/>
          </w:tcPr>
          <w:p w14:paraId="6B30D43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spacing w:val="0"/>
                <w:kern w:val="0"/>
                <w:sz w:val="21"/>
                <w:szCs w:val="21"/>
                <w:highlight w:val="none"/>
                <w:lang w:eastAsia="zh-CN"/>
              </w:rPr>
              <w:t>纳入装配式建造建设实施范围。</w:t>
            </w:r>
          </w:p>
        </w:tc>
      </w:tr>
      <w:tr w14:paraId="7196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53832028">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20</w:t>
            </w:r>
          </w:p>
        </w:tc>
        <w:tc>
          <w:tcPr>
            <w:tcW w:w="1942" w:type="dxa"/>
            <w:vAlign w:val="center"/>
          </w:tcPr>
          <w:p w14:paraId="5CAF528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w:t>
            </w:r>
          </w:p>
        </w:tc>
        <w:tc>
          <w:tcPr>
            <w:tcW w:w="7574" w:type="dxa"/>
            <w:vAlign w:val="center"/>
          </w:tcPr>
          <w:p w14:paraId="7E704987">
            <w:pPr>
              <w:keepNext w:val="0"/>
              <w:keepLines w:val="0"/>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default" w:asciiTheme="minorEastAsia" w:hAnsiTheme="minorEastAsia" w:eastAsiaTheme="minorEastAsia" w:cstheme="minorEastAsia"/>
                <w:snapToGrid w:val="0"/>
                <w:color w:val="auto"/>
                <w:spacing w:val="0"/>
                <w:kern w:val="0"/>
                <w:sz w:val="21"/>
                <w:szCs w:val="21"/>
                <w:highlight w:val="none"/>
                <w:u w:val="singl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发包人提供材料和工程设备： ☑无     □有：</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rPr>
              <w:t xml:space="preserve">     </w:t>
            </w:r>
          </w:p>
        </w:tc>
      </w:tr>
      <w:tr w14:paraId="7ECC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491AE3D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21</w:t>
            </w:r>
          </w:p>
        </w:tc>
        <w:tc>
          <w:tcPr>
            <w:tcW w:w="1942" w:type="dxa"/>
            <w:vAlign w:val="center"/>
          </w:tcPr>
          <w:p w14:paraId="1E0DD9E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承包人提供材料和工程设备</w:t>
            </w:r>
          </w:p>
        </w:tc>
        <w:tc>
          <w:tcPr>
            <w:tcW w:w="7574" w:type="dxa"/>
            <w:vAlign w:val="top"/>
          </w:tcPr>
          <w:p w14:paraId="14E2E4F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0D2DCB8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□其它说明：鼓励承包人积极采购环保产品进行施工。</w:t>
            </w:r>
          </w:p>
        </w:tc>
      </w:tr>
      <w:tr w14:paraId="2A7CB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trPr>
        <w:tc>
          <w:tcPr>
            <w:tcW w:w="582" w:type="dxa"/>
            <w:vAlign w:val="center"/>
          </w:tcPr>
          <w:p w14:paraId="3FCD515C">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22</w:t>
            </w:r>
          </w:p>
        </w:tc>
        <w:tc>
          <w:tcPr>
            <w:tcW w:w="1942" w:type="dxa"/>
            <w:vAlign w:val="center"/>
          </w:tcPr>
          <w:p w14:paraId="686F7B1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最高投标限价</w:t>
            </w:r>
          </w:p>
        </w:tc>
        <w:tc>
          <w:tcPr>
            <w:tcW w:w="7574" w:type="dxa"/>
            <w:vAlign w:val="center"/>
          </w:tcPr>
          <w:p w14:paraId="75B7F6C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本招标项目的</w:t>
            </w:r>
            <w:r>
              <w:rPr>
                <w:rFonts w:hint="eastAsia" w:asciiTheme="minorEastAsia" w:hAnsiTheme="minorEastAsia" w:eastAsiaTheme="minorEastAsia" w:cstheme="minorEastAsia"/>
                <w:snapToGrid w:val="0"/>
                <w:color w:val="auto"/>
                <w:spacing w:val="0"/>
                <w:kern w:val="0"/>
                <w:sz w:val="21"/>
                <w:szCs w:val="21"/>
                <w:highlight w:val="none"/>
                <w:lang w:val="en-US" w:eastAsia="zh-CN"/>
              </w:rPr>
              <w:t>最高投标限价</w:t>
            </w:r>
            <w:r>
              <w:rPr>
                <w:rFonts w:hint="eastAsia" w:asciiTheme="minorEastAsia" w:hAnsiTheme="minorEastAsia" w:eastAsiaTheme="minorEastAsia" w:cstheme="minorEastAsia"/>
                <w:snapToGrid w:val="0"/>
                <w:color w:val="auto"/>
                <w:spacing w:val="0"/>
                <w:kern w:val="0"/>
                <w:sz w:val="21"/>
                <w:szCs w:val="21"/>
                <w:highlight w:val="none"/>
                <w:lang w:eastAsia="zh-CN"/>
              </w:rPr>
              <w:t>、工程量清单、</w:t>
            </w:r>
            <w:r>
              <w:rPr>
                <w:rFonts w:hint="eastAsia" w:asciiTheme="minorEastAsia" w:hAnsiTheme="minorEastAsia" w:eastAsiaTheme="minorEastAsia" w:cstheme="minorEastAsia"/>
                <w:snapToGrid w:val="0"/>
                <w:color w:val="auto"/>
                <w:spacing w:val="0"/>
                <w:kern w:val="0"/>
                <w:sz w:val="21"/>
                <w:szCs w:val="21"/>
                <w:highlight w:val="none"/>
                <w:lang w:val="en-US" w:eastAsia="zh-CN"/>
              </w:rPr>
              <w:t>施工图纸</w:t>
            </w:r>
            <w:r>
              <w:rPr>
                <w:rFonts w:hint="eastAsia" w:asciiTheme="minorEastAsia" w:hAnsiTheme="minorEastAsia" w:eastAsiaTheme="minorEastAsia" w:cstheme="minorEastAsia"/>
                <w:snapToGrid w:val="0"/>
                <w:color w:val="auto"/>
                <w:spacing w:val="0"/>
                <w:kern w:val="0"/>
                <w:sz w:val="21"/>
                <w:szCs w:val="21"/>
                <w:highlight w:val="none"/>
                <w:lang w:eastAsia="zh-CN"/>
              </w:rPr>
              <w:t>在投标截止时间15天前以补充公告的形式在广东省招标投标监管网（http://zbtb.gd.gov.cn）、全国公共资源交易平台（广东省·韶关市）（https://ygp.gdzwfw.gov.cn/ggzy-portal/#/440200/index）网站公布。</w:t>
            </w:r>
          </w:p>
        </w:tc>
      </w:tr>
      <w:tr w14:paraId="54A7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0" w:hRule="atLeast"/>
        </w:trPr>
        <w:tc>
          <w:tcPr>
            <w:tcW w:w="582" w:type="dxa"/>
            <w:vAlign w:val="center"/>
          </w:tcPr>
          <w:p w14:paraId="538319E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23</w:t>
            </w:r>
          </w:p>
        </w:tc>
        <w:tc>
          <w:tcPr>
            <w:tcW w:w="1942" w:type="dxa"/>
            <w:vAlign w:val="center"/>
          </w:tcPr>
          <w:p w14:paraId="67574905">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投标人的投标报价</w:t>
            </w:r>
          </w:p>
        </w:tc>
        <w:tc>
          <w:tcPr>
            <w:tcW w:w="7574" w:type="dxa"/>
            <w:vAlign w:val="center"/>
          </w:tcPr>
          <w:p w14:paraId="33957A2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19EEAFE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投标报价方式： ☑工程量清单报</w:t>
            </w:r>
            <w:r>
              <w:rPr>
                <w:rFonts w:hint="eastAsia" w:asciiTheme="minorEastAsia" w:hAnsiTheme="minorEastAsia" w:eastAsiaTheme="minorEastAsia" w:cstheme="minorEastAsia"/>
                <w:snapToGrid w:val="0"/>
                <w:color w:val="auto"/>
                <w:spacing w:val="0"/>
                <w:kern w:val="0"/>
                <w:sz w:val="21"/>
                <w:szCs w:val="21"/>
                <w:highlight w:val="none"/>
                <w:lang w:val="en-US" w:eastAsia="zh-CN"/>
              </w:rPr>
              <w:t>价  □其他：</w:t>
            </w:r>
          </w:p>
          <w:p w14:paraId="16173AD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投标报价时，应按《广东省建设工程计价依据（2018）》规定的费率报价，若招标工程量清单明确说明不计算预算包干费或另外确定预算包干费费率的，则按招标工程量清单报价。</w:t>
            </w:r>
          </w:p>
        </w:tc>
      </w:tr>
      <w:tr w14:paraId="42AA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5" w:hRule="atLeast"/>
        </w:trPr>
        <w:tc>
          <w:tcPr>
            <w:tcW w:w="582" w:type="dxa"/>
            <w:vAlign w:val="center"/>
          </w:tcPr>
          <w:p w14:paraId="0F9F6D8A">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24</w:t>
            </w:r>
          </w:p>
        </w:tc>
        <w:tc>
          <w:tcPr>
            <w:tcW w:w="1942" w:type="dxa"/>
            <w:vAlign w:val="center"/>
          </w:tcPr>
          <w:p w14:paraId="289DAA6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投标报价风险</w:t>
            </w:r>
          </w:p>
        </w:tc>
        <w:tc>
          <w:tcPr>
            <w:tcW w:w="7574" w:type="dxa"/>
            <w:vAlign w:val="center"/>
          </w:tcPr>
          <w:p w14:paraId="639CCF5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☑投标人依据招标文件约定自行考虑风险因素，一旦中标，投标报价（合同价）除合同另有约定外将不因市场变化而调整。</w:t>
            </w:r>
          </w:p>
          <w:p w14:paraId="414B250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54843E9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☑人工费、材料费、机具费、管理费、利润、措施项目费（不含安全生产措施费）投标人漏报或不报，招标人视为有关费用 已包括在工程量清单项目的其它单价及合价中不予另外增加。</w:t>
            </w:r>
          </w:p>
          <w:p w14:paraId="4D6AFB1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☑措施项目中的安全生产措施费，必须按国家、省级、市级（即工程所在地）行业建设主管部门的规定计算，不得作为竞争性费用。</w:t>
            </w:r>
          </w:p>
          <w:p w14:paraId="708EB3D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7A9C3DF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797C29E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52A8CB9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2776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trPr>
        <w:tc>
          <w:tcPr>
            <w:tcW w:w="582" w:type="dxa"/>
            <w:vAlign w:val="center"/>
          </w:tcPr>
          <w:p w14:paraId="42E6764A">
            <w:pPr>
              <w:keepNext w:val="0"/>
              <w:keepLines w:val="0"/>
              <w:pageBreakBefore w:val="0"/>
              <w:wordWrap w:val="0"/>
              <w:overflowPunct/>
              <w:topLinePunct w:val="0"/>
              <w:bidi w:val="0"/>
              <w:spacing w:before="284"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25</w:t>
            </w:r>
          </w:p>
        </w:tc>
        <w:tc>
          <w:tcPr>
            <w:tcW w:w="1942" w:type="dxa"/>
            <w:vAlign w:val="center"/>
          </w:tcPr>
          <w:p w14:paraId="2EE410F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投标费用</w:t>
            </w:r>
          </w:p>
        </w:tc>
        <w:tc>
          <w:tcPr>
            <w:tcW w:w="7574" w:type="dxa"/>
            <w:vAlign w:val="center"/>
          </w:tcPr>
          <w:p w14:paraId="11D2FE5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投标人自行承担编制与递交投标文件的一切费用。</w:t>
            </w:r>
          </w:p>
        </w:tc>
      </w:tr>
      <w:tr w14:paraId="742C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82" w:type="dxa"/>
            <w:vAlign w:val="center"/>
          </w:tcPr>
          <w:p w14:paraId="2E6D0803">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26</w:t>
            </w:r>
          </w:p>
        </w:tc>
        <w:tc>
          <w:tcPr>
            <w:tcW w:w="1942" w:type="dxa"/>
            <w:vAlign w:val="center"/>
          </w:tcPr>
          <w:p w14:paraId="2A8AB06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投标人资格要求</w:t>
            </w:r>
          </w:p>
        </w:tc>
        <w:tc>
          <w:tcPr>
            <w:tcW w:w="7574" w:type="dxa"/>
            <w:vAlign w:val="center"/>
          </w:tcPr>
          <w:p w14:paraId="0EB7F0A3">
            <w:pPr>
              <w:wordWrap w:val="0"/>
              <w:adjustRightInd w:val="0"/>
              <w:snapToGrid w:val="0"/>
              <w:spacing w:line="400" w:lineRule="exact"/>
              <w:ind w:firstLine="210" w:firstLineChars="100"/>
              <w:rPr>
                <w:rFonts w:hint="eastAsia" w:ascii="宋体" w:hAnsi="宋体" w:eastAsia="宋体" w:cs="宋体"/>
                <w:snapToGrid w:val="0"/>
                <w:kern w:val="0"/>
                <w:sz w:val="21"/>
                <w:szCs w:val="24"/>
                <w:highlight w:val="none"/>
              </w:rPr>
            </w:pPr>
            <w:r>
              <w:rPr>
                <w:rFonts w:hint="eastAsia" w:ascii="宋体" w:hAnsi="宋体" w:eastAsia="宋体" w:cs="宋体"/>
                <w:snapToGrid w:val="0"/>
                <w:kern w:val="0"/>
                <w:sz w:val="21"/>
                <w:szCs w:val="24"/>
                <w:highlight w:val="none"/>
              </w:rPr>
              <w:t>1．本次招标</w:t>
            </w:r>
            <w:r>
              <w:rPr>
                <w:rFonts w:hint="eastAsia" w:ascii="宋体" w:hAnsi="宋体" w:eastAsia="宋体" w:cs="宋体"/>
                <w:b/>
                <w:bCs/>
                <w:snapToGrid w:val="0"/>
                <w:kern w:val="0"/>
                <w:sz w:val="21"/>
                <w:szCs w:val="24"/>
                <w:highlight w:val="none"/>
                <w:u w:val="single"/>
              </w:rPr>
              <w:t>接受</w:t>
            </w:r>
            <w:r>
              <w:rPr>
                <w:rFonts w:hint="eastAsia" w:ascii="宋体" w:hAnsi="宋体" w:eastAsia="宋体" w:cs="宋体"/>
                <w:snapToGrid w:val="0"/>
                <w:kern w:val="0"/>
                <w:sz w:val="21"/>
                <w:szCs w:val="24"/>
                <w:highlight w:val="none"/>
              </w:rPr>
              <w:t>联合体投标。</w:t>
            </w:r>
          </w:p>
          <w:p w14:paraId="0B0AF700">
            <w:pPr>
              <w:wordWrap w:val="0"/>
              <w:adjustRightInd w:val="0"/>
              <w:snapToGrid w:val="0"/>
              <w:spacing w:line="400" w:lineRule="exact"/>
              <w:ind w:firstLine="211" w:firstLineChars="100"/>
              <w:jc w:val="left"/>
              <w:rPr>
                <w:rFonts w:hint="eastAsia" w:ascii="宋体" w:hAnsi="宋体" w:eastAsia="宋体" w:cs="宋体"/>
                <w:b/>
                <w:bCs/>
                <w:snapToGrid w:val="0"/>
                <w:kern w:val="0"/>
                <w:sz w:val="21"/>
                <w:highlight w:val="none"/>
              </w:rPr>
            </w:pPr>
            <w:r>
              <w:rPr>
                <w:rFonts w:hint="eastAsia" w:ascii="宋体" w:hAnsi="宋体" w:eastAsia="宋体" w:cs="宋体"/>
                <w:b/>
                <w:bCs/>
                <w:snapToGrid w:val="0"/>
                <w:kern w:val="0"/>
                <w:sz w:val="21"/>
                <w:highlight w:val="none"/>
              </w:rPr>
              <w:t>2．</w:t>
            </w:r>
            <w:r>
              <w:rPr>
                <w:rFonts w:hint="eastAsia" w:ascii="宋体" w:hAnsi="宋体" w:eastAsia="宋体" w:cs="宋体"/>
                <w:b/>
                <w:bCs/>
                <w:color w:val="000000"/>
                <w:sz w:val="21"/>
                <w:szCs w:val="21"/>
                <w:highlight w:val="none"/>
              </w:rPr>
              <w:t>资格资质要求</w:t>
            </w:r>
          </w:p>
          <w:p w14:paraId="024AE773">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kern w:val="0"/>
                <w:sz w:val="21"/>
                <w:szCs w:val="21"/>
                <w:highlight w:val="none"/>
              </w:rPr>
            </w:pPr>
            <w:r>
              <w:rPr>
                <w:rFonts w:hint="eastAsia" w:ascii="宋体" w:hAnsi="宋体" w:cs="宋体"/>
                <w:b/>
                <w:bCs/>
                <w:color w:val="auto"/>
                <w:kern w:val="0"/>
                <w:sz w:val="21"/>
                <w:szCs w:val="21"/>
                <w:highlight w:val="none"/>
                <w:lang w:eastAsia="zh-CN"/>
              </w:rPr>
              <w:t>2</w:t>
            </w:r>
            <w:r>
              <w:rPr>
                <w:rFonts w:hint="eastAsia" w:ascii="宋体" w:hAnsi="宋体" w:eastAsia="宋体" w:cs="宋体"/>
                <w:b/>
                <w:bCs/>
                <w:color w:val="auto"/>
                <w:kern w:val="0"/>
                <w:sz w:val="21"/>
                <w:szCs w:val="21"/>
                <w:highlight w:val="none"/>
              </w:rPr>
              <w:t>.1</w:t>
            </w:r>
            <w:r>
              <w:rPr>
                <w:rFonts w:hint="eastAsia" w:ascii="宋体" w:hAnsi="宋体" w:eastAsia="宋体" w:cs="宋体"/>
                <w:color w:val="auto"/>
                <w:kern w:val="0"/>
                <w:sz w:val="21"/>
                <w:szCs w:val="21"/>
                <w:highlight w:val="none"/>
              </w:rPr>
              <w:t>本次招标</w:t>
            </w:r>
            <w:r>
              <w:rPr>
                <w:rFonts w:hint="eastAsia" w:ascii="宋体" w:hAnsi="宋体" w:eastAsia="宋体" w:cs="宋体"/>
                <w:b/>
                <w:bCs/>
                <w:color w:val="auto"/>
                <w:kern w:val="0"/>
                <w:sz w:val="21"/>
                <w:szCs w:val="21"/>
                <w:highlight w:val="none"/>
              </w:rPr>
              <w:t>接受</w:t>
            </w:r>
            <w:r>
              <w:rPr>
                <w:rFonts w:hint="eastAsia" w:ascii="宋体" w:hAnsi="宋体" w:eastAsia="宋体" w:cs="宋体"/>
                <w:color w:val="auto"/>
                <w:kern w:val="0"/>
                <w:sz w:val="21"/>
                <w:szCs w:val="21"/>
                <w:highlight w:val="none"/>
              </w:rPr>
              <w:t>联合体投标，联合体以一个投标人的身份共同投标。</w:t>
            </w:r>
          </w:p>
          <w:p w14:paraId="29C7EAFD">
            <w:pPr>
              <w:pStyle w:val="29"/>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.1.1</w:t>
            </w:r>
            <w:r>
              <w:rPr>
                <w:rFonts w:hint="eastAsia" w:ascii="宋体" w:hAnsi="宋体" w:eastAsia="宋体" w:cs="宋体"/>
                <w:color w:val="auto"/>
                <w:sz w:val="21"/>
                <w:szCs w:val="21"/>
                <w:highlight w:val="none"/>
              </w:rPr>
              <w:t>联合体成员数量不超过</w:t>
            </w:r>
            <w:r>
              <w:rPr>
                <w:rFonts w:hint="eastAsia" w:ascii="宋体" w:hAnsi="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个。</w:t>
            </w:r>
          </w:p>
          <w:p w14:paraId="659BF29D">
            <w:pPr>
              <w:pStyle w:val="29"/>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 xml:space="preserve">.1.2 </w:t>
            </w:r>
            <w:r>
              <w:rPr>
                <w:rFonts w:hint="eastAsia" w:ascii="宋体" w:hAnsi="宋体" w:eastAsia="宋体" w:cs="宋体"/>
                <w:color w:val="auto"/>
                <w:sz w:val="21"/>
                <w:szCs w:val="21"/>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18C9F223">
            <w:pPr>
              <w:pStyle w:val="29"/>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.1.3</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5791409B">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.1.</w:t>
            </w:r>
            <w:r>
              <w:rPr>
                <w:rFonts w:hint="eastAsia" w:ascii="宋体" w:hAnsi="宋体" w:cs="宋体"/>
                <w:b/>
                <w:bCs/>
                <w:color w:val="auto"/>
                <w:kern w:val="0"/>
                <w:sz w:val="21"/>
                <w:szCs w:val="21"/>
                <w:highlight w:val="none"/>
                <w:lang w:val="en-US" w:eastAsia="zh-CN"/>
              </w:rPr>
              <w:t>4</w:t>
            </w:r>
            <w:r>
              <w:rPr>
                <w:rFonts w:hint="eastAsia" w:ascii="宋体" w:hAnsi="宋体" w:eastAsia="宋体" w:cs="宋体"/>
                <w:color w:val="auto"/>
                <w:sz w:val="21"/>
                <w:szCs w:val="21"/>
                <w:highlight w:val="none"/>
              </w:rPr>
              <w:t>联合体各方不得再以自己名义单独或参加其他联合体在本招标项目中投标，否则各相关投标均无效。</w:t>
            </w:r>
          </w:p>
          <w:p w14:paraId="348A9CC3">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.2 </w:t>
            </w:r>
            <w:r>
              <w:rPr>
                <w:rFonts w:hint="eastAsia" w:ascii="宋体" w:hAnsi="宋体" w:eastAsia="宋体" w:cs="宋体"/>
                <w:color w:val="auto"/>
                <w:sz w:val="21"/>
                <w:szCs w:val="21"/>
                <w:highlight w:val="none"/>
              </w:rPr>
              <w:t>资质要求</w:t>
            </w:r>
          </w:p>
          <w:p w14:paraId="671B0E24">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.2.1 </w:t>
            </w:r>
            <w:r>
              <w:rPr>
                <w:rFonts w:hint="eastAsia" w:ascii="宋体" w:hAnsi="宋体" w:eastAsia="宋体" w:cs="宋体"/>
                <w:color w:val="auto"/>
                <w:sz w:val="21"/>
                <w:szCs w:val="21"/>
                <w:highlight w:val="none"/>
              </w:rPr>
              <w:t>投标人须具备独立法人资格，按国家法律经营。</w:t>
            </w:r>
          </w:p>
          <w:p w14:paraId="64ECF257">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.2.2 </w:t>
            </w:r>
            <w:r>
              <w:rPr>
                <w:rFonts w:hint="eastAsia" w:ascii="宋体" w:hAnsi="宋体" w:eastAsia="宋体" w:cs="宋体"/>
                <w:color w:val="auto"/>
                <w:sz w:val="21"/>
                <w:szCs w:val="21"/>
                <w:highlight w:val="none"/>
              </w:rPr>
              <w:t>投标人须持有行政主管部门颁发的企业资质证书。</w:t>
            </w:r>
          </w:p>
          <w:p w14:paraId="143AD97B">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.2.3 </w:t>
            </w:r>
            <w:r>
              <w:rPr>
                <w:rFonts w:hint="eastAsia" w:ascii="宋体" w:hAnsi="宋体" w:eastAsia="宋体" w:cs="宋体"/>
                <w:color w:val="auto"/>
                <w:sz w:val="21"/>
                <w:szCs w:val="21"/>
                <w:highlight w:val="none"/>
              </w:rPr>
              <w:t>参加投标的投标人可以是单</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独立法人或由不超过</w:t>
            </w:r>
            <w:r>
              <w:rPr>
                <w:rFonts w:hint="eastAsia" w:ascii="宋体" w:hAnsi="宋体" w:cs="宋体"/>
                <w:color w:val="auto"/>
                <w:sz w:val="21"/>
                <w:szCs w:val="21"/>
                <w:highlight w:val="none"/>
                <w:u w:val="single"/>
                <w:lang w:val="en-US" w:eastAsia="zh-CN"/>
              </w:rPr>
              <w:t xml:space="preserve"> 2 </w:t>
            </w:r>
            <w:r>
              <w:rPr>
                <w:rFonts w:hint="eastAsia" w:ascii="宋体" w:hAnsi="宋体" w:eastAsia="宋体" w:cs="宋体"/>
                <w:color w:val="auto"/>
                <w:sz w:val="21"/>
                <w:szCs w:val="21"/>
                <w:highlight w:val="none"/>
              </w:rPr>
              <w:t>家独立法人组成的联合体（必须注明其中一家为牵头人），联合体各方不得再以自己的名义单独申请，也不得同时参加两个或两个以上的联合体进行本项目的投标。单一独立法人必须至少具备以下①</w:t>
            </w:r>
            <w:r>
              <w:rPr>
                <w:rFonts w:hint="eastAsia" w:ascii="宋体" w:hAnsi="宋体" w:cs="宋体"/>
                <w:color w:val="auto"/>
                <w:sz w:val="21"/>
                <w:szCs w:val="21"/>
                <w:highlight w:val="none"/>
                <w:lang w:val="en-US" w:eastAsia="zh-CN"/>
              </w:rPr>
              <w:t>或②</w:t>
            </w:r>
            <w:r>
              <w:rPr>
                <w:rFonts w:hint="eastAsia" w:ascii="宋体" w:hAnsi="宋体" w:eastAsia="宋体" w:cs="宋体"/>
                <w:color w:val="auto"/>
                <w:sz w:val="21"/>
                <w:szCs w:val="21"/>
                <w:highlight w:val="none"/>
              </w:rPr>
              <w:t>资质，组成联合体投标的，联合后必须至少具备以下①</w:t>
            </w:r>
            <w:r>
              <w:rPr>
                <w:rFonts w:hint="eastAsia" w:ascii="宋体" w:hAnsi="宋体" w:cs="宋体"/>
                <w:color w:val="auto"/>
                <w:sz w:val="21"/>
                <w:szCs w:val="21"/>
                <w:highlight w:val="none"/>
                <w:lang w:val="en-US" w:eastAsia="zh-CN"/>
              </w:rPr>
              <w:t>或②</w:t>
            </w:r>
            <w:r>
              <w:rPr>
                <w:rFonts w:hint="eastAsia" w:ascii="宋体" w:hAnsi="宋体" w:eastAsia="宋体" w:cs="宋体"/>
                <w:color w:val="auto"/>
                <w:sz w:val="21"/>
                <w:szCs w:val="21"/>
                <w:highlight w:val="none"/>
              </w:rPr>
              <w:t>资质，联合体牵头人必须</w:t>
            </w:r>
            <w:r>
              <w:rPr>
                <w:rFonts w:hint="eastAsia" w:ascii="宋体" w:hAnsi="宋体" w:eastAsia="宋体" w:cs="宋体"/>
                <w:color w:val="auto"/>
                <w:sz w:val="21"/>
                <w:szCs w:val="21"/>
                <w:highlight w:val="none"/>
                <w:lang w:val="en-US" w:eastAsia="zh-CN"/>
              </w:rPr>
              <w:t>为</w:t>
            </w:r>
            <w:r>
              <w:rPr>
                <w:rFonts w:hint="eastAsia" w:ascii="宋体" w:hAnsi="宋体" w:eastAsia="宋体" w:cs="宋体"/>
                <w:color w:val="auto"/>
                <w:sz w:val="21"/>
                <w:szCs w:val="21"/>
                <w:highlight w:val="none"/>
                <w:u w:val="single"/>
                <w:lang w:val="en-US" w:eastAsia="zh-CN"/>
              </w:rPr>
              <w:t>施工单位</w:t>
            </w:r>
            <w:r>
              <w:rPr>
                <w:rFonts w:hint="eastAsia" w:ascii="宋体" w:hAnsi="宋体" w:eastAsia="宋体" w:cs="宋体"/>
                <w:color w:val="auto"/>
                <w:sz w:val="21"/>
                <w:szCs w:val="21"/>
                <w:highlight w:val="none"/>
              </w:rPr>
              <w:t>，由同一专业的单位组成的联合体，按照资质等级较低的单位确定资质等级：</w:t>
            </w:r>
          </w:p>
          <w:p w14:paraId="787B2964">
            <w:pPr>
              <w:keepNext w:val="0"/>
              <w:keepLines w:val="0"/>
              <w:pageBreakBefore w:val="0"/>
              <w:kinsoku/>
              <w:wordWrap/>
              <w:overflowPunct/>
              <w:topLinePunct w:val="0"/>
              <w:autoSpaceDE/>
              <w:autoSpaceDN/>
              <w:bidi w:val="0"/>
              <w:adjustRightInd/>
              <w:snapToGrid w:val="0"/>
              <w:spacing w:line="300" w:lineRule="auto"/>
              <w:ind w:left="105" w:leftChars="50" w:firstLine="420" w:firstLineChars="200"/>
              <w:textAlignment w:val="auto"/>
              <w:rPr>
                <w:rFonts w:hint="eastAsia" w:hAnsi="宋体" w:eastAsia="宋体" w:cs="宋体"/>
                <w:b/>
                <w:bCs/>
                <w:color w:val="000000"/>
                <w:sz w:val="21"/>
                <w:szCs w:val="21"/>
                <w:highlight w:val="none"/>
                <w:u w:val="single"/>
                <w:lang w:eastAsia="zh-CN"/>
              </w:rPr>
            </w:pPr>
            <w:r>
              <w:rPr>
                <w:rFonts w:hint="eastAsia" w:ascii="宋体" w:hAnsi="宋体" w:eastAsia="宋体" w:cs="宋体"/>
                <w:color w:val="auto"/>
                <w:sz w:val="21"/>
                <w:szCs w:val="21"/>
                <w:highlight w:val="none"/>
                <w:lang w:val="zh-CN"/>
              </w:rPr>
              <w:t>①施工资质：</w:t>
            </w:r>
            <w:r>
              <w:rPr>
                <w:rFonts w:hint="eastAsia" w:ascii="宋体" w:hAnsi="宋体" w:eastAsia="宋体" w:cs="宋体"/>
                <w:b/>
                <w:bCs/>
                <w:color w:val="000000"/>
                <w:sz w:val="21"/>
                <w:szCs w:val="21"/>
                <w:highlight w:val="none"/>
                <w:u w:val="single"/>
              </w:rPr>
              <w:t>市政公用工程施工总承包</w:t>
            </w:r>
            <w:r>
              <w:rPr>
                <w:rFonts w:hint="eastAsia" w:ascii="宋体" w:hAnsi="宋体" w:eastAsia="宋体" w:cs="宋体"/>
                <w:b/>
                <w:bCs/>
                <w:color w:val="000000"/>
                <w:sz w:val="21"/>
                <w:szCs w:val="21"/>
                <w:highlight w:val="none"/>
                <w:u w:val="single"/>
                <w:lang w:val="en-US" w:eastAsia="zh-CN"/>
              </w:rPr>
              <w:t>壹</w:t>
            </w:r>
            <w:r>
              <w:rPr>
                <w:rFonts w:hint="eastAsia" w:ascii="宋体" w:hAnsi="宋体" w:eastAsia="宋体" w:cs="宋体"/>
                <w:b/>
                <w:bCs/>
                <w:color w:val="000000"/>
                <w:sz w:val="21"/>
                <w:szCs w:val="21"/>
                <w:highlight w:val="none"/>
                <w:u w:val="single"/>
              </w:rPr>
              <w:t>级以上（含</w:t>
            </w:r>
            <w:r>
              <w:rPr>
                <w:rFonts w:hint="eastAsia" w:ascii="宋体" w:hAnsi="宋体" w:eastAsia="宋体" w:cs="宋体"/>
                <w:b/>
                <w:bCs/>
                <w:color w:val="000000"/>
                <w:sz w:val="21"/>
                <w:szCs w:val="21"/>
                <w:highlight w:val="none"/>
                <w:u w:val="single"/>
                <w:lang w:val="en-US" w:eastAsia="zh-CN"/>
              </w:rPr>
              <w:t>壹</w:t>
            </w:r>
            <w:r>
              <w:rPr>
                <w:rFonts w:hint="eastAsia" w:ascii="宋体" w:hAnsi="宋体" w:eastAsia="宋体" w:cs="宋体"/>
                <w:b/>
                <w:bCs/>
                <w:color w:val="000000"/>
                <w:sz w:val="21"/>
                <w:szCs w:val="21"/>
                <w:highlight w:val="none"/>
                <w:u w:val="single"/>
              </w:rPr>
              <w:t>级）</w:t>
            </w:r>
            <w:r>
              <w:rPr>
                <w:rFonts w:hint="eastAsia" w:hAnsi="宋体" w:eastAsia="宋体" w:cs="宋体"/>
                <w:b/>
                <w:bCs/>
                <w:color w:val="000000"/>
                <w:sz w:val="21"/>
                <w:szCs w:val="21"/>
                <w:highlight w:val="none"/>
                <w:u w:val="single"/>
                <w:lang w:eastAsia="zh-CN"/>
              </w:rPr>
              <w:t>。</w:t>
            </w:r>
          </w:p>
          <w:p w14:paraId="1DFA38AC">
            <w:pPr>
              <w:keepNext w:val="0"/>
              <w:keepLines w:val="0"/>
              <w:pageBreakBefore w:val="0"/>
              <w:kinsoku/>
              <w:wordWrap/>
              <w:overflowPunct/>
              <w:topLinePunct w:val="0"/>
              <w:autoSpaceDE/>
              <w:autoSpaceDN/>
              <w:bidi w:val="0"/>
              <w:adjustRightInd/>
              <w:snapToGrid w:val="0"/>
              <w:spacing w:line="300" w:lineRule="auto"/>
              <w:ind w:left="105" w:leftChars="50" w:firstLine="420" w:firstLineChars="200"/>
              <w:textAlignment w:val="auto"/>
              <w:rPr>
                <w:rFonts w:hint="eastAsia" w:ascii="宋体" w:hAnsi="宋体" w:eastAsia="宋体" w:cs="宋体"/>
                <w:snapToGrid w:val="0"/>
                <w:kern w:val="0"/>
                <w:sz w:val="21"/>
                <w:szCs w:val="21"/>
                <w:highlight w:val="none"/>
              </w:rPr>
            </w:pPr>
            <w:r>
              <w:rPr>
                <w:rFonts w:hint="eastAsia" w:ascii="宋体" w:hAnsi="宋体" w:eastAsia="宋体" w:cs="宋体"/>
                <w:color w:val="auto"/>
                <w:sz w:val="21"/>
                <w:szCs w:val="21"/>
                <w:highlight w:val="none"/>
                <w:lang w:val="zh-CN"/>
              </w:rPr>
              <w:t>②施工资质：</w:t>
            </w:r>
            <w:r>
              <w:rPr>
                <w:rFonts w:hint="eastAsia" w:ascii="宋体" w:hAnsi="宋体" w:eastAsia="宋体" w:cs="宋体"/>
                <w:b/>
                <w:bCs/>
                <w:color w:val="000000"/>
                <w:sz w:val="21"/>
                <w:szCs w:val="21"/>
                <w:highlight w:val="none"/>
                <w:u w:val="single"/>
                <w:lang w:val="en-US" w:eastAsia="zh-CN"/>
              </w:rPr>
              <w:t>桥梁工程专业承包资质贰级以上（含贰级）</w:t>
            </w:r>
            <w:r>
              <w:rPr>
                <w:rFonts w:hint="eastAsia" w:ascii="宋体" w:hAnsi="宋体" w:eastAsia="宋体" w:cs="宋体"/>
                <w:snapToGrid w:val="0"/>
                <w:kern w:val="0"/>
                <w:sz w:val="21"/>
                <w:szCs w:val="21"/>
                <w:highlight w:val="none"/>
              </w:rPr>
              <w:t>。</w:t>
            </w:r>
          </w:p>
          <w:p w14:paraId="16704F67">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color w:val="auto"/>
                <w:sz w:val="21"/>
                <w:szCs w:val="21"/>
                <w:highlight w:val="none"/>
              </w:rPr>
            </w:pPr>
            <w:r>
              <w:rPr>
                <w:rFonts w:hint="eastAsia" w:ascii="宋体" w:hAnsi="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.3 </w:t>
            </w:r>
            <w:r>
              <w:rPr>
                <w:rFonts w:hint="eastAsia" w:ascii="宋体" w:hAnsi="宋体" w:eastAsia="宋体" w:cs="宋体"/>
                <w:color w:val="auto"/>
                <w:sz w:val="21"/>
                <w:szCs w:val="21"/>
                <w:highlight w:val="none"/>
              </w:rPr>
              <w:t>相关人员要求</w:t>
            </w:r>
          </w:p>
          <w:p w14:paraId="78036993">
            <w:pPr>
              <w:keepNext w:val="0"/>
              <w:keepLines w:val="0"/>
              <w:pageBreakBefore w:val="0"/>
              <w:kinsoku/>
              <w:wordWrap/>
              <w:overflowPunct/>
              <w:topLinePunct w:val="0"/>
              <w:autoSpaceDE/>
              <w:autoSpaceDN/>
              <w:bidi w:val="0"/>
              <w:adjustRightInd/>
              <w:snapToGrid w:val="0"/>
              <w:spacing w:line="300" w:lineRule="auto"/>
              <w:ind w:left="105" w:leftChars="50" w:firstLine="422" w:firstLineChars="200"/>
              <w:textAlignment w:val="auto"/>
              <w:rPr>
                <w:rFonts w:hint="eastAsia" w:ascii="宋体" w:hAnsi="宋体" w:eastAsia="宋体" w:cs="宋体"/>
                <w:color w:val="auto"/>
                <w:sz w:val="21"/>
                <w:szCs w:val="21"/>
                <w:highlight w:val="none"/>
                <w:lang w:val="zh-CN"/>
              </w:rPr>
            </w:pPr>
            <w:r>
              <w:rPr>
                <w:rFonts w:hint="eastAsia" w:hAnsi="宋体" w:eastAsia="宋体" w:cs="宋体"/>
                <w:b/>
                <w:bCs/>
                <w:color w:val="auto"/>
                <w:kern w:val="0"/>
                <w:sz w:val="21"/>
                <w:szCs w:val="21"/>
                <w:highlight w:val="none"/>
                <w:lang w:val="en-US" w:eastAsia="zh-CN" w:bidi="ar-SA"/>
              </w:rPr>
              <w:t>2</w:t>
            </w:r>
            <w:r>
              <w:rPr>
                <w:rFonts w:hint="eastAsia" w:ascii="宋体" w:hAnsi="宋体" w:eastAsia="宋体" w:cs="宋体"/>
                <w:b/>
                <w:bCs/>
                <w:color w:val="auto"/>
                <w:kern w:val="0"/>
                <w:sz w:val="21"/>
                <w:szCs w:val="21"/>
                <w:highlight w:val="none"/>
                <w:lang w:val="en-US" w:eastAsia="zh-CN" w:bidi="ar-SA"/>
              </w:rPr>
              <w:t xml:space="preserve">.3.1 </w:t>
            </w:r>
            <w:r>
              <w:rPr>
                <w:rFonts w:hint="eastAsia" w:ascii="宋体" w:hAnsi="宋体" w:eastAsia="宋体" w:cs="宋体"/>
                <w:color w:val="auto"/>
                <w:sz w:val="21"/>
                <w:szCs w:val="21"/>
                <w:highlight w:val="none"/>
                <w:lang w:val="zh-CN"/>
              </w:rPr>
              <w:t>拟派项目经理为具有</w:t>
            </w:r>
            <w:r>
              <w:rPr>
                <w:rFonts w:hint="eastAsia" w:ascii="宋体" w:hAnsi="宋体" w:eastAsia="宋体" w:cs="宋体"/>
                <w:b/>
                <w:bCs/>
                <w:snapToGrid w:val="0"/>
                <w:color w:val="000000"/>
                <w:kern w:val="0"/>
                <w:sz w:val="21"/>
                <w:szCs w:val="21"/>
                <w:highlight w:val="none"/>
                <w:u w:val="single"/>
              </w:rPr>
              <w:t>市政公用工程</w:t>
            </w:r>
            <w:r>
              <w:rPr>
                <w:rFonts w:hint="eastAsia" w:hAnsi="宋体" w:eastAsia="宋体" w:cs="宋体"/>
                <w:b/>
                <w:bCs/>
                <w:snapToGrid w:val="0"/>
                <w:color w:val="000000"/>
                <w:kern w:val="0"/>
                <w:sz w:val="21"/>
                <w:szCs w:val="21"/>
                <w:highlight w:val="none"/>
                <w:u w:val="single"/>
                <w:lang w:val="en-US" w:eastAsia="zh-CN"/>
              </w:rPr>
              <w:t>或公路工程</w:t>
            </w:r>
            <w:r>
              <w:rPr>
                <w:rFonts w:hint="eastAsia" w:ascii="宋体" w:hAnsi="宋体" w:eastAsia="宋体" w:cs="宋体"/>
                <w:color w:val="auto"/>
                <w:sz w:val="21"/>
                <w:szCs w:val="21"/>
                <w:highlight w:val="none"/>
                <w:lang w:val="zh-CN"/>
              </w:rPr>
              <w:t>专业一级注册建造师，应持有住建部门印发的在使用有效期内的有效电子注册证书。同时均须具备有效安全生产考核合格证明（B证，安全生产考核合格证书或“建筑施工企业管理人员安全生产考核信息系统”考核合格信息截图），且未担任其他在施（包括已中标未开工、已开工未竣工）建设工程项目的项目经理。</w:t>
            </w:r>
          </w:p>
          <w:p w14:paraId="17ABA5B6">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p>
          <w:p w14:paraId="2E5D51E2">
            <w:pPr>
              <w:pStyle w:val="29"/>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拟派项目技术负责人须具备</w:t>
            </w:r>
            <w:r>
              <w:rPr>
                <w:rFonts w:hint="eastAsia" w:ascii="宋体" w:hAnsi="宋体" w:eastAsia="宋体" w:cs="宋体"/>
                <w:color w:val="auto"/>
                <w:sz w:val="21"/>
                <w:szCs w:val="21"/>
                <w:highlight w:val="none"/>
                <w:u w:val="single"/>
              </w:rPr>
              <w:t>市政公用工程或</w:t>
            </w:r>
            <w:r>
              <w:rPr>
                <w:rFonts w:hint="eastAsia" w:ascii="宋体" w:hAnsi="宋体" w:cs="宋体"/>
                <w:color w:val="auto"/>
                <w:sz w:val="21"/>
                <w:szCs w:val="21"/>
                <w:highlight w:val="none"/>
                <w:u w:val="single"/>
                <w:lang w:val="en-US" w:eastAsia="zh-CN"/>
              </w:rPr>
              <w:t>路桥</w:t>
            </w:r>
            <w:r>
              <w:rPr>
                <w:rFonts w:hint="eastAsia" w:ascii="宋体" w:hAnsi="宋体" w:eastAsia="宋体" w:cs="宋体"/>
                <w:color w:val="auto"/>
                <w:sz w:val="21"/>
                <w:szCs w:val="21"/>
                <w:highlight w:val="none"/>
                <w:u w:val="single"/>
              </w:rPr>
              <w:t>工程</w:t>
            </w:r>
            <w:r>
              <w:rPr>
                <w:rFonts w:hint="eastAsia" w:ascii="宋体" w:hAnsi="宋体" w:eastAsia="宋体" w:cs="宋体"/>
                <w:color w:val="auto"/>
                <w:sz w:val="21"/>
                <w:szCs w:val="21"/>
                <w:highlight w:val="none"/>
              </w:rPr>
              <w:t>专业类</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级或以上技术职称。</w:t>
            </w:r>
          </w:p>
          <w:p w14:paraId="47AF4FD7">
            <w:pPr>
              <w:pStyle w:val="29"/>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 xml:space="preserve">.3.3 </w:t>
            </w:r>
            <w:r>
              <w:rPr>
                <w:rFonts w:hint="eastAsia" w:ascii="宋体" w:hAnsi="宋体" w:eastAsia="宋体" w:cs="宋体"/>
                <w:color w:val="auto"/>
                <w:sz w:val="21"/>
                <w:szCs w:val="21"/>
                <w:highlight w:val="none"/>
              </w:rPr>
              <w:t>拟派专职安全生产管理人员须具备有效安全生产考核合格证明（C证，安全生产考核合格证书或广东省建筑施工企业管理人员安全生产考核系统考核合格信息打印页），且不少于</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人。</w:t>
            </w:r>
          </w:p>
          <w:p w14:paraId="0676C55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 ．禁止投标条款：</w:t>
            </w:r>
          </w:p>
          <w:p w14:paraId="6E1A260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4.1  投标人不得存在下列情形之一：</w:t>
            </w:r>
          </w:p>
          <w:p w14:paraId="27B51DE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（1）为招标人不具有独立法人资格的附属机构（单位）；</w:t>
            </w:r>
          </w:p>
          <w:p w14:paraId="70F62CE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（2）为本招标项目前期准备提供设计或咨询服务的；</w:t>
            </w:r>
          </w:p>
          <w:p w14:paraId="25E0D73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（3）与本招标项目的其他投标人为同一个单位负责人；</w:t>
            </w:r>
          </w:p>
          <w:p w14:paraId="139EC89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（4）与本招标项目的其他投标人存在控股、管理关系；</w:t>
            </w:r>
          </w:p>
          <w:p w14:paraId="318908E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（5）为本招标项目的监理人；</w:t>
            </w:r>
          </w:p>
          <w:p w14:paraId="127A522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（6）为本招标项目的代建人；</w:t>
            </w:r>
          </w:p>
          <w:p w14:paraId="1AB32C54">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（7）为本招标项目的招标代理机构；</w:t>
            </w:r>
          </w:p>
          <w:p w14:paraId="57F0668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（8）与本招标项目的监理人或代建人或招标代理机构同为一个 法定代表人；</w:t>
            </w:r>
          </w:p>
          <w:p w14:paraId="15BC226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（9）与本招标项目的监理人或代建人或招标代理机构存在控股或参股关系；</w:t>
            </w:r>
          </w:p>
          <w:p w14:paraId="78650BE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（10）与本招标项目的监理人或代建人或招标代理机构存在相互任职或工作关系；</w:t>
            </w:r>
          </w:p>
          <w:p w14:paraId="4163740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（11）被依法暂停或者取消投标资格；</w:t>
            </w:r>
          </w:p>
          <w:p w14:paraId="546236E2">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（12）被责令停产停业、暂扣或者吊销许可证、暂扣或者吊销执照；</w:t>
            </w:r>
          </w:p>
          <w:p w14:paraId="279E9B4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（13）进入清算程序，或被宣告破产，或其他丧失履约能力的情形；</w:t>
            </w:r>
          </w:p>
          <w:p w14:paraId="24CD9BFA">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（14）在最近三年内发生重大工程质量或安全问题（以相关行业主管部门的行政处罚决定或司法机关出具的有关法律文书为准）；</w:t>
            </w:r>
          </w:p>
          <w:p w14:paraId="6105C0B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（15）被“信用中国 ”网站（https://www.creditchina.gov.cn）发布的《法人和非法人组织公共信用信息报告》列为严重失信主体名单的。</w:t>
            </w:r>
          </w:p>
          <w:p w14:paraId="59C58FF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4.2  招标人拒绝以下名单中的单位参加本次投标：</w:t>
            </w:r>
          </w:p>
          <w:tbl>
            <w:tblPr>
              <w:tblStyle w:val="15"/>
              <w:tblW w:w="7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3642"/>
              <w:gridCol w:w="3239"/>
            </w:tblGrid>
            <w:tr w14:paraId="6DDB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77" w:type="dxa"/>
                  <w:vAlign w:val="center"/>
                </w:tcPr>
                <w:p w14:paraId="1B51FA5A">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642" w:type="dxa"/>
                  <w:vAlign w:val="center"/>
                </w:tcPr>
                <w:p w14:paraId="5CAF0A6B">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3239" w:type="dxa"/>
                  <w:vAlign w:val="center"/>
                </w:tcPr>
                <w:p w14:paraId="3B9F3CD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095F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1ED2ACF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642" w:type="dxa"/>
                  <w:vAlign w:val="center"/>
                </w:tcPr>
                <w:p w14:paraId="0D9FC85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韶关市市政管理中心</w:t>
                  </w:r>
                </w:p>
              </w:tc>
              <w:tc>
                <w:tcPr>
                  <w:tcW w:w="3239" w:type="dxa"/>
                  <w:vAlign w:val="center"/>
                </w:tcPr>
                <w:p w14:paraId="4D9893A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65DA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77" w:type="dxa"/>
                  <w:vAlign w:val="center"/>
                </w:tcPr>
                <w:p w14:paraId="3A1AC87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642" w:type="dxa"/>
                  <w:vAlign w:val="center"/>
                </w:tcPr>
                <w:p w14:paraId="19300F5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韶关成果项目管理有限公司</w:t>
                  </w:r>
                </w:p>
              </w:tc>
              <w:tc>
                <w:tcPr>
                  <w:tcW w:w="3239" w:type="dxa"/>
                  <w:vAlign w:val="center"/>
                </w:tcPr>
                <w:p w14:paraId="609E126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r w14:paraId="2DEE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77" w:type="dxa"/>
                  <w:vAlign w:val="center"/>
                </w:tcPr>
                <w:p w14:paraId="03A1539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3</w:t>
                  </w:r>
                </w:p>
              </w:tc>
              <w:tc>
                <w:tcPr>
                  <w:tcW w:w="3642" w:type="dxa"/>
                  <w:vAlign w:val="center"/>
                </w:tcPr>
                <w:p w14:paraId="56BE9A5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中都工程设计有限公司</w:t>
                  </w:r>
                </w:p>
              </w:tc>
              <w:tc>
                <w:tcPr>
                  <w:tcW w:w="3239" w:type="dxa"/>
                  <w:vAlign w:val="center"/>
                </w:tcPr>
                <w:p w14:paraId="5232B5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为本招标项目的施工图设计单位</w:t>
                  </w:r>
                </w:p>
              </w:tc>
            </w:tr>
            <w:tr w14:paraId="7903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77" w:type="dxa"/>
                  <w:vAlign w:val="center"/>
                </w:tcPr>
                <w:p w14:paraId="3BDC78A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4</w:t>
                  </w:r>
                </w:p>
              </w:tc>
              <w:tc>
                <w:tcPr>
                  <w:tcW w:w="3642" w:type="dxa"/>
                  <w:vAlign w:val="center"/>
                </w:tcPr>
                <w:p w14:paraId="72F6F5A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广东建科施工图审查有限公司</w:t>
                  </w:r>
                </w:p>
              </w:tc>
              <w:tc>
                <w:tcPr>
                  <w:tcW w:w="3239" w:type="dxa"/>
                  <w:vAlign w:val="center"/>
                </w:tcPr>
                <w:p w14:paraId="345969A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为本招标项目的施工图审查单位</w:t>
                  </w:r>
                </w:p>
              </w:tc>
            </w:tr>
            <w:tr w14:paraId="19E0D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77" w:type="dxa"/>
                  <w:vAlign w:val="center"/>
                </w:tcPr>
                <w:p w14:paraId="0D5F60C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5</w:t>
                  </w:r>
                </w:p>
              </w:tc>
              <w:tc>
                <w:tcPr>
                  <w:tcW w:w="3642" w:type="dxa"/>
                  <w:vAlign w:val="center"/>
                </w:tcPr>
                <w:p w14:paraId="1FE366A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广东人信工程咨询有限公司</w:t>
                  </w:r>
                </w:p>
              </w:tc>
              <w:tc>
                <w:tcPr>
                  <w:tcW w:w="3239" w:type="dxa"/>
                  <w:vAlign w:val="center"/>
                </w:tcPr>
                <w:p w14:paraId="54340B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为本招标项目的造价咨询单位</w:t>
                  </w:r>
                </w:p>
              </w:tc>
            </w:tr>
            <w:tr w14:paraId="4C774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77" w:type="dxa"/>
                  <w:vAlign w:val="center"/>
                </w:tcPr>
                <w:p w14:paraId="319A2C2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6</w:t>
                  </w:r>
                </w:p>
              </w:tc>
              <w:tc>
                <w:tcPr>
                  <w:tcW w:w="3642" w:type="dxa"/>
                  <w:vAlign w:val="center"/>
                </w:tcPr>
                <w:p w14:paraId="00CE55B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深圳华粤城市建设工程设计有限公司</w:t>
                  </w:r>
                </w:p>
              </w:tc>
              <w:tc>
                <w:tcPr>
                  <w:tcW w:w="3239" w:type="dxa"/>
                  <w:vAlign w:val="center"/>
                </w:tcPr>
                <w:p w14:paraId="6056809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为本招标项目的监理单位</w:t>
                  </w:r>
                </w:p>
              </w:tc>
            </w:tr>
          </w:tbl>
          <w:p w14:paraId="54B9438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5 ．其他要求</w:t>
            </w:r>
          </w:p>
          <w:p w14:paraId="3C09726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tc>
      </w:tr>
      <w:tr w14:paraId="5BAB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1" w:hRule="atLeast"/>
        </w:trPr>
        <w:tc>
          <w:tcPr>
            <w:tcW w:w="582" w:type="dxa"/>
            <w:vAlign w:val="center"/>
          </w:tcPr>
          <w:p w14:paraId="4BF78773">
            <w:pPr>
              <w:keepNext w:val="0"/>
              <w:keepLines w:val="0"/>
              <w:pageBreakBefore w:val="0"/>
              <w:wordWrap w:val="0"/>
              <w:overflowPunct/>
              <w:topLinePunct w:val="0"/>
              <w:bidi w:val="0"/>
              <w:spacing w:before="19"/>
              <w:jc w:val="center"/>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27</w:t>
            </w:r>
          </w:p>
        </w:tc>
        <w:tc>
          <w:tcPr>
            <w:tcW w:w="1942" w:type="dxa"/>
            <w:vAlign w:val="center"/>
          </w:tcPr>
          <w:p w14:paraId="6A030E1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投标有效期</w:t>
            </w:r>
          </w:p>
        </w:tc>
        <w:tc>
          <w:tcPr>
            <w:tcW w:w="7574" w:type="dxa"/>
            <w:vAlign w:val="center"/>
          </w:tcPr>
          <w:p w14:paraId="7EF5475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90</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 个日历天。</w:t>
            </w:r>
          </w:p>
        </w:tc>
      </w:tr>
      <w:tr w14:paraId="6971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trPr>
        <w:tc>
          <w:tcPr>
            <w:tcW w:w="582" w:type="dxa"/>
            <w:vAlign w:val="center"/>
          </w:tcPr>
          <w:p w14:paraId="1E3A9D17">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28</w:t>
            </w:r>
          </w:p>
        </w:tc>
        <w:tc>
          <w:tcPr>
            <w:tcW w:w="1942" w:type="dxa"/>
            <w:vAlign w:val="center"/>
          </w:tcPr>
          <w:p w14:paraId="24459D3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投标文件组成</w:t>
            </w:r>
          </w:p>
        </w:tc>
        <w:tc>
          <w:tcPr>
            <w:tcW w:w="7574" w:type="dxa"/>
            <w:vAlign w:val="center"/>
          </w:tcPr>
          <w:p w14:paraId="53F827A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投标文件包括商务标书、经济标书、施工组织设计、</w:t>
            </w:r>
            <w:r>
              <w:rPr>
                <w:rFonts w:hint="eastAsia" w:asciiTheme="minorEastAsia" w:hAnsiTheme="minorEastAsia" w:eastAsiaTheme="minorEastAsia" w:cstheme="minorEastAsia"/>
                <w:snapToGrid w:val="0"/>
                <w:color w:val="auto"/>
                <w:spacing w:val="0"/>
                <w:kern w:val="0"/>
                <w:sz w:val="21"/>
                <w:szCs w:val="21"/>
                <w:highlight w:val="none"/>
                <w:lang w:val="en-US" w:eastAsia="zh-CN"/>
              </w:rPr>
              <w:t>定标文件四</w:t>
            </w:r>
            <w:r>
              <w:rPr>
                <w:rFonts w:hint="eastAsia" w:asciiTheme="minorEastAsia" w:hAnsiTheme="minorEastAsia" w:eastAsiaTheme="minorEastAsia" w:cstheme="minorEastAsia"/>
                <w:snapToGrid w:val="0"/>
                <w:color w:val="auto"/>
                <w:spacing w:val="0"/>
                <w:kern w:val="0"/>
                <w:sz w:val="21"/>
                <w:szCs w:val="21"/>
                <w:highlight w:val="none"/>
                <w:lang w:eastAsia="zh-CN"/>
              </w:rPr>
              <w:t>个分册。</w:t>
            </w:r>
          </w:p>
        </w:tc>
      </w:tr>
      <w:tr w14:paraId="5E29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282353BA">
            <w:pPr>
              <w:keepNext w:val="0"/>
              <w:keepLines w:val="0"/>
              <w:pageBreakBefore w:val="0"/>
              <w:wordWrap w:val="0"/>
              <w:overflowPunct/>
              <w:topLinePunct w:val="0"/>
              <w:bidi w:val="0"/>
              <w:spacing w:before="69" w:line="188" w:lineRule="auto"/>
              <w:ind w:left="205"/>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29</w:t>
            </w:r>
          </w:p>
        </w:tc>
        <w:tc>
          <w:tcPr>
            <w:tcW w:w="1942" w:type="dxa"/>
            <w:vAlign w:val="center"/>
          </w:tcPr>
          <w:p w14:paraId="74B22D60">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施工组织设计评审方式</w:t>
            </w:r>
          </w:p>
        </w:tc>
        <w:tc>
          <w:tcPr>
            <w:tcW w:w="7574" w:type="dxa"/>
            <w:vAlign w:val="center"/>
          </w:tcPr>
          <w:p w14:paraId="683086FB">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本次招标施工组织设计</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 xml:space="preserve"> 不采用 </w:t>
            </w:r>
            <w:r>
              <w:rPr>
                <w:rFonts w:hint="eastAsia" w:asciiTheme="minorEastAsia" w:hAnsiTheme="minorEastAsia" w:eastAsiaTheme="minorEastAsia" w:cstheme="minorEastAsia"/>
                <w:snapToGrid w:val="0"/>
                <w:color w:val="auto"/>
                <w:spacing w:val="0"/>
                <w:kern w:val="0"/>
                <w:sz w:val="21"/>
                <w:szCs w:val="21"/>
                <w:highlight w:val="none"/>
                <w:lang w:eastAsia="zh-CN"/>
              </w:rPr>
              <w:t>“暗标 ”方式进行评审。</w:t>
            </w:r>
          </w:p>
        </w:tc>
      </w:tr>
      <w:tr w14:paraId="4CD9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3" w:hRule="atLeast"/>
        </w:trPr>
        <w:tc>
          <w:tcPr>
            <w:tcW w:w="582" w:type="dxa"/>
            <w:vAlign w:val="center"/>
          </w:tcPr>
          <w:p w14:paraId="029705D9">
            <w:pPr>
              <w:keepNext w:val="0"/>
              <w:keepLines w:val="0"/>
              <w:pageBreakBefore w:val="0"/>
              <w:wordWrap w:val="0"/>
              <w:overflowPunct/>
              <w:topLinePunct w:val="0"/>
              <w:bidi w:val="0"/>
              <w:spacing w:before="69" w:line="188" w:lineRule="auto"/>
              <w:ind w:left="209"/>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30</w:t>
            </w:r>
          </w:p>
        </w:tc>
        <w:tc>
          <w:tcPr>
            <w:tcW w:w="1942" w:type="dxa"/>
            <w:vAlign w:val="center"/>
          </w:tcPr>
          <w:p w14:paraId="1ABA6C5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w:t>
            </w:r>
          </w:p>
        </w:tc>
        <w:tc>
          <w:tcPr>
            <w:tcW w:w="7574" w:type="dxa"/>
            <w:vAlign w:val="top"/>
          </w:tcPr>
          <w:p w14:paraId="1D041BE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评标委员会由 5 人组成，其中招标人代表 0 人，专家 5 人。专家从广东省综合评标评审专家库</w:t>
            </w:r>
            <w:r>
              <w:rPr>
                <w:rFonts w:hint="eastAsia" w:asciiTheme="minorEastAsia" w:hAnsiTheme="minorEastAsia" w:eastAsiaTheme="minorEastAsia" w:cstheme="minorEastAsia"/>
                <w:snapToGrid w:val="0"/>
                <w:color w:val="auto"/>
                <w:spacing w:val="0"/>
                <w:kern w:val="0"/>
                <w:sz w:val="21"/>
                <w:szCs w:val="21"/>
                <w:highlight w:val="none"/>
                <w:u w:val="single"/>
                <w:lang w:eastAsia="zh-CN"/>
              </w:rPr>
              <w:t>（韶关区域）</w:t>
            </w:r>
            <w:r>
              <w:rPr>
                <w:rFonts w:hint="eastAsia" w:asciiTheme="minorEastAsia" w:hAnsiTheme="minorEastAsia" w:eastAsiaTheme="minorEastAsia" w:cstheme="minorEastAsia"/>
                <w:snapToGrid w:val="0"/>
                <w:color w:val="auto"/>
                <w:spacing w:val="0"/>
                <w:kern w:val="0"/>
                <w:sz w:val="21"/>
                <w:szCs w:val="21"/>
                <w:highlight w:val="none"/>
                <w:lang w:eastAsia="zh-CN"/>
              </w:rPr>
              <w:t>中随机抽取，其中技术类专家 3 人，经济类专家 2 人。</w:t>
            </w:r>
          </w:p>
        </w:tc>
      </w:tr>
      <w:tr w14:paraId="00FC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582" w:type="dxa"/>
            <w:vAlign w:val="center"/>
          </w:tcPr>
          <w:p w14:paraId="20A804ED">
            <w:pPr>
              <w:keepNext w:val="0"/>
              <w:keepLines w:val="0"/>
              <w:pageBreakBefore w:val="0"/>
              <w:wordWrap w:val="0"/>
              <w:overflowPunct/>
              <w:topLinePunct w:val="0"/>
              <w:bidi w:val="0"/>
              <w:spacing w:before="258" w:line="188" w:lineRule="auto"/>
              <w:ind w:left="209" w:leftChars="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rPr>
              <w:t>31</w:t>
            </w:r>
          </w:p>
        </w:tc>
        <w:tc>
          <w:tcPr>
            <w:tcW w:w="1942" w:type="dxa"/>
            <w:vAlign w:val="center"/>
          </w:tcPr>
          <w:p w14:paraId="665467AA">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定</w:t>
            </w:r>
            <w:r>
              <w:rPr>
                <w:rFonts w:hint="eastAsia" w:asciiTheme="minorEastAsia" w:hAnsiTheme="minorEastAsia" w:eastAsiaTheme="minorEastAsia" w:cstheme="minorEastAsia"/>
                <w:snapToGrid w:val="0"/>
                <w:color w:val="auto"/>
                <w:spacing w:val="0"/>
                <w:kern w:val="0"/>
                <w:sz w:val="21"/>
                <w:szCs w:val="21"/>
                <w:highlight w:val="none"/>
                <w:lang w:eastAsia="zh-CN"/>
              </w:rPr>
              <w:t>标委员会</w:t>
            </w:r>
          </w:p>
        </w:tc>
        <w:tc>
          <w:tcPr>
            <w:tcW w:w="7574" w:type="dxa"/>
            <w:vAlign w:val="center"/>
          </w:tcPr>
          <w:p w14:paraId="3AE5DB9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left"/>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本</w:t>
            </w:r>
            <w:r>
              <w:rPr>
                <w:rFonts w:hint="eastAsia" w:asciiTheme="minorEastAsia" w:hAnsiTheme="minorEastAsia" w:eastAsiaTheme="minorEastAsia" w:cstheme="minorEastAsia"/>
                <w:snapToGrid w:val="0"/>
                <w:color w:val="auto"/>
                <w:spacing w:val="0"/>
                <w:kern w:val="0"/>
                <w:sz w:val="21"/>
                <w:szCs w:val="21"/>
                <w:highlight w:val="none"/>
                <w:lang w:eastAsia="zh-CN"/>
              </w:rPr>
              <w:t xml:space="preserve">项目定标委员会组成人员为 </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7 </w:t>
            </w:r>
            <w:r>
              <w:rPr>
                <w:rFonts w:hint="eastAsia" w:asciiTheme="minorEastAsia" w:hAnsiTheme="minorEastAsia" w:eastAsiaTheme="minorEastAsia" w:cstheme="minorEastAsia"/>
                <w:snapToGrid w:val="0"/>
                <w:color w:val="auto"/>
                <w:spacing w:val="0"/>
                <w:kern w:val="0"/>
                <w:sz w:val="21"/>
                <w:szCs w:val="21"/>
                <w:highlight w:val="none"/>
                <w:lang w:eastAsia="zh-CN"/>
              </w:rPr>
              <w:t>人</w:t>
            </w:r>
          </w:p>
        </w:tc>
      </w:tr>
      <w:tr w14:paraId="705E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2AFC9717">
            <w:pPr>
              <w:keepNext w:val="0"/>
              <w:keepLines w:val="0"/>
              <w:pageBreakBefore w:val="0"/>
              <w:wordWrap w:val="0"/>
              <w:overflowPunct/>
              <w:topLinePunct w:val="0"/>
              <w:bidi w:val="0"/>
              <w:spacing w:before="258" w:line="188" w:lineRule="auto"/>
              <w:ind w:left="209" w:leftChars="0"/>
              <w:jc w:val="both"/>
              <w:rPr>
                <w:rFonts w:hint="eastAsia" w:asciiTheme="minorEastAsia" w:hAnsiTheme="minorEastAsia" w:eastAsiaTheme="minorEastAsia" w:cstheme="minorEastAsia"/>
                <w:color w:val="auto"/>
                <w:spacing w:val="0"/>
                <w:sz w:val="21"/>
                <w:szCs w:val="21"/>
                <w:highlight w:val="none"/>
              </w:rPr>
            </w:pPr>
            <w:r>
              <w:rPr>
                <w:rFonts w:hint="eastAsia" w:asciiTheme="minorEastAsia" w:hAnsiTheme="minorEastAsia" w:eastAsiaTheme="minorEastAsia" w:cstheme="minorEastAsia"/>
                <w:color w:val="auto"/>
                <w:spacing w:val="0"/>
                <w:sz w:val="21"/>
                <w:szCs w:val="21"/>
                <w:highlight w:val="none"/>
                <w:lang w:val="en-US" w:eastAsia="zh-CN"/>
              </w:rPr>
              <w:t>32</w:t>
            </w:r>
          </w:p>
        </w:tc>
        <w:tc>
          <w:tcPr>
            <w:tcW w:w="1942" w:type="dxa"/>
            <w:vAlign w:val="center"/>
          </w:tcPr>
          <w:p w14:paraId="7057DE4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评标方法</w:t>
            </w:r>
          </w:p>
        </w:tc>
        <w:tc>
          <w:tcPr>
            <w:tcW w:w="7574" w:type="dxa"/>
            <w:vAlign w:val="center"/>
          </w:tcPr>
          <w:p w14:paraId="628B1B39">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☑综合评估法</w:t>
            </w:r>
          </w:p>
        </w:tc>
      </w:tr>
      <w:tr w14:paraId="6DFD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rPr>
        <w:tc>
          <w:tcPr>
            <w:tcW w:w="582" w:type="dxa"/>
            <w:vAlign w:val="center"/>
          </w:tcPr>
          <w:p w14:paraId="4AF0EE91">
            <w:pPr>
              <w:keepNext w:val="0"/>
              <w:keepLines w:val="0"/>
              <w:pageBreakBefore w:val="0"/>
              <w:wordWrap w:val="0"/>
              <w:overflowPunct/>
              <w:topLinePunct w:val="0"/>
              <w:bidi w:val="0"/>
              <w:spacing w:before="258" w:line="188" w:lineRule="auto"/>
              <w:ind w:left="209"/>
              <w:jc w:val="both"/>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val="en-US" w:eastAsia="zh-CN"/>
              </w:rPr>
              <w:t>33</w:t>
            </w:r>
          </w:p>
        </w:tc>
        <w:tc>
          <w:tcPr>
            <w:tcW w:w="1942" w:type="dxa"/>
            <w:vAlign w:val="center"/>
          </w:tcPr>
          <w:p w14:paraId="7AA0808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定标办法</w:t>
            </w:r>
          </w:p>
        </w:tc>
        <w:tc>
          <w:tcPr>
            <w:tcW w:w="7574" w:type="dxa"/>
            <w:vAlign w:val="center"/>
          </w:tcPr>
          <w:p w14:paraId="73EA49A8">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☑票决定标法</w:t>
            </w:r>
            <w:r>
              <w:rPr>
                <w:rFonts w:hint="eastAsia" w:asciiTheme="minorEastAsia" w:hAnsiTheme="minorEastAsia" w:eastAsiaTheme="minorEastAsia" w:cstheme="minorEastAsia"/>
                <w:snapToGrid w:val="0"/>
                <w:color w:val="auto"/>
                <w:spacing w:val="0"/>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spacing w:val="0"/>
                <w:kern w:val="0"/>
                <w:sz w:val="21"/>
                <w:szCs w:val="21"/>
                <w:highlight w:val="none"/>
                <w:lang w:eastAsia="zh-CN"/>
              </w:rPr>
              <w:t>□集体议事法</w:t>
            </w:r>
          </w:p>
        </w:tc>
      </w:tr>
      <w:tr w14:paraId="735BD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4" w:hRule="atLeast"/>
        </w:trPr>
        <w:tc>
          <w:tcPr>
            <w:tcW w:w="582" w:type="dxa"/>
            <w:vAlign w:val="center"/>
          </w:tcPr>
          <w:p w14:paraId="28C06626">
            <w:pPr>
              <w:keepNext w:val="0"/>
              <w:keepLines w:val="0"/>
              <w:pageBreakBefore w:val="0"/>
              <w:wordWrap w:val="0"/>
              <w:overflowPunct/>
              <w:topLinePunct w:val="0"/>
              <w:bidi w:val="0"/>
              <w:spacing w:before="57" w:line="195"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rPr>
              <w:t>3</w:t>
            </w:r>
            <w:r>
              <w:rPr>
                <w:rFonts w:hint="eastAsia" w:asciiTheme="minorEastAsia" w:hAnsiTheme="minorEastAsia" w:eastAsiaTheme="minorEastAsia" w:cstheme="minorEastAsia"/>
                <w:color w:val="auto"/>
                <w:spacing w:val="0"/>
                <w:sz w:val="21"/>
                <w:szCs w:val="21"/>
                <w:highlight w:val="none"/>
                <w:lang w:val="en-US" w:eastAsia="zh-CN"/>
              </w:rPr>
              <w:t>4</w:t>
            </w:r>
          </w:p>
        </w:tc>
        <w:tc>
          <w:tcPr>
            <w:tcW w:w="1942" w:type="dxa"/>
            <w:vAlign w:val="center"/>
          </w:tcPr>
          <w:p w14:paraId="5B598B93">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招标文件要求提交的用于评审的证书、证件、证明原件</w:t>
            </w:r>
          </w:p>
        </w:tc>
        <w:tc>
          <w:tcPr>
            <w:tcW w:w="7574" w:type="dxa"/>
            <w:vAlign w:val="top"/>
          </w:tcPr>
          <w:p w14:paraId="547AFCE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1846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5" w:hRule="atLeast"/>
        </w:trPr>
        <w:tc>
          <w:tcPr>
            <w:tcW w:w="582" w:type="dxa"/>
            <w:vAlign w:val="center"/>
          </w:tcPr>
          <w:p w14:paraId="7C8ECFED">
            <w:pPr>
              <w:keepNext w:val="0"/>
              <w:keepLines w:val="0"/>
              <w:pageBreakBefore w:val="0"/>
              <w:wordWrap w:val="0"/>
              <w:overflowPunct/>
              <w:topLinePunct w:val="0"/>
              <w:bidi w:val="0"/>
              <w:spacing w:before="69" w:line="188" w:lineRule="auto"/>
              <w:ind w:left="209"/>
              <w:rPr>
                <w:rFonts w:hint="eastAsia" w:asciiTheme="minorEastAsia" w:hAnsiTheme="minorEastAsia" w:eastAsiaTheme="minorEastAsia" w:cstheme="minorEastAsia"/>
                <w:color w:val="auto"/>
                <w:spacing w:val="0"/>
                <w:sz w:val="21"/>
                <w:szCs w:val="21"/>
                <w:highlight w:val="none"/>
                <w:lang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5</w:t>
            </w:r>
          </w:p>
        </w:tc>
        <w:tc>
          <w:tcPr>
            <w:tcW w:w="1942" w:type="dxa"/>
            <w:vAlign w:val="center"/>
          </w:tcPr>
          <w:p w14:paraId="7C44A749">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招标代理费</w:t>
            </w:r>
          </w:p>
        </w:tc>
        <w:tc>
          <w:tcPr>
            <w:tcW w:w="7574" w:type="dxa"/>
            <w:vAlign w:val="center"/>
          </w:tcPr>
          <w:p w14:paraId="746D7B91">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color w:val="auto"/>
                <w:highlight w:val="none"/>
                <w:u w:val="none"/>
              </w:rPr>
              <w:t>本项目的招标代理费由中标人支付，该费用不再另行报价，由投标人在投标报价时综合考虑在内。（招标代理服务费参照《招标代理服务收费管理暂行办法》（计价格[2002]1980号），以中标价为计费基数。评标专家酬劳包括食宿费用、交通费、专家评审劳务费等）</w:t>
            </w:r>
          </w:p>
        </w:tc>
      </w:tr>
      <w:tr w14:paraId="362F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9" w:hRule="atLeast"/>
        </w:trPr>
        <w:tc>
          <w:tcPr>
            <w:tcW w:w="582" w:type="dxa"/>
            <w:vAlign w:val="center"/>
          </w:tcPr>
          <w:p w14:paraId="1482EFA4">
            <w:pPr>
              <w:keepNext w:val="0"/>
              <w:keepLines w:val="0"/>
              <w:pageBreakBefore w:val="0"/>
              <w:wordWrap w:val="0"/>
              <w:overflowPunct/>
              <w:topLinePunct w:val="0"/>
              <w:bidi w:val="0"/>
              <w:spacing w:before="69" w:line="188" w:lineRule="auto"/>
              <w:jc w:val="center"/>
              <w:rPr>
                <w:rFonts w:hint="eastAsia"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6</w:t>
            </w:r>
          </w:p>
        </w:tc>
        <w:tc>
          <w:tcPr>
            <w:tcW w:w="1942" w:type="dxa"/>
            <w:vAlign w:val="center"/>
          </w:tcPr>
          <w:p w14:paraId="18185B7E">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招标人</w:t>
            </w:r>
          </w:p>
          <w:p w14:paraId="7BD8529C">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574" w:type="dxa"/>
            <w:vAlign w:val="center"/>
          </w:tcPr>
          <w:p w14:paraId="5B4D209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rPr>
              <w:t>单位名称：</w:t>
            </w:r>
            <w:r>
              <w:rPr>
                <w:rFonts w:hint="eastAsia" w:ascii="宋体" w:hAnsi="宋体" w:eastAsia="宋体" w:cs="宋体"/>
                <w:snapToGrid w:val="0"/>
                <w:color w:val="auto"/>
                <w:spacing w:val="0"/>
                <w:kern w:val="0"/>
                <w:sz w:val="21"/>
                <w:highlight w:val="none"/>
                <w:lang w:val="en-US" w:eastAsia="zh-CN"/>
              </w:rPr>
              <w:t>韶关市市政管理中心</w:t>
            </w:r>
          </w:p>
          <w:p w14:paraId="063BA8E0">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rPr>
            </w:pPr>
            <w:r>
              <w:rPr>
                <w:rFonts w:hint="eastAsia" w:ascii="宋体" w:hAnsi="宋体" w:eastAsia="宋体" w:cs="宋体"/>
                <w:snapToGrid w:val="0"/>
                <w:color w:val="auto"/>
                <w:spacing w:val="0"/>
                <w:kern w:val="0"/>
                <w:sz w:val="21"/>
                <w:highlight w:val="none"/>
              </w:rPr>
              <w:t>办公地址：</w:t>
            </w:r>
            <w:r>
              <w:rPr>
                <w:rFonts w:hint="eastAsia" w:ascii="宋体" w:hAnsi="宋体" w:eastAsia="宋体" w:cs="宋体"/>
                <w:snapToGrid w:val="0"/>
                <w:color w:val="auto"/>
                <w:spacing w:val="0"/>
                <w:kern w:val="0"/>
                <w:sz w:val="21"/>
                <w:highlight w:val="none"/>
                <w:lang w:val="en-US" w:eastAsia="zh-CN"/>
              </w:rPr>
              <w:t>广东省韶关市沙湖路12号</w:t>
            </w:r>
          </w:p>
          <w:p w14:paraId="1188E8C5">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eastAsia="zh-CN"/>
              </w:rPr>
            </w:pPr>
            <w:r>
              <w:rPr>
                <w:rFonts w:hint="eastAsia" w:ascii="宋体" w:hAnsi="宋体" w:eastAsia="宋体" w:cs="宋体"/>
                <w:snapToGrid w:val="0"/>
                <w:color w:val="auto"/>
                <w:spacing w:val="0"/>
                <w:kern w:val="0"/>
                <w:sz w:val="21"/>
                <w:highlight w:val="none"/>
              </w:rPr>
              <w:t>联系人（部门）：</w:t>
            </w:r>
            <w:r>
              <w:rPr>
                <w:rFonts w:hint="eastAsia" w:ascii="宋体" w:hAnsi="宋体" w:eastAsia="宋体" w:cs="宋体"/>
                <w:snapToGrid w:val="0"/>
                <w:color w:val="auto"/>
                <w:spacing w:val="0"/>
                <w:kern w:val="0"/>
                <w:sz w:val="21"/>
                <w:highlight w:val="none"/>
                <w:lang w:val="en-US" w:eastAsia="zh-CN"/>
              </w:rPr>
              <w:t>李</w:t>
            </w:r>
            <w:r>
              <w:rPr>
                <w:rFonts w:hint="eastAsia" w:ascii="宋体" w:hAnsi="宋体" w:eastAsia="宋体" w:cs="宋体"/>
                <w:snapToGrid w:val="0"/>
                <w:color w:val="auto"/>
                <w:spacing w:val="0"/>
                <w:kern w:val="0"/>
                <w:sz w:val="21"/>
                <w:highlight w:val="none"/>
                <w:lang w:eastAsia="zh-CN"/>
              </w:rPr>
              <w:t>工</w:t>
            </w:r>
          </w:p>
          <w:p w14:paraId="55413C1D">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eastAsia="宋体" w:asciiTheme="minorEastAsia" w:hAnsiTheme="minorEastAsia" w:cstheme="minorEastAsia"/>
                <w:snapToGrid w:val="0"/>
                <w:color w:val="auto"/>
                <w:spacing w:val="0"/>
                <w:kern w:val="0"/>
                <w:sz w:val="21"/>
                <w:szCs w:val="21"/>
                <w:highlight w:val="none"/>
                <w:lang w:val="en-US" w:eastAsia="zh-CN"/>
              </w:rPr>
            </w:pPr>
            <w:r>
              <w:rPr>
                <w:rFonts w:hint="eastAsia" w:ascii="宋体" w:hAnsi="宋体" w:eastAsia="宋体" w:cs="宋体"/>
                <w:snapToGrid w:val="0"/>
                <w:color w:val="auto"/>
                <w:spacing w:val="0"/>
                <w:kern w:val="0"/>
                <w:sz w:val="21"/>
                <w:highlight w:val="none"/>
              </w:rPr>
              <w:t>联系电话：</w:t>
            </w:r>
            <w:r>
              <w:rPr>
                <w:rFonts w:hint="eastAsia" w:ascii="宋体" w:hAnsi="宋体" w:eastAsia="宋体" w:cs="宋体"/>
                <w:snapToGrid w:val="0"/>
                <w:color w:val="auto"/>
                <w:spacing w:val="0"/>
                <w:kern w:val="0"/>
                <w:sz w:val="21"/>
                <w:szCs w:val="21"/>
                <w:highlight w:val="none"/>
                <w:lang w:val="en-US" w:eastAsia="zh-CN"/>
              </w:rPr>
              <w:t>0751-8738623</w:t>
            </w:r>
          </w:p>
        </w:tc>
      </w:tr>
      <w:tr w14:paraId="08636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trPr>
        <w:tc>
          <w:tcPr>
            <w:tcW w:w="582" w:type="dxa"/>
            <w:vAlign w:val="center"/>
          </w:tcPr>
          <w:p w14:paraId="74FCC8C3">
            <w:pPr>
              <w:keepNext w:val="0"/>
              <w:keepLines w:val="0"/>
              <w:pageBreakBefore w:val="0"/>
              <w:wordWrap w:val="0"/>
              <w:overflowPunct/>
              <w:topLinePunct w:val="0"/>
              <w:bidi w:val="0"/>
              <w:spacing w:before="69" w:line="188"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7</w:t>
            </w:r>
          </w:p>
        </w:tc>
        <w:tc>
          <w:tcPr>
            <w:tcW w:w="1942" w:type="dxa"/>
            <w:vAlign w:val="center"/>
          </w:tcPr>
          <w:p w14:paraId="4671EC7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招标代理机构</w:t>
            </w:r>
          </w:p>
          <w:p w14:paraId="41FE93A4">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联系方式</w:t>
            </w:r>
          </w:p>
        </w:tc>
        <w:tc>
          <w:tcPr>
            <w:tcW w:w="7574" w:type="dxa"/>
            <w:vAlign w:val="center"/>
          </w:tcPr>
          <w:p w14:paraId="044C377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单位名称：韶关成果项目管理有限公司</w:t>
            </w:r>
          </w:p>
          <w:p w14:paraId="5074C51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办公地址：韶关市仁化县城建设路52号原检察院办公楼三楼</w:t>
            </w:r>
          </w:p>
          <w:p w14:paraId="468E379C">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联 系 人：杨工</w:t>
            </w:r>
          </w:p>
          <w:p w14:paraId="047C8A66">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int="eastAsia" w:ascii="宋体" w:hAnsi="宋体" w:eastAsia="宋体" w:cs="宋体"/>
                <w:snapToGrid w:val="0"/>
                <w:color w:val="auto"/>
                <w:spacing w:val="0"/>
                <w:kern w:val="0"/>
                <w:sz w:val="21"/>
                <w:highlight w:val="none"/>
                <w:lang w:val="en-US" w:eastAsia="zh-CN"/>
              </w:rPr>
              <w:t>电    话：</w:t>
            </w:r>
            <w:r>
              <w:rPr>
                <w:rFonts w:hint="eastAsia" w:ascii="宋体" w:hAnsi="宋体" w:eastAsia="宋体" w:cs="宋体"/>
                <w:snapToGrid w:val="0"/>
                <w:color w:val="auto"/>
                <w:spacing w:val="0"/>
                <w:kern w:val="0"/>
                <w:sz w:val="21"/>
                <w:highlight w:val="none"/>
                <w:lang w:eastAsia="zh-CN"/>
              </w:rPr>
              <w:t>0751-6911338</w:t>
            </w:r>
          </w:p>
        </w:tc>
      </w:tr>
      <w:tr w14:paraId="7AB4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5B24D42F">
            <w:pPr>
              <w:keepNext w:val="0"/>
              <w:keepLines w:val="0"/>
              <w:pageBreakBefore w:val="0"/>
              <w:wordWrap w:val="0"/>
              <w:overflowPunct/>
              <w:topLinePunct w:val="0"/>
              <w:bidi w:val="0"/>
              <w:spacing w:before="69" w:line="188"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8</w:t>
            </w:r>
          </w:p>
        </w:tc>
        <w:tc>
          <w:tcPr>
            <w:tcW w:w="1942" w:type="dxa"/>
            <w:vAlign w:val="center"/>
          </w:tcPr>
          <w:p w14:paraId="7CA477E1">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交易场所联系方式</w:t>
            </w:r>
          </w:p>
        </w:tc>
        <w:tc>
          <w:tcPr>
            <w:tcW w:w="7574" w:type="dxa"/>
            <w:vAlign w:val="center"/>
          </w:tcPr>
          <w:p w14:paraId="184E32DE">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单位名称：韶关市公共资源交易中心</w:t>
            </w:r>
          </w:p>
          <w:p w14:paraId="2938F217">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 xml:space="preserve">办公地址：广东省韶关市武江区西联镇 </w:t>
            </w:r>
          </w:p>
          <w:p w14:paraId="6DD0E32F">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宋体" w:hAnsi="宋体" w:eastAsia="宋体" w:cs="宋体"/>
                <w:snapToGrid w:val="0"/>
                <w:color w:val="auto"/>
                <w:spacing w:val="0"/>
                <w:kern w:val="0"/>
                <w:sz w:val="21"/>
                <w:highlight w:val="none"/>
                <w:lang w:val="en-US" w:eastAsia="zh-CN"/>
              </w:rPr>
            </w:pPr>
            <w:r>
              <w:rPr>
                <w:rFonts w:hint="eastAsia" w:ascii="宋体" w:hAnsi="宋体" w:eastAsia="宋体" w:cs="宋体"/>
                <w:snapToGrid w:val="0"/>
                <w:color w:val="auto"/>
                <w:spacing w:val="0"/>
                <w:kern w:val="0"/>
                <w:sz w:val="21"/>
                <w:highlight w:val="none"/>
                <w:lang w:val="en-US" w:eastAsia="zh-CN"/>
              </w:rPr>
              <w:t>联系人（部门）：工程交易股</w:t>
            </w:r>
          </w:p>
          <w:p w14:paraId="47C8F513">
            <w:pPr>
              <w:keepNext w:val="0"/>
              <w:keepLines w:val="0"/>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宋体" w:hAnsi="宋体" w:eastAsia="宋体" w:cs="宋体"/>
                <w:snapToGrid w:val="0"/>
                <w:color w:val="auto"/>
                <w:spacing w:val="0"/>
                <w:kern w:val="0"/>
                <w:sz w:val="21"/>
                <w:highlight w:val="none"/>
                <w:lang w:val="en-US" w:eastAsia="zh-CN"/>
              </w:rPr>
              <w:t>联系电话：0751-8633071、8633211</w:t>
            </w:r>
          </w:p>
        </w:tc>
      </w:tr>
      <w:tr w14:paraId="29FD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76D80BEF">
            <w:pPr>
              <w:keepNext w:val="0"/>
              <w:keepLines w:val="0"/>
              <w:pageBreakBefore w:val="0"/>
              <w:wordWrap w:val="0"/>
              <w:overflowPunct/>
              <w:topLinePunct w:val="0"/>
              <w:bidi w:val="0"/>
              <w:spacing w:before="69" w:line="188" w:lineRule="auto"/>
              <w:jc w:val="center"/>
              <w:rPr>
                <w:rFonts w:hint="default" w:asciiTheme="minorEastAsia" w:hAnsiTheme="minorEastAsia" w:eastAsiaTheme="minorEastAsia" w:cstheme="minorEastAsia"/>
                <w:color w:val="auto"/>
                <w:spacing w:val="0"/>
                <w:sz w:val="21"/>
                <w:szCs w:val="21"/>
                <w:highlight w:val="none"/>
                <w:lang w:val="en-US" w:eastAsia="zh-CN"/>
              </w:rPr>
            </w:pPr>
            <w:r>
              <w:rPr>
                <w:rFonts w:hint="eastAsia" w:asciiTheme="minorEastAsia" w:hAnsiTheme="minorEastAsia" w:eastAsiaTheme="minorEastAsia" w:cstheme="minorEastAsia"/>
                <w:color w:val="auto"/>
                <w:spacing w:val="0"/>
                <w:sz w:val="21"/>
                <w:szCs w:val="21"/>
                <w:highlight w:val="none"/>
                <w:lang w:eastAsia="zh-CN"/>
              </w:rPr>
              <w:t>3</w:t>
            </w:r>
            <w:r>
              <w:rPr>
                <w:rFonts w:hint="eastAsia" w:asciiTheme="minorEastAsia" w:hAnsiTheme="minorEastAsia" w:eastAsiaTheme="minorEastAsia" w:cstheme="minorEastAsia"/>
                <w:color w:val="auto"/>
                <w:spacing w:val="0"/>
                <w:sz w:val="21"/>
                <w:szCs w:val="21"/>
                <w:highlight w:val="none"/>
                <w:lang w:val="en-US" w:eastAsia="zh-CN"/>
              </w:rPr>
              <w:t>9</w:t>
            </w:r>
          </w:p>
        </w:tc>
        <w:tc>
          <w:tcPr>
            <w:tcW w:w="1942" w:type="dxa"/>
            <w:vAlign w:val="center"/>
          </w:tcPr>
          <w:p w14:paraId="49F1505F">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行政监督部</w:t>
            </w:r>
          </w:p>
          <w:p w14:paraId="78B01F18">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eastAsia="zh-CN"/>
              </w:rPr>
            </w:pPr>
            <w:r>
              <w:rPr>
                <w:rFonts w:hint="eastAsia" w:asciiTheme="minorEastAsia" w:hAnsiTheme="minorEastAsia" w:eastAsiaTheme="minorEastAsia" w:cstheme="minorEastAsia"/>
                <w:snapToGrid w:val="0"/>
                <w:color w:val="auto"/>
                <w:spacing w:val="0"/>
                <w:kern w:val="0"/>
                <w:sz w:val="21"/>
                <w:szCs w:val="21"/>
                <w:highlight w:val="none"/>
                <w:lang w:eastAsia="zh-CN"/>
              </w:rPr>
              <w:t>门联系方式</w:t>
            </w:r>
          </w:p>
        </w:tc>
        <w:tc>
          <w:tcPr>
            <w:tcW w:w="7574" w:type="dxa"/>
            <w:vAlign w:val="center"/>
          </w:tcPr>
          <w:p w14:paraId="4F5DA3DF">
            <w:pPr>
              <w:spacing w:line="400" w:lineRule="exact"/>
              <w:ind w:left="105" w:leftChars="50" w:right="105" w:rightChars="50"/>
              <w:rPr>
                <w:rFonts w:hint="default" w:hAnsi="宋体" w:cs="宋体"/>
                <w:snapToGrid w:val="0"/>
                <w:color w:val="auto"/>
                <w:kern w:val="0"/>
                <w:szCs w:val="24"/>
                <w:highlight w:val="none"/>
                <w:u w:val="none"/>
              </w:rPr>
            </w:pPr>
            <w:r>
              <w:rPr>
                <w:rFonts w:hAnsi="宋体" w:cs="宋体"/>
                <w:snapToGrid w:val="0"/>
                <w:color w:val="auto"/>
                <w:kern w:val="0"/>
                <w:szCs w:val="24"/>
                <w:highlight w:val="none"/>
                <w:u w:val="none"/>
              </w:rPr>
              <w:t>单位名称：韶关市住房和城乡建设</w:t>
            </w:r>
            <w:r>
              <w:rPr>
                <w:rFonts w:hint="eastAsia" w:hAnsi="宋体" w:eastAsia="宋体" w:cs="宋体"/>
                <w:snapToGrid w:val="0"/>
                <w:color w:val="auto"/>
                <w:kern w:val="0"/>
                <w:szCs w:val="24"/>
                <w:highlight w:val="none"/>
                <w:u w:val="none"/>
                <w:lang w:val="en-US" w:eastAsia="zh-CN"/>
              </w:rPr>
              <w:t>管理</w:t>
            </w:r>
            <w:r>
              <w:rPr>
                <w:rFonts w:hAnsi="宋体" w:cs="宋体"/>
                <w:snapToGrid w:val="0"/>
                <w:color w:val="auto"/>
                <w:kern w:val="0"/>
                <w:szCs w:val="24"/>
                <w:highlight w:val="none"/>
                <w:u w:val="none"/>
              </w:rPr>
              <w:t>局</w:t>
            </w:r>
          </w:p>
          <w:p w14:paraId="7830577E">
            <w:pPr>
              <w:spacing w:line="400" w:lineRule="exact"/>
              <w:ind w:left="105" w:leftChars="50" w:right="105" w:rightChars="50"/>
              <w:rPr>
                <w:rFonts w:hAnsi="宋体" w:cs="宋体"/>
                <w:snapToGrid w:val="0"/>
                <w:color w:val="auto"/>
                <w:kern w:val="0"/>
                <w:szCs w:val="24"/>
                <w:highlight w:val="none"/>
                <w:u w:val="none"/>
              </w:rPr>
            </w:pPr>
            <w:r>
              <w:rPr>
                <w:rFonts w:hAnsi="宋体" w:cs="宋体"/>
                <w:snapToGrid w:val="0"/>
                <w:color w:val="auto"/>
                <w:kern w:val="0"/>
                <w:szCs w:val="24"/>
                <w:highlight w:val="none"/>
                <w:u w:val="none"/>
              </w:rPr>
              <w:t>办公地址：韶关市武江区芙蓉东路5号</w:t>
            </w:r>
          </w:p>
          <w:p w14:paraId="64969067">
            <w:pPr>
              <w:spacing w:line="400" w:lineRule="exact"/>
              <w:ind w:left="105" w:leftChars="50" w:right="105" w:rightChars="50"/>
              <w:rPr>
                <w:rFonts w:hint="eastAsia" w:hAnsi="宋体" w:cs="宋体"/>
                <w:snapToGrid w:val="0"/>
                <w:color w:val="auto"/>
                <w:kern w:val="0"/>
                <w:szCs w:val="24"/>
                <w:highlight w:val="none"/>
                <w:u w:val="none"/>
                <w:lang w:eastAsia="zh-CN"/>
              </w:rPr>
            </w:pPr>
            <w:r>
              <w:rPr>
                <w:rFonts w:hAnsi="宋体" w:cs="宋体"/>
                <w:snapToGrid w:val="0"/>
                <w:color w:val="auto"/>
                <w:kern w:val="0"/>
                <w:szCs w:val="24"/>
                <w:highlight w:val="none"/>
                <w:u w:val="none"/>
              </w:rPr>
              <w:t>联系人（部门）：</w:t>
            </w:r>
            <w:r>
              <w:rPr>
                <w:rFonts w:hint="eastAsia" w:hAnsi="宋体" w:cs="宋体"/>
                <w:snapToGrid w:val="0"/>
                <w:color w:val="auto"/>
                <w:kern w:val="0"/>
                <w:szCs w:val="24"/>
                <w:highlight w:val="none"/>
                <w:u w:val="none"/>
                <w:lang w:val="en-US" w:eastAsia="zh-CN"/>
              </w:rPr>
              <w:t>建筑业与市场科</w:t>
            </w:r>
          </w:p>
          <w:p w14:paraId="3EF522E1">
            <w:pPr>
              <w:spacing w:line="400" w:lineRule="exact"/>
              <w:ind w:left="105" w:leftChars="50" w:right="105" w:rightChars="50"/>
              <w:rPr>
                <w:rFonts w:hint="default" w:asciiTheme="minorEastAsia" w:hAnsiTheme="minorEastAsia" w:eastAsiaTheme="minorEastAsia" w:cstheme="minorEastAsia"/>
                <w:snapToGrid w:val="0"/>
                <w:color w:val="auto"/>
                <w:spacing w:val="0"/>
                <w:kern w:val="0"/>
                <w:sz w:val="21"/>
                <w:szCs w:val="21"/>
                <w:highlight w:val="none"/>
                <w:lang w:val="en-US" w:eastAsia="zh-CN"/>
              </w:rPr>
            </w:pPr>
            <w:r>
              <w:rPr>
                <w:rFonts w:hAnsi="宋体" w:cs="宋体"/>
                <w:snapToGrid w:val="0"/>
                <w:color w:val="auto"/>
                <w:kern w:val="0"/>
                <w:szCs w:val="24"/>
                <w:highlight w:val="none"/>
                <w:u w:val="none"/>
              </w:rPr>
              <w:t>联系电话：</w:t>
            </w:r>
            <w:r>
              <w:rPr>
                <w:rFonts w:hint="eastAsia" w:hAnsi="宋体" w:cs="宋体"/>
                <w:snapToGrid w:val="0"/>
                <w:color w:val="auto"/>
                <w:kern w:val="0"/>
                <w:szCs w:val="24"/>
                <w:highlight w:val="none"/>
                <w:u w:val="none"/>
                <w:lang w:val="en-US" w:eastAsia="zh-CN"/>
              </w:rPr>
              <w:t>0751-8255019</w:t>
            </w:r>
          </w:p>
        </w:tc>
      </w:tr>
    </w:tbl>
    <w:p w14:paraId="23810BEB">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5" w:name="bookmark115"/>
      <w:bookmarkEnd w:id="5"/>
    </w:p>
    <w:p w14:paraId="724FDEFB">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1883E5E">
      <w:pPr>
        <w:keepNext w:val="0"/>
        <w:keepLines w:val="0"/>
        <w:pageBreakBefore w:val="0"/>
        <w:wordWrap w:val="0"/>
        <w:overflowPunct/>
        <w:topLinePunct w:val="0"/>
        <w:bidi w:val="0"/>
        <w:spacing w:before="156" w:line="219" w:lineRule="auto"/>
        <w:ind w:left="17"/>
        <w:jc w:val="left"/>
        <w:outlineLvl w:val="1"/>
        <w:rPr>
          <w:rFonts w:hint="eastAsia" w:ascii="宋体" w:hAnsi="宋体" w:eastAsia="宋体" w:cs="宋体"/>
          <w:color w:val="auto"/>
          <w:spacing w:val="0"/>
          <w:highlight w:val="none"/>
        </w:rPr>
      </w:pPr>
      <w:bookmarkStart w:id="6" w:name="_Toc9665"/>
      <w:r>
        <w:rPr>
          <w:rFonts w:hint="eastAsia" w:ascii="宋体" w:hAnsi="宋体" w:eastAsia="宋体" w:cs="宋体"/>
          <w:b/>
          <w:bCs/>
          <w:color w:val="auto"/>
          <w:spacing w:val="0"/>
          <w:sz w:val="24"/>
          <w:szCs w:val="24"/>
          <w:highlight w:val="none"/>
        </w:rPr>
        <w:t>第二节 重要事项时间地点一览表</w:t>
      </w:r>
      <w:bookmarkEnd w:id="6"/>
    </w:p>
    <w:p w14:paraId="22FDFC17">
      <w:pPr>
        <w:pStyle w:val="6"/>
        <w:keepNext w:val="0"/>
        <w:keepLines w:val="0"/>
        <w:pageBreakBefore w:val="0"/>
        <w:wordWrap w:val="0"/>
        <w:overflowPunct/>
        <w:topLinePunct w:val="0"/>
        <w:bidi w:val="0"/>
        <w:rPr>
          <w:rFonts w:hint="eastAsia" w:ascii="宋体" w:hAnsi="宋体" w:eastAsia="宋体" w:cs="宋体"/>
          <w:color w:val="auto"/>
          <w:spacing w:val="0"/>
          <w:highlight w:val="none"/>
        </w:rPr>
      </w:pPr>
    </w:p>
    <w:tbl>
      <w:tblPr>
        <w:tblStyle w:val="15"/>
        <w:tblW w:w="9059" w:type="dxa"/>
        <w:tblInd w:w="-6"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1"/>
        <w:gridCol w:w="1300"/>
        <w:gridCol w:w="7338"/>
      </w:tblGrid>
      <w:tr w14:paraId="7527E6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64368E62">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1</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30921FDD">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招标公告</w:t>
            </w:r>
          </w:p>
          <w:p w14:paraId="3BBFD34A">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发布时间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C3DCC19">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18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176E30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70"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881C250">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2</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354C967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获取招标文件截止时间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20223F80">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8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40EC174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4F5448C1">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3</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1500AF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网上提问</w:t>
            </w:r>
          </w:p>
          <w:p w14:paraId="613A410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F302D1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29</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1E494C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73"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9DD0DB5">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4</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3D1381A7">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网上答疑</w:t>
            </w:r>
          </w:p>
          <w:p w14:paraId="6D1C14C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279010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29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分至</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color w:val="auto"/>
                <w:spacing w:val="0"/>
                <w:kern w:val="0"/>
                <w:sz w:val="21"/>
                <w:szCs w:val="21"/>
                <w:highlight w:val="none"/>
                <w:lang w:val="en-US" w:eastAsia="zh-CN" w:bidi="ar-SA"/>
              </w:rPr>
              <w:t>月</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 </w:t>
            </w:r>
            <w:r>
              <w:rPr>
                <w:rFonts w:hint="eastAsia" w:asciiTheme="minorEastAsia" w:hAnsiTheme="minorEastAsia" w:eastAsiaTheme="minorEastAsia" w:cstheme="minorEastAsia"/>
                <w:color w:val="auto"/>
                <w:spacing w:val="0"/>
                <w:kern w:val="0"/>
                <w:sz w:val="21"/>
                <w:szCs w:val="21"/>
                <w:highlight w:val="none"/>
                <w:lang w:val="en-US" w:eastAsia="zh-CN" w:bidi="ar-SA"/>
              </w:rPr>
              <w:t>日</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16 </w:t>
            </w:r>
            <w:r>
              <w:rPr>
                <w:rFonts w:hint="eastAsia" w:asciiTheme="minorEastAsia" w:hAnsiTheme="minorEastAsia" w:eastAsiaTheme="minorEastAsia" w:cstheme="minorEastAsia"/>
                <w:color w:val="auto"/>
                <w:spacing w:val="0"/>
                <w:kern w:val="0"/>
                <w:sz w:val="21"/>
                <w:szCs w:val="21"/>
                <w:highlight w:val="none"/>
                <w:lang w:val="en-US" w:eastAsia="zh-CN" w:bidi="ar-SA"/>
              </w:rPr>
              <w:t>时</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00</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3FA5D79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64"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3210D221">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5</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6BC121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投标保证缴</w:t>
            </w:r>
          </w:p>
          <w:p w14:paraId="3116ABE1">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纳截止时间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A64E5A3">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投标保证金到账截止时间：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p w14:paraId="3E6FFFBE">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kern w:val="0"/>
                <w:sz w:val="21"/>
                <w:szCs w:val="21"/>
                <w:highlight w:val="none"/>
                <w:lang w:val="en-US" w:eastAsia="zh-CN" w:bidi="ar-SA"/>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投标保证担保上传截止时间：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p w14:paraId="2A607421">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lang w:val="en-US" w:eastAsia="zh-CN" w:bidi="ar-SA"/>
              </w:rPr>
              <w:t>投标保证保险投保截止时间：</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7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205F9D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2"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69E9DC16">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6</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60B78F2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电子投标</w:t>
            </w:r>
          </w:p>
          <w:p w14:paraId="4D6B4BDD">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截止时间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7503A73">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8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793969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096D5BFB">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7</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7ECFCCB9">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投标相关资料（如有）</w:t>
            </w:r>
          </w:p>
          <w:p w14:paraId="6A3E1C1C">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递交时间</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61A2A4F5">
            <w:pPr>
              <w:keepNext w:val="0"/>
              <w:keepLines w:val="0"/>
              <w:pageBreakBefore w:val="0"/>
              <w:widowControl/>
              <w:suppressLineNumbers w:val="0"/>
              <w:wordWrap w:val="0"/>
              <w:overflowPunct/>
              <w:topLinePunct w:val="0"/>
              <w:bidi w:val="0"/>
              <w:snapToGrid w:val="0"/>
              <w:spacing w:before="0" w:beforeAutospacing="0" w:after="0" w:afterAutospacing="0"/>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8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00 </w:t>
            </w:r>
            <w:r>
              <w:rPr>
                <w:rFonts w:hint="eastAsia" w:asciiTheme="minorEastAsia" w:hAnsiTheme="minorEastAsia" w:eastAsiaTheme="minorEastAsia" w:cstheme="minorEastAsia"/>
                <w:color w:val="auto"/>
                <w:spacing w:val="0"/>
                <w:kern w:val="0"/>
                <w:sz w:val="21"/>
                <w:szCs w:val="21"/>
                <w:highlight w:val="none"/>
                <w:lang w:val="en-US" w:eastAsia="zh-CN" w:bidi="ar-SA"/>
              </w:rPr>
              <w:t>分至</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 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8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108781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2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187E6EBC">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8</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1C1C57A0">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snapToGrid w:val="0"/>
                <w:color w:val="auto"/>
                <w:spacing w:val="0"/>
                <w:kern w:val="0"/>
                <w:sz w:val="22"/>
                <w:szCs w:val="22"/>
                <w:highlight w:val="none"/>
                <w:lang w:val="en-US" w:eastAsia="zh-CN" w:bidi="ar-SA"/>
              </w:rPr>
            </w:pPr>
            <w:r>
              <w:rPr>
                <w:rFonts w:hint="eastAsia" w:ascii="宋体" w:hAnsi="宋体" w:eastAsia="宋体" w:cs="宋体"/>
                <w:snapToGrid w:val="0"/>
                <w:color w:val="auto"/>
                <w:spacing w:val="0"/>
                <w:kern w:val="0"/>
                <w:sz w:val="22"/>
                <w:szCs w:val="22"/>
                <w:highlight w:val="none"/>
                <w:lang w:val="en-US" w:eastAsia="zh-CN" w:bidi="ar-SA"/>
              </w:rPr>
              <w:t>投标相关资料（如有）</w:t>
            </w:r>
          </w:p>
          <w:p w14:paraId="0C806EA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递交地点</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14554D36">
            <w:pPr>
              <w:adjustRightInd w:val="0"/>
              <w:snapToGrid w:val="0"/>
              <w:spacing w:line="400" w:lineRule="exact"/>
              <w:rPr>
                <w:rFonts w:hAnsi="宋体"/>
                <w:snapToGrid w:val="0"/>
                <w:color w:val="auto"/>
                <w:kern w:val="0"/>
                <w:highlight w:val="none"/>
              </w:rPr>
            </w:pPr>
            <w:r>
              <w:rPr>
                <w:rFonts w:hAnsi="宋体"/>
                <w:snapToGrid w:val="0"/>
                <w:color w:val="auto"/>
                <w:kern w:val="0"/>
                <w:highlight w:val="none"/>
              </w:rPr>
              <w:t>递交场所：</w:t>
            </w:r>
            <w:r>
              <w:rPr>
                <w:rFonts w:hAnsi="宋体" w:cs="宋体"/>
                <w:color w:val="auto"/>
                <w:kern w:val="0"/>
                <w:highlight w:val="none"/>
              </w:rPr>
              <w:t>韶关市公共资源交易中心</w:t>
            </w:r>
            <w:r>
              <w:rPr>
                <w:rFonts w:hAnsi="宋体"/>
                <w:snapToGrid w:val="0"/>
                <w:color w:val="auto"/>
                <w:kern w:val="0"/>
                <w:highlight w:val="none"/>
              </w:rPr>
              <w:t>，</w:t>
            </w:r>
          </w:p>
          <w:p w14:paraId="6FF5E468">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right="0"/>
              <w:jc w:val="left"/>
              <w:rPr>
                <w:rFonts w:hint="eastAsia" w:eastAsia="宋体" w:asciiTheme="minorEastAsia" w:hAnsiTheme="minorEastAsia" w:cstheme="minorEastAsia"/>
                <w:color w:val="auto"/>
                <w:spacing w:val="0"/>
                <w:sz w:val="22"/>
                <w:szCs w:val="18"/>
                <w:highlight w:val="none"/>
                <w:lang w:eastAsia="zh-CN"/>
              </w:rPr>
            </w:pPr>
            <w:r>
              <w:rPr>
                <w:rFonts w:hAnsi="宋体" w:cs="宋体"/>
                <w:snapToGrid w:val="0"/>
                <w:color w:val="auto"/>
                <w:kern w:val="0"/>
                <w:szCs w:val="24"/>
                <w:highlight w:val="none"/>
              </w:rPr>
              <w:t>地址：</w:t>
            </w:r>
            <w:r>
              <w:rPr>
                <w:rFonts w:hAnsi="宋体" w:cs="宋体"/>
                <w:color w:val="auto"/>
                <w:kern w:val="0"/>
                <w:highlight w:val="none"/>
              </w:rPr>
              <w:t>广东省韶关市武江区西联镇韶关市公共资源交易中心，具体递交场所以当日现场通知为准</w:t>
            </w:r>
            <w:r>
              <w:rPr>
                <w:rFonts w:hint="eastAsia" w:hAnsi="宋体" w:eastAsia="宋体" w:cs="宋体"/>
                <w:color w:val="auto"/>
                <w:kern w:val="0"/>
                <w:highlight w:val="none"/>
                <w:lang w:eastAsia="zh-CN"/>
              </w:rPr>
              <w:t>。</w:t>
            </w:r>
            <w:bookmarkStart w:id="269" w:name="_GoBack"/>
            <w:bookmarkEnd w:id="269"/>
          </w:p>
        </w:tc>
      </w:tr>
      <w:tr w14:paraId="67D68B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6"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7A492F83">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9</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47E60E97">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开标时间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4C4759C4">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 xml:space="preserve"> </w:t>
            </w:r>
            <w:r>
              <w:rPr>
                <w:rFonts w:hint="eastAsia" w:asciiTheme="minorEastAsia" w:hAnsiTheme="minorEastAsia" w:eastAsiaTheme="minorEastAsia" w:cstheme="minorEastAsia"/>
                <w:color w:val="auto"/>
                <w:spacing w:val="0"/>
                <w:kern w:val="0"/>
                <w:sz w:val="21"/>
                <w:szCs w:val="21"/>
                <w:highlight w:val="none"/>
                <w:u w:val="single"/>
                <w:lang w:val="en-US" w:eastAsia="zh-CN" w:bidi="ar-SA"/>
              </w:rPr>
              <w:t xml:space="preserve">2026 </w:t>
            </w:r>
            <w:r>
              <w:rPr>
                <w:rFonts w:hint="eastAsia" w:asciiTheme="minorEastAsia" w:hAnsiTheme="minorEastAsia" w:eastAsiaTheme="minorEastAsia" w:cstheme="minorEastAsia"/>
                <w:color w:val="auto"/>
                <w:spacing w:val="0"/>
                <w:kern w:val="0"/>
                <w:sz w:val="21"/>
                <w:szCs w:val="21"/>
                <w:highlight w:val="none"/>
                <w:lang w:val="en-US" w:eastAsia="zh-CN" w:bidi="ar-SA"/>
              </w:rPr>
              <w:t>年</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4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月</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8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日</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09 </w:t>
            </w: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时</w:t>
            </w:r>
            <w:r>
              <w:rPr>
                <w:rFonts w:hint="eastAsia" w:asciiTheme="minorEastAsia" w:hAnsiTheme="minorEastAsia" w:eastAsiaTheme="minorEastAsia" w:cstheme="minorEastAsia"/>
                <w:snapToGrid w:val="0"/>
                <w:color w:val="auto"/>
                <w:spacing w:val="0"/>
                <w:kern w:val="0"/>
                <w:sz w:val="21"/>
                <w:szCs w:val="21"/>
                <w:highlight w:val="none"/>
                <w:u w:val="single"/>
                <w:lang w:val="en-US" w:eastAsia="zh-CN" w:bidi="ar-SA"/>
              </w:rPr>
              <w:t xml:space="preserve"> 30 </w:t>
            </w:r>
            <w:r>
              <w:rPr>
                <w:rFonts w:hint="eastAsia" w:asciiTheme="minorEastAsia" w:hAnsiTheme="minorEastAsia" w:eastAsiaTheme="minorEastAsia" w:cstheme="minorEastAsia"/>
                <w:color w:val="auto"/>
                <w:spacing w:val="0"/>
                <w:kern w:val="0"/>
                <w:sz w:val="21"/>
                <w:szCs w:val="21"/>
                <w:highlight w:val="none"/>
                <w:lang w:val="en-US" w:eastAsia="zh-CN" w:bidi="ar-SA"/>
              </w:rPr>
              <w:t>分</w:t>
            </w:r>
          </w:p>
        </w:tc>
      </w:tr>
      <w:tr w14:paraId="20C8AC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7" w:hRule="exact"/>
        </w:trPr>
        <w:tc>
          <w:tcPr>
            <w:tcW w:w="421" w:type="dxa"/>
            <w:tcBorders>
              <w:top w:val="single" w:color="080000" w:sz="4" w:space="0"/>
              <w:left w:val="single" w:color="080000" w:sz="4" w:space="0"/>
              <w:bottom w:val="single" w:color="080000" w:sz="4" w:space="0"/>
              <w:right w:val="single" w:color="080000" w:sz="4" w:space="0"/>
            </w:tcBorders>
            <w:noWrap w:val="0"/>
            <w:vAlign w:val="center"/>
          </w:tcPr>
          <w:p w14:paraId="5162EF3C">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rPr>
              <w:t>10</w:t>
            </w:r>
          </w:p>
        </w:tc>
        <w:tc>
          <w:tcPr>
            <w:tcW w:w="1300" w:type="dxa"/>
            <w:tcBorders>
              <w:top w:val="single" w:color="080000" w:sz="4" w:space="0"/>
              <w:left w:val="single" w:color="080000" w:sz="4" w:space="0"/>
              <w:bottom w:val="single" w:color="080000" w:sz="4" w:space="0"/>
              <w:right w:val="single" w:color="080000" w:sz="4" w:space="0"/>
            </w:tcBorders>
            <w:noWrap w:val="0"/>
            <w:vAlign w:val="center"/>
          </w:tcPr>
          <w:p w14:paraId="0F22FDE3">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2"/>
                <w:szCs w:val="18"/>
                <w:highlight w:val="none"/>
              </w:rPr>
            </w:pPr>
            <w:r>
              <w:rPr>
                <w:rFonts w:hint="eastAsia" w:ascii="宋体" w:hAnsi="宋体" w:eastAsia="宋体" w:cs="宋体"/>
                <w:snapToGrid w:val="0"/>
                <w:color w:val="auto"/>
                <w:spacing w:val="0"/>
                <w:kern w:val="0"/>
                <w:sz w:val="22"/>
                <w:szCs w:val="22"/>
                <w:highlight w:val="none"/>
                <w:lang w:val="en-US" w:eastAsia="zh-CN" w:bidi="ar-SA"/>
              </w:rPr>
              <w:t xml:space="preserve">开标地点 </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0E80F70">
            <w:pPr>
              <w:pStyle w:val="13"/>
              <w:spacing w:before="0" w:beforeAutospacing="0" w:after="150" w:afterAutospacing="0" w:line="360" w:lineRule="atLeast"/>
              <w:ind w:firstLine="210" w:firstLineChars="100"/>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 xml:space="preserve">开标场所：韶关市公共资源交易中心 </w:t>
            </w:r>
          </w:p>
          <w:p w14:paraId="2C0BEC9D">
            <w:pPr>
              <w:keepNext w:val="0"/>
              <w:keepLines w:val="0"/>
              <w:pageBreakBefore w:val="0"/>
              <w:widowControl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color w:val="auto"/>
                <w:spacing w:val="0"/>
                <w:sz w:val="22"/>
                <w:szCs w:val="18"/>
                <w:highlight w:val="none"/>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地址：广东省韶关市武江区西联镇，具体房间号以当日现场通知为准。</w:t>
            </w:r>
          </w:p>
        </w:tc>
      </w:tr>
      <w:tr w14:paraId="1FD2AC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1721" w:type="dxa"/>
            <w:gridSpan w:val="2"/>
            <w:tcBorders>
              <w:top w:val="single" w:color="080000" w:sz="4" w:space="0"/>
              <w:left w:val="single" w:color="080000" w:sz="4" w:space="0"/>
              <w:bottom w:val="single" w:color="080000" w:sz="4" w:space="0"/>
              <w:right w:val="single" w:color="080000" w:sz="4" w:space="0"/>
            </w:tcBorders>
            <w:noWrap w:val="0"/>
            <w:vAlign w:val="center"/>
          </w:tcPr>
          <w:p w14:paraId="5F4E94EC">
            <w:pPr>
              <w:pStyle w:val="29"/>
              <w:keepNext w:val="0"/>
              <w:keepLines w:val="0"/>
              <w:pageBreakBefore w:val="0"/>
              <w:suppressLineNumbers w:val="0"/>
              <w:wordWrap w:val="0"/>
              <w:overflowPunct/>
              <w:topLinePunct w:val="0"/>
              <w:bidi w:val="0"/>
              <w:adjustRightInd w:val="0"/>
              <w:snapToGrid w:val="0"/>
              <w:spacing w:before="0" w:beforeAutospacing="0" w:after="0" w:afterAutospacing="0" w:line="360" w:lineRule="exact"/>
              <w:ind w:left="0" w:right="0"/>
              <w:jc w:val="center"/>
              <w:rPr>
                <w:rFonts w:hint="eastAsia" w:ascii="宋体" w:hAnsi="宋体" w:eastAsia="宋体" w:cs="宋体"/>
                <w:color w:val="auto"/>
                <w:spacing w:val="0"/>
                <w:sz w:val="20"/>
                <w:szCs w:val="22"/>
                <w:highlight w:val="none"/>
              </w:rPr>
            </w:pPr>
            <w:r>
              <w:rPr>
                <w:rFonts w:hint="eastAsia" w:ascii="宋体" w:hAnsi="宋体" w:eastAsia="宋体" w:cs="宋体"/>
                <w:snapToGrid w:val="0"/>
                <w:color w:val="auto"/>
                <w:spacing w:val="0"/>
                <w:kern w:val="0"/>
                <w:sz w:val="21"/>
                <w:szCs w:val="21"/>
                <w:highlight w:val="none"/>
                <w:lang w:val="en-US" w:eastAsia="zh-CN"/>
              </w:rPr>
              <w:t>备注</w:t>
            </w:r>
          </w:p>
        </w:tc>
        <w:tc>
          <w:tcPr>
            <w:tcW w:w="7338" w:type="dxa"/>
            <w:tcBorders>
              <w:top w:val="single" w:color="080000" w:sz="4" w:space="0"/>
              <w:left w:val="single" w:color="080000" w:sz="4" w:space="0"/>
              <w:bottom w:val="single" w:color="080000" w:sz="4" w:space="0"/>
              <w:right w:val="single" w:color="080000" w:sz="4" w:space="0"/>
            </w:tcBorders>
            <w:noWrap w:val="0"/>
            <w:vAlign w:val="center"/>
          </w:tcPr>
          <w:p w14:paraId="719EF49D">
            <w:pPr>
              <w:pStyle w:val="29"/>
              <w:keepNext w:val="0"/>
              <w:keepLines w:val="0"/>
              <w:pageBreakBefore w:val="0"/>
              <w:suppressLineNumbers w:val="0"/>
              <w:wordWrap w:val="0"/>
              <w:overflowPunct/>
              <w:topLinePunct w:val="0"/>
              <w:bidi w:val="0"/>
              <w:adjustRightInd w:val="0"/>
              <w:snapToGrid w:val="0"/>
              <w:spacing w:before="0" w:beforeAutospacing="0" w:after="0" w:afterAutospacing="0" w:line="400" w:lineRule="exact"/>
              <w:ind w:left="0" w:right="0" w:firstLine="210" w:firstLineChars="100"/>
              <w:jc w:val="left"/>
              <w:rPr>
                <w:rFonts w:hint="eastAsia" w:asciiTheme="minorEastAsia" w:hAnsiTheme="minorEastAsia" w:eastAsiaTheme="minorEastAsia" w:cstheme="minorEastAsia"/>
                <w:color w:val="auto"/>
                <w:spacing w:val="0"/>
                <w:sz w:val="20"/>
                <w:szCs w:val="22"/>
                <w:highlight w:val="none"/>
              </w:rPr>
            </w:pPr>
            <w:r>
              <w:rPr>
                <w:rFonts w:hint="eastAsia" w:asciiTheme="minorEastAsia" w:hAnsiTheme="minorEastAsia" w:eastAsiaTheme="minorEastAsia" w:cstheme="minorEastAsia"/>
                <w:snapToGrid w:val="0"/>
                <w:color w:val="auto"/>
                <w:spacing w:val="0"/>
                <w:kern w:val="0"/>
                <w:sz w:val="21"/>
                <w:szCs w:val="21"/>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1DB7A25C">
      <w:pPr>
        <w:keepNext w:val="0"/>
        <w:keepLines w:val="0"/>
        <w:pageBreakBefore w:val="0"/>
        <w:tabs>
          <w:tab w:val="left" w:pos="8820"/>
        </w:tabs>
        <w:wordWrap w:val="0"/>
        <w:overflowPunct/>
        <w:topLinePunct w:val="0"/>
        <w:bidi w:val="0"/>
        <w:rPr>
          <w:rFonts w:hint="eastAsia" w:ascii="宋体" w:hAnsi="宋体" w:eastAsia="宋体" w:cs="宋体"/>
          <w:b w:val="0"/>
          <w:bCs w:val="0"/>
          <w:color w:val="auto"/>
          <w:spacing w:val="0"/>
          <w:sz w:val="24"/>
          <w:szCs w:val="24"/>
          <w:highlight w:val="none"/>
        </w:rPr>
        <w:sectPr>
          <w:headerReference r:id="rId7" w:type="default"/>
          <w:footerReference r:id="rId8" w:type="default"/>
          <w:pgSz w:w="11906" w:h="16839"/>
          <w:pgMar w:top="1440" w:right="1080" w:bottom="1440" w:left="1080" w:header="0" w:footer="1085" w:gutter="0"/>
          <w:pgBorders>
            <w:top w:val="none" w:sz="0" w:space="0"/>
            <w:left w:val="none" w:sz="0" w:space="0"/>
            <w:bottom w:val="none" w:sz="0" w:space="0"/>
            <w:right w:val="none" w:sz="0" w:space="0"/>
          </w:pgBorders>
          <w:pgNumType w:fmt="decimal"/>
          <w:cols w:space="720" w:num="1"/>
        </w:sectPr>
      </w:pPr>
    </w:p>
    <w:p w14:paraId="6676F686">
      <w:pPr>
        <w:keepNext w:val="0"/>
        <w:keepLines w:val="0"/>
        <w:pageBreakBefore w:val="0"/>
        <w:wordWrap w:val="0"/>
        <w:overflowPunct/>
        <w:topLinePunct w:val="0"/>
        <w:bidi w:val="0"/>
        <w:jc w:val="center"/>
        <w:outlineLvl w:val="1"/>
        <w:rPr>
          <w:rFonts w:hint="eastAsia" w:ascii="宋体" w:hAnsi="宋体" w:eastAsia="宋体" w:cs="宋体"/>
          <w:color w:val="auto"/>
          <w:spacing w:val="0"/>
          <w:sz w:val="24"/>
          <w:szCs w:val="24"/>
          <w:highlight w:val="none"/>
        </w:rPr>
      </w:pPr>
      <w:bookmarkStart w:id="7" w:name="_Toc2226"/>
      <w:r>
        <w:rPr>
          <w:rFonts w:hint="eastAsia" w:ascii="宋体" w:hAnsi="宋体" w:eastAsia="宋体" w:cs="宋体"/>
          <w:b/>
          <w:bCs/>
          <w:color w:val="auto"/>
          <w:spacing w:val="0"/>
          <w:sz w:val="24"/>
          <w:szCs w:val="24"/>
          <w:highlight w:val="none"/>
        </w:rPr>
        <w:t>第三节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投标人须知正文</w:t>
      </w:r>
      <w:bookmarkEnd w:id="7"/>
    </w:p>
    <w:p w14:paraId="02FC90BF">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7EBC5C91">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5B96231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u w:val="single"/>
          <w:lang w:val="en-US" w:eastAsia="zh-CN"/>
        </w:rPr>
        <w:t>韶关市风采桥桥面人行道修缮工程</w:t>
      </w:r>
      <w:r>
        <w:rPr>
          <w:rFonts w:hint="eastAsia" w:ascii="宋体" w:hAnsi="宋体" w:eastAsia="宋体" w:cs="宋体"/>
          <w:snapToGrid w:val="0"/>
          <w:color w:val="auto"/>
          <w:spacing w:val="0"/>
          <w:kern w:val="0"/>
          <w:sz w:val="24"/>
          <w:szCs w:val="24"/>
          <w:highlight w:val="none"/>
        </w:rPr>
        <w:t>经</w:t>
      </w:r>
      <w:r>
        <w:rPr>
          <w:rFonts w:hint="eastAsia" w:ascii="宋体" w:hAnsi="宋体" w:eastAsia="宋体" w:cs="宋体"/>
          <w:snapToGrid w:val="0"/>
          <w:color w:val="auto"/>
          <w:spacing w:val="0"/>
          <w:kern w:val="0"/>
          <w:sz w:val="24"/>
          <w:szCs w:val="24"/>
          <w:highlight w:val="none"/>
          <w:u w:val="single"/>
          <w:lang w:val="en-US" w:eastAsia="zh-CN"/>
        </w:rPr>
        <w:t>韶关市</w:t>
      </w:r>
      <w:r>
        <w:rPr>
          <w:rFonts w:hint="eastAsia" w:ascii="宋体" w:hAnsi="宋体" w:eastAsia="宋体" w:cs="宋体"/>
          <w:color w:val="auto"/>
          <w:spacing w:val="0"/>
          <w:sz w:val="24"/>
          <w:szCs w:val="24"/>
          <w:highlight w:val="none"/>
          <w:u w:val="single"/>
          <w:lang w:val="en-US" w:eastAsia="zh-CN"/>
        </w:rPr>
        <w:t>发展和改革局</w:t>
      </w:r>
      <w:r>
        <w:rPr>
          <w:rFonts w:hint="eastAsia" w:ascii="宋体" w:hAnsi="宋体" w:eastAsia="宋体" w:cs="宋体"/>
          <w:snapToGrid w:val="0"/>
          <w:color w:val="auto"/>
          <w:spacing w:val="0"/>
          <w:kern w:val="0"/>
          <w:sz w:val="24"/>
          <w:szCs w:val="24"/>
          <w:highlight w:val="none"/>
        </w:rPr>
        <w:t>以</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color w:val="auto"/>
          <w:spacing w:val="0"/>
          <w:sz w:val="24"/>
          <w:szCs w:val="24"/>
          <w:highlight w:val="none"/>
          <w:u w:val="single"/>
          <w:lang w:val="en-US" w:eastAsia="zh-CN"/>
        </w:rPr>
        <w:t xml:space="preserve">韶关市发展和改革局关于韶关市风采桥桥面 </w:t>
      </w:r>
      <w:r>
        <w:rPr>
          <w:rFonts w:hint="default" w:ascii="宋体" w:hAnsi="宋体" w:eastAsia="宋体" w:cs="宋体"/>
          <w:color w:val="auto"/>
          <w:spacing w:val="0"/>
          <w:sz w:val="24"/>
          <w:szCs w:val="24"/>
          <w:highlight w:val="none"/>
          <w:u w:val="single"/>
          <w:lang w:val="en-US" w:eastAsia="zh-CN"/>
        </w:rPr>
        <w:t>人行道修缮工程项目的批复</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u w:val="single"/>
          <w:lang w:val="en-US" w:eastAsia="zh-CN"/>
        </w:rPr>
        <w:t>韶发改投审〔2025〕34号</w:t>
      </w:r>
      <w:r>
        <w:rPr>
          <w:rFonts w:hint="eastAsia" w:ascii="宋体" w:hAnsi="宋体" w:eastAsia="宋体" w:cs="宋体"/>
          <w:snapToGrid w:val="0"/>
          <w:color w:val="auto"/>
          <w:spacing w:val="0"/>
          <w:kern w:val="0"/>
          <w:sz w:val="24"/>
          <w:szCs w:val="24"/>
          <w:highlight w:val="none"/>
          <w:u w:val="single"/>
        </w:rPr>
        <w:t>）</w:t>
      </w:r>
      <w:r>
        <w:rPr>
          <w:rFonts w:hint="eastAsia" w:ascii="宋体" w:hAnsi="宋体" w:eastAsia="宋体" w:cs="宋体"/>
          <w:snapToGrid w:val="0"/>
          <w:color w:val="auto"/>
          <w:spacing w:val="0"/>
          <w:kern w:val="0"/>
          <w:sz w:val="24"/>
          <w:szCs w:val="24"/>
          <w:highlight w:val="none"/>
        </w:rPr>
        <w:t>批准建设，项目代码为</w:t>
      </w:r>
      <w:r>
        <w:rPr>
          <w:rFonts w:hint="eastAsia" w:ascii="宋体" w:hAnsi="宋体" w:eastAsia="宋体" w:cs="宋体"/>
          <w:snapToGrid w:val="0"/>
          <w:color w:val="auto"/>
          <w:spacing w:val="0"/>
          <w:kern w:val="0"/>
          <w:sz w:val="24"/>
          <w:szCs w:val="24"/>
          <w:highlight w:val="none"/>
          <w:u w:val="single"/>
          <w:lang w:val="en-US" w:eastAsia="zh-CN"/>
        </w:rPr>
        <w:t>2508-440200-04-01-131387</w:t>
      </w:r>
      <w:r>
        <w:rPr>
          <w:rFonts w:hint="eastAsia" w:ascii="宋体" w:hAnsi="宋体" w:eastAsia="宋体" w:cs="宋体"/>
          <w:snapToGrid w:val="0"/>
          <w:color w:val="auto"/>
          <w:spacing w:val="0"/>
          <w:kern w:val="0"/>
          <w:sz w:val="24"/>
          <w:szCs w:val="24"/>
          <w:highlight w:val="none"/>
        </w:rPr>
        <w:t>。本项目业主为</w:t>
      </w:r>
      <w:r>
        <w:rPr>
          <w:rFonts w:hint="eastAsia" w:ascii="宋体" w:hAnsi="宋体" w:eastAsia="宋体" w:cs="宋体"/>
          <w:snapToGrid w:val="0"/>
          <w:color w:val="auto"/>
          <w:spacing w:val="0"/>
          <w:kern w:val="0"/>
          <w:sz w:val="24"/>
          <w:szCs w:val="24"/>
          <w:highlight w:val="none"/>
          <w:u w:val="single"/>
          <w:lang w:eastAsia="zh-CN"/>
        </w:rPr>
        <w:t>韶关市市政管理中心</w:t>
      </w:r>
      <w:r>
        <w:rPr>
          <w:rFonts w:hint="eastAsia" w:ascii="宋体" w:hAnsi="宋体" w:eastAsia="宋体" w:cs="宋体"/>
          <w:snapToGrid w:val="0"/>
          <w:color w:val="auto"/>
          <w:spacing w:val="0"/>
          <w:kern w:val="0"/>
          <w:sz w:val="24"/>
          <w:szCs w:val="24"/>
          <w:highlight w:val="none"/>
        </w:rPr>
        <w:t>，建设资金</w:t>
      </w:r>
      <w:r>
        <w:rPr>
          <w:rFonts w:hint="eastAsia" w:ascii="宋体" w:hAnsi="宋体" w:eastAsia="宋体" w:cs="宋体"/>
          <w:snapToGrid w:val="0"/>
          <w:color w:val="auto"/>
          <w:spacing w:val="0"/>
          <w:kern w:val="0"/>
          <w:sz w:val="24"/>
          <w:szCs w:val="24"/>
          <w:highlight w:val="none"/>
          <w:u w:val="single"/>
          <w:lang w:val="en-US" w:eastAsia="zh-CN"/>
        </w:rPr>
        <w:t>由政府一般债予以支持，其余部分由财政统筹解决</w:t>
      </w:r>
      <w:r>
        <w:rPr>
          <w:rFonts w:hint="eastAsia" w:ascii="宋体" w:hAnsi="宋体" w:eastAsia="宋体" w:cs="宋体"/>
          <w:snapToGrid w:val="0"/>
          <w:color w:val="auto"/>
          <w:spacing w:val="0"/>
          <w:kern w:val="0"/>
          <w:sz w:val="24"/>
          <w:szCs w:val="24"/>
          <w:highlight w:val="none"/>
          <w:u w:val="none"/>
          <w:lang w:eastAsia="zh-CN"/>
        </w:rPr>
        <w:t>，</w:t>
      </w:r>
      <w:r>
        <w:rPr>
          <w:rFonts w:hint="eastAsia" w:ascii="宋体" w:hAnsi="宋体" w:eastAsia="宋体" w:cs="宋体"/>
          <w:snapToGrid w:val="0"/>
          <w:color w:val="auto"/>
          <w:spacing w:val="0"/>
          <w:kern w:val="0"/>
          <w:sz w:val="24"/>
          <w:szCs w:val="24"/>
          <w:highlight w:val="none"/>
        </w:rPr>
        <w:t>出资比例为</w:t>
      </w:r>
      <w:r>
        <w:rPr>
          <w:rFonts w:hint="eastAsia" w:ascii="宋体" w:hAnsi="宋体" w:eastAsia="宋体" w:cs="宋体"/>
          <w:snapToGrid w:val="0"/>
          <w:color w:val="auto"/>
          <w:spacing w:val="0"/>
          <w:kern w:val="0"/>
          <w:sz w:val="24"/>
          <w:szCs w:val="24"/>
          <w:highlight w:val="none"/>
          <w:u w:val="single"/>
        </w:rPr>
        <w:t>100%</w:t>
      </w:r>
      <w:r>
        <w:rPr>
          <w:rFonts w:hint="eastAsia" w:ascii="宋体" w:hAnsi="宋体" w:eastAsia="宋体" w:cs="宋体"/>
          <w:snapToGrid w:val="0"/>
          <w:color w:val="auto"/>
          <w:spacing w:val="0"/>
          <w:kern w:val="0"/>
          <w:sz w:val="24"/>
          <w:szCs w:val="24"/>
          <w:highlight w:val="none"/>
          <w:lang w:eastAsia="zh-CN"/>
        </w:rPr>
        <w:t>。</w:t>
      </w:r>
      <w:r>
        <w:rPr>
          <w:rFonts w:hint="eastAsia" w:ascii="宋体" w:hAnsi="宋体" w:eastAsia="宋体" w:cs="宋体"/>
          <w:snapToGrid w:val="0"/>
          <w:color w:val="auto"/>
          <w:spacing w:val="0"/>
          <w:kern w:val="0"/>
          <w:sz w:val="24"/>
          <w:szCs w:val="24"/>
          <w:highlight w:val="none"/>
        </w:rPr>
        <w:t>招标人为</w:t>
      </w:r>
      <w:r>
        <w:rPr>
          <w:rFonts w:hint="eastAsia" w:ascii="宋体" w:hAnsi="宋体" w:eastAsia="宋体" w:cs="宋体"/>
          <w:snapToGrid w:val="0"/>
          <w:color w:val="auto"/>
          <w:spacing w:val="0"/>
          <w:kern w:val="0"/>
          <w:sz w:val="24"/>
          <w:szCs w:val="24"/>
          <w:highlight w:val="none"/>
          <w:u w:val="single"/>
          <w:lang w:eastAsia="zh-CN"/>
        </w:rPr>
        <w:t>韶关市市政管理中心</w:t>
      </w:r>
      <w:r>
        <w:rPr>
          <w:rFonts w:hint="eastAsia" w:ascii="宋体" w:hAnsi="宋体" w:eastAsia="宋体" w:cs="宋体"/>
          <w:snapToGrid w:val="0"/>
          <w:color w:val="auto"/>
          <w:spacing w:val="0"/>
          <w:kern w:val="0"/>
          <w:sz w:val="24"/>
          <w:szCs w:val="24"/>
          <w:highlight w:val="none"/>
        </w:rPr>
        <w:t>，招标代理机构为</w:t>
      </w:r>
      <w:r>
        <w:rPr>
          <w:rFonts w:hint="eastAsia" w:ascii="宋体" w:hAnsi="宋体" w:eastAsia="宋体" w:cs="宋体"/>
          <w:color w:val="auto"/>
          <w:spacing w:val="0"/>
          <w:sz w:val="24"/>
          <w:szCs w:val="24"/>
          <w:highlight w:val="none"/>
          <w:u w:val="single"/>
          <w:lang w:eastAsia="zh-CN"/>
        </w:rPr>
        <w:t>韶关成果项目管理有限公司</w:t>
      </w:r>
      <w:r>
        <w:rPr>
          <w:rFonts w:hint="eastAsia" w:ascii="宋体" w:hAnsi="宋体" w:eastAsia="宋体" w:cs="宋体"/>
          <w:snapToGrid w:val="0"/>
          <w:color w:val="auto"/>
          <w:spacing w:val="0"/>
          <w:kern w:val="0"/>
          <w:sz w:val="24"/>
          <w:szCs w:val="24"/>
          <w:highlight w:val="none"/>
        </w:rPr>
        <w:t>。项目已具备招标条件，现对该项目的</w:t>
      </w:r>
      <w:r>
        <w:rPr>
          <w:rFonts w:hint="eastAsia" w:ascii="宋体" w:hAnsi="宋体" w:eastAsia="宋体" w:cs="宋体"/>
          <w:snapToGrid w:val="0"/>
          <w:color w:val="auto"/>
          <w:spacing w:val="0"/>
          <w:kern w:val="0"/>
          <w:sz w:val="24"/>
          <w:szCs w:val="24"/>
          <w:highlight w:val="none"/>
          <w:u w:val="single"/>
        </w:rPr>
        <w:t>施工</w:t>
      </w:r>
      <w:r>
        <w:rPr>
          <w:rFonts w:hint="eastAsia" w:ascii="宋体" w:hAnsi="宋体" w:eastAsia="宋体" w:cs="宋体"/>
          <w:snapToGrid w:val="0"/>
          <w:color w:val="auto"/>
          <w:spacing w:val="0"/>
          <w:kern w:val="0"/>
          <w:sz w:val="24"/>
          <w:szCs w:val="24"/>
          <w:highlight w:val="none"/>
        </w:rPr>
        <w:t>进行公开招标。</w:t>
      </w:r>
    </w:p>
    <w:p w14:paraId="4A255F0A">
      <w:pPr>
        <w:keepNext w:val="0"/>
        <w:keepLines w:val="0"/>
        <w:pageBreakBefore w:val="0"/>
        <w:wordWrap w:val="0"/>
        <w:overflowPunct/>
        <w:topLinePunct w:val="0"/>
        <w:bidi w:val="0"/>
        <w:spacing w:before="79" w:line="220" w:lineRule="auto"/>
        <w:ind w:firstLine="482" w:firstLineChars="200"/>
        <w:outlineLvl w:val="2"/>
        <w:rPr>
          <w:rFonts w:hint="eastAsia" w:ascii="宋体" w:hAnsi="宋体" w:eastAsia="宋体" w:cs="宋体"/>
          <w:b/>
          <w:bCs/>
          <w:color w:val="auto"/>
          <w:spacing w:val="0"/>
          <w:sz w:val="24"/>
          <w:szCs w:val="24"/>
          <w:highlight w:val="none"/>
        </w:rPr>
      </w:pPr>
      <w:bookmarkStart w:id="8" w:name="bookmark73"/>
      <w:bookmarkEnd w:id="8"/>
      <w:bookmarkStart w:id="9" w:name="bookmark59"/>
      <w:bookmarkEnd w:id="9"/>
      <w:bookmarkStart w:id="10" w:name="bookmark52"/>
      <w:bookmarkEnd w:id="10"/>
      <w:bookmarkStart w:id="11" w:name="_Toc6914"/>
      <w:bookmarkStart w:id="12" w:name="_Toc15993"/>
      <w:r>
        <w:rPr>
          <w:rFonts w:hint="eastAsia" w:ascii="宋体" w:hAnsi="宋体" w:eastAsia="宋体" w:cs="宋体"/>
          <w:b/>
          <w:bCs/>
          <w:color w:val="auto"/>
          <w:spacing w:val="0"/>
          <w:sz w:val="24"/>
          <w:szCs w:val="24"/>
          <w:highlight w:val="none"/>
        </w:rPr>
        <w:t>1 ．项目概况、招标范围和标段划分、投标费用等</w:t>
      </w:r>
      <w:bookmarkEnd w:id="11"/>
      <w:bookmarkEnd w:id="12"/>
    </w:p>
    <w:p w14:paraId="5D044C56">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项目概况</w:t>
      </w:r>
    </w:p>
    <w:p w14:paraId="77754DC0">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建设地点：</w:t>
      </w:r>
      <w:r>
        <w:rPr>
          <w:rFonts w:hint="eastAsia" w:ascii="宋体" w:hAnsi="宋体" w:eastAsia="宋体" w:cs="宋体"/>
          <w:color w:val="auto"/>
          <w:spacing w:val="0"/>
          <w:sz w:val="24"/>
          <w:szCs w:val="24"/>
          <w:highlight w:val="none"/>
          <w:u w:val="single"/>
          <w:lang w:val="en-US" w:eastAsia="zh-CN"/>
        </w:rPr>
        <w:t>韶关市风采桥。</w:t>
      </w:r>
    </w:p>
    <w:p w14:paraId="1F6C7693">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建设内容和规模：</w:t>
      </w:r>
    </w:p>
    <w:p w14:paraId="050506C0">
      <w:pPr>
        <w:keepNext w:val="0"/>
        <w:keepLines w:val="0"/>
        <w:pageBreakBefore w:val="0"/>
        <w:widowControl/>
        <w:kinsoku w:val="0"/>
        <w:wordWrap w:val="0"/>
        <w:overflowPunct/>
        <w:topLinePunct w:val="0"/>
        <w:autoSpaceDE w:val="0"/>
        <w:autoSpaceDN w:val="0"/>
        <w:bidi w:val="0"/>
        <w:adjustRightInd w:val="0"/>
        <w:snapToGrid w:val="0"/>
        <w:spacing w:line="360" w:lineRule="auto"/>
        <w:ind w:left="479" w:leftChars="228" w:right="0" w:firstLine="720" w:firstLineChars="300"/>
        <w:textAlignment w:val="baseline"/>
        <w:outlineLvl w:val="9"/>
        <w:rPr>
          <w:rFonts w:hint="default" w:ascii="宋体" w:hAnsi="宋体" w:eastAsia="宋体" w:cs="宋体"/>
          <w:color w:val="auto"/>
          <w:spacing w:val="0"/>
          <w:sz w:val="24"/>
          <w:szCs w:val="24"/>
          <w:highlight w:val="none"/>
          <w:u w:val="single"/>
          <w:lang w:val="en-US" w:eastAsia="zh-CN"/>
        </w:rPr>
      </w:pPr>
      <w:r>
        <w:rPr>
          <w:rFonts w:hint="eastAsia" w:ascii="宋体" w:hAnsi="宋体" w:eastAsia="宋体" w:cs="宋体"/>
          <w:color w:val="auto"/>
          <w:spacing w:val="0"/>
          <w:sz w:val="24"/>
          <w:szCs w:val="24"/>
          <w:highlight w:val="none"/>
          <w:u w:val="single"/>
          <w:lang w:val="en-US" w:eastAsia="zh-CN"/>
        </w:rPr>
        <w:t>对风采桥主桥、引桥进行修缮，桥</w:t>
      </w:r>
      <w:r>
        <w:rPr>
          <w:rFonts w:hint="default" w:ascii="宋体" w:hAnsi="宋体" w:eastAsia="宋体" w:cs="宋体"/>
          <w:color w:val="auto"/>
          <w:spacing w:val="0"/>
          <w:sz w:val="24"/>
          <w:szCs w:val="24"/>
          <w:highlight w:val="none"/>
          <w:u w:val="single"/>
          <w:lang w:val="en-US" w:eastAsia="zh-CN"/>
        </w:rPr>
        <w:t>梁全长约482米，桥宽12米，建筑面积5784平方米。</w:t>
      </w:r>
    </w:p>
    <w:p w14:paraId="42C3FBA4">
      <w:pPr>
        <w:keepNext w:val="0"/>
        <w:keepLines w:val="0"/>
        <w:pageBreakBefore w:val="0"/>
        <w:widowControl/>
        <w:kinsoku w:val="0"/>
        <w:wordWrap w:val="0"/>
        <w:overflowPunct/>
        <w:topLinePunct w:val="0"/>
        <w:autoSpaceDE w:val="0"/>
        <w:autoSpaceDN w:val="0"/>
        <w:bidi w:val="0"/>
        <w:adjustRightInd w:val="0"/>
        <w:snapToGrid w:val="0"/>
        <w:spacing w:line="360" w:lineRule="auto"/>
        <w:ind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rPr>
        <w:t xml:space="preserve">1.1.3  </w:t>
      </w:r>
      <w:r>
        <w:rPr>
          <w:rFonts w:hint="eastAsia" w:ascii="宋体" w:hAnsi="宋体" w:eastAsia="宋体" w:cs="宋体"/>
          <w:color w:val="auto"/>
          <w:spacing w:val="0"/>
          <w:sz w:val="24"/>
          <w:szCs w:val="24"/>
          <w:highlight w:val="none"/>
        </w:rPr>
        <w:t>项目总投资</w:t>
      </w:r>
      <w:r>
        <w:rPr>
          <w:rStyle w:val="27"/>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sz w:val="24"/>
          <w:szCs w:val="24"/>
          <w:highlight w:val="none"/>
          <w:u w:val="single"/>
          <w:lang w:val="en-US" w:eastAsia="zh-CN"/>
        </w:rPr>
        <w:t>项目概算总投资462.44万元，其中工程费用353.87万元，工程建设其他费用95.10万元，预备费用13.47万元。</w:t>
      </w:r>
    </w:p>
    <w:p w14:paraId="2C41A4AA">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u w:val="single"/>
          <w:lang w:val="en-US" w:eastAsia="zh-CN"/>
        </w:rPr>
      </w:pPr>
      <w:r>
        <w:rPr>
          <w:rFonts w:hint="eastAsia" w:ascii="宋体" w:hAnsi="宋体" w:eastAsia="宋体" w:cs="宋体"/>
          <w:b/>
          <w:bCs/>
          <w:color w:val="auto"/>
          <w:spacing w:val="0"/>
          <w:sz w:val="24"/>
          <w:szCs w:val="24"/>
          <w:highlight w:val="none"/>
          <w:u w:val="none"/>
          <w:lang w:val="en-US" w:eastAsia="zh-CN"/>
        </w:rPr>
        <w:t xml:space="preserve">1.2 </w:t>
      </w:r>
      <w:r>
        <w:rPr>
          <w:rFonts w:hint="eastAsia" w:ascii="宋体" w:hAnsi="宋体" w:eastAsia="宋体" w:cs="宋体"/>
          <w:color w:val="auto"/>
          <w:spacing w:val="0"/>
          <w:sz w:val="24"/>
          <w:szCs w:val="24"/>
          <w:highlight w:val="none"/>
          <w:u w:val="single"/>
          <w:lang w:val="en-US" w:eastAsia="zh-CN"/>
        </w:rPr>
        <w:t xml:space="preserve"> 招标范围和标段划分</w:t>
      </w:r>
    </w:p>
    <w:p w14:paraId="43D33095">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招标范围：</w:t>
      </w:r>
      <w:r>
        <w:rPr>
          <w:rFonts w:hint="eastAsia" w:ascii="宋体" w:hAnsi="宋体" w:eastAsia="宋体" w:cs="宋体"/>
          <w:color w:val="auto"/>
          <w:spacing w:val="0"/>
          <w:sz w:val="24"/>
          <w:szCs w:val="24"/>
          <w:highlight w:val="none"/>
          <w:lang w:eastAsia="zh-CN"/>
        </w:rPr>
        <w:t>按审查合格的施工图纸及工程量清单内容施工。</w:t>
      </w:r>
    </w:p>
    <w:p w14:paraId="645E2925">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bookmarkStart w:id="13" w:name="_Toc28202"/>
      <w:bookmarkStart w:id="14" w:name="_Toc20855"/>
      <w:bookmarkStart w:id="15" w:name="_Toc24593"/>
      <w:bookmarkStart w:id="16" w:name="_Toc14190"/>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标段划分：本招标项目不划分标段。</w:t>
      </w:r>
      <w:bookmarkEnd w:id="13"/>
      <w:bookmarkEnd w:id="14"/>
      <w:bookmarkEnd w:id="15"/>
      <w:bookmarkEnd w:id="16"/>
    </w:p>
    <w:p w14:paraId="7002A2A2">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  </w:t>
      </w:r>
      <w:r>
        <w:rPr>
          <w:rFonts w:hint="eastAsia" w:ascii="宋体" w:hAnsi="宋体" w:eastAsia="宋体" w:cs="宋体"/>
          <w:color w:val="auto"/>
          <w:spacing w:val="0"/>
          <w:sz w:val="24"/>
          <w:szCs w:val="24"/>
          <w:highlight w:val="none"/>
        </w:rPr>
        <w:t>投标费用：投标人应承担所有准备和参加投标的相关费用，不论投标结果如何，招标人均无义务和责任承担这些费用。</w:t>
      </w:r>
    </w:p>
    <w:p w14:paraId="529045A0">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2" w:firstLineChars="200"/>
        <w:textAlignment w:val="baseline"/>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  </w:t>
      </w:r>
      <w:r>
        <w:rPr>
          <w:rFonts w:hint="eastAsia" w:ascii="宋体" w:hAnsi="宋体" w:eastAsia="宋体" w:cs="宋体"/>
          <w:color w:val="auto"/>
          <w:spacing w:val="0"/>
          <w:sz w:val="24"/>
          <w:szCs w:val="24"/>
          <w:highlight w:val="none"/>
        </w:rPr>
        <w:t xml:space="preserve">招标代理费用：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shd w:val="clear" w:color="auto" w:fill="FFFFFF"/>
        </w:rPr>
        <w:t xml:space="preserve"> 由</w:t>
      </w:r>
      <w:r>
        <w:rPr>
          <w:rFonts w:hint="eastAsia" w:ascii="宋体" w:hAnsi="宋体" w:eastAsia="宋体" w:cs="宋体"/>
          <w:color w:val="auto"/>
          <w:spacing w:val="0"/>
          <w:sz w:val="24"/>
          <w:szCs w:val="24"/>
          <w:highlight w:val="none"/>
        </w:rPr>
        <w:t>项目业主</w:t>
      </w:r>
      <w:r>
        <w:rPr>
          <w:rFonts w:hint="eastAsia" w:ascii="宋体" w:hAnsi="宋体" w:eastAsia="宋体" w:cs="宋体"/>
          <w:color w:val="auto"/>
          <w:spacing w:val="0"/>
          <w:sz w:val="24"/>
          <w:szCs w:val="24"/>
          <w:highlight w:val="none"/>
          <w:shd w:val="clear" w:color="auto" w:fill="FFFFFF"/>
        </w:rPr>
        <w:t>支</w:t>
      </w:r>
      <w:r>
        <w:rPr>
          <w:rFonts w:hint="eastAsia" w:ascii="宋体" w:hAnsi="宋体" w:eastAsia="宋体" w:cs="宋体"/>
          <w:color w:val="auto"/>
          <w:spacing w:val="0"/>
          <w:sz w:val="24"/>
          <w:szCs w:val="24"/>
          <w:highlight w:val="none"/>
        </w:rPr>
        <w:t>付</w:t>
      </w:r>
      <w:r>
        <w:rPr>
          <w:rFonts w:hint="eastAsia" w:ascii="宋体" w:hAnsi="宋体" w:eastAsia="宋体" w:cs="宋体"/>
          <w:color w:val="auto"/>
          <w:spacing w:val="0"/>
          <w:position w:val="-6"/>
          <w:sz w:val="24"/>
          <w:szCs w:val="24"/>
          <w:highlight w:val="none"/>
          <w:shd w:val="clear" w:color="auto" w:fill="FFFFFF"/>
          <w:lang w:eastAsia="zh-CN"/>
        </w:rPr>
        <w:t xml:space="preserve"> </w:t>
      </w:r>
      <w:r>
        <w:rPr>
          <w:rFonts w:hint="eastAsia" w:ascii="宋体" w:hAnsi="宋体" w:eastAsia="宋体" w:cs="宋体"/>
          <w:color w:val="auto"/>
          <w:spacing w:val="0"/>
          <w:sz w:val="24"/>
          <w:szCs w:val="24"/>
          <w:highlight w:val="none"/>
          <w:shd w:val="clear" w:color="auto" w:fill="FFFFFF"/>
          <w:lang w:eastAsia="zh-CN"/>
        </w:rPr>
        <w:t>☑</w:t>
      </w:r>
      <w:r>
        <w:rPr>
          <w:rFonts w:hint="eastAsia" w:ascii="宋体" w:hAnsi="宋体" w:eastAsia="宋体" w:cs="宋体"/>
          <w:color w:val="auto"/>
          <w:spacing w:val="0"/>
          <w:sz w:val="24"/>
          <w:szCs w:val="24"/>
          <w:highlight w:val="none"/>
          <w:shd w:val="clear" w:color="auto" w:fill="FFFFFF"/>
        </w:rPr>
        <w:t xml:space="preserve"> 由中标人支付。</w:t>
      </w:r>
    </w:p>
    <w:p w14:paraId="7E20DB6F">
      <w:pPr>
        <w:keepNext w:val="0"/>
        <w:keepLines w:val="0"/>
        <w:pageBreakBefore w:val="0"/>
        <w:wordWrap w:val="0"/>
        <w:overflowPunct/>
        <w:topLinePunct w:val="0"/>
        <w:bidi w:val="0"/>
        <w:spacing w:before="79" w:line="220" w:lineRule="auto"/>
        <w:ind w:firstLine="482" w:firstLineChars="200"/>
        <w:outlineLvl w:val="2"/>
        <w:rPr>
          <w:rFonts w:hint="eastAsia" w:ascii="宋体" w:hAnsi="宋体" w:eastAsia="宋体" w:cs="宋体"/>
          <w:b/>
          <w:bCs/>
          <w:color w:val="auto"/>
          <w:spacing w:val="0"/>
          <w:sz w:val="24"/>
          <w:szCs w:val="24"/>
          <w:highlight w:val="none"/>
        </w:rPr>
      </w:pPr>
      <w:bookmarkStart w:id="17" w:name="_Toc19735"/>
      <w:r>
        <w:rPr>
          <w:rFonts w:hint="eastAsia" w:ascii="宋体" w:hAnsi="宋体" w:eastAsia="宋体" w:cs="宋体"/>
          <w:b/>
          <w:bCs/>
          <w:color w:val="auto"/>
          <w:spacing w:val="0"/>
          <w:sz w:val="24"/>
          <w:szCs w:val="24"/>
          <w:highlight w:val="none"/>
        </w:rPr>
        <w:t>2．</w:t>
      </w:r>
      <w:r>
        <w:rPr>
          <w:rFonts w:hint="eastAsia" w:ascii="宋体" w:hAnsi="宋体" w:eastAsia="宋体" w:cs="宋体"/>
          <w:b/>
          <w:bCs/>
          <w:color w:val="auto"/>
          <w:spacing w:val="0"/>
          <w:sz w:val="24"/>
          <w:szCs w:val="24"/>
          <w:highlight w:val="none"/>
          <w:lang w:eastAsia="zh-CN"/>
        </w:rPr>
        <w:t>投标人</w:t>
      </w:r>
      <w:r>
        <w:rPr>
          <w:rFonts w:hint="eastAsia" w:ascii="宋体" w:hAnsi="宋体" w:eastAsia="宋体" w:cs="宋体"/>
          <w:b/>
          <w:bCs/>
          <w:color w:val="auto"/>
          <w:spacing w:val="0"/>
          <w:sz w:val="24"/>
          <w:szCs w:val="24"/>
          <w:highlight w:val="none"/>
        </w:rPr>
        <w:t>资质要求</w:t>
      </w:r>
      <w:bookmarkEnd w:id="17"/>
      <w:bookmarkStart w:id="18" w:name="_Hlt74496495"/>
      <w:bookmarkEnd w:id="18"/>
    </w:p>
    <w:p w14:paraId="285DF7BD">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kern w:val="0"/>
          <w:sz w:val="24"/>
          <w:highlight w:val="none"/>
        </w:rPr>
      </w:pPr>
      <w:r>
        <w:rPr>
          <w:rFonts w:hint="eastAsia" w:ascii="宋体" w:hAnsi="宋体" w:cs="宋体"/>
          <w:b/>
          <w:bCs/>
          <w:color w:val="auto"/>
          <w:kern w:val="0"/>
          <w:sz w:val="24"/>
          <w:highlight w:val="none"/>
          <w:lang w:eastAsia="zh-CN"/>
        </w:rPr>
        <w:t>2</w:t>
      </w:r>
      <w:r>
        <w:rPr>
          <w:rFonts w:hint="eastAsia" w:ascii="宋体" w:hAnsi="宋体" w:eastAsia="宋体" w:cs="宋体"/>
          <w:b/>
          <w:bCs/>
          <w:color w:val="auto"/>
          <w:kern w:val="0"/>
          <w:sz w:val="24"/>
          <w:highlight w:val="none"/>
        </w:rPr>
        <w:t>.1</w:t>
      </w:r>
      <w:r>
        <w:rPr>
          <w:rFonts w:hint="eastAsia" w:ascii="宋体" w:hAnsi="宋体" w:eastAsia="宋体" w:cs="宋体"/>
          <w:color w:val="auto"/>
          <w:kern w:val="0"/>
          <w:sz w:val="24"/>
          <w:highlight w:val="none"/>
        </w:rPr>
        <w:t>本次招标</w:t>
      </w:r>
      <w:r>
        <w:rPr>
          <w:rFonts w:hint="eastAsia" w:ascii="宋体" w:hAnsi="宋体" w:eastAsia="宋体" w:cs="宋体"/>
          <w:b/>
          <w:bCs/>
          <w:color w:val="auto"/>
          <w:kern w:val="0"/>
          <w:sz w:val="24"/>
          <w:highlight w:val="none"/>
          <w:u w:val="single"/>
        </w:rPr>
        <w:t>接受</w:t>
      </w:r>
      <w:r>
        <w:rPr>
          <w:rFonts w:hint="eastAsia" w:ascii="宋体" w:hAnsi="宋体" w:eastAsia="宋体" w:cs="宋体"/>
          <w:color w:val="auto"/>
          <w:kern w:val="0"/>
          <w:sz w:val="24"/>
          <w:highlight w:val="none"/>
        </w:rPr>
        <w:t>联合体投标，联合体以一个投标人的身份共同投标。</w:t>
      </w:r>
    </w:p>
    <w:p w14:paraId="7969DA2F">
      <w:pPr>
        <w:pStyle w:val="29"/>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left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.1.1</w:t>
      </w:r>
      <w:r>
        <w:rPr>
          <w:rFonts w:hint="eastAsia" w:ascii="宋体" w:hAnsi="宋体" w:eastAsia="宋体" w:cs="宋体"/>
          <w:color w:val="auto"/>
          <w:sz w:val="24"/>
          <w:szCs w:val="24"/>
          <w:highlight w:val="none"/>
        </w:rPr>
        <w:t>联合体成员数量不超过</w:t>
      </w:r>
      <w:r>
        <w:rPr>
          <w:rFonts w:hint="eastAsia" w:ascii="宋体"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个。</w:t>
      </w:r>
    </w:p>
    <w:p w14:paraId="4E8B38C0">
      <w:pPr>
        <w:pStyle w:val="29"/>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 xml:space="preserve">.1.2 </w:t>
      </w:r>
      <w:r>
        <w:rPr>
          <w:rFonts w:hint="eastAsia" w:ascii="宋体" w:hAnsi="宋体" w:eastAsia="宋体" w:cs="宋体"/>
          <w:color w:val="auto"/>
          <w:sz w:val="24"/>
          <w:szCs w:val="24"/>
          <w:highlight w:val="none"/>
        </w:rPr>
        <w:t>联合体各方应按招标文件提供的格式签订联合体协议书，明确联合体牵头人和各方权利义务，并承诺就中标项目向招标人承担连带责任。《联合体协议书》作为投标文件的组成部分向招标人提交。</w:t>
      </w:r>
    </w:p>
    <w:p w14:paraId="06249A5C">
      <w:pPr>
        <w:pStyle w:val="29"/>
        <w:keepNext w:val="0"/>
        <w:keepLines w:val="0"/>
        <w:pageBreakBefore w:val="0"/>
        <w:widowControl w:val="0"/>
        <w:numPr>
          <w:ilvl w:val="0"/>
          <w:numId w:val="0"/>
        </w:numPr>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B8BE263">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.1.</w:t>
      </w:r>
      <w:r>
        <w:rPr>
          <w:rFonts w:hint="eastAsia" w:ascii="宋体" w:hAnsi="宋体" w:cs="宋体"/>
          <w:b/>
          <w:bCs/>
          <w:color w:val="auto"/>
          <w:kern w:val="0"/>
          <w:sz w:val="24"/>
          <w:highlight w:val="none"/>
          <w:lang w:val="en-US" w:eastAsia="zh-CN"/>
        </w:rPr>
        <w:t>4</w:t>
      </w:r>
      <w:r>
        <w:rPr>
          <w:rFonts w:hint="eastAsia" w:ascii="宋体" w:hAnsi="宋体" w:eastAsia="宋体" w:cs="宋体"/>
          <w:color w:val="auto"/>
          <w:sz w:val="24"/>
          <w:szCs w:val="24"/>
          <w:highlight w:val="none"/>
        </w:rPr>
        <w:t>联合体各方不得再以自己名义单独或参加其他联合体在本招标项目中投标，否则各相关投标均无效。</w:t>
      </w:r>
    </w:p>
    <w:p w14:paraId="5F440A81">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.2 </w:t>
      </w:r>
      <w:r>
        <w:rPr>
          <w:rFonts w:hint="eastAsia" w:ascii="宋体" w:hAnsi="宋体" w:eastAsia="宋体" w:cs="宋体"/>
          <w:color w:val="auto"/>
          <w:sz w:val="24"/>
          <w:szCs w:val="24"/>
          <w:highlight w:val="none"/>
        </w:rPr>
        <w:t>资质要求</w:t>
      </w:r>
    </w:p>
    <w:p w14:paraId="41A63864">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.2.1 </w:t>
      </w:r>
      <w:r>
        <w:rPr>
          <w:rFonts w:hint="eastAsia" w:ascii="宋体" w:hAnsi="宋体" w:eastAsia="宋体" w:cs="宋体"/>
          <w:color w:val="auto"/>
          <w:sz w:val="24"/>
          <w:szCs w:val="24"/>
          <w:highlight w:val="none"/>
        </w:rPr>
        <w:t>投标人须具备独立法人资格，按国家法律经营。</w:t>
      </w:r>
    </w:p>
    <w:p w14:paraId="7857AC84">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.2.2 </w:t>
      </w:r>
      <w:r>
        <w:rPr>
          <w:rFonts w:hint="eastAsia" w:ascii="宋体" w:hAnsi="宋体" w:eastAsia="宋体" w:cs="宋体"/>
          <w:color w:val="auto"/>
          <w:sz w:val="24"/>
          <w:szCs w:val="24"/>
          <w:highlight w:val="none"/>
        </w:rPr>
        <w:t>投标人须持有行政主管部门颁发的企业资质证书。</w:t>
      </w:r>
    </w:p>
    <w:p w14:paraId="3D4D9884">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.2.3 </w:t>
      </w:r>
      <w:r>
        <w:rPr>
          <w:rFonts w:hint="eastAsia" w:ascii="宋体" w:hAnsi="宋体" w:eastAsia="宋体" w:cs="宋体"/>
          <w:color w:val="auto"/>
          <w:sz w:val="24"/>
          <w:szCs w:val="24"/>
          <w:highlight w:val="none"/>
        </w:rPr>
        <w:t>参加投标的投标人可以是单</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独立法人或由不超过</w:t>
      </w:r>
      <w:r>
        <w:rPr>
          <w:rFonts w:hint="eastAsia" w:ascii="宋体" w:hAnsi="宋体" w:cs="宋体"/>
          <w:color w:val="auto"/>
          <w:sz w:val="24"/>
          <w:szCs w:val="24"/>
          <w:highlight w:val="none"/>
          <w:u w:val="single"/>
          <w:lang w:val="en-US" w:eastAsia="zh-CN"/>
        </w:rPr>
        <w:t xml:space="preserve"> 2 </w:t>
      </w:r>
      <w:r>
        <w:rPr>
          <w:rFonts w:hint="eastAsia" w:ascii="宋体" w:hAnsi="宋体" w:eastAsia="宋体" w:cs="宋体"/>
          <w:color w:val="auto"/>
          <w:sz w:val="24"/>
          <w:szCs w:val="24"/>
          <w:highlight w:val="none"/>
        </w:rPr>
        <w:t>家独立法人组成的联合体（必须注明其中一家为牵头人），联合体各方不得再以自己的名义单独申请，也不得同时参加两个或两个以上的联合体进行本项目的投标。单一独立法人必须至少具备以下①</w:t>
      </w:r>
      <w:r>
        <w:rPr>
          <w:rFonts w:hint="eastAsia" w:ascii="宋体" w:hAnsi="宋体" w:cs="宋体"/>
          <w:color w:val="auto"/>
          <w:sz w:val="24"/>
          <w:szCs w:val="24"/>
          <w:highlight w:val="none"/>
          <w:lang w:val="en-US" w:eastAsia="zh-CN"/>
        </w:rPr>
        <w:t>或②</w:t>
      </w:r>
      <w:r>
        <w:rPr>
          <w:rFonts w:hint="eastAsia" w:ascii="宋体" w:hAnsi="宋体" w:eastAsia="宋体" w:cs="宋体"/>
          <w:color w:val="auto"/>
          <w:sz w:val="24"/>
          <w:szCs w:val="24"/>
          <w:highlight w:val="none"/>
        </w:rPr>
        <w:t>资质，组成联合体投标的，联合后必须具备以下①</w:t>
      </w:r>
      <w:r>
        <w:rPr>
          <w:rFonts w:hint="eastAsia" w:ascii="宋体" w:hAnsi="宋体" w:cs="宋体"/>
          <w:color w:val="auto"/>
          <w:sz w:val="24"/>
          <w:szCs w:val="24"/>
          <w:highlight w:val="none"/>
          <w:lang w:val="en-US" w:eastAsia="zh-CN"/>
        </w:rPr>
        <w:t>或②</w:t>
      </w:r>
      <w:r>
        <w:rPr>
          <w:rFonts w:hint="eastAsia" w:ascii="宋体" w:hAnsi="宋体" w:eastAsia="宋体" w:cs="宋体"/>
          <w:color w:val="auto"/>
          <w:sz w:val="24"/>
          <w:szCs w:val="24"/>
          <w:highlight w:val="none"/>
        </w:rPr>
        <w:t>资质，联合体牵头人必须</w:t>
      </w:r>
      <w:r>
        <w:rPr>
          <w:rFonts w:hint="eastAsia" w:ascii="宋体" w:hAnsi="宋体" w:eastAsia="宋体" w:cs="宋体"/>
          <w:color w:val="auto"/>
          <w:sz w:val="24"/>
          <w:szCs w:val="24"/>
          <w:highlight w:val="none"/>
          <w:lang w:val="en-US" w:eastAsia="zh-CN"/>
        </w:rPr>
        <w:t>为</w:t>
      </w:r>
      <w:r>
        <w:rPr>
          <w:rFonts w:hint="eastAsia" w:ascii="宋体" w:hAnsi="宋体" w:eastAsia="宋体" w:cs="宋体"/>
          <w:color w:val="auto"/>
          <w:sz w:val="24"/>
          <w:szCs w:val="24"/>
          <w:highlight w:val="none"/>
          <w:u w:val="single"/>
          <w:lang w:val="en-US" w:eastAsia="zh-CN"/>
        </w:rPr>
        <w:t>施工单位</w:t>
      </w:r>
      <w:r>
        <w:rPr>
          <w:rFonts w:hint="eastAsia" w:ascii="宋体" w:hAnsi="宋体" w:eastAsia="宋体" w:cs="宋体"/>
          <w:color w:val="auto"/>
          <w:sz w:val="24"/>
          <w:szCs w:val="24"/>
          <w:highlight w:val="none"/>
        </w:rPr>
        <w:t>，由同一专业的单位组成的联合体，按照资质等级较低的单位确定资质等级：</w:t>
      </w:r>
    </w:p>
    <w:p w14:paraId="018C870C">
      <w:pPr>
        <w:keepNext w:val="0"/>
        <w:keepLines w:val="0"/>
        <w:pageBreakBefore w:val="0"/>
        <w:kinsoku/>
        <w:wordWrap/>
        <w:overflowPunct/>
        <w:topLinePunct w:val="0"/>
        <w:autoSpaceDE/>
        <w:autoSpaceDN/>
        <w:bidi w:val="0"/>
        <w:adjustRightInd/>
        <w:snapToGrid w:val="0"/>
        <w:spacing w:line="300" w:lineRule="auto"/>
        <w:ind w:left="105" w:leftChars="50" w:firstLine="480" w:firstLineChars="200"/>
        <w:textAlignment w:val="auto"/>
        <w:rPr>
          <w:rFonts w:hint="eastAsia" w:hAnsi="宋体" w:eastAsia="宋体" w:cs="宋体"/>
          <w:b/>
          <w:bCs/>
          <w:color w:val="000000"/>
          <w:sz w:val="24"/>
          <w:szCs w:val="24"/>
          <w:highlight w:val="none"/>
          <w:u w:val="single"/>
          <w:lang w:eastAsia="zh-CN"/>
        </w:rPr>
      </w:pPr>
      <w:r>
        <w:rPr>
          <w:rFonts w:hint="eastAsia" w:ascii="宋体" w:hAnsi="宋体" w:eastAsia="宋体" w:cs="宋体"/>
          <w:color w:val="auto"/>
          <w:sz w:val="24"/>
          <w:szCs w:val="24"/>
          <w:highlight w:val="none"/>
          <w:lang w:val="zh-CN"/>
        </w:rPr>
        <w:t>①施工资质：</w:t>
      </w:r>
      <w:r>
        <w:rPr>
          <w:rFonts w:hint="eastAsia" w:ascii="宋体" w:hAnsi="宋体" w:eastAsia="宋体" w:cs="宋体"/>
          <w:b/>
          <w:bCs/>
          <w:color w:val="000000"/>
          <w:sz w:val="24"/>
          <w:szCs w:val="24"/>
          <w:highlight w:val="none"/>
          <w:u w:val="single"/>
        </w:rPr>
        <w:t>市政公用工程施工总承包</w:t>
      </w:r>
      <w:r>
        <w:rPr>
          <w:rFonts w:hint="eastAsia" w:ascii="宋体" w:hAnsi="宋体" w:eastAsia="宋体" w:cs="宋体"/>
          <w:b/>
          <w:bCs/>
          <w:color w:val="000000"/>
          <w:sz w:val="24"/>
          <w:szCs w:val="24"/>
          <w:highlight w:val="none"/>
          <w:u w:val="single"/>
          <w:lang w:val="en-US" w:eastAsia="zh-CN"/>
        </w:rPr>
        <w:t>壹</w:t>
      </w:r>
      <w:r>
        <w:rPr>
          <w:rFonts w:hint="eastAsia" w:ascii="宋体" w:hAnsi="宋体" w:eastAsia="宋体" w:cs="宋体"/>
          <w:b/>
          <w:bCs/>
          <w:color w:val="000000"/>
          <w:sz w:val="24"/>
          <w:szCs w:val="24"/>
          <w:highlight w:val="none"/>
          <w:u w:val="single"/>
        </w:rPr>
        <w:t>级以上（含</w:t>
      </w:r>
      <w:r>
        <w:rPr>
          <w:rFonts w:hint="eastAsia" w:ascii="宋体" w:hAnsi="宋体" w:eastAsia="宋体" w:cs="宋体"/>
          <w:b/>
          <w:bCs/>
          <w:color w:val="000000"/>
          <w:sz w:val="24"/>
          <w:szCs w:val="24"/>
          <w:highlight w:val="none"/>
          <w:u w:val="single"/>
          <w:lang w:val="en-US" w:eastAsia="zh-CN"/>
        </w:rPr>
        <w:t>壹</w:t>
      </w:r>
      <w:r>
        <w:rPr>
          <w:rFonts w:hint="eastAsia" w:ascii="宋体" w:hAnsi="宋体" w:eastAsia="宋体" w:cs="宋体"/>
          <w:b/>
          <w:bCs/>
          <w:color w:val="000000"/>
          <w:sz w:val="24"/>
          <w:szCs w:val="24"/>
          <w:highlight w:val="none"/>
          <w:u w:val="single"/>
        </w:rPr>
        <w:t>级）</w:t>
      </w:r>
      <w:r>
        <w:rPr>
          <w:rFonts w:hint="eastAsia" w:hAnsi="宋体" w:eastAsia="宋体" w:cs="宋体"/>
          <w:b/>
          <w:bCs/>
          <w:color w:val="000000"/>
          <w:sz w:val="24"/>
          <w:szCs w:val="24"/>
          <w:highlight w:val="none"/>
          <w:u w:val="single"/>
          <w:lang w:eastAsia="zh-CN"/>
        </w:rPr>
        <w:t>。</w:t>
      </w:r>
    </w:p>
    <w:p w14:paraId="1559A689">
      <w:pPr>
        <w:keepNext w:val="0"/>
        <w:keepLines w:val="0"/>
        <w:pageBreakBefore w:val="0"/>
        <w:kinsoku/>
        <w:wordWrap/>
        <w:overflowPunct/>
        <w:topLinePunct w:val="0"/>
        <w:autoSpaceDE/>
        <w:autoSpaceDN/>
        <w:bidi w:val="0"/>
        <w:adjustRightInd/>
        <w:snapToGrid w:val="0"/>
        <w:spacing w:line="300" w:lineRule="auto"/>
        <w:ind w:left="105" w:leftChars="50" w:firstLine="480" w:firstLineChars="200"/>
        <w:textAlignment w:val="auto"/>
        <w:rPr>
          <w:rFonts w:hint="eastAsia" w:ascii="宋体" w:hAnsi="宋体" w:eastAsia="宋体" w:cs="宋体"/>
          <w:snapToGrid w:val="0"/>
          <w:kern w:val="0"/>
          <w:sz w:val="24"/>
          <w:szCs w:val="24"/>
          <w:highlight w:val="none"/>
        </w:rPr>
      </w:pPr>
      <w:r>
        <w:rPr>
          <w:rFonts w:hint="eastAsia" w:ascii="宋体" w:hAnsi="宋体" w:eastAsia="宋体" w:cs="宋体"/>
          <w:color w:val="auto"/>
          <w:sz w:val="24"/>
          <w:szCs w:val="24"/>
          <w:highlight w:val="none"/>
          <w:lang w:val="zh-CN"/>
        </w:rPr>
        <w:t>②施工资质：</w:t>
      </w:r>
      <w:r>
        <w:rPr>
          <w:rFonts w:hint="eastAsia" w:ascii="宋体" w:hAnsi="宋体" w:eastAsia="宋体" w:cs="宋体"/>
          <w:b/>
          <w:bCs/>
          <w:color w:val="000000"/>
          <w:sz w:val="24"/>
          <w:szCs w:val="24"/>
          <w:highlight w:val="none"/>
          <w:u w:val="single"/>
          <w:lang w:val="en-US" w:eastAsia="zh-CN"/>
        </w:rPr>
        <w:t>桥梁工程专业承包资质贰级以上（含贰级）</w:t>
      </w:r>
      <w:r>
        <w:rPr>
          <w:rFonts w:hint="eastAsia" w:ascii="宋体" w:hAnsi="宋体" w:eastAsia="宋体" w:cs="宋体"/>
          <w:snapToGrid w:val="0"/>
          <w:kern w:val="0"/>
          <w:sz w:val="24"/>
          <w:szCs w:val="24"/>
          <w:highlight w:val="none"/>
        </w:rPr>
        <w:t>。</w:t>
      </w:r>
    </w:p>
    <w:p w14:paraId="6FAB2E91">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color w:val="auto"/>
          <w:sz w:val="24"/>
          <w:szCs w:val="24"/>
          <w:highlight w:val="none"/>
        </w:rPr>
      </w:pPr>
      <w:r>
        <w:rPr>
          <w:rFonts w:hint="eastAsia" w:ascii="宋体" w:hAnsi="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.3 </w:t>
      </w:r>
      <w:r>
        <w:rPr>
          <w:rFonts w:hint="eastAsia" w:ascii="宋体" w:hAnsi="宋体" w:eastAsia="宋体" w:cs="宋体"/>
          <w:color w:val="auto"/>
          <w:sz w:val="24"/>
          <w:szCs w:val="24"/>
          <w:highlight w:val="none"/>
        </w:rPr>
        <w:t>相关人员要求</w:t>
      </w:r>
    </w:p>
    <w:p w14:paraId="1DC48070">
      <w:pPr>
        <w:keepNext w:val="0"/>
        <w:keepLines w:val="0"/>
        <w:pageBreakBefore w:val="0"/>
        <w:kinsoku/>
        <w:wordWrap/>
        <w:overflowPunct/>
        <w:topLinePunct w:val="0"/>
        <w:autoSpaceDE/>
        <w:autoSpaceDN/>
        <w:bidi w:val="0"/>
        <w:adjustRightInd/>
        <w:snapToGrid w:val="0"/>
        <w:spacing w:line="300" w:lineRule="auto"/>
        <w:ind w:left="105" w:leftChars="50" w:firstLine="482" w:firstLineChars="200"/>
        <w:textAlignment w:val="auto"/>
        <w:rPr>
          <w:rFonts w:hint="eastAsia" w:ascii="宋体" w:hAnsi="宋体" w:eastAsia="宋体" w:cs="宋体"/>
          <w:color w:val="auto"/>
          <w:sz w:val="24"/>
          <w:szCs w:val="24"/>
          <w:highlight w:val="none"/>
          <w:lang w:val="zh-CN"/>
        </w:rPr>
      </w:pPr>
      <w:r>
        <w:rPr>
          <w:rFonts w:hint="eastAsia" w:hAnsi="宋体" w:eastAsia="宋体" w:cs="宋体"/>
          <w:b/>
          <w:bCs/>
          <w:color w:val="auto"/>
          <w:kern w:val="0"/>
          <w:sz w:val="24"/>
          <w:szCs w:val="24"/>
          <w:highlight w:val="none"/>
          <w:lang w:val="en-US" w:eastAsia="zh-CN" w:bidi="ar-SA"/>
        </w:rPr>
        <w:t>2</w:t>
      </w:r>
      <w:r>
        <w:rPr>
          <w:rFonts w:hint="eastAsia" w:ascii="宋体" w:hAnsi="宋体" w:eastAsia="宋体" w:cs="宋体"/>
          <w:b/>
          <w:bCs/>
          <w:color w:val="auto"/>
          <w:kern w:val="0"/>
          <w:sz w:val="24"/>
          <w:szCs w:val="24"/>
          <w:highlight w:val="none"/>
          <w:lang w:val="en-US" w:eastAsia="zh-CN" w:bidi="ar-SA"/>
        </w:rPr>
        <w:t xml:space="preserve">.3.1 </w:t>
      </w:r>
      <w:r>
        <w:rPr>
          <w:rFonts w:hint="eastAsia" w:ascii="宋体" w:hAnsi="宋体" w:eastAsia="宋体" w:cs="宋体"/>
          <w:color w:val="auto"/>
          <w:sz w:val="24"/>
          <w:szCs w:val="24"/>
          <w:highlight w:val="none"/>
          <w:lang w:val="zh-CN"/>
        </w:rPr>
        <w:t>拟派项目经理为具有</w:t>
      </w:r>
      <w:r>
        <w:rPr>
          <w:rFonts w:hint="eastAsia" w:ascii="宋体" w:hAnsi="宋体" w:eastAsia="宋体" w:cs="宋体"/>
          <w:b/>
          <w:bCs/>
          <w:snapToGrid w:val="0"/>
          <w:color w:val="000000"/>
          <w:kern w:val="0"/>
          <w:sz w:val="24"/>
          <w:szCs w:val="24"/>
          <w:highlight w:val="none"/>
          <w:u w:val="single"/>
        </w:rPr>
        <w:t>市政公用工程</w:t>
      </w:r>
      <w:r>
        <w:rPr>
          <w:rFonts w:hint="eastAsia" w:hAnsi="宋体" w:eastAsia="宋体" w:cs="宋体"/>
          <w:b/>
          <w:bCs/>
          <w:snapToGrid w:val="0"/>
          <w:color w:val="000000"/>
          <w:kern w:val="0"/>
          <w:sz w:val="24"/>
          <w:szCs w:val="24"/>
          <w:highlight w:val="none"/>
          <w:u w:val="single"/>
          <w:lang w:val="en-US" w:eastAsia="zh-CN"/>
        </w:rPr>
        <w:t>或公路工程</w:t>
      </w:r>
      <w:r>
        <w:rPr>
          <w:rFonts w:hint="eastAsia" w:ascii="宋体" w:hAnsi="宋体" w:eastAsia="宋体" w:cs="宋体"/>
          <w:color w:val="auto"/>
          <w:sz w:val="24"/>
          <w:szCs w:val="24"/>
          <w:highlight w:val="none"/>
          <w:lang w:val="zh-CN"/>
        </w:rPr>
        <w:t>专业一级注册建造师，应持有住建部门印发的在使用有效期内的有效电子注册证书。同时均须具备有效安全生产考核合格证明（B证，安全生产考核合格证书或“建筑施工企业管理人员安全生产考核信息系统”考核合格信息截图），且未担任其他在施（包括已中标未开工、已开工未竣工）建设工程项目的项目经理。</w:t>
      </w:r>
    </w:p>
    <w:p w14:paraId="2C6718F1">
      <w:pPr>
        <w:pStyle w:val="29"/>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color w:val="auto"/>
          <w:sz w:val="24"/>
          <w:szCs w:val="24"/>
          <w:highlight w:val="none"/>
        </w:rPr>
      </w:pPr>
    </w:p>
    <w:p w14:paraId="08E5C607">
      <w:pPr>
        <w:pStyle w:val="29"/>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.3.2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拟派项目技术负责人须具备</w:t>
      </w:r>
      <w:r>
        <w:rPr>
          <w:rFonts w:hint="eastAsia" w:ascii="宋体" w:hAnsi="宋体" w:eastAsia="宋体" w:cs="宋体"/>
          <w:color w:val="auto"/>
          <w:sz w:val="24"/>
          <w:szCs w:val="24"/>
          <w:highlight w:val="none"/>
          <w:u w:val="single"/>
        </w:rPr>
        <w:t>市政公用工程或</w:t>
      </w:r>
      <w:r>
        <w:rPr>
          <w:rFonts w:hint="eastAsia" w:ascii="宋体" w:hAnsi="宋体" w:cs="宋体"/>
          <w:color w:val="auto"/>
          <w:sz w:val="24"/>
          <w:szCs w:val="24"/>
          <w:highlight w:val="none"/>
          <w:u w:val="single"/>
          <w:lang w:val="en-US" w:eastAsia="zh-CN"/>
        </w:rPr>
        <w:t>路桥</w:t>
      </w:r>
      <w:r>
        <w:rPr>
          <w:rFonts w:hint="eastAsia" w:ascii="宋体" w:hAnsi="宋体" w:eastAsia="宋体" w:cs="宋体"/>
          <w:color w:val="auto"/>
          <w:sz w:val="24"/>
          <w:szCs w:val="24"/>
          <w:highlight w:val="none"/>
          <w:u w:val="single"/>
        </w:rPr>
        <w:t>工程</w:t>
      </w:r>
      <w:r>
        <w:rPr>
          <w:rFonts w:hint="eastAsia" w:ascii="宋体" w:hAnsi="宋体" w:eastAsia="宋体" w:cs="宋体"/>
          <w:color w:val="auto"/>
          <w:sz w:val="24"/>
          <w:szCs w:val="24"/>
          <w:highlight w:val="none"/>
        </w:rPr>
        <w:t>专业类</w:t>
      </w:r>
      <w:r>
        <w:rPr>
          <w:rFonts w:hint="eastAsia" w:ascii="宋体" w:hAnsi="宋体" w:eastAsia="宋体" w:cs="宋体"/>
          <w:color w:val="auto"/>
          <w:sz w:val="24"/>
          <w:szCs w:val="24"/>
          <w:highlight w:val="none"/>
          <w:lang w:val="en-US" w:eastAsia="zh-CN"/>
        </w:rPr>
        <w:t>中</w:t>
      </w:r>
      <w:r>
        <w:rPr>
          <w:rFonts w:hint="eastAsia" w:ascii="宋体" w:hAnsi="宋体" w:eastAsia="宋体" w:cs="宋体"/>
          <w:color w:val="auto"/>
          <w:sz w:val="24"/>
          <w:szCs w:val="24"/>
          <w:highlight w:val="none"/>
        </w:rPr>
        <w:t>级或以上技术职称。</w:t>
      </w:r>
    </w:p>
    <w:p w14:paraId="47566BF8">
      <w:pPr>
        <w:pStyle w:val="29"/>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b/>
          <w:bCs/>
          <w:color w:val="auto"/>
          <w:kern w:val="0"/>
          <w:sz w:val="24"/>
          <w:highlight w:val="none"/>
          <w:lang w:val="en-US" w:eastAsia="zh-CN"/>
        </w:rPr>
        <w:t>2</w:t>
      </w:r>
      <w:r>
        <w:rPr>
          <w:rFonts w:hint="eastAsia" w:ascii="宋体" w:hAnsi="宋体" w:eastAsia="宋体" w:cs="宋体"/>
          <w:b/>
          <w:bCs/>
          <w:color w:val="auto"/>
          <w:kern w:val="0"/>
          <w:sz w:val="24"/>
          <w:highlight w:val="none"/>
          <w:lang w:val="en-US" w:eastAsia="zh-CN"/>
        </w:rPr>
        <w:t xml:space="preserve">.3.3 </w:t>
      </w:r>
      <w:r>
        <w:rPr>
          <w:rFonts w:hint="eastAsia" w:ascii="宋体" w:hAnsi="宋体" w:eastAsia="宋体" w:cs="宋体"/>
          <w:color w:val="auto"/>
          <w:sz w:val="24"/>
          <w:szCs w:val="24"/>
          <w:highlight w:val="none"/>
        </w:rPr>
        <w:t>拟派专职安全生产管理人员须具备有效安全生产考核合格证明（C证，安全生产考核合格证书或广东省建筑施工企业管理人员安全生产考核系统考核合格信息打印页），且不少于</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人。</w:t>
      </w:r>
    </w:p>
    <w:p w14:paraId="1367C325">
      <w:pPr>
        <w:keepNext w:val="0"/>
        <w:keepLines w:val="0"/>
        <w:pageBreakBefore w:val="0"/>
        <w:widowControl/>
        <w:kinsoku w:val="0"/>
        <w:wordWrap w:val="0"/>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宋体" w:hAnsi="宋体" w:eastAsia="宋体" w:cs="宋体"/>
          <w:b w:val="0"/>
          <w:bCs w:val="0"/>
          <w:color w:val="auto"/>
          <w:spacing w:val="0"/>
          <w:sz w:val="24"/>
          <w:szCs w:val="24"/>
          <w:highlight w:val="none"/>
        </w:rPr>
      </w:pPr>
    </w:p>
    <w:p w14:paraId="3E564E2A">
      <w:pPr>
        <w:keepNext w:val="0"/>
        <w:keepLines w:val="0"/>
        <w:pageBreakBefore w:val="0"/>
        <w:wordWrap w:val="0"/>
        <w:overflowPunct/>
        <w:topLinePunct w:val="0"/>
        <w:bidi w:val="0"/>
        <w:spacing w:before="78" w:line="220" w:lineRule="auto"/>
        <w:ind w:left="48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禁止投标条款</w:t>
      </w:r>
    </w:p>
    <w:p w14:paraId="3A8C3AAA">
      <w:pPr>
        <w:keepNext w:val="0"/>
        <w:keepLines w:val="0"/>
        <w:pageBreakBefore w:val="0"/>
        <w:wordWrap w:val="0"/>
        <w:overflowPunct/>
        <w:topLinePunct w:val="0"/>
        <w:bidi w:val="0"/>
        <w:spacing w:before="153" w:line="220" w:lineRule="auto"/>
        <w:ind w:left="48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2.4.1  </w:t>
      </w:r>
      <w:r>
        <w:rPr>
          <w:rFonts w:hint="eastAsia" w:ascii="宋体" w:hAnsi="宋体" w:eastAsia="宋体" w:cs="宋体"/>
          <w:color w:val="auto"/>
          <w:spacing w:val="0"/>
          <w:sz w:val="24"/>
          <w:szCs w:val="24"/>
          <w:highlight w:val="none"/>
        </w:rPr>
        <w:t>投标人不得存在下列情形之一：</w:t>
      </w:r>
    </w:p>
    <w:p w14:paraId="719B3EF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（1）为招标人不具有独立法人资格的附属机构（单位）；</w:t>
      </w:r>
    </w:p>
    <w:p w14:paraId="7412C721">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（2）为本招标项目前期准备提供设计或咨询服务的；</w:t>
      </w:r>
    </w:p>
    <w:p w14:paraId="6E29F103">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（3）与本招标项目的其他投标人为同一个单位负责人；</w:t>
      </w:r>
    </w:p>
    <w:p w14:paraId="1E47D27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（4）与本招标项目的其他投标人存在控股、管理关系；</w:t>
      </w:r>
    </w:p>
    <w:p w14:paraId="6CECC839">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（5）为本招标项目的监理人；</w:t>
      </w:r>
    </w:p>
    <w:p w14:paraId="4795CBCF">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（6）为本招标项目的代建人；</w:t>
      </w:r>
    </w:p>
    <w:p w14:paraId="1A97DCE2">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（7）为本招标项目的招标代理机构；</w:t>
      </w:r>
    </w:p>
    <w:p w14:paraId="56058DDD">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（8）与本招标项目的监理人或代建人或招标代理机构同为一个 法定代表人；</w:t>
      </w:r>
    </w:p>
    <w:p w14:paraId="60FD7A1D">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（9）与本招标项目的监理人或代建人或招标代理机构存在控股或参股关系；</w:t>
      </w:r>
    </w:p>
    <w:p w14:paraId="5A71E24A">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（10）与本招标项目的监理人或代建人或招标代理机构存在相互任职或工作关系；</w:t>
      </w:r>
    </w:p>
    <w:p w14:paraId="66C2467D">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（11）被依法暂停或者取消投标资格；</w:t>
      </w:r>
    </w:p>
    <w:p w14:paraId="42610FD8">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（12）被责令停产停业、暂扣或者吊销许可证、暂扣或者吊销执照；</w:t>
      </w:r>
    </w:p>
    <w:p w14:paraId="7F58BCE6">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（13）进入清算程序，或被宣告破产，或其他丧失履约能力的情形；</w:t>
      </w:r>
    </w:p>
    <w:p w14:paraId="352E1B22">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（14）在最近三年内发生重大工程质量或安全问题（以相关行业主管部门的行政处罚决定或司法机关出具的有关法律文书为准）；</w:t>
      </w:r>
    </w:p>
    <w:p w14:paraId="5BD97EEA">
      <w:pPr>
        <w:keepNext w:val="0"/>
        <w:keepLines w:val="0"/>
        <w:pageBreakBefore w:val="0"/>
        <w:wordWrap w:val="0"/>
        <w:overflowPunct/>
        <w:topLinePunct w:val="0"/>
        <w:bidi w:val="0"/>
        <w:spacing w:before="118" w:line="293" w:lineRule="auto"/>
        <w:ind w:left="232" w:right="99" w:firstLine="36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（15）被“信用中国 ”网站（https://www.creditchina.gov.cn）发布的《法人和非法人组织公共信用信息报告》列为严重失信主体名单的。</w:t>
      </w:r>
    </w:p>
    <w:p w14:paraId="58D8A3B4">
      <w:pPr>
        <w:keepNext w:val="0"/>
        <w:keepLines w:val="0"/>
        <w:pageBreakBefore w:val="0"/>
        <w:wordWrap w:val="0"/>
        <w:overflowPunct/>
        <w:topLinePunct w:val="0"/>
        <w:bidi w:val="0"/>
        <w:spacing w:before="155" w:line="219" w:lineRule="auto"/>
        <w:ind w:left="70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2.4.2  </w:t>
      </w:r>
      <w:r>
        <w:rPr>
          <w:rFonts w:hint="eastAsia" w:ascii="宋体" w:hAnsi="宋体" w:eastAsia="宋体" w:cs="宋体"/>
          <w:color w:val="auto"/>
          <w:spacing w:val="0"/>
          <w:sz w:val="24"/>
          <w:szCs w:val="24"/>
          <w:highlight w:val="none"/>
        </w:rPr>
        <w:t>招标人拒绝以下名单中的单位参加本次投标：</w:t>
      </w:r>
    </w:p>
    <w:tbl>
      <w:tblPr>
        <w:tblStyle w:val="15"/>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3772"/>
        <w:gridCol w:w="5338"/>
      </w:tblGrid>
      <w:tr w14:paraId="4E80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8" w:type="dxa"/>
            <w:vAlign w:val="center"/>
          </w:tcPr>
          <w:p w14:paraId="3696CD3B">
            <w:pPr>
              <w:keepNext w:val="0"/>
              <w:keepLines w:val="0"/>
              <w:pageBreakBefore w:val="0"/>
              <w:widowControl w:val="0"/>
              <w:kinsoku/>
              <w:wordWrap w:val="0"/>
              <w:overflowPunct/>
              <w:topLinePunct w:val="0"/>
              <w:autoSpaceDE/>
              <w:autoSpaceDN/>
              <w:bidi w:val="0"/>
              <w:adjustRightInd w:val="0"/>
              <w:snapToGrid w:val="0"/>
              <w:spacing w:line="400" w:lineRule="exact"/>
              <w:jc w:val="both"/>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序号</w:t>
            </w:r>
          </w:p>
        </w:tc>
        <w:tc>
          <w:tcPr>
            <w:tcW w:w="3772" w:type="dxa"/>
            <w:vAlign w:val="center"/>
          </w:tcPr>
          <w:p w14:paraId="628060C6">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单位名称</w:t>
            </w:r>
          </w:p>
        </w:tc>
        <w:tc>
          <w:tcPr>
            <w:tcW w:w="5338" w:type="dxa"/>
            <w:vAlign w:val="center"/>
          </w:tcPr>
          <w:p w14:paraId="5AAAF9E2">
            <w:pPr>
              <w:keepNext w:val="0"/>
              <w:keepLines w:val="0"/>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拒绝原因</w:t>
            </w:r>
          </w:p>
        </w:tc>
      </w:tr>
      <w:tr w14:paraId="4530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88" w:type="dxa"/>
            <w:vAlign w:val="center"/>
          </w:tcPr>
          <w:p w14:paraId="23409B6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1</w:t>
            </w:r>
          </w:p>
        </w:tc>
        <w:tc>
          <w:tcPr>
            <w:tcW w:w="3772" w:type="dxa"/>
            <w:vAlign w:val="center"/>
          </w:tcPr>
          <w:p w14:paraId="245CE33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rPr>
              <w:t>韶关市市政管理中心</w:t>
            </w:r>
          </w:p>
        </w:tc>
        <w:tc>
          <w:tcPr>
            <w:tcW w:w="5338" w:type="dxa"/>
            <w:vAlign w:val="center"/>
          </w:tcPr>
          <w:p w14:paraId="00EC361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为本招标项目的招标人</w:t>
            </w:r>
          </w:p>
        </w:tc>
      </w:tr>
      <w:tr w14:paraId="2F0E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8" w:type="dxa"/>
            <w:vAlign w:val="center"/>
          </w:tcPr>
          <w:p w14:paraId="128F6A2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2</w:t>
            </w:r>
          </w:p>
        </w:tc>
        <w:tc>
          <w:tcPr>
            <w:tcW w:w="3772" w:type="dxa"/>
            <w:vAlign w:val="center"/>
          </w:tcPr>
          <w:p w14:paraId="2FCCE67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韶关成果项目管理有限公司</w:t>
            </w:r>
          </w:p>
        </w:tc>
        <w:tc>
          <w:tcPr>
            <w:tcW w:w="5338" w:type="dxa"/>
            <w:vAlign w:val="center"/>
          </w:tcPr>
          <w:p w14:paraId="7191518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为本招标项目的招标代理机构</w:t>
            </w:r>
          </w:p>
        </w:tc>
      </w:tr>
      <w:tr w14:paraId="5F2A5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7A01013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3</w:t>
            </w:r>
          </w:p>
        </w:tc>
        <w:tc>
          <w:tcPr>
            <w:tcW w:w="3772" w:type="dxa"/>
            <w:vAlign w:val="center"/>
          </w:tcPr>
          <w:p w14:paraId="74BCB97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中都工程设计有限公司</w:t>
            </w:r>
          </w:p>
        </w:tc>
        <w:tc>
          <w:tcPr>
            <w:tcW w:w="5338" w:type="dxa"/>
            <w:vAlign w:val="center"/>
          </w:tcPr>
          <w:p w14:paraId="36FB3F0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为本招标项目的施工图设计单位</w:t>
            </w:r>
          </w:p>
        </w:tc>
      </w:tr>
      <w:tr w14:paraId="34BCD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88" w:type="dxa"/>
            <w:vAlign w:val="center"/>
          </w:tcPr>
          <w:p w14:paraId="727D1FB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4</w:t>
            </w:r>
          </w:p>
        </w:tc>
        <w:tc>
          <w:tcPr>
            <w:tcW w:w="3772" w:type="dxa"/>
            <w:vAlign w:val="center"/>
          </w:tcPr>
          <w:p w14:paraId="32BFD6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广东建科施工图审查有限公司</w:t>
            </w:r>
          </w:p>
        </w:tc>
        <w:tc>
          <w:tcPr>
            <w:tcW w:w="5338" w:type="dxa"/>
            <w:vAlign w:val="center"/>
          </w:tcPr>
          <w:p w14:paraId="195493D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为本招标项目的施工图审查单位</w:t>
            </w:r>
          </w:p>
        </w:tc>
      </w:tr>
      <w:tr w14:paraId="5F37A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88" w:type="dxa"/>
            <w:vAlign w:val="center"/>
          </w:tcPr>
          <w:p w14:paraId="1BF81CE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5</w:t>
            </w:r>
          </w:p>
        </w:tc>
        <w:tc>
          <w:tcPr>
            <w:tcW w:w="3772" w:type="dxa"/>
            <w:vAlign w:val="center"/>
          </w:tcPr>
          <w:p w14:paraId="31AD17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广东人信工程咨询有限公司</w:t>
            </w:r>
          </w:p>
        </w:tc>
        <w:tc>
          <w:tcPr>
            <w:tcW w:w="5338" w:type="dxa"/>
            <w:vAlign w:val="center"/>
          </w:tcPr>
          <w:p w14:paraId="1B6AD5E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为本招标项目的造价咨询单位</w:t>
            </w:r>
          </w:p>
        </w:tc>
      </w:tr>
      <w:tr w14:paraId="7221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88" w:type="dxa"/>
            <w:vAlign w:val="center"/>
          </w:tcPr>
          <w:p w14:paraId="47AE87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6</w:t>
            </w:r>
          </w:p>
        </w:tc>
        <w:tc>
          <w:tcPr>
            <w:tcW w:w="3772" w:type="dxa"/>
            <w:vAlign w:val="center"/>
          </w:tcPr>
          <w:p w14:paraId="76F90E4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深圳华粤城市建设工程设计有限公司</w:t>
            </w:r>
          </w:p>
        </w:tc>
        <w:tc>
          <w:tcPr>
            <w:tcW w:w="5338" w:type="dxa"/>
            <w:vAlign w:val="center"/>
          </w:tcPr>
          <w:p w14:paraId="0AB453E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为本招标项目的监理单位</w:t>
            </w:r>
          </w:p>
        </w:tc>
      </w:tr>
      <w:tr w14:paraId="1207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88" w:type="dxa"/>
            <w:vAlign w:val="center"/>
          </w:tcPr>
          <w:p w14:paraId="39E8D57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7</w:t>
            </w:r>
          </w:p>
        </w:tc>
        <w:tc>
          <w:tcPr>
            <w:tcW w:w="3772" w:type="dxa"/>
            <w:vAlign w:val="center"/>
          </w:tcPr>
          <w:p w14:paraId="7AF2129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广州市华大金力工程技术检测有限公司</w:t>
            </w:r>
          </w:p>
        </w:tc>
        <w:tc>
          <w:tcPr>
            <w:tcW w:w="5338" w:type="dxa"/>
            <w:vAlign w:val="center"/>
          </w:tcPr>
          <w:p w14:paraId="736303D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eastAsia" w:asciiTheme="minorEastAsia" w:hAnsiTheme="minorEastAsia" w:eastAsiaTheme="minorEastAsia" w:cstheme="minorEastAsia"/>
                <w:snapToGrid w:val="0"/>
                <w:color w:val="auto"/>
                <w:spacing w:val="0"/>
                <w:kern w:val="0"/>
                <w:sz w:val="21"/>
                <w:szCs w:val="21"/>
                <w:highlight w:val="none"/>
                <w:lang w:val="en-US" w:eastAsia="zh-CN" w:bidi="ar-SA"/>
              </w:rPr>
            </w:pPr>
            <w:r>
              <w:rPr>
                <w:rFonts w:hint="eastAsia" w:asciiTheme="minorEastAsia" w:hAnsiTheme="minorEastAsia" w:eastAsiaTheme="minorEastAsia" w:cstheme="minorEastAsia"/>
                <w:snapToGrid w:val="0"/>
                <w:color w:val="auto"/>
                <w:spacing w:val="0"/>
                <w:kern w:val="0"/>
                <w:sz w:val="21"/>
                <w:szCs w:val="21"/>
                <w:highlight w:val="none"/>
                <w:lang w:val="en-US" w:eastAsia="zh-CN" w:bidi="ar-SA"/>
              </w:rPr>
              <w:t>为本招标项目的检测单位</w:t>
            </w:r>
          </w:p>
        </w:tc>
      </w:tr>
    </w:tbl>
    <w:p w14:paraId="725C8E44">
      <w:pPr>
        <w:keepNext w:val="0"/>
        <w:keepLines w:val="0"/>
        <w:pageBreakBefore w:val="0"/>
        <w:wordWrap w:val="0"/>
        <w:overflowPunct/>
        <w:topLinePunct w:val="0"/>
        <w:bidi w:val="0"/>
        <w:spacing w:line="93" w:lineRule="auto"/>
        <w:rPr>
          <w:rFonts w:hint="eastAsia" w:ascii="宋体" w:hAnsi="宋体" w:eastAsia="宋体" w:cs="宋体"/>
          <w:color w:val="auto"/>
          <w:spacing w:val="0"/>
          <w:sz w:val="2"/>
          <w:highlight w:val="none"/>
        </w:rPr>
      </w:pPr>
    </w:p>
    <w:p w14:paraId="76A14150">
      <w:pPr>
        <w:keepNext w:val="0"/>
        <w:keepLines w:val="0"/>
        <w:pageBreakBefore w:val="0"/>
        <w:wordWrap w:val="0"/>
        <w:overflowPunct/>
        <w:topLinePunct w:val="0"/>
        <w:bidi w:val="0"/>
        <w:spacing w:before="153" w:line="221" w:lineRule="auto"/>
        <w:ind w:left="70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2.5  </w:t>
      </w:r>
      <w:r>
        <w:rPr>
          <w:rFonts w:hint="eastAsia" w:ascii="宋体" w:hAnsi="宋体" w:eastAsia="宋体" w:cs="宋体"/>
          <w:color w:val="auto"/>
          <w:spacing w:val="0"/>
          <w:sz w:val="24"/>
          <w:szCs w:val="24"/>
          <w:highlight w:val="none"/>
        </w:rPr>
        <w:t>其他要求</w:t>
      </w:r>
    </w:p>
    <w:p w14:paraId="11BBDBCC">
      <w:pPr>
        <w:keepNext w:val="0"/>
        <w:keepLines w:val="0"/>
        <w:pageBreakBefore w:val="0"/>
        <w:wordWrap w:val="0"/>
        <w:overflowPunct/>
        <w:topLinePunct w:val="0"/>
        <w:bidi w:val="0"/>
        <w:spacing w:before="150" w:line="334" w:lineRule="auto"/>
        <w:ind w:left="232" w:right="99" w:firstLine="48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eastAsia="zh-CN"/>
        </w:rPr>
        <w:t>省外企业及其拟派往本项目管理机构的所有人员均须按照《广东省住房和城乡建设厅关于取消省外建筑企业和人员进粤信息备案有关工作的通知》（粤建市﹝2015﹞52 号）规定在“进粤企业和人员诚信信息登记平台 ”录入相关信息并通过数据规范检查。</w:t>
      </w:r>
    </w:p>
    <w:p w14:paraId="15D1F416">
      <w:pPr>
        <w:keepNext w:val="0"/>
        <w:keepLines w:val="0"/>
        <w:pageBreakBefore w:val="0"/>
        <w:wordWrap w:val="0"/>
        <w:overflowPunct/>
        <w:topLinePunct w:val="0"/>
        <w:bidi w:val="0"/>
        <w:spacing w:before="79" w:line="220" w:lineRule="auto"/>
        <w:ind w:left="715"/>
        <w:outlineLvl w:val="2"/>
        <w:rPr>
          <w:rFonts w:hint="eastAsia" w:ascii="宋体" w:hAnsi="宋体" w:eastAsia="宋体" w:cs="宋体"/>
          <w:color w:val="auto"/>
          <w:spacing w:val="0"/>
          <w:sz w:val="24"/>
          <w:szCs w:val="24"/>
          <w:highlight w:val="none"/>
        </w:rPr>
      </w:pPr>
      <w:bookmarkStart w:id="19" w:name="_Toc23243"/>
      <w:bookmarkStart w:id="20" w:name="_Toc27770"/>
      <w:r>
        <w:rPr>
          <w:rFonts w:hint="eastAsia" w:ascii="宋体" w:hAnsi="宋体" w:eastAsia="宋体" w:cs="宋体"/>
          <w:b/>
          <w:bCs/>
          <w:color w:val="auto"/>
          <w:spacing w:val="0"/>
          <w:sz w:val="24"/>
          <w:szCs w:val="24"/>
          <w:highlight w:val="none"/>
        </w:rPr>
        <w:t>3．招标文件的获取</w:t>
      </w:r>
      <w:bookmarkEnd w:id="19"/>
      <w:bookmarkEnd w:id="20"/>
    </w:p>
    <w:p w14:paraId="062171A6">
      <w:pPr>
        <w:keepNext w:val="0"/>
        <w:keepLines w:val="0"/>
        <w:pageBreakBefore w:val="0"/>
        <w:wordWrap w:val="0"/>
        <w:overflowPunct/>
        <w:topLinePunct w:val="0"/>
        <w:bidi w:val="0"/>
        <w:spacing w:before="182" w:line="219" w:lineRule="auto"/>
        <w:ind w:left="70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本次招标实行电子投标。</w:t>
      </w:r>
    </w:p>
    <w:p w14:paraId="1D01F43D">
      <w:pPr>
        <w:keepNext w:val="0"/>
        <w:keepLines w:val="0"/>
        <w:pageBreakBefore w:val="0"/>
        <w:wordWrap w:val="0"/>
        <w:overflowPunct/>
        <w:topLinePunct w:val="0"/>
        <w:bidi w:val="0"/>
        <w:spacing w:before="178" w:line="355" w:lineRule="auto"/>
        <w:ind w:left="0" w:leftChars="0" w:firstLine="481"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本次招标实行电子投标。本项目招标文件随招标公告一并在全国公共资源交易平台（广东省 ·韶关市）（https://ygp.gdzwfw.gov.cn/ggzy-portal/#/440200/index）网站发布。招标文件一经发布，视为发送投标人，招标文件及相关附件由投标人自行在全国公共资源交易平台（广东省 ·韶关市）网站下载。请于招标文件获取期间,（见本章第二节“重要事项时间地点一览表 ”）招标文件获取期间与招标公告发布时间一致，投标人须登录全国公共资源交易平台（广东省 ·韶关市）（https://ygp.gdzwfw.gov.cn/ggzy-portal/#/440200/index），使用新建设工程交易系统进行下载招标文件及相关附件，并于电子投标截止时间（见本章第二节“重要事项时间地点一览表 ”）前完成电子投标。投标人可登录全国公共资源交易平台（广东省 ·韶关市）（https://ygp.gdzwfw.gov.cn/ggzy-portal/#/440200/index），在【服务指南】栏目中建设工程交易中下载《韶关市公共资源建设工程交易系统-投标人操作指南（电子评标）》（附件 2），了解网上获取招标文件操作流程。技术咨询电话：0751-8379671 伍先生，业务咨询电话：0751-8633211、8633071。</w:t>
      </w:r>
    </w:p>
    <w:p w14:paraId="2202A6B7">
      <w:pPr>
        <w:keepNext w:val="0"/>
        <w:keepLines w:val="0"/>
        <w:pageBreakBefore w:val="0"/>
        <w:wordWrap w:val="0"/>
        <w:overflowPunct/>
        <w:topLinePunct w:val="0"/>
        <w:bidi w:val="0"/>
        <w:spacing w:before="142" w:line="330" w:lineRule="auto"/>
        <w:ind w:left="11" w:right="105" w:firstLine="473"/>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3.2  </w:t>
      </w:r>
      <w:r>
        <w:rPr>
          <w:rFonts w:hint="eastAsia" w:ascii="宋体" w:hAnsi="宋体" w:eastAsia="宋体" w:cs="宋体"/>
          <w:color w:val="auto"/>
          <w:spacing w:val="0"/>
          <w:sz w:val="24"/>
          <w:szCs w:val="24"/>
          <w:highlight w:val="none"/>
        </w:rPr>
        <w:t>只有申领了数字证书（CA）、“粤企签 ”或 GDCA/SZCA/NETCA 等符合法律法规规定的电子印章，并在交易系统中完成企业信息数据入库的投标人，方可使用建设工程交易系统进行招标文件及附件获取和电子投标。</w:t>
      </w:r>
    </w:p>
    <w:p w14:paraId="4D07D799">
      <w:pPr>
        <w:keepNext w:val="0"/>
        <w:keepLines w:val="0"/>
        <w:pageBreakBefore w:val="0"/>
        <w:wordWrap w:val="0"/>
        <w:overflowPunct/>
        <w:topLinePunct w:val="0"/>
        <w:bidi w:val="0"/>
        <w:spacing w:before="32" w:line="332" w:lineRule="auto"/>
        <w:ind w:left="10" w:right="90"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首次在韶关市参与建设工程招标投标活动的投标人，必须在平台系统上传企业相关资料办理企业入库事宜。投标人可登录全国公共资源交易平台（广东省 ·韶关市）（</w:t>
      </w: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"https://ygp.gdzwfw.gov.cn/ggzy-portal/#/440200/index" </w:instrText>
      </w:r>
      <w:r>
        <w:rPr>
          <w:rFonts w:hint="eastAsia" w:ascii="宋体" w:hAnsi="宋体" w:eastAsia="宋体" w:cs="宋体"/>
          <w:color w:val="auto"/>
          <w:spacing w:val="0"/>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）办理企业入库、数字证书及电子印章事宜，具体请在平台查阅相应的交易指引。</w:t>
      </w:r>
    </w:p>
    <w:p w14:paraId="7D8C8C64">
      <w:pPr>
        <w:keepNext w:val="0"/>
        <w:keepLines w:val="0"/>
        <w:pageBreakBefore w:val="0"/>
        <w:wordWrap w:val="0"/>
        <w:overflowPunct/>
        <w:topLinePunct w:val="0"/>
        <w:bidi w:val="0"/>
        <w:spacing w:before="37" w:line="329" w:lineRule="auto"/>
        <w:ind w:left="9" w:right="105" w:firstLine="50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已入库企业有关信息（如单位名称、基本账号、资质、人员等）发生变化的，须及时在交易系统进行相应变更。投标人未及时变更信息而造成的损失和后果，由投标人自行承担。</w:t>
      </w:r>
    </w:p>
    <w:p w14:paraId="3E500E91">
      <w:pPr>
        <w:keepNext w:val="0"/>
        <w:keepLines w:val="0"/>
        <w:pageBreakBefore w:val="0"/>
        <w:wordWrap w:val="0"/>
        <w:overflowPunct/>
        <w:topLinePunct w:val="0"/>
        <w:bidi w:val="0"/>
        <w:spacing w:before="33" w:line="335" w:lineRule="auto"/>
        <w:ind w:left="10" w:right="105" w:firstLine="508"/>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 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25D91D7D">
      <w:pPr>
        <w:keepNext w:val="0"/>
        <w:keepLines w:val="0"/>
        <w:pageBreakBefore w:val="0"/>
        <w:wordWrap w:val="0"/>
        <w:overflowPunct/>
        <w:topLinePunct w:val="0"/>
        <w:bidi w:val="0"/>
        <w:spacing w:before="33" w:line="221"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投标保证</w:t>
      </w:r>
    </w:p>
    <w:p w14:paraId="28B6DFAD">
      <w:pPr>
        <w:keepNext w:val="0"/>
        <w:keepLines w:val="0"/>
        <w:pageBreakBefore w:val="0"/>
        <w:wordWrap w:val="0"/>
        <w:overflowPunct/>
        <w:topLinePunct w:val="0"/>
        <w:bidi w:val="0"/>
        <w:spacing w:before="152" w:line="280" w:lineRule="auto"/>
        <w:ind w:left="8" w:right="105"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3.3.1  </w:t>
      </w:r>
      <w:r>
        <w:rPr>
          <w:rFonts w:hint="eastAsia" w:ascii="宋体" w:hAnsi="宋体" w:eastAsia="宋体" w:cs="宋体"/>
          <w:color w:val="auto"/>
          <w:spacing w:val="0"/>
          <w:sz w:val="24"/>
          <w:szCs w:val="24"/>
          <w:highlight w:val="none"/>
        </w:rPr>
        <w:t>投标人须缴纳金额为</w:t>
      </w:r>
      <w:r>
        <w:rPr>
          <w:rFonts w:hint="eastAsia" w:ascii="宋体" w:hAnsi="宋体" w:eastAsia="宋体" w:cs="宋体"/>
          <w:color w:val="auto"/>
          <w:spacing w:val="0"/>
          <w:sz w:val="24"/>
          <w:szCs w:val="24"/>
          <w:highlight w:val="none"/>
          <w:u w:val="single"/>
          <w:lang w:val="en-US" w:eastAsia="zh-CN"/>
        </w:rPr>
        <w:t>30000.00</w:t>
      </w:r>
      <w:r>
        <w:rPr>
          <w:rFonts w:hint="eastAsia" w:ascii="宋体" w:hAnsi="宋体" w:eastAsia="宋体" w:cs="宋体"/>
          <w:color w:val="auto"/>
          <w:spacing w:val="0"/>
          <w:sz w:val="24"/>
          <w:szCs w:val="24"/>
          <w:highlight w:val="none"/>
          <w:u w:val="none"/>
          <w:lang w:val="en-US" w:eastAsia="zh-CN"/>
        </w:rPr>
        <w:t>元</w:t>
      </w:r>
      <w:r>
        <w:rPr>
          <w:rFonts w:hint="eastAsia" w:ascii="宋体" w:hAnsi="宋体" w:eastAsia="宋体" w:cs="宋体"/>
          <w:color w:val="auto"/>
          <w:spacing w:val="0"/>
          <w:sz w:val="24"/>
          <w:szCs w:val="24"/>
          <w:highlight w:val="none"/>
        </w:rPr>
        <w:t>人民币的投标保证。联合体投标的，由联合体牵头人缴纳。</w:t>
      </w:r>
    </w:p>
    <w:p w14:paraId="45B9E994">
      <w:pPr>
        <w:keepNext w:val="0"/>
        <w:keepLines w:val="0"/>
        <w:pageBreakBefore w:val="0"/>
        <w:wordWrap w:val="0"/>
        <w:overflowPunct/>
        <w:topLinePunct w:val="0"/>
        <w:bidi w:val="0"/>
        <w:spacing w:before="35" w:line="325" w:lineRule="auto"/>
        <w:ind w:left="12" w:right="108" w:firstLine="471"/>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3.3.2  </w:t>
      </w:r>
      <w:r>
        <w:rPr>
          <w:rFonts w:hint="eastAsia" w:ascii="宋体" w:hAnsi="宋体" w:eastAsia="宋体" w:cs="宋体"/>
          <w:color w:val="auto"/>
          <w:spacing w:val="0"/>
          <w:sz w:val="24"/>
          <w:szCs w:val="24"/>
          <w:highlight w:val="none"/>
        </w:rPr>
        <w:t>投标保证的形式包括投标保证金、投标保证担保、投标保证保险三种，由投标人自主选择。</w:t>
      </w:r>
    </w:p>
    <w:p w14:paraId="025DD3A8">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bookmarkStart w:id="21" w:name="bookmark117"/>
      <w:bookmarkEnd w:id="21"/>
      <w:r>
        <w:rPr>
          <w:rFonts w:hint="eastAsia" w:ascii="宋体" w:hAnsi="宋体" w:eastAsia="宋体" w:cs="宋体"/>
          <w:color w:val="auto"/>
          <w:spacing w:val="0"/>
          <w:sz w:val="24"/>
          <w:szCs w:val="24"/>
          <w:highlight w:val="none"/>
        </w:rPr>
        <w:t>（1）采用投标保证金的，投标人在建设工程交易系统获取招标文件完毕后，即可在系统申请缴纳投标保证金，获取本次招标投标保证金缴纳账号。投标人必须于投标保证金到账截止时间（见本招标文件“重要事项时间地点一览表 ”）前，从其基本账户将投标保证金转账到指定的缴纳账号。逾期到账的、从非投标人基本账户转出的，其投标无效。</w:t>
      </w:r>
    </w:p>
    <w:p w14:paraId="43708345">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3C81C690">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电子保单，电子保单的有效期不得短于投标有效期。投标人可登录全国公共资源交易平台（广东省·韶关市）（</w:t>
      </w:r>
      <w:r>
        <w:rPr>
          <w:rFonts w:hint="eastAsia" w:ascii="宋体" w:hAnsi="宋体" w:eastAsia="宋体" w:cs="宋体"/>
          <w:color w:val="auto"/>
          <w:spacing w:val="0"/>
          <w:sz w:val="24"/>
          <w:szCs w:val="24"/>
          <w:highlight w:val="none"/>
        </w:rPr>
        <w:fldChar w:fldCharType="begin"/>
      </w:r>
      <w:r>
        <w:rPr>
          <w:rFonts w:hint="eastAsia" w:ascii="宋体" w:hAnsi="宋体" w:eastAsia="宋体" w:cs="宋体"/>
          <w:color w:val="auto"/>
          <w:spacing w:val="0"/>
          <w:sz w:val="24"/>
          <w:szCs w:val="24"/>
          <w:highlight w:val="none"/>
        </w:rPr>
        <w:instrText xml:space="preserve"> HYPERLINK "https://ygp.gdzwfw.gov.cn/ggzy-portal/#/440200/index" </w:instrText>
      </w:r>
      <w:r>
        <w:rPr>
          <w:rFonts w:hint="eastAsia" w:ascii="宋体" w:hAnsi="宋体" w:eastAsia="宋体" w:cs="宋体"/>
          <w:color w:val="auto"/>
          <w:spacing w:val="0"/>
          <w:sz w:val="24"/>
          <w:szCs w:val="24"/>
          <w:highlight w:val="none"/>
        </w:rPr>
        <w:fldChar w:fldCharType="separate"/>
      </w:r>
      <w:r>
        <w:rPr>
          <w:rFonts w:hint="eastAsia" w:ascii="宋体" w:hAnsi="宋体" w:eastAsia="宋体" w:cs="宋体"/>
          <w:color w:val="auto"/>
          <w:spacing w:val="0"/>
          <w:sz w:val="24"/>
          <w:szCs w:val="24"/>
          <w:highlight w:val="none"/>
        </w:rPr>
        <w:t>https://ygp.gdzwfw.gov.cn/ggzy-portal/#/440200/index</w:t>
      </w:r>
      <w:r>
        <w:rPr>
          <w:rFonts w:hint="eastAsia" w:ascii="宋体" w:hAnsi="宋体" w:eastAsia="宋体" w:cs="宋体"/>
          <w:color w:val="auto"/>
          <w:spacing w:val="0"/>
          <w:sz w:val="24"/>
          <w:szCs w:val="24"/>
          <w:highlight w:val="none"/>
        </w:rPr>
        <w:fldChar w:fldCharType="end"/>
      </w:r>
      <w:r>
        <w:rPr>
          <w:rFonts w:hint="eastAsia" w:ascii="宋体" w:hAnsi="宋体" w:eastAsia="宋体" w:cs="宋体"/>
          <w:color w:val="auto"/>
          <w:spacing w:val="0"/>
          <w:sz w:val="24"/>
          <w:szCs w:val="24"/>
          <w:highlight w:val="none"/>
        </w:rPr>
        <w:t>），在【服务指南】栏目中下载《建设工程网上交易系统保险保证金缴纳操作指南》，了解网上投保具体操作流程。逾期投保的，其投标无效。</w:t>
      </w:r>
    </w:p>
    <w:p w14:paraId="1E1D4FB8">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57AA98E3">
      <w:pPr>
        <w:keepNext w:val="0"/>
        <w:keepLines w:val="0"/>
        <w:pageBreakBefore w:val="0"/>
        <w:wordWrap w:val="0"/>
        <w:overflowPunct/>
        <w:topLinePunct w:val="0"/>
        <w:bidi w:val="0"/>
        <w:spacing w:before="78" w:line="334" w:lineRule="auto"/>
        <w:ind w:left="12" w:right="2" w:firstLine="49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 xml:space="preserve"> 若投标人因自身原因未能正确完成获取招标文件、电子投标、缴纳投标保证的，其投标无效。</w:t>
      </w:r>
    </w:p>
    <w:p w14:paraId="4DEB049B">
      <w:pPr>
        <w:keepNext w:val="0"/>
        <w:keepLines w:val="0"/>
        <w:pageBreakBefore w:val="0"/>
        <w:wordWrap w:val="0"/>
        <w:overflowPunct/>
        <w:topLinePunct w:val="0"/>
        <w:bidi w:val="0"/>
        <w:spacing w:before="79" w:line="221" w:lineRule="auto"/>
        <w:ind w:left="487"/>
        <w:outlineLvl w:val="2"/>
        <w:rPr>
          <w:rFonts w:hint="eastAsia" w:ascii="宋体" w:hAnsi="宋体" w:eastAsia="宋体" w:cs="宋体"/>
          <w:color w:val="auto"/>
          <w:spacing w:val="0"/>
          <w:sz w:val="24"/>
          <w:szCs w:val="24"/>
          <w:highlight w:val="none"/>
        </w:rPr>
      </w:pPr>
      <w:bookmarkStart w:id="22" w:name="bookmark64"/>
      <w:bookmarkEnd w:id="22"/>
      <w:bookmarkStart w:id="23" w:name="bookmark78"/>
      <w:bookmarkEnd w:id="23"/>
      <w:bookmarkStart w:id="24" w:name="_Toc15498"/>
      <w:bookmarkStart w:id="25" w:name="_Toc23385"/>
      <w:r>
        <w:rPr>
          <w:rFonts w:hint="eastAsia" w:ascii="宋体" w:hAnsi="宋体" w:eastAsia="宋体" w:cs="宋体"/>
          <w:b/>
          <w:bCs/>
          <w:color w:val="auto"/>
          <w:spacing w:val="0"/>
          <w:sz w:val="24"/>
          <w:szCs w:val="24"/>
          <w:highlight w:val="none"/>
        </w:rPr>
        <w:t>4</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．工期要求</w:t>
      </w:r>
      <w:bookmarkEnd w:id="24"/>
      <w:bookmarkEnd w:id="25"/>
    </w:p>
    <w:p w14:paraId="03461DC3">
      <w:pPr>
        <w:keepNext w:val="0"/>
        <w:keepLines w:val="0"/>
        <w:pageBreakBefore w:val="0"/>
        <w:wordWrap w:val="0"/>
        <w:overflowPunct/>
        <w:topLinePunct w:val="0"/>
        <w:bidi w:val="0"/>
        <w:spacing w:before="153" w:line="324" w:lineRule="auto"/>
        <w:ind w:left="30" w:right="65" w:firstLine="4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本招标项目招标工期为</w:t>
      </w:r>
      <w:r>
        <w:rPr>
          <w:rFonts w:hint="eastAsia" w:ascii="宋体" w:hAnsi="宋体" w:eastAsia="宋体" w:cs="宋体"/>
          <w:color w:val="auto"/>
          <w:spacing w:val="0"/>
          <w:sz w:val="24"/>
          <w:szCs w:val="24"/>
          <w:highlight w:val="none"/>
          <w:u w:val="single"/>
          <w:lang w:val="en-US" w:eastAsia="zh-CN"/>
        </w:rPr>
        <w:t>180个日历天</w:t>
      </w:r>
      <w:r>
        <w:rPr>
          <w:rFonts w:hint="eastAsia" w:ascii="宋体" w:hAnsi="宋体" w:eastAsia="宋体" w:cs="宋体"/>
          <w:color w:val="auto"/>
          <w:spacing w:val="0"/>
          <w:sz w:val="24"/>
          <w:szCs w:val="24"/>
          <w:highlight w:val="none"/>
        </w:rPr>
        <w:t>，中标人必须在招标工期内完成招标范围内的全部内容。</w:t>
      </w:r>
    </w:p>
    <w:p w14:paraId="474BA81B">
      <w:pPr>
        <w:keepNext w:val="0"/>
        <w:keepLines w:val="0"/>
        <w:pageBreakBefore w:val="0"/>
        <w:wordWrap w:val="0"/>
        <w:overflowPunct/>
        <w:topLinePunct w:val="0"/>
        <w:bidi w:val="0"/>
        <w:spacing w:before="78" w:line="219" w:lineRule="auto"/>
        <w:ind w:left="488"/>
        <w:outlineLvl w:val="2"/>
        <w:rPr>
          <w:rFonts w:hint="eastAsia" w:ascii="宋体" w:hAnsi="宋体" w:eastAsia="宋体" w:cs="宋体"/>
          <w:color w:val="auto"/>
          <w:spacing w:val="0"/>
          <w:sz w:val="24"/>
          <w:szCs w:val="24"/>
          <w:highlight w:val="none"/>
        </w:rPr>
      </w:pPr>
      <w:bookmarkStart w:id="26" w:name="_Toc7638"/>
      <w:bookmarkStart w:id="27" w:name="_Toc4154"/>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．质量标准和材料、机械要求</w:t>
      </w:r>
      <w:bookmarkEnd w:id="26"/>
      <w:bookmarkEnd w:id="27"/>
    </w:p>
    <w:p w14:paraId="1002D977">
      <w:pPr>
        <w:keepNext w:val="0"/>
        <w:keepLines w:val="0"/>
        <w:pageBreakBefore w:val="0"/>
        <w:wordWrap w:val="0"/>
        <w:overflowPunct/>
        <w:topLinePunct w:val="0"/>
        <w:bidi w:val="0"/>
        <w:spacing w:before="154" w:line="279" w:lineRule="auto"/>
        <w:ind w:left="11" w:right="99"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5.1  </w:t>
      </w:r>
      <w:r>
        <w:rPr>
          <w:rFonts w:hint="eastAsia" w:ascii="宋体" w:hAnsi="宋体" w:eastAsia="宋体" w:cs="宋体"/>
          <w:color w:val="auto"/>
          <w:spacing w:val="0"/>
          <w:sz w:val="24"/>
          <w:szCs w:val="24"/>
          <w:highlight w:val="none"/>
        </w:rPr>
        <w:t>施工工艺严格按照国家和广东省的有关现行施工技术规范及标准执行，工程质量标准</w:t>
      </w:r>
      <w:r>
        <w:rPr>
          <w:rFonts w:hint="eastAsia" w:ascii="宋体" w:hAnsi="宋体" w:eastAsia="宋体" w:cs="宋体"/>
          <w:color w:val="auto"/>
          <w:spacing w:val="0"/>
          <w:sz w:val="24"/>
          <w:szCs w:val="24"/>
          <w:highlight w:val="none"/>
          <w:u w:val="single"/>
          <w:lang w:val="en-US" w:eastAsia="zh-CN"/>
        </w:rPr>
        <w:t>符合现行国家有关工程施工质量验收规范和标准的要求，达到验收合格标准</w:t>
      </w:r>
      <w:r>
        <w:rPr>
          <w:rFonts w:hint="eastAsia" w:ascii="宋体" w:hAnsi="宋体" w:eastAsia="宋体" w:cs="宋体"/>
          <w:color w:val="auto"/>
          <w:spacing w:val="0"/>
          <w:sz w:val="24"/>
          <w:szCs w:val="24"/>
          <w:highlight w:val="none"/>
        </w:rPr>
        <w:t>。</w:t>
      </w:r>
    </w:p>
    <w:p w14:paraId="1D66894B">
      <w:pPr>
        <w:keepNext w:val="0"/>
        <w:keepLines w:val="0"/>
        <w:pageBreakBefore w:val="0"/>
        <w:wordWrap w:val="0"/>
        <w:overflowPunct/>
        <w:topLinePunct w:val="0"/>
        <w:bidi w:val="0"/>
        <w:spacing w:before="154" w:line="279" w:lineRule="auto"/>
        <w:ind w:left="10" w:right="99"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中标人在施工中如果工程质量不符合设计要求和有关规定，招标人或监理单位要求停工和返工的必须立即执行，并承担由此产生的各种费用，工期不予顺延。</w:t>
      </w:r>
    </w:p>
    <w:p w14:paraId="63F93060">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5.3  </w:t>
      </w:r>
      <w:r>
        <w:rPr>
          <w:rFonts w:hint="eastAsia" w:ascii="宋体" w:hAnsi="宋体" w:eastAsia="宋体" w:cs="宋体"/>
          <w:color w:val="auto"/>
          <w:spacing w:val="0"/>
          <w:sz w:val="24"/>
          <w:szCs w:val="24"/>
          <w:highlight w:val="none"/>
        </w:rPr>
        <w:t>保修期限按《建设工程质量管理条例》（中华人民共和国国务院令第 279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594490DA">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5.4</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0"/>
          <w:sz w:val="24"/>
          <w:szCs w:val="24"/>
          <w:highlight w:val="none"/>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rPr>
        <w:t>纳入绿色建设实施范围</w:t>
      </w:r>
      <w:r>
        <w:rPr>
          <w:rFonts w:hint="eastAsia" w:ascii="宋体" w:hAnsi="宋体" w:eastAsia="宋体" w:cs="宋体"/>
          <w:color w:val="auto"/>
          <w:spacing w:val="0"/>
          <w:sz w:val="24"/>
          <w:szCs w:val="24"/>
          <w:highlight w:val="none"/>
          <w:lang w:eastAsia="zh-CN"/>
        </w:rPr>
        <w:t>。</w:t>
      </w:r>
    </w:p>
    <w:p w14:paraId="0BEB46EA">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5.5</w:t>
      </w:r>
      <w:r>
        <w:rPr>
          <w:rFonts w:hint="eastAsia" w:ascii="宋体" w:hAnsi="宋体" w:eastAsia="宋体" w:cs="宋体"/>
          <w:color w:val="auto"/>
          <w:spacing w:val="0"/>
          <w:sz w:val="24"/>
          <w:szCs w:val="24"/>
          <w:highlight w:val="none"/>
        </w:rPr>
        <w:t xml:space="preserve">  其它：</w:t>
      </w:r>
      <w:r>
        <w:rPr>
          <w:rFonts w:hint="eastAsia" w:ascii="宋体" w:hAnsi="宋体" w:eastAsia="宋体" w:cs="宋体"/>
          <w:color w:val="auto"/>
          <w:spacing w:val="0"/>
          <w:sz w:val="24"/>
          <w:szCs w:val="24"/>
          <w:highlight w:val="none"/>
          <w:lang w:eastAsia="zh-CN"/>
        </w:rPr>
        <w:t>本招标项目</w:t>
      </w:r>
      <w:r>
        <w:rPr>
          <w:rFonts w:hint="eastAsia" w:ascii="宋体" w:hAnsi="宋体" w:eastAsia="宋体" w:cs="宋体"/>
          <w:color w:val="auto"/>
          <w:spacing w:val="0"/>
          <w:sz w:val="24"/>
          <w:szCs w:val="24"/>
          <w:highlight w:val="none"/>
          <w:lang w:val="en-US" w:eastAsia="zh-CN"/>
        </w:rPr>
        <w:t>不</w:t>
      </w:r>
      <w:r>
        <w:rPr>
          <w:rFonts w:hint="eastAsia" w:ascii="宋体" w:hAnsi="宋体" w:eastAsia="宋体" w:cs="宋体"/>
          <w:color w:val="auto"/>
          <w:spacing w:val="0"/>
          <w:sz w:val="24"/>
          <w:szCs w:val="24"/>
          <w:highlight w:val="none"/>
          <w:lang w:eastAsia="zh-CN"/>
        </w:rPr>
        <w:t>纳入装配式建造建设实施范围。</w:t>
      </w:r>
    </w:p>
    <w:p w14:paraId="5EC9E7C7">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5.6</w:t>
      </w:r>
      <w:r>
        <w:rPr>
          <w:rFonts w:hint="eastAsia" w:ascii="宋体" w:hAnsi="宋体" w:eastAsia="宋体" w:cs="宋体"/>
          <w:color w:val="auto"/>
          <w:spacing w:val="0"/>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则中标人必须使用合格材料或设备。</w:t>
      </w:r>
    </w:p>
    <w:p w14:paraId="5A1434AF">
      <w:pPr>
        <w:keepNext w:val="0"/>
        <w:keepLines w:val="0"/>
        <w:pageBreakBefore w:val="0"/>
        <w:wordWrap w:val="0"/>
        <w:overflowPunct/>
        <w:topLinePunct w:val="0"/>
        <w:bidi w:val="0"/>
        <w:spacing w:before="152" w:line="309" w:lineRule="auto"/>
        <w:ind w:left="9" w:firstLine="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5.</w:t>
      </w:r>
      <w:r>
        <w:rPr>
          <w:rFonts w:hint="eastAsia" w:ascii="宋体" w:hAnsi="宋体" w:eastAsia="宋体" w:cs="宋体"/>
          <w:b/>
          <w:bCs/>
          <w:color w:val="auto"/>
          <w:spacing w:val="0"/>
          <w:sz w:val="24"/>
          <w:szCs w:val="24"/>
          <w:highlight w:val="none"/>
          <w:lang w:eastAsia="zh-CN"/>
        </w:rPr>
        <w:t>7</w:t>
      </w:r>
      <w:r>
        <w:rPr>
          <w:rFonts w:hint="eastAsia" w:ascii="宋体" w:hAnsi="宋体" w:eastAsia="宋体" w:cs="宋体"/>
          <w:color w:val="auto"/>
          <w:spacing w:val="0"/>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6B9F7067">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auto"/>
          <w:spacing w:val="0"/>
          <w:sz w:val="24"/>
          <w:szCs w:val="24"/>
          <w:highlight w:val="none"/>
        </w:rPr>
      </w:pPr>
      <w:bookmarkStart w:id="28" w:name="_Toc1668"/>
      <w:bookmarkStart w:id="29" w:name="_Toc7763"/>
      <w:r>
        <w:rPr>
          <w:rFonts w:hint="eastAsia" w:ascii="宋体" w:hAnsi="宋体" w:eastAsia="宋体" w:cs="宋体"/>
          <w:b/>
          <w:bCs/>
          <w:color w:val="auto"/>
          <w:spacing w:val="0"/>
          <w:sz w:val="24"/>
          <w:szCs w:val="24"/>
          <w:highlight w:val="none"/>
        </w:rPr>
        <w:t>6 ．施工条件及现场踏勘</w:t>
      </w:r>
      <w:bookmarkEnd w:id="28"/>
      <w:bookmarkEnd w:id="29"/>
    </w:p>
    <w:p w14:paraId="20BA5CA5">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6.1  </w:t>
      </w:r>
      <w:r>
        <w:rPr>
          <w:rFonts w:hint="eastAsia" w:ascii="宋体" w:hAnsi="宋体" w:eastAsia="宋体" w:cs="宋体"/>
          <w:color w:val="auto"/>
          <w:spacing w:val="0"/>
          <w:sz w:val="24"/>
          <w:szCs w:val="24"/>
          <w:highlight w:val="none"/>
        </w:rPr>
        <w:t>招标人仅在本招标项目征地红线范围内提供场地，其他一切场地费用由中标人自行负责（含临时道路</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临时道路需要招标人要求保证但不限于保留至少一条足够行人通行的临时道路</w:t>
      </w:r>
      <w:r>
        <w:rPr>
          <w:rFonts w:hint="eastAsia" w:ascii="宋体" w:hAnsi="宋体" w:eastAsia="宋体" w:cs="宋体"/>
          <w:color w:val="auto"/>
          <w:spacing w:val="0"/>
          <w:sz w:val="24"/>
          <w:szCs w:val="24"/>
          <w:highlight w:val="none"/>
        </w:rPr>
        <w:t>）。</w:t>
      </w:r>
    </w:p>
    <w:p w14:paraId="5103988C">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bookmarkStart w:id="30" w:name="bookmark118"/>
      <w:bookmarkEnd w:id="30"/>
      <w:r>
        <w:rPr>
          <w:rFonts w:hint="eastAsia" w:ascii="宋体" w:hAnsi="宋体" w:eastAsia="宋体" w:cs="宋体"/>
          <w:b/>
          <w:bCs/>
          <w:color w:val="auto"/>
          <w:spacing w:val="0"/>
          <w:sz w:val="24"/>
          <w:szCs w:val="24"/>
          <w:highlight w:val="none"/>
        </w:rPr>
        <w:t>6.2</w:t>
      </w:r>
      <w:r>
        <w:rPr>
          <w:rFonts w:hint="eastAsia" w:ascii="宋体" w:hAnsi="宋体" w:eastAsia="宋体" w:cs="宋体"/>
          <w:color w:val="auto"/>
          <w:spacing w:val="0"/>
          <w:sz w:val="24"/>
          <w:szCs w:val="24"/>
          <w:highlight w:val="none"/>
        </w:rPr>
        <w:t xml:space="preserve">  施工用水：</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733D2F92">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6.3</w:t>
      </w:r>
      <w:r>
        <w:rPr>
          <w:rFonts w:hint="eastAsia" w:ascii="宋体" w:hAnsi="宋体" w:eastAsia="宋体" w:cs="宋体"/>
          <w:color w:val="auto"/>
          <w:spacing w:val="0"/>
          <w:sz w:val="24"/>
          <w:szCs w:val="24"/>
          <w:highlight w:val="none"/>
        </w:rPr>
        <w:t xml:space="preserve">  施工用电：</w:t>
      </w:r>
      <w:r>
        <w:rPr>
          <w:rFonts w:hint="eastAsia" w:ascii="宋体" w:hAnsi="宋体" w:eastAsia="宋体" w:cs="宋体"/>
          <w:color w:val="auto"/>
          <w:spacing w:val="0"/>
          <w:sz w:val="24"/>
          <w:szCs w:val="24"/>
          <w:highlight w:val="none"/>
          <w:u w:val="single"/>
        </w:rPr>
        <w:t xml:space="preserve"> 由中标人自行解决，费用考虑在投标报价中</w:t>
      </w:r>
      <w:r>
        <w:rPr>
          <w:rFonts w:hint="eastAsia" w:ascii="宋体" w:hAnsi="宋体" w:eastAsia="宋体" w:cs="宋体"/>
          <w:color w:val="auto"/>
          <w:spacing w:val="0"/>
          <w:sz w:val="24"/>
          <w:szCs w:val="24"/>
          <w:highlight w:val="none"/>
        </w:rPr>
        <w:t>。</w:t>
      </w:r>
    </w:p>
    <w:p w14:paraId="44DCDA93">
      <w:pPr>
        <w:keepNext w:val="0"/>
        <w:keepLines w:val="0"/>
        <w:pageBreakBefore w:val="0"/>
        <w:wordWrap w:val="0"/>
        <w:overflowPunct/>
        <w:topLinePunct w:val="0"/>
        <w:bidi w:val="0"/>
        <w:spacing w:before="155" w:line="324" w:lineRule="auto"/>
        <w:ind w:left="12" w:right="99"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6.4</w:t>
      </w:r>
      <w:r>
        <w:rPr>
          <w:rFonts w:hint="eastAsia" w:ascii="宋体" w:hAnsi="宋体" w:eastAsia="宋体" w:cs="宋体"/>
          <w:color w:val="auto"/>
          <w:spacing w:val="0"/>
          <w:sz w:val="24"/>
          <w:szCs w:val="24"/>
          <w:highlight w:val="none"/>
        </w:rPr>
        <w:t xml:space="preserve">  施工用水、用电各提供一驳接点到现场边缘。要求中标人单独安装水表、电表，其水、电费按项目所在地</w:t>
      </w:r>
      <w:r>
        <w:rPr>
          <w:rFonts w:hint="eastAsia" w:ascii="宋体" w:hAnsi="宋体" w:eastAsia="宋体" w:cs="宋体"/>
          <w:color w:val="auto"/>
          <w:spacing w:val="0"/>
          <w:sz w:val="24"/>
          <w:szCs w:val="24"/>
          <w:highlight w:val="none"/>
          <w:u w:val="single"/>
          <w:lang w:val="en-US" w:eastAsia="zh-CN"/>
        </w:rPr>
        <w:t>韶关市</w:t>
      </w:r>
      <w:r>
        <w:rPr>
          <w:rFonts w:hint="eastAsia" w:ascii="宋体" w:hAnsi="宋体" w:eastAsia="宋体" w:cs="宋体"/>
          <w:color w:val="auto"/>
          <w:spacing w:val="0"/>
          <w:sz w:val="24"/>
          <w:szCs w:val="24"/>
          <w:highlight w:val="none"/>
        </w:rPr>
        <w:t>基建工程水、电计费标准计算并由中标人缴纳。</w:t>
      </w:r>
    </w:p>
    <w:p w14:paraId="52ABD7ED">
      <w:pPr>
        <w:keepNext w:val="0"/>
        <w:keepLines w:val="0"/>
        <w:pageBreakBefore w:val="0"/>
        <w:wordWrap w:val="0"/>
        <w:overflowPunct/>
        <w:topLinePunct w:val="0"/>
        <w:bidi w:val="0"/>
        <w:spacing w:before="154" w:line="29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6.5  </w:t>
      </w:r>
      <w:r>
        <w:rPr>
          <w:rFonts w:hint="eastAsia" w:ascii="宋体" w:hAnsi="宋体" w:eastAsia="宋体" w:cs="宋体"/>
          <w:color w:val="auto"/>
          <w:spacing w:val="0"/>
          <w:sz w:val="24"/>
          <w:szCs w:val="24"/>
          <w:highlight w:val="none"/>
        </w:rPr>
        <w:t>招标人不组织现场踏勘，但会在招标文件及有关设计文件中明确告知招标项目的具体位置和周边环境，并在现场设置足以识别的标识或提供足以表明招标项目具体位置的文字或图片。投标人需要了解现场情况的</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可自行进行现场踏勘。</w:t>
      </w:r>
    </w:p>
    <w:p w14:paraId="635FDD63">
      <w:pPr>
        <w:keepNext w:val="0"/>
        <w:keepLines w:val="0"/>
        <w:pageBreakBefore w:val="0"/>
        <w:wordWrap w:val="0"/>
        <w:overflowPunct/>
        <w:topLinePunct w:val="0"/>
        <w:bidi w:val="0"/>
        <w:spacing w:before="153" w:line="280"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6.6  </w:t>
      </w:r>
      <w:r>
        <w:rPr>
          <w:rFonts w:hint="eastAsia" w:ascii="宋体" w:hAnsi="宋体" w:eastAsia="宋体" w:cs="宋体"/>
          <w:color w:val="auto"/>
          <w:spacing w:val="0"/>
          <w:sz w:val="24"/>
          <w:szCs w:val="24"/>
          <w:highlight w:val="none"/>
        </w:rPr>
        <w:t>在现场踏勘过程中，投标人应确保自身安全，投标人如果发生人身伤亡、财物或其他损失，法律法规有规定的按有关规定处理，没有规定的由投标人自行负责。</w:t>
      </w:r>
    </w:p>
    <w:p w14:paraId="6D263223">
      <w:pPr>
        <w:keepNext w:val="0"/>
        <w:keepLines w:val="0"/>
        <w:pageBreakBefore w:val="0"/>
        <w:wordWrap w:val="0"/>
        <w:overflowPunct/>
        <w:topLinePunct w:val="0"/>
        <w:bidi w:val="0"/>
        <w:spacing w:before="153" w:line="220" w:lineRule="auto"/>
        <w:ind w:left="56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6.7  </w:t>
      </w:r>
      <w:r>
        <w:rPr>
          <w:rFonts w:hint="eastAsia" w:ascii="宋体" w:hAnsi="宋体" w:eastAsia="宋体" w:cs="宋体"/>
          <w:color w:val="auto"/>
          <w:spacing w:val="0"/>
          <w:sz w:val="24"/>
          <w:szCs w:val="24"/>
          <w:highlight w:val="none"/>
        </w:rPr>
        <w:t>现场踏勘期间的交通、食宿由投标人自行安排，费用自理。</w:t>
      </w:r>
    </w:p>
    <w:p w14:paraId="1C338073">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auto"/>
          <w:spacing w:val="0"/>
          <w:sz w:val="24"/>
          <w:szCs w:val="24"/>
          <w:highlight w:val="none"/>
        </w:rPr>
      </w:pPr>
      <w:bookmarkStart w:id="31" w:name="bookmark67"/>
      <w:bookmarkEnd w:id="31"/>
      <w:bookmarkStart w:id="32" w:name="bookmark69"/>
      <w:bookmarkEnd w:id="32"/>
      <w:bookmarkStart w:id="33" w:name="bookmark81"/>
      <w:bookmarkEnd w:id="33"/>
      <w:bookmarkStart w:id="34" w:name="_Toc15543"/>
      <w:bookmarkStart w:id="35" w:name="_Toc25529"/>
      <w:r>
        <w:rPr>
          <w:rFonts w:hint="eastAsia" w:ascii="宋体" w:hAnsi="宋体" w:eastAsia="宋体" w:cs="宋体"/>
          <w:b/>
          <w:bCs/>
          <w:color w:val="auto"/>
          <w:spacing w:val="0"/>
          <w:sz w:val="24"/>
          <w:szCs w:val="24"/>
          <w:highlight w:val="none"/>
        </w:rPr>
        <w:t>7 ．招标文件的提问和答疑</w:t>
      </w:r>
      <w:bookmarkEnd w:id="34"/>
      <w:bookmarkEnd w:id="35"/>
    </w:p>
    <w:p w14:paraId="6AF83406">
      <w:pPr>
        <w:keepNext w:val="0"/>
        <w:keepLines w:val="0"/>
        <w:pageBreakBefore w:val="0"/>
        <w:wordWrap w:val="0"/>
        <w:overflowPunct/>
        <w:topLinePunct w:val="0"/>
        <w:bidi w:val="0"/>
        <w:spacing w:before="153" w:line="299" w:lineRule="auto"/>
        <w:ind w:left="9" w:right="16" w:firstLine="47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7.1  </w:t>
      </w:r>
      <w:r>
        <w:rPr>
          <w:rFonts w:hint="eastAsia" w:ascii="宋体" w:hAnsi="宋体" w:eastAsia="宋体" w:cs="宋体"/>
          <w:color w:val="auto"/>
          <w:spacing w:val="0"/>
          <w:sz w:val="24"/>
          <w:szCs w:val="24"/>
          <w:highlight w:val="none"/>
        </w:rPr>
        <w:t>投标人若对招标文件（含施工图、招标工程量清单）有疑问，应在提问截止时间（见本章第二节“重要事项时间地点一览表 ”）前使用建设工程交易系统提出问题。未在指定时间前、未采用指定方式提出的，招标人不予受理。</w:t>
      </w:r>
    </w:p>
    <w:p w14:paraId="6DA114B8">
      <w:pPr>
        <w:keepNext w:val="0"/>
        <w:keepLines w:val="0"/>
        <w:pageBreakBefore w:val="0"/>
        <w:wordWrap w:val="0"/>
        <w:overflowPunct/>
        <w:topLinePunct w:val="0"/>
        <w:bidi w:val="0"/>
        <w:spacing w:before="154" w:line="309" w:lineRule="auto"/>
        <w:ind w:left="9" w:right="16"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7.2  </w:t>
      </w:r>
      <w:r>
        <w:rPr>
          <w:rFonts w:hint="eastAsia" w:ascii="宋体" w:hAnsi="宋体" w:eastAsia="宋体" w:cs="宋体"/>
          <w:color w:val="auto"/>
          <w:spacing w:val="0"/>
          <w:sz w:val="24"/>
          <w:szCs w:val="24"/>
          <w:highlight w:val="none"/>
        </w:rPr>
        <w:t>招标人在提问截止时间（见本章第二节“重要事项时间地点一览表 ”）后 3 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38B4B7A2">
      <w:pPr>
        <w:keepNext w:val="0"/>
        <w:keepLines w:val="0"/>
        <w:pageBreakBefore w:val="0"/>
        <w:wordWrap w:val="0"/>
        <w:overflowPunct/>
        <w:topLinePunct w:val="0"/>
        <w:bidi w:val="0"/>
        <w:spacing w:before="152" w:line="219" w:lineRule="auto"/>
        <w:ind w:firstLine="482" w:firstLineChars="20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7.3  </w:t>
      </w:r>
      <w:r>
        <w:rPr>
          <w:rFonts w:hint="eastAsia" w:ascii="宋体" w:hAnsi="宋体" w:eastAsia="宋体" w:cs="宋体"/>
          <w:color w:val="auto"/>
          <w:spacing w:val="0"/>
          <w:sz w:val="24"/>
          <w:szCs w:val="24"/>
          <w:highlight w:val="none"/>
        </w:rPr>
        <w:t>招标人对招标文件所作的答疑（或修改）公告，构成招标文件的组成部分。</w:t>
      </w:r>
    </w:p>
    <w:p w14:paraId="7D0F7DC9">
      <w:pPr>
        <w:keepNext w:val="0"/>
        <w:keepLines w:val="0"/>
        <w:pageBreakBefore w:val="0"/>
        <w:wordWrap w:val="0"/>
        <w:overflowPunct/>
        <w:topLinePunct w:val="0"/>
        <w:bidi w:val="0"/>
        <w:spacing w:before="79" w:line="219" w:lineRule="auto"/>
        <w:ind w:left="488"/>
        <w:outlineLvl w:val="2"/>
        <w:rPr>
          <w:rFonts w:hint="eastAsia" w:ascii="宋体" w:hAnsi="宋体" w:eastAsia="宋体" w:cs="宋体"/>
          <w:color w:val="auto"/>
          <w:spacing w:val="0"/>
          <w:sz w:val="24"/>
          <w:szCs w:val="24"/>
          <w:highlight w:val="none"/>
        </w:rPr>
      </w:pPr>
      <w:bookmarkStart w:id="36" w:name="_Toc6897"/>
      <w:bookmarkStart w:id="37" w:name="_Toc20304"/>
      <w:r>
        <w:rPr>
          <w:rFonts w:hint="eastAsia" w:ascii="宋体" w:hAnsi="宋体" w:eastAsia="宋体" w:cs="宋体"/>
          <w:b/>
          <w:bCs/>
          <w:color w:val="auto"/>
          <w:spacing w:val="0"/>
          <w:sz w:val="24"/>
          <w:szCs w:val="24"/>
          <w:highlight w:val="none"/>
        </w:rPr>
        <w:t>8 ．</w:t>
      </w:r>
      <w:bookmarkEnd w:id="36"/>
      <w:r>
        <w:rPr>
          <w:rFonts w:hint="eastAsia" w:ascii="宋体" w:hAnsi="宋体" w:eastAsia="宋体" w:cs="宋体"/>
          <w:b/>
          <w:bCs/>
          <w:color w:val="auto"/>
          <w:spacing w:val="0"/>
          <w:sz w:val="24"/>
          <w:szCs w:val="24"/>
          <w:highlight w:val="none"/>
          <w:lang w:val="en-US" w:eastAsia="zh-CN"/>
        </w:rPr>
        <w:t>最高投标限价</w:t>
      </w:r>
      <w:bookmarkEnd w:id="37"/>
    </w:p>
    <w:p w14:paraId="3576ADAD">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8.1  </w:t>
      </w:r>
      <w:r>
        <w:rPr>
          <w:rFonts w:hint="eastAsia" w:ascii="宋体" w:hAnsi="宋体" w:eastAsia="宋体" w:cs="宋体"/>
          <w:color w:val="auto"/>
          <w:spacing w:val="0"/>
          <w:sz w:val="24"/>
          <w:szCs w:val="24"/>
          <w:highlight w:val="none"/>
        </w:rPr>
        <w:t>本招标项目按照以下依据编制</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w:t>
      </w:r>
    </w:p>
    <w:p w14:paraId="65116B5F">
      <w:pPr>
        <w:keepNext w:val="0"/>
        <w:keepLines w:val="0"/>
        <w:pageBreakBefore w:val="0"/>
        <w:wordWrap w:val="0"/>
        <w:overflowPunct/>
        <w:topLinePunct w:val="0"/>
        <w:bidi w:val="0"/>
        <w:spacing w:before="157"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5E6079EC">
      <w:pPr>
        <w:keepNext w:val="0"/>
        <w:keepLines w:val="0"/>
        <w:pageBreakBefore w:val="0"/>
        <w:wordWrap w:val="0"/>
        <w:overflowPunct/>
        <w:topLinePunct w:val="0"/>
        <w:bidi w:val="0"/>
        <w:spacing w:before="153" w:line="309" w:lineRule="auto"/>
        <w:ind w:left="9" w:right="1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54FF3A8F">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（3）施工图及相关资料；</w:t>
      </w:r>
    </w:p>
    <w:p w14:paraId="3458AB67">
      <w:pPr>
        <w:keepNext w:val="0"/>
        <w:keepLines w:val="0"/>
        <w:pageBreakBefore w:val="0"/>
        <w:wordWrap w:val="0"/>
        <w:overflowPunct/>
        <w:topLinePunct w:val="0"/>
        <w:bidi w:val="0"/>
        <w:spacing w:before="78" w:line="220" w:lineRule="auto"/>
        <w:ind w:left="502"/>
        <w:rPr>
          <w:rFonts w:hint="eastAsia" w:ascii="宋体" w:hAnsi="宋体" w:eastAsia="宋体" w:cs="宋体"/>
          <w:color w:val="auto"/>
          <w:spacing w:val="0"/>
          <w:sz w:val="24"/>
          <w:szCs w:val="24"/>
          <w:highlight w:val="none"/>
        </w:rPr>
      </w:pPr>
      <w:bookmarkStart w:id="38" w:name="bookmark119"/>
      <w:bookmarkEnd w:id="38"/>
      <w:r>
        <w:rPr>
          <w:rFonts w:hint="eastAsia" w:ascii="宋体" w:hAnsi="宋体" w:eastAsia="宋体" w:cs="宋体"/>
          <w:color w:val="auto"/>
          <w:spacing w:val="0"/>
          <w:sz w:val="24"/>
          <w:szCs w:val="24"/>
          <w:highlight w:val="none"/>
        </w:rPr>
        <w:t>（4）招标文件及招标工程量清单；</w:t>
      </w:r>
    </w:p>
    <w:p w14:paraId="3CD70E63">
      <w:pPr>
        <w:keepNext w:val="0"/>
        <w:keepLines w:val="0"/>
        <w:pageBreakBefore w:val="0"/>
        <w:wordWrap w:val="0"/>
        <w:overflowPunct/>
        <w:topLinePunct w:val="0"/>
        <w:bidi w:val="0"/>
        <w:spacing w:before="155" w:line="22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（5）施工现场情况、工程特点及常规施工方案；</w:t>
      </w:r>
    </w:p>
    <w:p w14:paraId="64AAE475">
      <w:pPr>
        <w:keepNext w:val="0"/>
        <w:keepLines w:val="0"/>
        <w:pageBreakBefore w:val="0"/>
        <w:wordWrap w:val="0"/>
        <w:overflowPunct/>
        <w:topLinePunct w:val="0"/>
        <w:bidi w:val="0"/>
        <w:spacing w:before="153" w:line="278" w:lineRule="auto"/>
        <w:ind w:left="12" w:right="136"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（6）项目所在地工程造价管理机构发布的工程造价信息，工程造价信息缺项的，参照市场价格；</w:t>
      </w:r>
    </w:p>
    <w:p w14:paraId="7D623C2E">
      <w:pPr>
        <w:keepNext w:val="0"/>
        <w:keepLines w:val="0"/>
        <w:pageBreakBefore w:val="0"/>
        <w:wordWrap w:val="0"/>
        <w:overflowPunct/>
        <w:topLinePunct w:val="0"/>
        <w:bidi w:val="0"/>
        <w:spacing w:before="157" w:line="220" w:lineRule="auto"/>
        <w:ind w:left="5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（7）与建设项目相关的标准、规范、技术资料。</w:t>
      </w:r>
    </w:p>
    <w:p w14:paraId="5CD93710">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8.2</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lang w:eastAsia="zh-CN"/>
        </w:rPr>
        <w:t>本招标项目的</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、工程量清单、</w:t>
      </w:r>
      <w:r>
        <w:rPr>
          <w:rFonts w:hint="eastAsia" w:ascii="宋体" w:hAnsi="宋体" w:eastAsia="宋体" w:cs="宋体"/>
          <w:b/>
          <w:bCs/>
          <w:color w:val="auto"/>
          <w:spacing w:val="0"/>
          <w:sz w:val="24"/>
          <w:szCs w:val="24"/>
          <w:highlight w:val="none"/>
          <w:lang w:val="en-US" w:eastAsia="zh-CN"/>
        </w:rPr>
        <w:t>施工图纸</w:t>
      </w:r>
      <w:r>
        <w:rPr>
          <w:rFonts w:hint="eastAsia" w:ascii="宋体" w:hAnsi="宋体" w:eastAsia="宋体" w:cs="宋体"/>
          <w:b/>
          <w:bCs/>
          <w:color w:val="auto"/>
          <w:spacing w:val="0"/>
          <w:sz w:val="24"/>
          <w:szCs w:val="24"/>
          <w:highlight w:val="none"/>
          <w:lang w:eastAsia="zh-CN"/>
        </w:rPr>
        <w:t>在投标截止时间15天前以补充公告的形式在广东省招标投标监管网（http://zbtb.gd.gov.cn）、全国公共资源交易平台（广东省·韶关市）（https://ygp.gdzwfw.gov.cn/ggzy-portal/#/440200/index）网站公布。</w:t>
      </w:r>
    </w:p>
    <w:p w14:paraId="26868648">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3</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14:paraId="45538B38">
      <w:pPr>
        <w:keepNext w:val="0"/>
        <w:keepLines w:val="0"/>
        <w:pageBreakBefore w:val="0"/>
        <w:wordWrap w:val="0"/>
        <w:overflowPunct/>
        <w:topLinePunct w:val="0"/>
        <w:bidi w:val="0"/>
        <w:spacing w:before="79" w:line="333" w:lineRule="auto"/>
        <w:ind w:left="11" w:firstLine="479"/>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本招标项目以暂估价形式列入招标工程量清单中的材料、工程设备、专业工程（以下统称“暂估价项目”）包括：（详见招标工程量清单）具体以财政评审中心出具的《工程招标控制价审查意见》及《招标工程量清单》为准，在投标截止时间 15 天前以补充通知的形式在全国公共资源交易平台（广东省•韶关市）（https://ygp. gdzwfw.gov.cn/ggzy-portal/#/440200/index）公布。以上为招标人在工程量清单中 提供的用于支付必然发生但暂时不能确定价格的材料、工程设备的单价以及专业工程的金额。投标人必须按招标工程量清单中列出的单价、金额统一报价，其结算原则按 本招标文件相关条款执行。</w:t>
      </w:r>
    </w:p>
    <w:p w14:paraId="2E669A27">
      <w:pPr>
        <w:keepNext w:val="0"/>
        <w:keepLines w:val="0"/>
        <w:pageBreakBefore w:val="0"/>
        <w:wordWrap w:val="0"/>
        <w:overflowPunct/>
        <w:topLinePunct w:val="0"/>
        <w:bidi w:val="0"/>
        <w:spacing w:before="154" w:line="280" w:lineRule="auto"/>
        <w:ind w:left="12" w:right="200"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eastAsia="zh-CN"/>
        </w:rPr>
        <w:t>5</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当暂估价项目的内容、标准、要求在项目实施过程中得以深化、明确、固定后，按以下原则发包：</w:t>
      </w:r>
    </w:p>
    <w:p w14:paraId="07F7FE9F">
      <w:pPr>
        <w:keepNext w:val="0"/>
        <w:keepLines w:val="0"/>
        <w:pageBreakBefore w:val="0"/>
        <w:wordWrap w:val="0"/>
        <w:overflowPunct/>
        <w:topLinePunct w:val="0"/>
        <w:bidi w:val="0"/>
        <w:spacing w:before="153" w:line="219" w:lineRule="auto"/>
        <w:ind w:left="-3" w:leftChars="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（1）暂估价项目按工程、货物（指材料或工程设备，下同）的类别分类汇总的金额，达到必须招标规模标准的，由</w:t>
      </w:r>
      <w:r>
        <w:rPr>
          <w:rFonts w:hint="eastAsia" w:ascii="宋体" w:hAnsi="宋体" w:eastAsia="宋体" w:cs="宋体"/>
          <w:b/>
          <w:bCs/>
          <w:color w:val="auto"/>
          <w:spacing w:val="0"/>
          <w:sz w:val="24"/>
          <w:szCs w:val="24"/>
          <w:highlight w:val="none"/>
          <w:u w:val="single"/>
        </w:rPr>
        <w:t xml:space="preserve"> </w:t>
      </w:r>
      <w:r>
        <w:rPr>
          <w:rFonts w:hint="eastAsia" w:ascii="宋体" w:hAnsi="宋体" w:eastAsia="宋体" w:cs="宋体"/>
          <w:bCs/>
          <w:color w:val="auto"/>
          <w:spacing w:val="0"/>
          <w:sz w:val="24"/>
          <w:szCs w:val="24"/>
          <w:highlight w:val="none"/>
          <w:u w:val="single"/>
        </w:rPr>
        <w:t xml:space="preserve">中标人招标，招标人参与管理 </w:t>
      </w:r>
      <w:r>
        <w:rPr>
          <w:rFonts w:hint="eastAsia" w:ascii="宋体" w:hAnsi="宋体" w:eastAsia="宋体" w:cs="宋体"/>
          <w:bCs/>
          <w:color w:val="auto"/>
          <w:spacing w:val="0"/>
          <w:sz w:val="24"/>
          <w:szCs w:val="24"/>
          <w:highlight w:val="none"/>
        </w:rPr>
        <w:t>，</w:t>
      </w:r>
      <w:r>
        <w:rPr>
          <w:rFonts w:hint="eastAsia" w:ascii="宋体" w:hAnsi="宋体" w:eastAsia="宋体" w:cs="宋体"/>
          <w:color w:val="auto"/>
          <w:spacing w:val="0"/>
          <w:sz w:val="24"/>
          <w:szCs w:val="24"/>
          <w:highlight w:val="none"/>
        </w:rPr>
        <w:t>确定专业工程承包人（或材料、工程 设备供应商）和合同价格。</w:t>
      </w:r>
    </w:p>
    <w:p w14:paraId="1579A611">
      <w:pPr>
        <w:keepNext w:val="0"/>
        <w:keepLines w:val="0"/>
        <w:pageBreakBefore w:val="0"/>
        <w:wordWrap w:val="0"/>
        <w:overflowPunct/>
        <w:topLinePunct w:val="0"/>
        <w:bidi w:val="0"/>
        <w:spacing w:before="30"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（2）暂估价项目按工程、货物的类别分类汇总的金额，未达到必须招标规模标准但适用政府采购规定的，按照政府采购规定确定专业工程承包人（或材料、工程设备供应商）和合同价格。</w:t>
      </w:r>
    </w:p>
    <w:p w14:paraId="4095D7CC">
      <w:pPr>
        <w:keepNext w:val="0"/>
        <w:keepLines w:val="0"/>
        <w:pageBreakBefore w:val="0"/>
        <w:wordWrap w:val="0"/>
        <w:overflowPunct/>
        <w:topLinePunct w:val="0"/>
        <w:bidi w:val="0"/>
        <w:spacing w:before="154" w:line="30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14:paraId="6DAEE971">
      <w:pPr>
        <w:keepNext w:val="0"/>
        <w:keepLines w:val="0"/>
        <w:pageBreakBefore w:val="0"/>
        <w:wordWrap w:val="0"/>
        <w:overflowPunct/>
        <w:topLinePunct w:val="0"/>
        <w:bidi w:val="0"/>
        <w:spacing w:before="154" w:line="299" w:lineRule="auto"/>
        <w:ind w:left="11" w:right="65"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（4）暂估价项目按工程、货物的类别分类汇总的金额，未达到必须招标规模标准也不适用政府采购规定，中标人既不具备相应资格条件又不具备分包权的，由招标人另行发包。</w:t>
      </w:r>
    </w:p>
    <w:p w14:paraId="3B33A9BC">
      <w:pPr>
        <w:keepNext w:val="0"/>
        <w:keepLines w:val="0"/>
        <w:pageBreakBefore w:val="0"/>
        <w:wordWrap w:val="0"/>
        <w:overflowPunct/>
        <w:topLinePunct w:val="0"/>
        <w:bidi w:val="0"/>
        <w:spacing w:before="155" w:line="279" w:lineRule="auto"/>
        <w:ind w:left="9" w:right="66"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（5）暂估价项目由其他承包人承包的，纳入中标人的管理和协调范围，由其他承包人向中标人承担质量、安全、文明施工、工期责任，中标人向招标人承担责任。</w:t>
      </w:r>
    </w:p>
    <w:p w14:paraId="5DA2571A">
      <w:pPr>
        <w:keepNext w:val="0"/>
        <w:keepLines w:val="0"/>
        <w:pageBreakBefore w:val="0"/>
        <w:wordWrap w:val="0"/>
        <w:overflowPunct/>
        <w:topLinePunct w:val="0"/>
        <w:bidi w:val="0"/>
        <w:spacing w:before="155" w:line="333" w:lineRule="auto"/>
        <w:ind w:left="10" w:right="65" w:firstLine="478"/>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8</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本招标项目以暂列金额形式列入招标工程量清单中的所需货物和服务的采购（以下统称“暂列金额项目 ”）若有发生，按照本节第 </w:t>
      </w:r>
      <w:r>
        <w:rPr>
          <w:rFonts w:hint="eastAsia" w:ascii="宋体" w:hAnsi="宋体" w:eastAsia="宋体" w:cs="宋体"/>
          <w:b/>
          <w:bCs/>
          <w:color w:val="auto"/>
          <w:spacing w:val="0"/>
          <w:sz w:val="24"/>
          <w:szCs w:val="24"/>
          <w:highlight w:val="none"/>
        </w:rPr>
        <w:t xml:space="preserve">8.5 </w:t>
      </w:r>
      <w:r>
        <w:rPr>
          <w:rFonts w:hint="eastAsia" w:ascii="宋体" w:hAnsi="宋体" w:eastAsia="宋体" w:cs="宋体"/>
          <w:color w:val="auto"/>
          <w:spacing w:val="0"/>
          <w:sz w:val="24"/>
          <w:szCs w:val="24"/>
          <w:highlight w:val="none"/>
        </w:rPr>
        <w:t>条的规定确定货物（或服务）供应商和合同价格。暂列金额项目由其他承包人承包的，纳入中标人的管理和协调范围</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由其他承包人向中标人承担质量、安全、文明施工、工期责任，中标人向招标人承担责任。</w:t>
      </w:r>
    </w:p>
    <w:p w14:paraId="01AB75DC">
      <w:pPr>
        <w:keepNext w:val="0"/>
        <w:keepLines w:val="0"/>
        <w:pageBreakBefore w:val="0"/>
        <w:wordWrap w:val="0"/>
        <w:overflowPunct/>
        <w:topLinePunct w:val="0"/>
        <w:bidi w:val="0"/>
        <w:spacing w:before="79" w:line="219" w:lineRule="auto"/>
        <w:ind w:left="487"/>
        <w:outlineLvl w:val="2"/>
        <w:rPr>
          <w:rFonts w:hint="eastAsia" w:ascii="宋体" w:hAnsi="宋体" w:eastAsia="宋体" w:cs="宋体"/>
          <w:color w:val="auto"/>
          <w:spacing w:val="0"/>
          <w:sz w:val="24"/>
          <w:szCs w:val="24"/>
          <w:highlight w:val="none"/>
        </w:rPr>
      </w:pPr>
      <w:bookmarkStart w:id="39" w:name="_Toc26644"/>
      <w:bookmarkStart w:id="40" w:name="_Toc22978"/>
      <w:r>
        <w:rPr>
          <w:rFonts w:hint="eastAsia" w:ascii="宋体" w:hAnsi="宋体" w:eastAsia="宋体" w:cs="宋体"/>
          <w:b/>
          <w:bCs/>
          <w:color w:val="auto"/>
          <w:spacing w:val="0"/>
          <w:sz w:val="24"/>
          <w:szCs w:val="24"/>
          <w:highlight w:val="none"/>
        </w:rPr>
        <w:t>9 ．投标报价</w:t>
      </w:r>
      <w:bookmarkEnd w:id="39"/>
      <w:bookmarkEnd w:id="40"/>
    </w:p>
    <w:p w14:paraId="4486FCA3">
      <w:pPr>
        <w:keepNext w:val="0"/>
        <w:keepLines w:val="0"/>
        <w:pageBreakBefore w:val="0"/>
        <w:wordWrap w:val="0"/>
        <w:overflowPunct/>
        <w:topLinePunct w:val="0"/>
        <w:bidi w:val="0"/>
        <w:spacing w:before="157" w:line="219"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9.1  </w:t>
      </w:r>
      <w:r>
        <w:rPr>
          <w:rFonts w:hint="eastAsia" w:ascii="宋体" w:hAnsi="宋体" w:eastAsia="宋体" w:cs="宋体"/>
          <w:color w:val="auto"/>
          <w:spacing w:val="0"/>
          <w:sz w:val="24"/>
          <w:szCs w:val="24"/>
          <w:highlight w:val="none"/>
        </w:rPr>
        <w:t>投标人应按照以下依据编制投标报价：</w:t>
      </w:r>
    </w:p>
    <w:p w14:paraId="24B4853A">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21850D08">
      <w:pPr>
        <w:keepNext w:val="0"/>
        <w:keepLines w:val="0"/>
        <w:pageBreakBefore w:val="0"/>
        <w:wordWrap w:val="0"/>
        <w:overflowPunct/>
        <w:topLinePunct w:val="0"/>
        <w:bidi w:val="0"/>
        <w:spacing w:before="153" w:line="309" w:lineRule="auto"/>
        <w:ind w:left="9" w:right="65"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6F4FCBC7">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bookmarkStart w:id="41" w:name="bookmark120"/>
      <w:bookmarkEnd w:id="41"/>
      <w:r>
        <w:rPr>
          <w:rFonts w:hint="eastAsia" w:ascii="宋体" w:hAnsi="宋体" w:eastAsia="宋体" w:cs="宋体"/>
          <w:color w:val="auto"/>
          <w:spacing w:val="0"/>
          <w:sz w:val="24"/>
          <w:szCs w:val="24"/>
          <w:highlight w:val="none"/>
        </w:rPr>
        <w:t>（3）企业定额；</w:t>
      </w:r>
    </w:p>
    <w:p w14:paraId="48F400DD">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（4）招标文件及其答疑（或修改）公告、招标工程量清单；</w:t>
      </w:r>
    </w:p>
    <w:p w14:paraId="2500803B">
      <w:pPr>
        <w:keepNext w:val="0"/>
        <w:keepLines w:val="0"/>
        <w:pageBreakBefore w:val="0"/>
        <w:wordWrap w:val="0"/>
        <w:overflowPunct/>
        <w:topLinePunct w:val="0"/>
        <w:bidi w:val="0"/>
        <w:spacing w:before="154"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（5）施工图及相关资料；</w:t>
      </w:r>
    </w:p>
    <w:p w14:paraId="4349D5A0">
      <w:pPr>
        <w:keepNext w:val="0"/>
        <w:keepLines w:val="0"/>
        <w:pageBreakBefore w:val="0"/>
        <w:wordWrap w:val="0"/>
        <w:overflowPunct/>
        <w:topLinePunct w:val="0"/>
        <w:bidi w:val="0"/>
        <w:spacing w:before="152"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（6）施工现场情况、工程特点及投标时拟定的施工组织设计或施工方案；</w:t>
      </w:r>
    </w:p>
    <w:p w14:paraId="15845DDF">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（7）市场价格信息或项目所在地工程造价管理机构发布的工程造价信息；</w:t>
      </w:r>
    </w:p>
    <w:p w14:paraId="6EDB41CD">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（8）与建设项目相关的标准、规范、技术资料。</w:t>
      </w:r>
    </w:p>
    <w:p w14:paraId="1D0C2B8D">
      <w:pPr>
        <w:keepNext w:val="0"/>
        <w:keepLines w:val="0"/>
        <w:pageBreakBefore w:val="0"/>
        <w:wordWrap w:val="0"/>
        <w:overflowPunct/>
        <w:topLinePunct w:val="0"/>
        <w:bidi w:val="0"/>
        <w:spacing w:before="153" w:line="309" w:lineRule="auto"/>
        <w:ind w:left="8" w:right="150" w:firstLine="55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9.2  </w:t>
      </w:r>
      <w:r>
        <w:rPr>
          <w:rFonts w:hint="eastAsia" w:ascii="宋体" w:hAnsi="宋体" w:eastAsia="宋体" w:cs="宋体"/>
          <w:color w:val="auto"/>
          <w:spacing w:val="0"/>
          <w:sz w:val="24"/>
          <w:szCs w:val="24"/>
          <w:highlight w:val="none"/>
        </w:rPr>
        <w:t>投标人应根据招标工程量清单、工程量清单计价</w:t>
      </w:r>
      <w:r>
        <w:rPr>
          <w:rFonts w:hint="eastAsia" w:ascii="宋体" w:hAnsi="宋体" w:eastAsia="宋体" w:cs="宋体"/>
          <w:color w:val="auto"/>
          <w:spacing w:val="0"/>
          <w:sz w:val="24"/>
          <w:szCs w:val="24"/>
          <w:highlight w:val="none"/>
          <w:lang w:val="en-US" w:eastAsia="zh-CN"/>
        </w:rPr>
        <w:t>标准</w:t>
      </w:r>
      <w:r>
        <w:rPr>
          <w:rFonts w:hint="eastAsia" w:ascii="宋体" w:hAnsi="宋体" w:eastAsia="宋体" w:cs="宋体"/>
          <w:color w:val="auto"/>
          <w:spacing w:val="0"/>
          <w:sz w:val="24"/>
          <w:szCs w:val="24"/>
          <w:highlight w:val="none"/>
        </w:rPr>
        <w:t>中的工作内容、设计文件和有关要求、施工现场实际情况、投标人拟定的施工组织设计、本单位的企业定额和市场价格进行编制，自行报价，并承担一定范围内的风险费用。所谓“一定范围内的风险 ”是指合同约定的风险。</w:t>
      </w:r>
    </w:p>
    <w:p w14:paraId="0986CD58">
      <w:pPr>
        <w:keepNext w:val="0"/>
        <w:keepLines w:val="0"/>
        <w:pageBreakBefore w:val="0"/>
        <w:wordWrap w:val="0"/>
        <w:overflowPunct/>
        <w:topLinePunct w:val="0"/>
        <w:bidi w:val="0"/>
        <w:spacing w:before="152" w:line="309"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9.3  </w:t>
      </w:r>
      <w:r>
        <w:rPr>
          <w:rFonts w:hint="eastAsia" w:ascii="宋体" w:hAnsi="宋体" w:eastAsia="宋体" w:cs="宋体"/>
          <w:color w:val="auto"/>
          <w:spacing w:val="0"/>
          <w:sz w:val="24"/>
          <w:szCs w:val="24"/>
          <w:highlight w:val="none"/>
        </w:rPr>
        <w:t>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14:paraId="0B2C478C">
      <w:pPr>
        <w:keepNext w:val="0"/>
        <w:keepLines w:val="0"/>
        <w:pageBreakBefore w:val="0"/>
        <w:wordWrap w:val="0"/>
        <w:overflowPunct/>
        <w:topLinePunct w:val="0"/>
        <w:bidi w:val="0"/>
        <w:spacing w:before="155" w:line="279" w:lineRule="auto"/>
        <w:ind w:left="10" w:right="150"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9.4  </w:t>
      </w:r>
      <w:r>
        <w:rPr>
          <w:rFonts w:hint="eastAsia" w:ascii="宋体" w:hAnsi="宋体" w:eastAsia="宋体" w:cs="宋体"/>
          <w:color w:val="auto"/>
          <w:spacing w:val="0"/>
          <w:sz w:val="24"/>
          <w:szCs w:val="24"/>
          <w:highlight w:val="none"/>
        </w:rPr>
        <w:t>招标人向投标人提供的有关现场的数据和资料，是招标人现有的能被投标人利用的资料，招标人对投标人做出的任何推论、理解和结论均不负责任。</w:t>
      </w:r>
    </w:p>
    <w:p w14:paraId="6C93460C">
      <w:pPr>
        <w:keepNext w:val="0"/>
        <w:keepLines w:val="0"/>
        <w:pageBreakBefore w:val="0"/>
        <w:wordWrap w:val="0"/>
        <w:overflowPunct/>
        <w:topLinePunct w:val="0"/>
        <w:bidi w:val="0"/>
        <w:spacing w:before="154" w:line="299" w:lineRule="auto"/>
        <w:ind w:left="12" w:firstLine="55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9.5  </w:t>
      </w:r>
      <w:r>
        <w:rPr>
          <w:rFonts w:hint="eastAsia" w:ascii="宋体" w:hAnsi="宋体" w:eastAsia="宋体" w:cs="宋体"/>
          <w:color w:val="auto"/>
          <w:spacing w:val="0"/>
          <w:sz w:val="24"/>
          <w:szCs w:val="24"/>
          <w:highlight w:val="none"/>
        </w:rPr>
        <w:t>投标人必须按照招标工程量清单及表格填报价格。项目编码、项目名称、项目特征、计量单位、工程量必须与招标工程量清单一致。所有报价均以人民币“元 ”为单位，并保留小数点后两位。</w:t>
      </w:r>
    </w:p>
    <w:p w14:paraId="3A622CC8">
      <w:pPr>
        <w:keepNext w:val="0"/>
        <w:keepLines w:val="0"/>
        <w:pageBreakBefore w:val="0"/>
        <w:wordWrap w:val="0"/>
        <w:overflowPunct/>
        <w:topLinePunct w:val="0"/>
        <w:bidi w:val="0"/>
        <w:spacing w:before="158" w:line="314" w:lineRule="auto"/>
        <w:ind w:left="9" w:right="150" w:firstLine="55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9.6  </w:t>
      </w:r>
      <w:r>
        <w:rPr>
          <w:rFonts w:hint="eastAsia" w:ascii="宋体" w:hAnsi="宋体" w:eastAsia="宋体" w:cs="宋体"/>
          <w:color w:val="auto"/>
          <w:spacing w:val="0"/>
          <w:sz w:val="24"/>
          <w:szCs w:val="24"/>
          <w:highlight w:val="none"/>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14:paraId="25A1C580">
      <w:pPr>
        <w:keepNext w:val="0"/>
        <w:keepLines w:val="0"/>
        <w:pageBreakBefore w:val="0"/>
        <w:wordWrap w:val="0"/>
        <w:overflowPunct/>
        <w:topLinePunct w:val="0"/>
        <w:bidi w:val="0"/>
        <w:spacing w:before="152" w:line="309" w:lineRule="auto"/>
        <w:ind w:left="7" w:right="120" w:firstLine="48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 xml:space="preserve">9.7  </w:t>
      </w:r>
      <w:r>
        <w:rPr>
          <w:rFonts w:hint="eastAsia" w:ascii="宋体" w:hAnsi="宋体" w:eastAsia="宋体" w:cs="宋体"/>
          <w:color w:val="auto"/>
          <w:spacing w:val="0"/>
          <w:sz w:val="24"/>
          <w:szCs w:val="24"/>
          <w:highlight w:val="none"/>
        </w:rPr>
        <w:t>投标人的投标总价不得高于</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，也不得低于工程成本。投标人对投标总价的所有优惠（降价、让利等），均应当反映在具体清单项目或其综合单价的报价上。</w:t>
      </w:r>
      <w:r>
        <w:rPr>
          <w:rFonts w:hint="eastAsia" w:ascii="宋体" w:hAnsi="宋体" w:eastAsia="宋体" w:cs="宋体"/>
          <w:b/>
          <w:bCs/>
          <w:color w:val="auto"/>
          <w:spacing w:val="0"/>
          <w:sz w:val="24"/>
          <w:szCs w:val="24"/>
          <w:highlight w:val="none"/>
        </w:rPr>
        <w:t>如果投标人的投标总价下浮率高于</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15%时，投标人必须在投标文件中专项作出详细合理的书面说明并提供以往类似工程详细成本分析报告供评标委员会审查。</w:t>
      </w:r>
    </w:p>
    <w:p w14:paraId="5057643D">
      <w:pPr>
        <w:keepNext w:val="0"/>
        <w:keepLines w:val="0"/>
        <w:pageBreakBefore w:val="0"/>
        <w:wordWrap w:val="0"/>
        <w:overflowPunct/>
        <w:topLinePunct w:val="0"/>
        <w:bidi w:val="0"/>
        <w:outlineLvl w:val="9"/>
        <w:rPr>
          <w:rFonts w:hint="eastAsia" w:ascii="宋体" w:hAnsi="宋体" w:eastAsia="宋体" w:cs="宋体"/>
          <w:color w:val="auto"/>
          <w:spacing w:val="0"/>
          <w:highlight w:val="none"/>
          <w:lang w:eastAsia="zh-CN"/>
        </w:rPr>
      </w:pPr>
      <w:r>
        <w:rPr>
          <w:rFonts w:hint="eastAsia" w:ascii="宋体" w:hAnsi="宋体" w:eastAsia="宋体" w:cs="宋体"/>
          <w:b/>
          <w:bCs/>
          <w:color w:val="auto"/>
          <w:spacing w:val="0"/>
          <w:sz w:val="24"/>
          <w:szCs w:val="24"/>
          <w:highlight w:val="none"/>
          <w:lang w:eastAsia="zh-CN"/>
        </w:rPr>
        <w:t>投标总价下浮率=（1-投标总价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eastAsia="zh-CN"/>
        </w:rPr>
        <w:t>100%</w:t>
      </w:r>
    </w:p>
    <w:p w14:paraId="26893D44">
      <w:pPr>
        <w:keepNext w:val="0"/>
        <w:keepLines w:val="0"/>
        <w:pageBreakBefore w:val="0"/>
        <w:wordWrap w:val="0"/>
        <w:overflowPunct/>
        <w:topLinePunct w:val="0"/>
        <w:bidi w:val="0"/>
        <w:spacing w:before="146" w:line="325" w:lineRule="auto"/>
        <w:ind w:left="29" w:right="153" w:firstLine="458"/>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9.8  </w:t>
      </w:r>
      <w:r>
        <w:rPr>
          <w:rFonts w:hint="eastAsia" w:ascii="宋体" w:hAnsi="宋体" w:eastAsia="宋体" w:cs="宋体"/>
          <w:color w:val="auto"/>
          <w:spacing w:val="0"/>
          <w:sz w:val="24"/>
          <w:szCs w:val="24"/>
          <w:highlight w:val="none"/>
        </w:rPr>
        <w:t>投标人的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报价必须达到或超过</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中提供的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w:t>
      </w:r>
    </w:p>
    <w:p w14:paraId="53807F55">
      <w:pPr>
        <w:keepNext w:val="0"/>
        <w:keepLines w:val="0"/>
        <w:pageBreakBefore w:val="0"/>
        <w:wordWrap w:val="0"/>
        <w:overflowPunct/>
        <w:topLinePunct w:val="0"/>
        <w:bidi w:val="0"/>
        <w:spacing w:before="78" w:line="309" w:lineRule="auto"/>
        <w:ind w:right="99"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9.9  </w:t>
      </w:r>
      <w:r>
        <w:rPr>
          <w:rFonts w:hint="eastAsia" w:ascii="宋体" w:hAnsi="宋体" w:eastAsia="宋体" w:cs="宋体"/>
          <w:color w:val="auto"/>
          <w:spacing w:val="0"/>
          <w:sz w:val="24"/>
          <w:szCs w:val="24"/>
          <w:highlight w:val="none"/>
        </w:rPr>
        <w:t>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14:paraId="2C55C240">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rPr>
      </w:pPr>
      <w:bookmarkStart w:id="42" w:name="_Toc16322"/>
      <w:bookmarkStart w:id="43" w:name="_Toc7069"/>
      <w:r>
        <w:rPr>
          <w:rFonts w:hint="eastAsia" w:ascii="宋体" w:hAnsi="宋体" w:eastAsia="宋体" w:cs="宋体"/>
          <w:b/>
          <w:bCs/>
          <w:color w:val="auto"/>
          <w:spacing w:val="0"/>
          <w:sz w:val="24"/>
          <w:szCs w:val="24"/>
          <w:highlight w:val="none"/>
        </w:rPr>
        <w:t>10 ．投标文件的编制要求</w:t>
      </w:r>
      <w:bookmarkEnd w:id="42"/>
      <w:bookmarkEnd w:id="43"/>
    </w:p>
    <w:p w14:paraId="1F54BDA4">
      <w:pPr>
        <w:keepNext w:val="0"/>
        <w:keepLines w:val="0"/>
        <w:pageBreakBefore w:val="0"/>
        <w:wordWrap w:val="0"/>
        <w:overflowPunct/>
        <w:topLinePunct w:val="0"/>
        <w:bidi w:val="0"/>
        <w:spacing w:before="152" w:line="222" w:lineRule="auto"/>
        <w:ind w:left="496"/>
        <w:outlineLvl w:val="3"/>
        <w:rPr>
          <w:rFonts w:hint="eastAsia" w:ascii="宋体" w:hAnsi="宋体" w:eastAsia="宋体" w:cs="宋体"/>
          <w:color w:val="auto"/>
          <w:spacing w:val="0"/>
          <w:sz w:val="24"/>
          <w:szCs w:val="24"/>
          <w:highlight w:val="none"/>
        </w:rPr>
      </w:pPr>
      <w:bookmarkStart w:id="44" w:name="_Toc20590"/>
      <w:bookmarkStart w:id="45" w:name="_Toc22937"/>
      <w:r>
        <w:rPr>
          <w:rFonts w:hint="eastAsia" w:ascii="宋体" w:hAnsi="宋体" w:eastAsia="宋体" w:cs="宋体"/>
          <w:b/>
          <w:bCs/>
          <w:color w:val="auto"/>
          <w:spacing w:val="0"/>
          <w:sz w:val="24"/>
          <w:szCs w:val="24"/>
          <w:highlight w:val="none"/>
        </w:rPr>
        <w:t xml:space="preserve">10.1  </w:t>
      </w:r>
      <w:r>
        <w:rPr>
          <w:rFonts w:hint="eastAsia" w:ascii="宋体" w:hAnsi="宋体" w:eastAsia="宋体" w:cs="宋体"/>
          <w:color w:val="auto"/>
          <w:spacing w:val="0"/>
          <w:sz w:val="24"/>
          <w:szCs w:val="24"/>
          <w:highlight w:val="none"/>
        </w:rPr>
        <w:t>一般要求</w:t>
      </w:r>
      <w:bookmarkEnd w:id="44"/>
      <w:bookmarkEnd w:id="45"/>
    </w:p>
    <w:p w14:paraId="02B08D9F">
      <w:pPr>
        <w:keepNext w:val="0"/>
        <w:keepLines w:val="0"/>
        <w:pageBreakBefore w:val="0"/>
        <w:wordWrap w:val="0"/>
        <w:overflowPunct/>
        <w:topLinePunct w:val="0"/>
        <w:bidi w:val="0"/>
        <w:spacing w:before="118" w:line="295" w:lineRule="auto"/>
        <w:ind w:left="11" w:right="99"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投标文件应按第六章投标文件格式规定的内容，投标人提交的投标文件应当使用招标文件所提供的投标文件全部格式。</w:t>
      </w:r>
    </w:p>
    <w:p w14:paraId="6C56DEED">
      <w:pPr>
        <w:keepNext w:val="0"/>
        <w:keepLines w:val="0"/>
        <w:pageBreakBefore w:val="0"/>
        <w:wordWrap w:val="0"/>
        <w:overflowPunct/>
        <w:topLinePunct w:val="0"/>
        <w:bidi w:val="0"/>
        <w:spacing w:before="68" w:line="299" w:lineRule="auto"/>
        <w:ind w:left="11" w:right="99" w:firstLine="56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10.1.1  </w:t>
      </w:r>
      <w:r>
        <w:rPr>
          <w:rFonts w:hint="eastAsia" w:ascii="宋体" w:hAnsi="宋体" w:eastAsia="宋体" w:cs="宋体"/>
          <w:color w:val="auto"/>
          <w:spacing w:val="0"/>
          <w:sz w:val="24"/>
          <w:szCs w:val="24"/>
          <w:highlight w:val="none"/>
        </w:rPr>
        <w:t>投标人必须响应招标文件，并在充分理解招标人提供的全部文件、设计图纸、资料及现场条件的基础上编制投标文件。因投标文件不符合招标文件的要求而造成的损失和后果，由投标人自行承担。</w:t>
      </w:r>
    </w:p>
    <w:p w14:paraId="3FFC15B9">
      <w:pPr>
        <w:keepNext w:val="0"/>
        <w:keepLines w:val="0"/>
        <w:pageBreakBefore w:val="0"/>
        <w:wordWrap w:val="0"/>
        <w:overflowPunct/>
        <w:topLinePunct w:val="0"/>
        <w:bidi w:val="0"/>
        <w:spacing w:before="123" w:line="290" w:lineRule="auto"/>
        <w:ind w:left="8" w:firstLine="56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10.1.2  </w:t>
      </w:r>
      <w:r>
        <w:rPr>
          <w:rFonts w:hint="eastAsia" w:ascii="宋体" w:hAnsi="宋体" w:eastAsia="宋体" w:cs="宋体"/>
          <w:color w:val="auto"/>
          <w:spacing w:val="0"/>
          <w:sz w:val="24"/>
          <w:szCs w:val="24"/>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 ·韶关市）交易指引。</w:t>
      </w:r>
    </w:p>
    <w:p w14:paraId="59ADE83A">
      <w:pPr>
        <w:keepNext w:val="0"/>
        <w:keepLines w:val="0"/>
        <w:pageBreakBefore w:val="0"/>
        <w:wordWrap w:val="0"/>
        <w:overflowPunct/>
        <w:topLinePunct w:val="0"/>
        <w:bidi w:val="0"/>
        <w:spacing w:before="1" w:line="219" w:lineRule="auto"/>
        <w:ind w:left="5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10.1.3  </w:t>
      </w:r>
      <w:r>
        <w:rPr>
          <w:rFonts w:hint="eastAsia" w:ascii="宋体" w:hAnsi="宋体" w:eastAsia="宋体" w:cs="宋体"/>
          <w:color w:val="auto"/>
          <w:spacing w:val="0"/>
          <w:sz w:val="24"/>
          <w:szCs w:val="24"/>
          <w:highlight w:val="none"/>
        </w:rPr>
        <w:t>投标文件需按以下要求签字、盖章：电子投标文件：</w:t>
      </w:r>
    </w:p>
    <w:p w14:paraId="428A1CF9">
      <w:pPr>
        <w:keepNext w:val="0"/>
        <w:keepLines w:val="0"/>
        <w:pageBreakBefore w:val="0"/>
        <w:wordWrap w:val="0"/>
        <w:overflowPunct/>
        <w:topLinePunct w:val="0"/>
        <w:bidi w:val="0"/>
        <w:spacing w:before="111" w:line="279" w:lineRule="auto"/>
        <w:ind w:right="133"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投标文件封面、组成内容中凡注明“签字 ”处由要求的人员签字或电子签章；凡注明“签字或盖章 ”处由要求的人员签字或盖其私章（电子印章）；凡注明 “签字并盖执业印章 ”处由要求的人员签字并盖其执业印章。</w:t>
      </w:r>
    </w:p>
    <w:p w14:paraId="70886EB7">
      <w:pPr>
        <w:keepNext w:val="0"/>
        <w:keepLines w:val="0"/>
        <w:pageBreakBefore w:val="0"/>
        <w:wordWrap w:val="0"/>
        <w:overflowPunct/>
        <w:topLinePunct w:val="0"/>
        <w:bidi w:val="0"/>
        <w:spacing w:before="112" w:line="264" w:lineRule="auto"/>
        <w:ind w:left="13" w:right="133" w:firstLine="5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投标文件封套、封面、组成内容中凡要求录入投标人名称且注明“盖单位章 ”处盖单位法人公章（电子印章）。</w:t>
      </w:r>
    </w:p>
    <w:p w14:paraId="1FE02488">
      <w:pPr>
        <w:keepNext w:val="0"/>
        <w:keepLines w:val="0"/>
        <w:pageBreakBefore w:val="0"/>
        <w:wordWrap w:val="0"/>
        <w:overflowPunct/>
        <w:topLinePunct w:val="0"/>
        <w:bidi w:val="0"/>
        <w:spacing w:before="146" w:line="279" w:lineRule="auto"/>
        <w:ind w:left="16" w:right="135"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"10.1.3.3"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10.1.3.3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投标文件的签字均为签字人本人亲笔署名或签章（电子印章），其余部分的复印件无须另行签字、盖章。</w:t>
      </w:r>
    </w:p>
    <w:p w14:paraId="44F21114">
      <w:pPr>
        <w:keepNext w:val="0"/>
        <w:keepLines w:val="0"/>
        <w:pageBreakBefore w:val="0"/>
        <w:wordWrap w:val="0"/>
        <w:overflowPunct/>
        <w:topLinePunct w:val="0"/>
        <w:bidi w:val="0"/>
        <w:spacing w:before="155" w:line="219" w:lineRule="auto"/>
        <w:ind w:left="0" w:leftChars="0" w:firstLine="482" w:firstLineChars="200"/>
        <w:outlineLvl w:val="3"/>
        <w:rPr>
          <w:rFonts w:hint="eastAsia" w:ascii="宋体" w:hAnsi="宋体" w:eastAsia="宋体" w:cs="宋体"/>
          <w:b w:val="0"/>
          <w:bCs w:val="0"/>
          <w:color w:val="auto"/>
          <w:spacing w:val="0"/>
          <w:sz w:val="24"/>
          <w:szCs w:val="24"/>
          <w:highlight w:val="none"/>
        </w:rPr>
      </w:pPr>
      <w:bookmarkStart w:id="46" w:name="_Toc20223"/>
      <w:bookmarkStart w:id="47" w:name="_Toc21271"/>
      <w:r>
        <w:rPr>
          <w:rFonts w:hint="eastAsia" w:ascii="宋体" w:hAnsi="宋体" w:eastAsia="宋体" w:cs="宋体"/>
          <w:b/>
          <w:bCs/>
          <w:color w:val="auto"/>
          <w:spacing w:val="0"/>
          <w:sz w:val="24"/>
          <w:szCs w:val="24"/>
          <w:highlight w:val="none"/>
        </w:rPr>
        <w:t xml:space="preserve">10.1.3.4 </w:t>
      </w:r>
      <w:r>
        <w:rPr>
          <w:rFonts w:hint="eastAsia" w:ascii="宋体" w:hAnsi="宋体" w:eastAsia="宋体" w:cs="宋体"/>
          <w:color w:val="auto"/>
          <w:spacing w:val="0"/>
          <w:sz w:val="24"/>
          <w:szCs w:val="24"/>
          <w:highlight w:val="none"/>
        </w:rPr>
        <w:t>联合体投标的，除《联合体协议书》外，由联合体牵头人按以上要求签亲笔署名或签章（电子印章）即可。</w:t>
      </w:r>
    </w:p>
    <w:p w14:paraId="712CD189">
      <w:pPr>
        <w:keepNext w:val="0"/>
        <w:keepLines w:val="0"/>
        <w:pageBreakBefore w:val="0"/>
        <w:wordWrap w:val="0"/>
        <w:overflowPunct/>
        <w:topLinePunct w:val="0"/>
        <w:bidi w:val="0"/>
        <w:spacing w:before="155" w:line="219" w:lineRule="auto"/>
        <w:ind w:left="500"/>
        <w:outlineLvl w:val="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  </w:t>
      </w:r>
      <w:r>
        <w:rPr>
          <w:rFonts w:hint="eastAsia" w:ascii="宋体" w:hAnsi="宋体" w:eastAsia="宋体" w:cs="宋体"/>
          <w:color w:val="auto"/>
          <w:spacing w:val="0"/>
          <w:sz w:val="24"/>
          <w:szCs w:val="24"/>
          <w:highlight w:val="none"/>
        </w:rPr>
        <w:t>商务标书的编制要求</w:t>
      </w:r>
      <w:bookmarkEnd w:id="46"/>
      <w:bookmarkEnd w:id="47"/>
    </w:p>
    <w:p w14:paraId="019ECCDB">
      <w:pPr>
        <w:keepNext w:val="0"/>
        <w:keepLines w:val="0"/>
        <w:pageBreakBefore w:val="0"/>
        <w:wordWrap w:val="0"/>
        <w:overflowPunct/>
        <w:topLinePunct w:val="0"/>
        <w:bidi w:val="0"/>
        <w:spacing w:before="157" w:line="219" w:lineRule="auto"/>
        <w:ind w:left="58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商务标书包括但不限于以下内容：</w:t>
      </w:r>
    </w:p>
    <w:p w14:paraId="31EB0ABF">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4A190F17">
      <w:pPr>
        <w:keepNext w:val="0"/>
        <w:keepLines w:val="0"/>
        <w:pageBreakBefore w:val="0"/>
        <w:wordWrap w:val="0"/>
        <w:overflowPunct/>
        <w:topLinePunct w:val="0"/>
        <w:bidi w:val="0"/>
        <w:spacing w:before="153" w:line="222"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1F18C31C">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（3）《投标函》（格式二）；</w:t>
      </w:r>
    </w:p>
    <w:p w14:paraId="2E24DC11">
      <w:pPr>
        <w:keepNext w:val="0"/>
        <w:keepLines w:val="0"/>
        <w:pageBreakBefore w:val="0"/>
        <w:wordWrap w:val="0"/>
        <w:overflowPunct/>
        <w:topLinePunct w:val="0"/>
        <w:bidi w:val="0"/>
        <w:spacing w:before="153"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（4）《各项承诺一览表》（格式三）；</w:t>
      </w:r>
    </w:p>
    <w:p w14:paraId="54330406">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（5）《授权委托书》（格式四）；</w:t>
      </w:r>
    </w:p>
    <w:p w14:paraId="05B4FE81">
      <w:pPr>
        <w:keepNext w:val="0"/>
        <w:keepLines w:val="0"/>
        <w:pageBreakBefore w:val="0"/>
        <w:wordWrap w:val="0"/>
        <w:overflowPunct/>
        <w:topLinePunct w:val="0"/>
        <w:bidi w:val="0"/>
        <w:spacing w:before="156"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（6）《法定代表人身份证明》（格式五）；</w:t>
      </w:r>
    </w:p>
    <w:p w14:paraId="49E985F1">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（7）《联合体协议书》</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如有</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（格式六）及所附资料；</w:t>
      </w:r>
    </w:p>
    <w:p w14:paraId="37DFCCB5">
      <w:pPr>
        <w:keepNext w:val="0"/>
        <w:keepLines w:val="0"/>
        <w:pageBreakBefore w:val="0"/>
        <w:wordWrap w:val="0"/>
        <w:overflowPunct/>
        <w:topLinePunct w:val="0"/>
        <w:bidi w:val="0"/>
        <w:spacing w:before="153" w:line="309" w:lineRule="auto"/>
        <w:ind w:left="13" w:right="133"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hint="eastAsia" w:ascii="宋体" w:hAnsi="宋体" w:eastAsia="宋体" w:cs="宋体"/>
          <w:b/>
          <w:bCs/>
          <w:color w:val="auto"/>
          <w:spacing w:val="0"/>
          <w:sz w:val="24"/>
          <w:szCs w:val="24"/>
          <w:highlight w:val="none"/>
        </w:rPr>
        <w:t>《韶关市公共资源交易一体化平台保证金缴纳信息》页面截图</w:t>
      </w:r>
      <w:r>
        <w:rPr>
          <w:rFonts w:hint="eastAsia" w:ascii="宋体" w:hAnsi="宋体" w:eastAsia="宋体" w:cs="宋体"/>
          <w:color w:val="auto"/>
          <w:spacing w:val="0"/>
          <w:sz w:val="24"/>
          <w:szCs w:val="24"/>
          <w:highlight w:val="none"/>
        </w:rPr>
        <w:t>）；</w:t>
      </w:r>
    </w:p>
    <w:p w14:paraId="65B9BA93">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（9）《投标人基本情况表》（格式七）及所附资料；</w:t>
      </w:r>
    </w:p>
    <w:p w14:paraId="3BFA4E07">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（10）《项目经理简历表》（格式八）及所附资料；</w:t>
      </w:r>
    </w:p>
    <w:p w14:paraId="6715BECA">
      <w:pPr>
        <w:keepNext w:val="0"/>
        <w:keepLines w:val="0"/>
        <w:pageBreakBefore w:val="0"/>
        <w:wordWrap w:val="0"/>
        <w:overflowPunct/>
        <w:topLinePunct w:val="0"/>
        <w:bidi w:val="0"/>
        <w:spacing w:before="154" w:line="220"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（11）《项目经理任职声明》（格式九）；</w:t>
      </w:r>
    </w:p>
    <w:p w14:paraId="19251316">
      <w:pPr>
        <w:keepNext w:val="0"/>
        <w:keepLines w:val="0"/>
        <w:pageBreakBefore w:val="0"/>
        <w:wordWrap w:val="0"/>
        <w:overflowPunct/>
        <w:topLinePunct w:val="0"/>
        <w:bidi w:val="0"/>
        <w:spacing w:before="156"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（12）《项目技术负责人简历表》（格式十）及所附资料；</w:t>
      </w:r>
    </w:p>
    <w:p w14:paraId="3D769AD2">
      <w:pPr>
        <w:keepNext w:val="0"/>
        <w:keepLines w:val="0"/>
        <w:pageBreakBefore w:val="0"/>
        <w:wordWrap w:val="0"/>
        <w:overflowPunct/>
        <w:topLinePunct w:val="0"/>
        <w:bidi w:val="0"/>
        <w:spacing w:before="154"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（13）《项</w:t>
      </w:r>
      <w:bookmarkStart w:id="48" w:name="OLE_LINK7"/>
      <w:r>
        <w:rPr>
          <w:rFonts w:hint="eastAsia" w:ascii="宋体" w:hAnsi="宋体" w:eastAsia="宋体" w:cs="宋体"/>
          <w:color w:val="auto"/>
          <w:spacing w:val="0"/>
          <w:sz w:val="24"/>
          <w:szCs w:val="24"/>
          <w:highlight w:val="none"/>
        </w:rPr>
        <w:t>目管理机构组成表》（格式十一）及</w:t>
      </w:r>
      <w:bookmarkEnd w:id="48"/>
      <w:r>
        <w:rPr>
          <w:rFonts w:hint="eastAsia" w:ascii="宋体" w:hAnsi="宋体" w:eastAsia="宋体" w:cs="宋体"/>
          <w:color w:val="auto"/>
          <w:spacing w:val="0"/>
          <w:sz w:val="24"/>
          <w:szCs w:val="24"/>
          <w:highlight w:val="none"/>
        </w:rPr>
        <w:t>所附资料；</w:t>
      </w:r>
    </w:p>
    <w:p w14:paraId="72296F36">
      <w:pPr>
        <w:keepNext w:val="0"/>
        <w:keepLines w:val="0"/>
        <w:pageBreakBefore w:val="0"/>
        <w:wordWrap w:val="0"/>
        <w:overflowPunct/>
        <w:topLinePunct w:val="0"/>
        <w:bidi w:val="0"/>
        <w:spacing w:before="155" w:line="219" w:lineRule="auto"/>
        <w:ind w:left="5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（14）本节第 </w:t>
      </w:r>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目“评标方法 ”要求提供的评审资料；</w:t>
      </w:r>
    </w:p>
    <w:p w14:paraId="09FFCDE8">
      <w:pPr>
        <w:keepNext w:val="0"/>
        <w:keepLines w:val="0"/>
        <w:pageBreakBefore w:val="0"/>
        <w:wordWrap w:val="0"/>
        <w:overflowPunct/>
        <w:topLinePunct w:val="0"/>
        <w:bidi w:val="0"/>
        <w:spacing w:before="78" w:line="299" w:lineRule="auto"/>
        <w:ind w:left="8" w:right="61"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（15）投标人认为有必要补充的其他资料。（例如投标人已经工商变更，但其企业资质证书、安全生产许可证或其员工执业资格注册证书上的企业名称未能在投标期间完成变更的书面说明和佐证材料等）</w:t>
      </w:r>
    </w:p>
    <w:p w14:paraId="5690752B">
      <w:pPr>
        <w:keepNext w:val="0"/>
        <w:keepLines w:val="0"/>
        <w:pageBreakBefore w:val="0"/>
        <w:wordWrap w:val="0"/>
        <w:overflowPunct/>
        <w:topLinePunct w:val="0"/>
        <w:bidi w:val="0"/>
        <w:spacing w:before="155" w:line="262" w:lineRule="auto"/>
        <w:ind w:left="9" w:right="61"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10.2.1  </w:t>
      </w:r>
      <w:r>
        <w:rPr>
          <w:rFonts w:hint="eastAsia" w:ascii="宋体" w:hAnsi="宋体" w:eastAsia="宋体" w:cs="宋体"/>
          <w:color w:val="auto"/>
          <w:spacing w:val="0"/>
          <w:sz w:val="24"/>
          <w:szCs w:val="24"/>
          <w:highlight w:val="none"/>
        </w:rPr>
        <w:t>目中所列出的商务标书组成内容中，第（1）至第（13）项所有投标人均应提供，</w:t>
      </w:r>
      <w:r>
        <w:rPr>
          <w:rFonts w:hint="eastAsia" w:ascii="宋体" w:hAnsi="宋体" w:eastAsia="宋体" w:cs="宋体"/>
          <w:b/>
          <w:bCs/>
          <w:color w:val="auto"/>
          <w:spacing w:val="0"/>
          <w:sz w:val="24"/>
          <w:szCs w:val="24"/>
          <w:highlight w:val="none"/>
        </w:rPr>
        <w:t>但非联合体投标的，无需提供第（7）项内容。</w:t>
      </w:r>
    </w:p>
    <w:p w14:paraId="7DCE5067">
      <w:pPr>
        <w:keepNext w:val="0"/>
        <w:keepLines w:val="0"/>
        <w:pageBreakBefore w:val="0"/>
        <w:wordWrap w:val="0"/>
        <w:overflowPunct/>
        <w:topLinePunct w:val="0"/>
        <w:bidi w:val="0"/>
        <w:spacing w:before="199" w:line="279" w:lineRule="auto"/>
        <w:ind w:right="6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10.2.3 </w:t>
      </w:r>
      <w:r>
        <w:rPr>
          <w:rFonts w:hint="eastAsia" w:ascii="宋体" w:hAnsi="宋体" w:eastAsia="宋体" w:cs="宋体"/>
          <w:color w:val="auto"/>
          <w:spacing w:val="0"/>
          <w:sz w:val="24"/>
          <w:szCs w:val="24"/>
          <w:highlight w:val="none"/>
        </w:rPr>
        <w:t>商务标书的组成内容按本节第 10.2.1 目规定的顺序整理、编排后，逐页（页码起始从封面开始）连续标记页码。</w:t>
      </w:r>
    </w:p>
    <w:p w14:paraId="2508E257">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21FAC894">
      <w:pPr>
        <w:keepNext w:val="0"/>
        <w:keepLines w:val="0"/>
        <w:pageBreakBefore w:val="0"/>
        <w:wordWrap w:val="0"/>
        <w:overflowPunct/>
        <w:topLinePunct w:val="0"/>
        <w:bidi w:val="0"/>
        <w:spacing w:before="78" w:line="219" w:lineRule="auto"/>
        <w:ind w:left="496"/>
        <w:outlineLvl w:val="3"/>
        <w:rPr>
          <w:rFonts w:hint="eastAsia" w:ascii="宋体" w:hAnsi="宋体" w:eastAsia="宋体" w:cs="宋体"/>
          <w:color w:val="auto"/>
          <w:spacing w:val="0"/>
          <w:sz w:val="24"/>
          <w:szCs w:val="24"/>
          <w:highlight w:val="none"/>
        </w:rPr>
      </w:pPr>
      <w:bookmarkStart w:id="49" w:name="_Toc10602"/>
      <w:bookmarkStart w:id="50" w:name="_Toc29370"/>
      <w:r>
        <w:rPr>
          <w:rFonts w:hint="eastAsia" w:ascii="宋体" w:hAnsi="宋体" w:eastAsia="宋体" w:cs="宋体"/>
          <w:b/>
          <w:bCs/>
          <w:color w:val="auto"/>
          <w:spacing w:val="0"/>
          <w:sz w:val="24"/>
          <w:szCs w:val="24"/>
          <w:highlight w:val="none"/>
        </w:rPr>
        <w:t xml:space="preserve">10.3  </w:t>
      </w:r>
      <w:r>
        <w:rPr>
          <w:rFonts w:hint="eastAsia" w:ascii="宋体" w:hAnsi="宋体" w:eastAsia="宋体" w:cs="宋体"/>
          <w:color w:val="auto"/>
          <w:spacing w:val="0"/>
          <w:sz w:val="24"/>
          <w:szCs w:val="24"/>
          <w:highlight w:val="none"/>
        </w:rPr>
        <w:t>经济标书的编制要求</w:t>
      </w:r>
      <w:bookmarkEnd w:id="49"/>
      <w:bookmarkEnd w:id="50"/>
    </w:p>
    <w:p w14:paraId="58AE3CD4">
      <w:pPr>
        <w:keepNext w:val="0"/>
        <w:keepLines w:val="0"/>
        <w:pageBreakBefore w:val="0"/>
        <w:wordWrap w:val="0"/>
        <w:overflowPunct/>
        <w:topLinePunct w:val="0"/>
        <w:bidi w:val="0"/>
        <w:spacing w:before="154"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经济标书包括以下内容：</w:t>
      </w:r>
    </w:p>
    <w:p w14:paraId="45B78DBA">
      <w:pPr>
        <w:keepNext w:val="0"/>
        <w:keepLines w:val="0"/>
        <w:pageBreakBefore w:val="0"/>
        <w:wordWrap w:val="0"/>
        <w:overflowPunct/>
        <w:topLinePunct w:val="0"/>
        <w:bidi w:val="0"/>
        <w:spacing w:before="156"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4F28CB15">
      <w:pPr>
        <w:keepNext w:val="0"/>
        <w:keepLines w:val="0"/>
        <w:pageBreakBefore w:val="0"/>
        <w:wordWrap w:val="0"/>
        <w:overflowPunct/>
        <w:topLinePunct w:val="0"/>
        <w:bidi w:val="0"/>
        <w:spacing w:before="153"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0B134D18">
      <w:pPr>
        <w:keepNext w:val="0"/>
        <w:keepLines w:val="0"/>
        <w:pageBreakBefore w:val="0"/>
        <w:wordWrap w:val="0"/>
        <w:overflowPunct/>
        <w:topLinePunct w:val="0"/>
        <w:bidi w:val="0"/>
        <w:spacing w:before="150"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（3）《投标总价》；</w:t>
      </w:r>
    </w:p>
    <w:p w14:paraId="470AD640">
      <w:pPr>
        <w:keepNext w:val="0"/>
        <w:keepLines w:val="0"/>
        <w:pageBreakBefore w:val="0"/>
        <w:wordWrap w:val="0"/>
        <w:overflowPunct/>
        <w:topLinePunct w:val="0"/>
        <w:bidi w:val="0"/>
        <w:spacing w:before="155" w:line="220" w:lineRule="auto"/>
        <w:ind w:left="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说明：《投标总价》的格式按照《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》（GB/T50500-2024）执行，并应满足以下要求：</w:t>
      </w:r>
    </w:p>
    <w:p w14:paraId="1DBC1738">
      <w:pPr>
        <w:keepNext w:val="0"/>
        <w:keepLines w:val="0"/>
        <w:pageBreakBefore w:val="0"/>
        <w:wordWrap w:val="0"/>
        <w:overflowPunct/>
        <w:topLinePunct w:val="0"/>
        <w:bidi w:val="0"/>
        <w:spacing w:before="150" w:line="309" w:lineRule="auto"/>
        <w:ind w:left="8"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．《投标总价》后应附编制人的造价工程师注册证书彩色扫描件（须扫描至变更注册栏，</w:t>
      </w:r>
      <w:r>
        <w:rPr>
          <w:rFonts w:hint="eastAsia" w:ascii="宋体" w:hAnsi="宋体" w:eastAsia="宋体" w:cs="宋体"/>
          <w:b/>
          <w:bCs/>
          <w:color w:val="auto"/>
          <w:spacing w:val="0"/>
          <w:sz w:val="24"/>
          <w:szCs w:val="24"/>
          <w:highlight w:val="none"/>
        </w:rPr>
        <w:t>一级造价师或二级造价师均可提供电子证书</w:t>
      </w:r>
      <w:r>
        <w:rPr>
          <w:rFonts w:hint="eastAsia" w:ascii="宋体" w:hAnsi="宋体" w:eastAsia="宋体" w:cs="宋体"/>
          <w:color w:val="auto"/>
          <w:spacing w:val="0"/>
          <w:sz w:val="24"/>
          <w:szCs w:val="24"/>
          <w:highlight w:val="none"/>
        </w:rPr>
        <w:t>）；投标人委托造价咨询单位编制《投标总价》的，在该扉页“投标人”栏目加盖造价咨询人公章，并在该扉页后附造价咨询人的营业执照副本彩色扫描件。</w:t>
      </w:r>
    </w:p>
    <w:p w14:paraId="11E213A5">
      <w:pPr>
        <w:keepNext w:val="0"/>
        <w:keepLines w:val="0"/>
        <w:pageBreakBefore w:val="0"/>
        <w:wordWrap w:val="0"/>
        <w:overflowPunct/>
        <w:topLinePunct w:val="0"/>
        <w:bidi w:val="0"/>
        <w:spacing w:before="119" w:line="314" w:lineRule="auto"/>
        <w:ind w:left="10" w:right="6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投标人认为有必要补充的其他资料（例如关于投标总价下浮率超过 15%的书面说明和佐证材料）。</w:t>
      </w:r>
    </w:p>
    <w:p w14:paraId="18794571">
      <w:pPr>
        <w:keepNext w:val="0"/>
        <w:keepLines w:val="0"/>
        <w:pageBreakBefore w:val="0"/>
        <w:wordWrap w:val="0"/>
        <w:overflowPunct/>
        <w:topLinePunct w:val="0"/>
        <w:bidi w:val="0"/>
        <w:spacing w:before="99" w:line="280" w:lineRule="auto"/>
        <w:ind w:left="10" w:right="63"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10.3.1  </w:t>
      </w:r>
      <w:r>
        <w:rPr>
          <w:rFonts w:hint="eastAsia" w:ascii="宋体" w:hAnsi="宋体" w:eastAsia="宋体" w:cs="宋体"/>
          <w:color w:val="auto"/>
          <w:spacing w:val="0"/>
          <w:sz w:val="24"/>
          <w:szCs w:val="24"/>
          <w:highlight w:val="none"/>
        </w:rPr>
        <w:t>目中所列出的经济标书组成内容中，第（1）至第（3）项所有投标人均应提供。</w:t>
      </w:r>
    </w:p>
    <w:p w14:paraId="4A4F5FB9">
      <w:pPr>
        <w:keepNext w:val="0"/>
        <w:keepLines w:val="0"/>
        <w:pageBreakBefore w:val="0"/>
        <w:wordWrap w:val="0"/>
        <w:overflowPunct/>
        <w:topLinePunct w:val="0"/>
        <w:bidi w:val="0"/>
        <w:spacing w:before="155" w:line="279" w:lineRule="auto"/>
        <w:ind w:left="8" w:right="61"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10.3.3 </w:t>
      </w:r>
      <w:r>
        <w:rPr>
          <w:rFonts w:hint="eastAsia" w:ascii="宋体" w:hAnsi="宋体" w:eastAsia="宋体" w:cs="宋体"/>
          <w:color w:val="auto"/>
          <w:spacing w:val="0"/>
          <w:sz w:val="24"/>
          <w:szCs w:val="24"/>
          <w:highlight w:val="none"/>
        </w:rPr>
        <w:t>经济标书的组成内容按本节第 10.3.1 目规定的顺序整理、编排后，逐页（页码起始从封面开始）连续标记页码。</w:t>
      </w:r>
    </w:p>
    <w:p w14:paraId="264838D4">
      <w:pPr>
        <w:keepNext w:val="0"/>
        <w:keepLines w:val="0"/>
        <w:pageBreakBefore w:val="0"/>
        <w:wordWrap w:val="0"/>
        <w:overflowPunct/>
        <w:topLinePunct w:val="0"/>
        <w:bidi w:val="0"/>
        <w:spacing w:before="82" w:line="213" w:lineRule="auto"/>
        <w:ind w:left="496"/>
        <w:outlineLvl w:val="3"/>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10.4  </w:t>
      </w:r>
      <w:r>
        <w:rPr>
          <w:rFonts w:hint="eastAsia" w:ascii="宋体" w:hAnsi="宋体" w:eastAsia="宋体" w:cs="宋体"/>
          <w:color w:val="auto"/>
          <w:spacing w:val="0"/>
          <w:sz w:val="24"/>
          <w:szCs w:val="24"/>
          <w:highlight w:val="none"/>
        </w:rPr>
        <w:t>施工组织设计的编制要求</w:t>
      </w:r>
    </w:p>
    <w:p w14:paraId="32650AA7">
      <w:pPr>
        <w:keepNext w:val="0"/>
        <w:keepLines w:val="0"/>
        <w:pageBreakBefore w:val="0"/>
        <w:wordWrap w:val="0"/>
        <w:overflowPunct/>
        <w:topLinePunct w:val="0"/>
        <w:bidi w:val="0"/>
        <w:spacing w:before="151"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10.4.1 </w:t>
      </w:r>
      <w:r>
        <w:rPr>
          <w:rFonts w:hint="eastAsia" w:ascii="宋体" w:hAnsi="宋体" w:eastAsia="宋体" w:cs="宋体"/>
          <w:color w:val="auto"/>
          <w:spacing w:val="0"/>
          <w:sz w:val="24"/>
          <w:szCs w:val="24"/>
          <w:highlight w:val="none"/>
        </w:rPr>
        <w:t>施工组织设计的编制依据包括且不限于：</w:t>
      </w:r>
    </w:p>
    <w:p w14:paraId="2CC53D1B">
      <w:pPr>
        <w:keepNext w:val="0"/>
        <w:keepLines w:val="0"/>
        <w:pageBreakBefore w:val="0"/>
        <w:wordWrap w:val="0"/>
        <w:overflowPunct/>
        <w:topLinePunct w:val="0"/>
        <w:bidi w:val="0"/>
        <w:spacing w:before="156"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（1）招标文件及其答疑（或修改）公告；</w:t>
      </w:r>
    </w:p>
    <w:p w14:paraId="3CBC08F9">
      <w:pPr>
        <w:keepNext w:val="0"/>
        <w:keepLines w:val="0"/>
        <w:pageBreakBefore w:val="0"/>
        <w:wordWrap w:val="0"/>
        <w:overflowPunct/>
        <w:topLinePunct w:val="0"/>
        <w:bidi w:val="0"/>
        <w:spacing w:before="155" w:line="221"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（2）施工图及相关资料；</w:t>
      </w:r>
    </w:p>
    <w:p w14:paraId="1FF9E32E">
      <w:pPr>
        <w:keepNext w:val="0"/>
        <w:keepLines w:val="0"/>
        <w:pageBreakBefore w:val="0"/>
        <w:wordWrap w:val="0"/>
        <w:overflowPunct/>
        <w:topLinePunct w:val="0"/>
        <w:bidi w:val="0"/>
        <w:spacing w:before="152"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（3）施工现场情况、工程特点；</w:t>
      </w:r>
    </w:p>
    <w:p w14:paraId="1F6D01DE">
      <w:pPr>
        <w:keepNext w:val="0"/>
        <w:keepLines w:val="0"/>
        <w:pageBreakBefore w:val="0"/>
        <w:wordWrap w:val="0"/>
        <w:overflowPunct/>
        <w:topLinePunct w:val="0"/>
        <w:bidi w:val="0"/>
        <w:spacing w:before="78"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（4）相关法律、法规、规定；</w:t>
      </w:r>
    </w:p>
    <w:p w14:paraId="67890EFC">
      <w:pPr>
        <w:keepNext w:val="0"/>
        <w:keepLines w:val="0"/>
        <w:pageBreakBefore w:val="0"/>
        <w:wordWrap w:val="0"/>
        <w:overflowPunct/>
        <w:topLinePunct w:val="0"/>
        <w:bidi w:val="0"/>
        <w:spacing w:before="153" w:line="299" w:lineRule="auto"/>
        <w:ind w:left="10" w:right="21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2455FECA">
      <w:pPr>
        <w:keepNext w:val="0"/>
        <w:keepLines w:val="0"/>
        <w:pageBreakBefore w:val="0"/>
        <w:wordWrap w:val="0"/>
        <w:overflowPunct/>
        <w:topLinePunct w:val="0"/>
        <w:bidi w:val="0"/>
        <w:spacing w:before="155"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（6）企业内部标准、工法。</w:t>
      </w:r>
    </w:p>
    <w:p w14:paraId="3E0DE143">
      <w:pPr>
        <w:keepNext w:val="0"/>
        <w:keepLines w:val="0"/>
        <w:pageBreakBefore w:val="0"/>
        <w:wordWrap w:val="0"/>
        <w:overflowPunct/>
        <w:topLinePunct w:val="0"/>
        <w:bidi w:val="0"/>
        <w:spacing w:before="153"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施工组织设计包括但不限于以下内容：</w:t>
      </w:r>
    </w:p>
    <w:p w14:paraId="0A616D39">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（1）封面（格式一）；</w:t>
      </w:r>
    </w:p>
    <w:p w14:paraId="781D260F">
      <w:pPr>
        <w:keepNext w:val="0"/>
        <w:keepLines w:val="0"/>
        <w:pageBreakBefore w:val="0"/>
        <w:wordWrap w:val="0"/>
        <w:overflowPunct/>
        <w:topLinePunct w:val="0"/>
        <w:bidi w:val="0"/>
        <w:spacing w:before="156"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（2）目录；</w:t>
      </w:r>
    </w:p>
    <w:p w14:paraId="647BA50A">
      <w:pPr>
        <w:keepNext w:val="0"/>
        <w:keepLines w:val="0"/>
        <w:pageBreakBefore w:val="0"/>
        <w:wordWrap w:val="0"/>
        <w:overflowPunct/>
        <w:topLinePunct w:val="0"/>
        <w:bidi w:val="0"/>
        <w:spacing w:before="150"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（3）总体概述（包括施工程序总体设想及施工段划分等内容）；</w:t>
      </w:r>
    </w:p>
    <w:p w14:paraId="738A6B2B">
      <w:pPr>
        <w:keepNext w:val="0"/>
        <w:keepLines w:val="0"/>
        <w:pageBreakBefore w:val="0"/>
        <w:wordWrap w:val="0"/>
        <w:overflowPunct/>
        <w:topLinePunct w:val="0"/>
        <w:bidi w:val="0"/>
        <w:spacing w:before="154" w:line="299" w:lineRule="auto"/>
        <w:ind w:left="9" w:right="21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（4）施工总进度计划及保证措施（包括进度管理目标；以横道图或标明关键线路的网络进度计划；保障进度计划需要的人、材、机需求计划及保证措施；违约责任承诺等内容）；</w:t>
      </w:r>
    </w:p>
    <w:p w14:paraId="29D24596">
      <w:pPr>
        <w:keepNext w:val="0"/>
        <w:keepLines w:val="0"/>
        <w:pageBreakBefore w:val="0"/>
        <w:wordWrap w:val="0"/>
        <w:overflowPunct/>
        <w:topLinePunct w:val="0"/>
        <w:bidi w:val="0"/>
        <w:spacing w:before="153"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（5）质量保证措施（包括质量管理目标；相应保证措施；违约责任承诺等内容</w:t>
      </w:r>
      <w:r>
        <w:rPr>
          <w:rFonts w:hint="eastAsia" w:ascii="宋体" w:hAnsi="宋体" w:eastAsia="宋体" w:cs="宋体"/>
          <w:color w:val="auto"/>
          <w:spacing w:val="0"/>
          <w:w w:val="97"/>
          <w:sz w:val="24"/>
          <w:szCs w:val="24"/>
          <w:highlight w:val="none"/>
        </w:rPr>
        <w:t>）；</w:t>
      </w:r>
    </w:p>
    <w:p w14:paraId="0C06049B">
      <w:pPr>
        <w:keepNext w:val="0"/>
        <w:keepLines w:val="0"/>
        <w:pageBreakBefore w:val="0"/>
        <w:wordWrap w:val="0"/>
        <w:overflowPunct/>
        <w:topLinePunct w:val="0"/>
        <w:bidi w:val="0"/>
        <w:spacing w:before="156" w:line="279" w:lineRule="auto"/>
        <w:ind w:left="11" w:right="2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（6）施工技术措施（包括关键施工技术、工艺及工程项目实施的重点、难点分析和解决方案；新技术应用与承诺等内容）；</w:t>
      </w:r>
    </w:p>
    <w:p w14:paraId="7DBAE162">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（7）绿色施工、安全防护、文明施工措施计划(应对建设单位组织的勘察设计等单位在施工招标文件中列出的危大工程清单(详见格式十三)进行投标文件回应，如有)；</w:t>
      </w:r>
    </w:p>
    <w:p w14:paraId="5355E3A3">
      <w:pPr>
        <w:keepNext w:val="0"/>
        <w:keepLines w:val="0"/>
        <w:pageBreakBefore w:val="0"/>
        <w:wordWrap w:val="0"/>
        <w:overflowPunct/>
        <w:topLinePunct w:val="0"/>
        <w:bidi w:val="0"/>
        <w:spacing w:before="118" w:line="297" w:lineRule="auto"/>
        <w:ind w:left="11" w:right="3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（8）施工现场总平面布置（</w:t>
      </w:r>
      <w:bookmarkStart w:id="51" w:name="OLE_LINK8"/>
      <w:r>
        <w:rPr>
          <w:rFonts w:hint="eastAsia" w:ascii="宋体" w:hAnsi="宋体" w:eastAsia="宋体" w:cs="宋体"/>
          <w:color w:val="auto"/>
          <w:spacing w:val="0"/>
          <w:sz w:val="24"/>
          <w:szCs w:val="24"/>
          <w:highlight w:val="none"/>
        </w:rPr>
        <w:t>投标人应递交一份施工现场总平面布置图，绘出现场临时设施布置图表并附文字说明，说明临时设施、加工车间、现场办公、设备及仓储、供电、供水、卫生、生活、道路、消防等设施的情况和布置</w:t>
      </w:r>
      <w:bookmarkEnd w:id="51"/>
      <w:r>
        <w:rPr>
          <w:rFonts w:hint="eastAsia" w:ascii="宋体" w:hAnsi="宋体" w:eastAsia="宋体" w:cs="宋体"/>
          <w:color w:val="auto"/>
          <w:spacing w:val="0"/>
          <w:sz w:val="24"/>
          <w:szCs w:val="24"/>
          <w:highlight w:val="none"/>
        </w:rPr>
        <w:t>）；</w:t>
      </w:r>
    </w:p>
    <w:p w14:paraId="45848756">
      <w:pPr>
        <w:keepNext w:val="0"/>
        <w:keepLines w:val="0"/>
        <w:pageBreakBefore w:val="0"/>
        <w:wordWrap w:val="0"/>
        <w:overflowPunct/>
        <w:topLinePunct w:val="0"/>
        <w:bidi w:val="0"/>
        <w:spacing w:before="155"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（9）项目管理机构。</w:t>
      </w:r>
    </w:p>
    <w:p w14:paraId="2D29EF4D">
      <w:pPr>
        <w:keepNext w:val="0"/>
        <w:keepLines w:val="0"/>
        <w:pageBreakBefore w:val="0"/>
        <w:wordWrap w:val="0"/>
        <w:overflowPunct/>
        <w:topLinePunct w:val="0"/>
        <w:bidi w:val="0"/>
        <w:spacing w:before="154" w:line="280" w:lineRule="auto"/>
        <w:ind w:right="21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（10）投标人认为有必要补充的其他内容（例如对总包管理的认识以及对专业分包工程的管理、协调、配合、服务方案）。</w:t>
      </w:r>
    </w:p>
    <w:p w14:paraId="62C6C749">
      <w:pPr>
        <w:keepNext w:val="0"/>
        <w:keepLines w:val="0"/>
        <w:pageBreakBefore w:val="0"/>
        <w:wordWrap w:val="0"/>
        <w:overflowPunct/>
        <w:topLinePunct w:val="0"/>
        <w:bidi w:val="0"/>
        <w:spacing w:before="152" w:line="279" w:lineRule="auto"/>
        <w:ind w:right="196"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10.4.3  </w:t>
      </w:r>
      <w:r>
        <w:rPr>
          <w:rFonts w:hint="eastAsia" w:ascii="宋体" w:hAnsi="宋体" w:eastAsia="宋体" w:cs="宋体"/>
          <w:color w:val="auto"/>
          <w:spacing w:val="0"/>
          <w:sz w:val="24"/>
          <w:szCs w:val="24"/>
          <w:highlight w:val="none"/>
        </w:rPr>
        <w:t xml:space="preserve">本节第 </w:t>
      </w:r>
      <w:r>
        <w:rPr>
          <w:rFonts w:hint="eastAsia" w:ascii="宋体" w:hAnsi="宋体" w:eastAsia="宋体" w:cs="宋体"/>
          <w:b/>
          <w:bCs/>
          <w:color w:val="auto"/>
          <w:spacing w:val="0"/>
          <w:sz w:val="24"/>
          <w:szCs w:val="24"/>
          <w:highlight w:val="none"/>
        </w:rPr>
        <w:t xml:space="preserve">10.4.2  </w:t>
      </w:r>
      <w:r>
        <w:rPr>
          <w:rFonts w:hint="eastAsia" w:ascii="宋体" w:hAnsi="宋体" w:eastAsia="宋体" w:cs="宋体"/>
          <w:color w:val="auto"/>
          <w:spacing w:val="0"/>
          <w:sz w:val="24"/>
          <w:szCs w:val="24"/>
          <w:highlight w:val="none"/>
        </w:rPr>
        <w:t>目中所列出的施工组织设计组成内容中，第（1）至第（9）项所有投标人均应提供。</w:t>
      </w:r>
    </w:p>
    <w:p w14:paraId="393F6AD6">
      <w:pPr>
        <w:keepNext w:val="0"/>
        <w:keepLines w:val="0"/>
        <w:pageBreakBefore w:val="0"/>
        <w:wordWrap w:val="0"/>
        <w:overflowPunct/>
        <w:topLinePunct w:val="0"/>
        <w:bidi w:val="0"/>
        <w:spacing w:before="157" w:line="279" w:lineRule="auto"/>
        <w:ind w:right="211"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10.4.4 </w:t>
      </w:r>
      <w:r>
        <w:rPr>
          <w:rFonts w:hint="eastAsia" w:ascii="宋体" w:hAnsi="宋体" w:eastAsia="宋体" w:cs="宋体"/>
          <w:color w:val="auto"/>
          <w:spacing w:val="0"/>
          <w:sz w:val="24"/>
          <w:szCs w:val="24"/>
          <w:highlight w:val="none"/>
        </w:rPr>
        <w:t>施工组织设计的组成内容按本节第 10.4.2 目规定的顺序整理、编排后，逐页（页码起始从封面开始）连续标记页码。</w:t>
      </w:r>
    </w:p>
    <w:p w14:paraId="09DCBEEA">
      <w:pPr>
        <w:keepNext w:val="0"/>
        <w:keepLines w:val="0"/>
        <w:pageBreakBefore w:val="0"/>
        <w:wordWrap w:val="0"/>
        <w:overflowPunct/>
        <w:topLinePunct w:val="0"/>
        <w:bidi w:val="0"/>
        <w:ind w:firstLine="480"/>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b/>
          <w:bCs/>
          <w:color w:val="auto"/>
          <w:spacing w:val="0"/>
          <w:sz w:val="24"/>
          <w:szCs w:val="24"/>
          <w:highlight w:val="none"/>
        </w:rPr>
        <w:t>10.4.5</w:t>
      </w:r>
      <w:bookmarkStart w:id="52" w:name="OLE_LINK9"/>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施工组织设计的正文不得超过</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200</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页</w:t>
      </w:r>
      <w:r>
        <w:rPr>
          <w:rFonts w:hint="eastAsia" w:ascii="宋体" w:hAnsi="宋体" w:eastAsia="宋体" w:cs="宋体"/>
          <w:color w:val="auto"/>
          <w:spacing w:val="0"/>
          <w:sz w:val="24"/>
          <w:szCs w:val="24"/>
          <w:highlight w:val="none"/>
          <w:lang w:eastAsia="zh-CN"/>
        </w:rPr>
        <w:t>。</w:t>
      </w:r>
      <w:bookmarkEnd w:id="52"/>
      <w:bookmarkStart w:id="53" w:name="bookmark121"/>
      <w:bookmarkEnd w:id="53"/>
    </w:p>
    <w:p w14:paraId="1A196123">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408858C">
      <w:pPr>
        <w:keepNext w:val="0"/>
        <w:keepLines w:val="0"/>
        <w:pageBreakBefore w:val="0"/>
        <w:wordWrap w:val="0"/>
        <w:overflowPunct/>
        <w:topLinePunct w:val="0"/>
        <w:bidi w:val="0"/>
        <w:spacing w:before="78" w:line="219" w:lineRule="auto"/>
        <w:ind w:left="496"/>
        <w:outlineLvl w:val="3"/>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10.</w:t>
      </w:r>
      <w:r>
        <w:rPr>
          <w:rFonts w:hint="eastAsia" w:ascii="宋体" w:hAnsi="宋体" w:eastAsia="宋体" w:cs="宋体"/>
          <w:b/>
          <w:bCs/>
          <w:color w:val="auto"/>
          <w:spacing w:val="0"/>
          <w:sz w:val="24"/>
          <w:szCs w:val="24"/>
          <w:highlight w:val="none"/>
          <w:lang w:val="en-US" w:eastAsia="zh-CN"/>
        </w:rPr>
        <w:t>5</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定标文件的编制要求</w:t>
      </w:r>
    </w:p>
    <w:p w14:paraId="504314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0.5</w:t>
      </w:r>
      <w:r>
        <w:rPr>
          <w:rFonts w:hint="eastAsia" w:ascii="宋体" w:hAnsi="宋体" w:eastAsia="宋体" w:cs="宋体"/>
          <w:b w:val="0"/>
          <w:bCs w:val="0"/>
          <w:color w:val="auto"/>
          <w:sz w:val="24"/>
          <w:highlight w:val="none"/>
        </w:rPr>
        <w:t xml:space="preserve">.1 </w:t>
      </w:r>
      <w:r>
        <w:rPr>
          <w:rFonts w:hint="eastAsia" w:ascii="宋体" w:hAnsi="宋体" w:eastAsia="宋体" w:cs="宋体"/>
          <w:b w:val="0"/>
          <w:bCs w:val="0"/>
          <w:color w:val="auto"/>
          <w:sz w:val="24"/>
          <w:highlight w:val="none"/>
          <w:lang w:val="en-US" w:eastAsia="zh-CN"/>
        </w:rPr>
        <w:t>定标文件</w:t>
      </w:r>
      <w:r>
        <w:rPr>
          <w:rFonts w:hint="eastAsia" w:ascii="宋体" w:hAnsi="宋体" w:eastAsia="宋体" w:cs="宋体"/>
          <w:b w:val="0"/>
          <w:bCs w:val="0"/>
          <w:color w:val="auto"/>
          <w:sz w:val="24"/>
          <w:highlight w:val="none"/>
        </w:rPr>
        <w:t>包括以下内容：</w:t>
      </w:r>
    </w:p>
    <w:p w14:paraId="49C08FDD">
      <w:pPr>
        <w:keepNext w:val="0"/>
        <w:keepLines w:val="0"/>
        <w:pageBreakBefore w:val="0"/>
        <w:wordWrap w:val="0"/>
        <w:overflowPunct/>
        <w:topLinePunct w:val="0"/>
        <w:bidi w:val="0"/>
        <w:spacing w:before="156" w:line="22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（1）封面（格式</w:t>
      </w:r>
      <w:r>
        <w:rPr>
          <w:rFonts w:hint="eastAsia" w:ascii="宋体" w:hAnsi="宋体" w:eastAsia="宋体" w:cs="宋体"/>
          <w:color w:val="auto"/>
          <w:spacing w:val="0"/>
          <w:sz w:val="24"/>
          <w:szCs w:val="24"/>
          <w:highlight w:val="none"/>
          <w:lang w:val="en-US" w:eastAsia="zh-CN"/>
        </w:rPr>
        <w:t>十六</w:t>
      </w:r>
      <w:r>
        <w:rPr>
          <w:rFonts w:hint="eastAsia" w:ascii="宋体" w:hAnsi="宋体" w:eastAsia="宋体" w:cs="宋体"/>
          <w:color w:val="auto"/>
          <w:spacing w:val="0"/>
          <w:sz w:val="24"/>
          <w:szCs w:val="24"/>
          <w:highlight w:val="none"/>
        </w:rPr>
        <w:t>）；</w:t>
      </w:r>
    </w:p>
    <w:p w14:paraId="0BE569D4">
      <w:pPr>
        <w:keepNext w:val="0"/>
        <w:keepLines w:val="0"/>
        <w:pageBreakBefore w:val="0"/>
        <w:wordWrap w:val="0"/>
        <w:overflowPunct/>
        <w:topLinePunct w:val="0"/>
        <w:bidi w:val="0"/>
        <w:spacing w:before="153" w:line="222"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目录；</w:t>
      </w:r>
    </w:p>
    <w:p w14:paraId="6615EA3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z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w:t>
      </w:r>
      <w:r>
        <w:rPr>
          <w:rFonts w:hint="eastAsia" w:ascii="宋体" w:hAnsi="宋体" w:eastAsia="宋体" w:cs="宋体"/>
          <w:b w:val="0"/>
          <w:bCs w:val="0"/>
          <w:color w:val="auto"/>
          <w:sz w:val="24"/>
          <w:highlight w:val="none"/>
          <w:lang w:val="en-US" w:eastAsia="zh-CN"/>
        </w:rPr>
        <w:t xml:space="preserve"> 定标因素评审资料（格式十七）</w:t>
      </w:r>
    </w:p>
    <w:p w14:paraId="2451D94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b/>
          <w:bCs/>
          <w:highlight w:val="none"/>
        </w:rPr>
      </w:pPr>
      <w:r>
        <w:rPr>
          <w:rFonts w:hint="eastAsia" w:ascii="宋体" w:hAnsi="宋体" w:eastAsia="宋体" w:cs="宋体"/>
          <w:b/>
          <w:bCs/>
          <w:color w:val="auto"/>
          <w:sz w:val="24"/>
          <w:highlight w:val="none"/>
          <w:lang w:val="en-US" w:eastAsia="zh-CN"/>
        </w:rPr>
        <w:t>注：第10.5的定标文件按照本章节第16.5定标因素所列提供，其中第16.5.6无需提供，其余</w:t>
      </w:r>
      <w:r>
        <w:rPr>
          <w:rFonts w:hint="eastAsia" w:ascii="宋体" w:hAnsi="宋体" w:eastAsia="宋体" w:cs="宋体"/>
          <w:b/>
          <w:bCs/>
          <w:color w:val="auto"/>
          <w:sz w:val="24"/>
          <w:highlight w:val="none"/>
        </w:rPr>
        <w:t>所有投标人均应提供。</w:t>
      </w:r>
    </w:p>
    <w:p w14:paraId="1FFEADB9">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auto"/>
          <w:spacing w:val="0"/>
          <w:sz w:val="24"/>
          <w:szCs w:val="24"/>
          <w:highlight w:val="none"/>
        </w:rPr>
      </w:pPr>
      <w:bookmarkStart w:id="54" w:name="_Toc5686"/>
      <w:bookmarkStart w:id="55" w:name="_Toc21936"/>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电子投标：</w:t>
      </w:r>
      <w:bookmarkEnd w:id="54"/>
      <w:bookmarkEnd w:id="55"/>
    </w:p>
    <w:p w14:paraId="5D9575E6">
      <w:pPr>
        <w:keepNext w:val="0"/>
        <w:keepLines w:val="0"/>
        <w:pageBreakBefore w:val="0"/>
        <w:wordWrap w:val="0"/>
        <w:overflowPunct/>
        <w:topLinePunct w:val="0"/>
        <w:bidi w:val="0"/>
        <w:spacing w:before="112" w:line="295" w:lineRule="auto"/>
        <w:ind w:left="10"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在建设工程交易系统上传加盖了电子印章的投标文件、录入相关信息及标书页码信息，</w:t>
      </w:r>
      <w:r>
        <w:rPr>
          <w:rFonts w:hint="eastAsia" w:ascii="宋体" w:hAnsi="宋体" w:eastAsia="宋体" w:cs="宋体"/>
          <w:b/>
          <w:bCs/>
          <w:color w:val="auto"/>
          <w:spacing w:val="0"/>
          <w:sz w:val="24"/>
          <w:szCs w:val="24"/>
          <w:highlight w:val="none"/>
        </w:rPr>
        <w:t>（页码起始从封面开始）</w:t>
      </w:r>
      <w:r>
        <w:rPr>
          <w:rFonts w:hint="eastAsia" w:ascii="宋体" w:hAnsi="宋体" w:eastAsia="宋体" w:cs="宋体"/>
          <w:color w:val="auto"/>
          <w:spacing w:val="0"/>
          <w:sz w:val="24"/>
          <w:szCs w:val="24"/>
          <w:highlight w:val="none"/>
        </w:rPr>
        <w:t>并提交投标标书。提交标书为已加密投标文件。 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6D6B8FF1">
      <w:pPr>
        <w:keepNext w:val="0"/>
        <w:keepLines w:val="0"/>
        <w:pageBreakBefore w:val="0"/>
        <w:wordWrap w:val="0"/>
        <w:overflowPunct/>
        <w:topLinePunct w:val="0"/>
        <w:bidi w:val="0"/>
        <w:spacing w:before="115" w:line="286" w:lineRule="auto"/>
        <w:ind w:left="10" w:right="81" w:firstLine="485"/>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5E60D4C8">
      <w:pPr>
        <w:keepNext w:val="0"/>
        <w:keepLines w:val="0"/>
        <w:pageBreakBefore w:val="0"/>
        <w:widowControl/>
        <w:numPr>
          <w:ilvl w:val="0"/>
          <w:numId w:val="0"/>
        </w:numPr>
        <w:kinsoku w:val="0"/>
        <w:wordWrap w:val="0"/>
        <w:overflowPunct/>
        <w:topLinePunct w:val="0"/>
        <w:autoSpaceDE w:val="0"/>
        <w:autoSpaceDN w:val="0"/>
        <w:bidi w:val="0"/>
        <w:adjustRightInd w:val="0"/>
        <w:snapToGrid w:val="0"/>
        <w:spacing w:before="78" w:line="286" w:lineRule="auto"/>
        <w:ind w:firstLine="482" w:firstLineChars="200"/>
        <w:textAlignment w:val="baseline"/>
        <w:outlineLvl w:val="2"/>
        <w:rPr>
          <w:rFonts w:hint="eastAsia" w:ascii="宋体" w:hAnsi="宋体" w:eastAsia="宋体" w:cs="宋体"/>
          <w:b/>
          <w:bCs/>
          <w:color w:val="auto"/>
          <w:spacing w:val="0"/>
          <w:sz w:val="24"/>
          <w:szCs w:val="24"/>
          <w:highlight w:val="none"/>
        </w:rPr>
      </w:pPr>
      <w:bookmarkStart w:id="56" w:name="_Toc31421"/>
      <w:r>
        <w:rPr>
          <w:rFonts w:hint="eastAsia" w:ascii="宋体" w:hAnsi="宋体" w:eastAsia="宋体" w:cs="宋体"/>
          <w:b/>
          <w:bCs/>
          <w:color w:val="auto"/>
          <w:spacing w:val="0"/>
          <w:sz w:val="24"/>
          <w:szCs w:val="24"/>
          <w:highlight w:val="none"/>
          <w:lang w:val="en-US" w:eastAsia="zh-CN"/>
        </w:rPr>
        <w:t>12.</w:t>
      </w:r>
      <w:r>
        <w:rPr>
          <w:rFonts w:hint="eastAsia" w:ascii="宋体" w:hAnsi="宋体" w:eastAsia="宋体" w:cs="宋体"/>
          <w:b/>
          <w:bCs/>
          <w:color w:val="auto"/>
          <w:spacing w:val="0"/>
          <w:w w:val="101"/>
          <w:sz w:val="24"/>
          <w:szCs w:val="24"/>
          <w:highlight w:val="none"/>
        </w:rPr>
        <w:t xml:space="preserve"> </w:t>
      </w:r>
      <w:bookmarkStart w:id="57" w:name="_Toc29834"/>
      <w:r>
        <w:rPr>
          <w:rFonts w:hint="eastAsia" w:ascii="宋体" w:hAnsi="宋体" w:eastAsia="宋体" w:cs="宋体"/>
          <w:b/>
          <w:bCs/>
          <w:color w:val="auto"/>
          <w:spacing w:val="0"/>
          <w:sz w:val="24"/>
          <w:szCs w:val="24"/>
          <w:highlight w:val="none"/>
        </w:rPr>
        <w:t>电子投标及投标解密失败及突发情况的补救方案</w:t>
      </w:r>
      <w:bookmarkEnd w:id="56"/>
      <w:bookmarkEnd w:id="57"/>
    </w:p>
    <w:p w14:paraId="36528AF2">
      <w:pPr>
        <w:keepNext w:val="0"/>
        <w:keepLines w:val="0"/>
        <w:pageBreakBefore w:val="0"/>
        <w:widowControl/>
        <w:kinsoku w:val="0"/>
        <w:wordWrap w:val="0"/>
        <w:overflowPunct/>
        <w:topLinePunct w:val="0"/>
        <w:autoSpaceDE w:val="0"/>
        <w:autoSpaceDN w:val="0"/>
        <w:bidi w:val="0"/>
        <w:adjustRightInd w:val="0"/>
        <w:snapToGrid w:val="0"/>
        <w:spacing w:before="78" w:line="286"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12.1 </w:t>
      </w:r>
      <w:r>
        <w:rPr>
          <w:rFonts w:hint="eastAsia" w:ascii="宋体" w:hAnsi="宋体" w:eastAsia="宋体" w:cs="宋体"/>
          <w:color w:val="auto"/>
          <w:spacing w:val="0"/>
          <w:sz w:val="24"/>
          <w:szCs w:val="24"/>
          <w:highlight w:val="none"/>
        </w:rPr>
        <w:t>按照交易平台关于全流程电子化项目的相关指南进行操作。详见：全国公共资源交易平台（广东省 ·韶关市）（https://ygp.gdzwfw.gov.cn/ggzy-portal/#/44 0200/index）服务指南栏目发布的最新版操作指引。</w:t>
      </w:r>
    </w:p>
    <w:p w14:paraId="377D15DB">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49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  </w:t>
      </w:r>
      <w:r>
        <w:rPr>
          <w:rFonts w:hint="eastAsia" w:ascii="宋体" w:hAnsi="宋体" w:eastAsia="宋体" w:cs="宋体"/>
          <w:color w:val="auto"/>
          <w:spacing w:val="0"/>
          <w:sz w:val="24"/>
          <w:szCs w:val="24"/>
          <w:highlight w:val="none"/>
        </w:rPr>
        <w:t>补救方案：</w:t>
      </w:r>
    </w:p>
    <w:p w14:paraId="62364ED5">
      <w:pPr>
        <w:keepNext w:val="0"/>
        <w:keepLines w:val="0"/>
        <w:pageBreakBefore w:val="0"/>
        <w:wordWrap w:val="0"/>
        <w:overflowPunct/>
        <w:topLinePunct w:val="0"/>
        <w:bidi w:val="0"/>
        <w:spacing w:before="115"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12.2.1  </w:t>
      </w:r>
      <w:r>
        <w:rPr>
          <w:rFonts w:hint="eastAsia" w:ascii="宋体" w:hAnsi="宋体" w:eastAsia="宋体" w:cs="宋体"/>
          <w:color w:val="auto"/>
          <w:spacing w:val="0"/>
          <w:sz w:val="24"/>
          <w:szCs w:val="24"/>
          <w:highlight w:val="none"/>
        </w:rPr>
        <w:t>投标文件解密失败的补救方案：</w:t>
      </w:r>
    </w:p>
    <w:p w14:paraId="43612194">
      <w:pPr>
        <w:keepNext w:val="0"/>
        <w:keepLines w:val="0"/>
        <w:pageBreakBefore w:val="0"/>
        <w:wordWrap w:val="0"/>
        <w:overflowPunct/>
        <w:topLinePunct w:val="0"/>
        <w:bidi w:val="0"/>
        <w:spacing w:before="115" w:line="298"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 30 分钟内）内</w:t>
      </w:r>
      <w:bookmarkStart w:id="58" w:name="bookmark122"/>
      <w:bookmarkEnd w:id="58"/>
      <w:r>
        <w:rPr>
          <w:rFonts w:hint="eastAsia" w:ascii="宋体" w:hAnsi="宋体" w:eastAsia="宋体" w:cs="宋体"/>
          <w:color w:val="auto"/>
          <w:spacing w:val="0"/>
          <w:sz w:val="24"/>
          <w:szCs w:val="24"/>
          <w:highlight w:val="none"/>
        </w:rPr>
        <w:t>重新提交投标文件继续开标程序。</w:t>
      </w:r>
    </w:p>
    <w:p w14:paraId="701B225B">
      <w:pPr>
        <w:keepNext w:val="0"/>
        <w:keepLines w:val="0"/>
        <w:pageBreakBefore w:val="0"/>
        <w:wordWrap w:val="0"/>
        <w:overflowPunct/>
        <w:topLinePunct w:val="0"/>
        <w:bidi w:val="0"/>
        <w:spacing w:before="114"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12.2.2  </w:t>
      </w:r>
      <w:r>
        <w:rPr>
          <w:rFonts w:hint="eastAsia" w:ascii="宋体" w:hAnsi="宋体" w:eastAsia="宋体" w:cs="宋体"/>
          <w:color w:val="auto"/>
          <w:spacing w:val="0"/>
          <w:sz w:val="24"/>
          <w:szCs w:val="24"/>
          <w:highlight w:val="none"/>
        </w:rPr>
        <w:t>评标时突发情况的补救方案</w:t>
      </w:r>
    </w:p>
    <w:p w14:paraId="39E507D8">
      <w:pPr>
        <w:keepNext w:val="0"/>
        <w:keepLines w:val="0"/>
        <w:pageBreakBefore w:val="0"/>
        <w:wordWrap w:val="0"/>
        <w:overflowPunct/>
        <w:topLinePunct w:val="0"/>
        <w:bidi w:val="0"/>
        <w:spacing w:before="114" w:line="303" w:lineRule="auto"/>
        <w:ind w:right="81"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在评标过程中，因主场或副场网络故障、电子设备或者评标系统故障，以及其他原因导致无法继续进行评标时，在 4 小时以内解除故障的可继续评标，超过 4 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588029FB">
      <w:pPr>
        <w:keepNext w:val="0"/>
        <w:keepLines w:val="0"/>
        <w:pageBreakBefore w:val="0"/>
        <w:wordWrap w:val="0"/>
        <w:overflowPunct/>
        <w:topLinePunct w:val="0"/>
        <w:bidi w:val="0"/>
        <w:spacing w:before="69" w:line="324" w:lineRule="auto"/>
        <w:ind w:left="11" w:right="81" w:firstLine="484"/>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12.2.3  </w:t>
      </w:r>
      <w:r>
        <w:rPr>
          <w:rFonts w:hint="eastAsia" w:ascii="宋体" w:hAnsi="宋体" w:eastAsia="宋体" w:cs="宋体"/>
          <w:color w:val="auto"/>
          <w:spacing w:val="0"/>
          <w:sz w:val="24"/>
          <w:szCs w:val="24"/>
          <w:highlight w:val="none"/>
        </w:rPr>
        <w:t>除发生上述情况外，开标评标均以投标人（联合体投标的，由联合体牵头人）通过交易平台网上递交的电子投标文件为准。</w:t>
      </w:r>
    </w:p>
    <w:p w14:paraId="4E0357A1">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rPr>
      </w:pPr>
      <w:bookmarkStart w:id="59" w:name="_Toc21599"/>
      <w:bookmarkStart w:id="60" w:name="_Toc27195"/>
      <w:r>
        <w:rPr>
          <w:rFonts w:hint="eastAsia" w:ascii="宋体" w:hAnsi="宋体" w:eastAsia="宋体" w:cs="宋体"/>
          <w:b/>
          <w:bCs/>
          <w:color w:val="auto"/>
          <w:spacing w:val="0"/>
          <w:sz w:val="24"/>
          <w:szCs w:val="24"/>
          <w:highlight w:val="none"/>
        </w:rPr>
        <w:t>13 ．投标文件的提交</w:t>
      </w:r>
      <w:bookmarkEnd w:id="59"/>
      <w:bookmarkEnd w:id="60"/>
    </w:p>
    <w:p w14:paraId="3F8D164E">
      <w:pPr>
        <w:keepNext w:val="0"/>
        <w:keepLines w:val="0"/>
        <w:pageBreakBefore w:val="0"/>
        <w:wordWrap w:val="0"/>
        <w:overflowPunct/>
        <w:topLinePunct w:val="0"/>
        <w:bidi w:val="0"/>
        <w:spacing w:before="123" w:line="278" w:lineRule="auto"/>
        <w:ind w:left="13" w:right="81" w:firstLine="48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13.1  </w:t>
      </w:r>
      <w:r>
        <w:rPr>
          <w:rFonts w:hint="eastAsia" w:ascii="宋体" w:hAnsi="宋体" w:eastAsia="宋体" w:cs="宋体"/>
          <w:color w:val="auto"/>
          <w:spacing w:val="0"/>
          <w:sz w:val="24"/>
          <w:szCs w:val="24"/>
          <w:highlight w:val="none"/>
        </w:rPr>
        <w:t>在投标文件提交截止时间前，投标人通过全国公共资源交易平台（广东省 ·韶关市）提交已加密投标文件。逾期提交的电子投标文件，全国公共资源交易平台（广东省 ·韶关市）将予以拒收。</w:t>
      </w:r>
    </w:p>
    <w:p w14:paraId="41832DDC">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13.2  </w:t>
      </w:r>
      <w:r>
        <w:rPr>
          <w:rFonts w:hint="eastAsia" w:ascii="宋体" w:hAnsi="宋体" w:eastAsia="宋体" w:cs="宋体"/>
          <w:color w:val="auto"/>
          <w:spacing w:val="0"/>
          <w:sz w:val="24"/>
          <w:szCs w:val="24"/>
          <w:highlight w:val="none"/>
        </w:rPr>
        <w:t>提交时间和地点：见本章第二节“重要事项时间地点一览表 ”</w:t>
      </w:r>
    </w:p>
    <w:p w14:paraId="51B2BDE9">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13.3  </w:t>
      </w:r>
      <w:r>
        <w:rPr>
          <w:rFonts w:hint="eastAsia" w:ascii="宋体" w:hAnsi="宋体" w:eastAsia="宋体" w:cs="宋体"/>
          <w:color w:val="auto"/>
          <w:spacing w:val="0"/>
          <w:sz w:val="24"/>
          <w:szCs w:val="24"/>
          <w:highlight w:val="none"/>
        </w:rPr>
        <w:t>递交时间和地点：投标人如有招标文件要求提交的用于评审的证书、证件、证明原件（附一式两份清单），由投标人法定代表人或其委托代理人在指定的时间和地点递交（见“重要事项时间地点一览表 ”）。</w:t>
      </w:r>
    </w:p>
    <w:p w14:paraId="73970F50">
      <w:pPr>
        <w:keepNext w:val="0"/>
        <w:keepLines w:val="0"/>
        <w:pageBreakBefore w:val="0"/>
        <w:wordWrap w:val="0"/>
        <w:overflowPunct/>
        <w:topLinePunct w:val="0"/>
        <w:bidi w:val="0"/>
        <w:spacing w:before="112"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13.4  </w:t>
      </w:r>
      <w:r>
        <w:rPr>
          <w:rFonts w:hint="eastAsia" w:ascii="宋体" w:hAnsi="宋体" w:eastAsia="宋体" w:cs="宋体"/>
          <w:color w:val="auto"/>
          <w:spacing w:val="0"/>
          <w:sz w:val="24"/>
          <w:szCs w:val="24"/>
          <w:highlight w:val="none"/>
        </w:rPr>
        <w:t>代理机构对因不可抗力事件造成的投标文件的损坏、丢失的，不承担责任。</w:t>
      </w:r>
    </w:p>
    <w:p w14:paraId="3C8AC39F">
      <w:pPr>
        <w:keepNext w:val="0"/>
        <w:keepLines w:val="0"/>
        <w:pageBreakBefore w:val="0"/>
        <w:wordWrap w:val="0"/>
        <w:overflowPunct/>
        <w:topLinePunct w:val="0"/>
        <w:bidi w:val="0"/>
        <w:spacing w:before="116"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13.5  </w:t>
      </w:r>
      <w:r>
        <w:rPr>
          <w:rFonts w:hint="eastAsia" w:ascii="宋体" w:hAnsi="宋体" w:eastAsia="宋体" w:cs="宋体"/>
          <w:color w:val="auto"/>
          <w:spacing w:val="0"/>
          <w:sz w:val="24"/>
          <w:szCs w:val="24"/>
          <w:highlight w:val="none"/>
        </w:rPr>
        <w:t>出现下述情形之一，属于未成功提交投标文件，按无效投标处理：</w:t>
      </w:r>
    </w:p>
    <w:p w14:paraId="00C0D19A">
      <w:pPr>
        <w:keepNext w:val="0"/>
        <w:keepLines w:val="0"/>
        <w:pageBreakBefore w:val="0"/>
        <w:wordWrap w:val="0"/>
        <w:overflowPunct/>
        <w:topLinePunct w:val="0"/>
        <w:bidi w:val="0"/>
        <w:spacing w:before="115" w:line="219"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（1）至提交投标文件截止时，投标文件未完整上传及提交标书；</w:t>
      </w:r>
    </w:p>
    <w:p w14:paraId="6863FD8E">
      <w:pPr>
        <w:keepNext w:val="0"/>
        <w:keepLines w:val="0"/>
        <w:pageBreakBefore w:val="0"/>
        <w:wordWrap w:val="0"/>
        <w:overflowPunct/>
        <w:topLinePunct w:val="0"/>
        <w:bidi w:val="0"/>
        <w:spacing w:before="114"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（2）解密失败且在规定时间内未重新提交投标文件的；</w:t>
      </w:r>
    </w:p>
    <w:p w14:paraId="51DF1C5D">
      <w:pPr>
        <w:keepNext w:val="0"/>
        <w:keepLines w:val="0"/>
        <w:pageBreakBefore w:val="0"/>
        <w:wordWrap w:val="0"/>
        <w:overflowPunct/>
        <w:topLinePunct w:val="0"/>
        <w:bidi w:val="0"/>
        <w:spacing w:before="115" w:line="220" w:lineRule="auto"/>
        <w:ind w:left="74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（3）投标文件损坏或格式不正确的；</w:t>
      </w:r>
    </w:p>
    <w:p w14:paraId="34A7B5FF">
      <w:pPr>
        <w:keepNext w:val="0"/>
        <w:keepLines w:val="0"/>
        <w:pageBreakBefore w:val="0"/>
        <w:wordWrap w:val="0"/>
        <w:overflowPunct/>
        <w:topLinePunct w:val="0"/>
        <w:bidi w:val="0"/>
        <w:spacing w:before="115"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13.6  </w:t>
      </w:r>
      <w:r>
        <w:rPr>
          <w:rFonts w:hint="eastAsia" w:ascii="宋体" w:hAnsi="宋体" w:eastAsia="宋体" w:cs="宋体"/>
          <w:color w:val="auto"/>
          <w:spacing w:val="0"/>
          <w:sz w:val="24"/>
          <w:szCs w:val="24"/>
          <w:highlight w:val="none"/>
        </w:rPr>
        <w:t>联合体投标的，由联合体牵头人按以上要求递交相关资料。</w:t>
      </w:r>
    </w:p>
    <w:p w14:paraId="0F442067">
      <w:pPr>
        <w:keepNext w:val="0"/>
        <w:keepLines w:val="0"/>
        <w:pageBreakBefore w:val="0"/>
        <w:widowControl/>
        <w:kinsoku w:val="0"/>
        <w:wordWrap w:val="0"/>
        <w:overflowPunct/>
        <w:topLinePunct w:val="0"/>
        <w:autoSpaceDE w:val="0"/>
        <w:autoSpaceDN w:val="0"/>
        <w:bidi w:val="0"/>
        <w:adjustRightInd w:val="0"/>
        <w:snapToGrid w:val="0"/>
        <w:spacing w:before="113" w:line="286" w:lineRule="auto"/>
        <w:ind w:left="11" w:right="23"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13.7  </w:t>
      </w:r>
      <w:r>
        <w:rPr>
          <w:rFonts w:hint="eastAsia" w:ascii="宋体" w:hAnsi="宋体" w:eastAsia="宋体" w:cs="宋体"/>
          <w:color w:val="auto"/>
          <w:spacing w:val="0"/>
          <w:sz w:val="24"/>
          <w:szCs w:val="24"/>
          <w:highlight w:val="none"/>
        </w:rPr>
        <w:t>招标人或其授权的招标代理机构核对、接收投标人递交的投标相关资料后，应向投标人出具标明签收人和签收时间的凭证，并妥善保管。</w:t>
      </w:r>
    </w:p>
    <w:p w14:paraId="01ECA8D8">
      <w:pPr>
        <w:keepNext w:val="0"/>
        <w:keepLines w:val="0"/>
        <w:pageBreakBefore w:val="0"/>
        <w:wordWrap w:val="0"/>
        <w:overflowPunct/>
        <w:topLinePunct w:val="0"/>
        <w:bidi w:val="0"/>
        <w:spacing w:before="113" w:line="279" w:lineRule="auto"/>
        <w:ind w:left="9" w:right="24" w:firstLine="48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13.8 </w:t>
      </w:r>
      <w:r>
        <w:rPr>
          <w:rFonts w:hint="eastAsia" w:ascii="宋体" w:hAnsi="宋体" w:eastAsia="宋体" w:cs="宋体"/>
          <w:color w:val="auto"/>
          <w:spacing w:val="0"/>
          <w:sz w:val="24"/>
          <w:szCs w:val="24"/>
          <w:highlight w:val="none"/>
        </w:rPr>
        <w:t xml:space="preserve"> 本次招标投标有效期为</w:t>
      </w:r>
      <w:r>
        <w:rPr>
          <w:rFonts w:hint="eastAsia" w:ascii="宋体" w:hAnsi="宋体" w:eastAsia="宋体" w:cs="宋体"/>
          <w:color w:val="auto"/>
          <w:spacing w:val="0"/>
          <w:sz w:val="24"/>
          <w:szCs w:val="24"/>
          <w:highlight w:val="none"/>
          <w:u w:val="single"/>
          <w:lang w:eastAsia="zh-CN"/>
        </w:rPr>
        <w:t>90</w:t>
      </w:r>
      <w:r>
        <w:rPr>
          <w:rFonts w:hint="eastAsia" w:ascii="宋体" w:hAnsi="宋体" w:eastAsia="宋体" w:cs="宋体"/>
          <w:color w:val="auto"/>
          <w:spacing w:val="0"/>
          <w:sz w:val="24"/>
          <w:szCs w:val="24"/>
          <w:highlight w:val="none"/>
        </w:rPr>
        <w:t>个日历天，投标有效期从提交投标文件的截止之日起计算。在此期间，投标人不得撤销或修改其投标文件，否则其投标保证不予退还。</w:t>
      </w:r>
    </w:p>
    <w:p w14:paraId="7CFC1188">
      <w:pPr>
        <w:keepNext w:val="0"/>
        <w:keepLines w:val="0"/>
        <w:pageBreakBefore w:val="0"/>
        <w:wordWrap w:val="0"/>
        <w:overflowPunct/>
        <w:topLinePunct w:val="0"/>
        <w:bidi w:val="0"/>
        <w:spacing w:before="145" w:line="221" w:lineRule="auto"/>
        <w:ind w:left="496"/>
        <w:outlineLvl w:val="2"/>
        <w:rPr>
          <w:rFonts w:hint="eastAsia" w:ascii="宋体" w:hAnsi="宋体" w:eastAsia="宋体" w:cs="宋体"/>
          <w:color w:val="auto"/>
          <w:spacing w:val="0"/>
          <w:sz w:val="24"/>
          <w:szCs w:val="24"/>
          <w:highlight w:val="none"/>
        </w:rPr>
      </w:pPr>
      <w:bookmarkStart w:id="61" w:name="_Toc25927"/>
      <w:bookmarkStart w:id="62" w:name="_Toc22047"/>
      <w:r>
        <w:rPr>
          <w:rFonts w:hint="eastAsia" w:ascii="宋体" w:hAnsi="宋体" w:eastAsia="宋体" w:cs="宋体"/>
          <w:b/>
          <w:bCs/>
          <w:color w:val="auto"/>
          <w:spacing w:val="0"/>
          <w:sz w:val="24"/>
          <w:szCs w:val="24"/>
          <w:highlight w:val="none"/>
        </w:rPr>
        <w:t>14 ．开标</w:t>
      </w:r>
      <w:bookmarkEnd w:id="61"/>
      <w:bookmarkEnd w:id="62"/>
    </w:p>
    <w:p w14:paraId="4E6C0717">
      <w:pPr>
        <w:keepNext w:val="0"/>
        <w:keepLines w:val="0"/>
        <w:pageBreakBefore w:val="0"/>
        <w:wordWrap w:val="0"/>
        <w:overflowPunct/>
        <w:topLinePunct w:val="0"/>
        <w:bidi w:val="0"/>
        <w:spacing w:before="155" w:line="329" w:lineRule="auto"/>
        <w:ind w:left="10" w:right="81" w:firstLine="48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  </w:t>
      </w:r>
      <w:r>
        <w:rPr>
          <w:rFonts w:hint="eastAsia" w:ascii="宋体" w:hAnsi="宋体" w:eastAsia="宋体" w:cs="宋体"/>
          <w:color w:val="auto"/>
          <w:spacing w:val="0"/>
          <w:sz w:val="24"/>
          <w:szCs w:val="24"/>
          <w:highlight w:val="none"/>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w:t>
      </w:r>
      <w:bookmarkStart w:id="63" w:name="bookmark123"/>
      <w:bookmarkEnd w:id="63"/>
      <w:r>
        <w:rPr>
          <w:rFonts w:hint="eastAsia" w:ascii="宋体" w:hAnsi="宋体" w:eastAsia="宋体" w:cs="宋体"/>
          <w:color w:val="auto"/>
          <w:spacing w:val="0"/>
          <w:sz w:val="24"/>
          <w:szCs w:val="24"/>
          <w:highlight w:val="none"/>
        </w:rPr>
        <w:t>标的，视其默认开标结果，以及放弃在开标期间见证、监督、投诉、申辩的权利。</w:t>
      </w:r>
    </w:p>
    <w:p w14:paraId="671D1BF7">
      <w:pPr>
        <w:keepNext w:val="0"/>
        <w:keepLines w:val="0"/>
        <w:pageBreakBefore w:val="0"/>
        <w:wordWrap w:val="0"/>
        <w:overflowPunct/>
        <w:topLinePunct w:val="0"/>
        <w:bidi w:val="0"/>
        <w:spacing w:before="156"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14.1.1  </w:t>
      </w:r>
      <w:r>
        <w:rPr>
          <w:rFonts w:hint="eastAsia" w:ascii="宋体" w:hAnsi="宋体" w:eastAsia="宋体" w:cs="宋体"/>
          <w:color w:val="auto"/>
          <w:spacing w:val="0"/>
          <w:sz w:val="24"/>
          <w:szCs w:val="24"/>
          <w:highlight w:val="none"/>
        </w:rPr>
        <w:t>开标时间和地点：见本章第二节“重要事项时间地点一览表 ”。</w:t>
      </w:r>
    </w:p>
    <w:p w14:paraId="23B4AB0A">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14.1.2 </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开标前 24 小时，若建设工程交易系统显示缴纳投标保证（包括投标保证金、投标保证担保、投标保证保险）的投标人数量不足 3 个时，招标人将取消原定于次日召开的开标活动。投标人可在投标保证缴纳截止时间（见本章第二节“重要事项时间 地点一览表 ”）至电子投标截止时间（见本章第二节“重要事项时间地点一览表 ”） 期间登录全国公共资源交易平台（广东省 ·韶关市）（https://ygp.gdzwfw.gov.cn/ ggzy-portal/#/440200/index）查询是否发布了取消开标活动的相关信息。</w:t>
      </w:r>
    </w:p>
    <w:p w14:paraId="13487771">
      <w:pPr>
        <w:keepNext w:val="0"/>
        <w:keepLines w:val="0"/>
        <w:pageBreakBefore w:val="0"/>
        <w:wordWrap w:val="0"/>
        <w:overflowPunct/>
        <w:topLinePunct w:val="0"/>
        <w:bidi w:val="0"/>
        <w:spacing w:before="159" w:line="319" w:lineRule="auto"/>
        <w:ind w:left="10" w:right="80" w:firstLine="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14.1.3</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本项目实行全流程电子化招标投标，投标人在交易平台按要求上传加盖电子印章并经加密的电子投标文件，并在交易平台录入准确的页码信息即可完成在线投标</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0F3EB23">
      <w:pPr>
        <w:keepNext w:val="0"/>
        <w:keepLines w:val="0"/>
        <w:pageBreakBefore w:val="0"/>
        <w:wordWrap w:val="0"/>
        <w:overflowPunct/>
        <w:topLinePunct w:val="0"/>
        <w:bidi w:val="0"/>
        <w:spacing w:before="152" w:line="221"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14.2  </w:t>
      </w:r>
      <w:r>
        <w:rPr>
          <w:rFonts w:hint="eastAsia" w:ascii="宋体" w:hAnsi="宋体" w:eastAsia="宋体" w:cs="宋体"/>
          <w:color w:val="auto"/>
          <w:spacing w:val="0"/>
          <w:sz w:val="24"/>
          <w:szCs w:val="24"/>
          <w:highlight w:val="none"/>
        </w:rPr>
        <w:t>开标程序</w:t>
      </w:r>
    </w:p>
    <w:p w14:paraId="4481CD9D">
      <w:pPr>
        <w:keepNext w:val="0"/>
        <w:keepLines w:val="0"/>
        <w:pageBreakBefore w:val="0"/>
        <w:wordWrap w:val="0"/>
        <w:overflowPunct/>
        <w:topLinePunct w:val="0"/>
        <w:bidi w:val="0"/>
        <w:spacing w:before="42" w:line="219" w:lineRule="auto"/>
        <w:ind w:left="501"/>
        <w:outlineLvl w:val="9"/>
        <w:rPr>
          <w:rFonts w:hint="eastAsia" w:ascii="宋体" w:hAnsi="宋体" w:eastAsia="宋体" w:cs="宋体"/>
          <w:color w:val="auto"/>
          <w:spacing w:val="0"/>
          <w:sz w:val="24"/>
          <w:szCs w:val="24"/>
          <w:highlight w:val="none"/>
        </w:rPr>
      </w:pPr>
      <w:bookmarkStart w:id="64" w:name="_Toc15587"/>
      <w:bookmarkStart w:id="65" w:name="_Toc8314"/>
      <w:bookmarkStart w:id="66" w:name="_Toc10685"/>
      <w:bookmarkStart w:id="67" w:name="_Toc10291"/>
      <w:r>
        <w:rPr>
          <w:rFonts w:hint="eastAsia" w:ascii="宋体" w:hAnsi="宋体" w:eastAsia="宋体" w:cs="宋体"/>
          <w:color w:val="auto"/>
          <w:spacing w:val="0"/>
          <w:sz w:val="24"/>
          <w:szCs w:val="24"/>
          <w:highlight w:val="none"/>
        </w:rPr>
        <w:t>（1）主持人（招标人代表或招标人授权的招标代理机构人员）宣读开标纪律。</w:t>
      </w:r>
      <w:bookmarkEnd w:id="64"/>
      <w:bookmarkEnd w:id="65"/>
      <w:bookmarkEnd w:id="66"/>
      <w:bookmarkEnd w:id="67"/>
    </w:p>
    <w:p w14:paraId="22E65A61">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68" w:name="_Toc16292"/>
      <w:bookmarkStart w:id="69" w:name="_Toc30853"/>
      <w:bookmarkStart w:id="70" w:name="_Toc2011"/>
      <w:bookmarkStart w:id="71" w:name="_Toc20238"/>
      <w:r>
        <w:rPr>
          <w:rFonts w:hint="eastAsia" w:ascii="宋体" w:hAnsi="宋体" w:eastAsia="宋体" w:cs="宋体"/>
          <w:color w:val="auto"/>
          <w:spacing w:val="0"/>
          <w:sz w:val="24"/>
          <w:szCs w:val="24"/>
          <w:highlight w:val="none"/>
        </w:rPr>
        <w:t>（2）主持人宣布唱标人、记录人、见证人、监督人等有关人员姓名。</w:t>
      </w:r>
      <w:bookmarkEnd w:id="68"/>
      <w:bookmarkEnd w:id="69"/>
      <w:bookmarkEnd w:id="70"/>
      <w:bookmarkEnd w:id="71"/>
    </w:p>
    <w:p w14:paraId="5C102337">
      <w:pPr>
        <w:keepNext w:val="0"/>
        <w:keepLines w:val="0"/>
        <w:pageBreakBefore w:val="0"/>
        <w:wordWrap w:val="0"/>
        <w:overflowPunct/>
        <w:topLinePunct w:val="0"/>
        <w:bidi w:val="0"/>
        <w:spacing w:before="183" w:line="219" w:lineRule="auto"/>
        <w:ind w:left="501"/>
        <w:outlineLvl w:val="9"/>
        <w:rPr>
          <w:rFonts w:hint="eastAsia" w:ascii="宋体" w:hAnsi="宋体" w:eastAsia="宋体" w:cs="宋体"/>
          <w:color w:val="auto"/>
          <w:spacing w:val="0"/>
          <w:sz w:val="24"/>
          <w:szCs w:val="24"/>
          <w:highlight w:val="none"/>
        </w:rPr>
      </w:pPr>
      <w:bookmarkStart w:id="72" w:name="_Toc17462"/>
      <w:bookmarkStart w:id="73" w:name="_Toc26494"/>
      <w:bookmarkStart w:id="74" w:name="_Toc1974"/>
      <w:bookmarkStart w:id="75" w:name="_Toc31716"/>
      <w:r>
        <w:rPr>
          <w:rFonts w:hint="eastAsia" w:ascii="宋体" w:hAnsi="宋体" w:eastAsia="宋体" w:cs="宋体"/>
          <w:color w:val="auto"/>
          <w:spacing w:val="0"/>
          <w:sz w:val="24"/>
          <w:szCs w:val="24"/>
          <w:highlight w:val="none"/>
        </w:rPr>
        <w:t>（3）唱标人公布在投标截止时间前进行投标文件的投标人数量和名称</w:t>
      </w:r>
      <w:bookmarkEnd w:id="72"/>
      <w:bookmarkEnd w:id="73"/>
      <w:bookmarkEnd w:id="74"/>
      <w:bookmarkEnd w:id="75"/>
    </w:p>
    <w:p w14:paraId="1FA0369B">
      <w:pPr>
        <w:keepNext w:val="0"/>
        <w:keepLines w:val="0"/>
        <w:pageBreakBefore w:val="0"/>
        <w:wordWrap w:val="0"/>
        <w:overflowPunct/>
        <w:topLinePunct w:val="0"/>
        <w:bidi w:val="0"/>
        <w:spacing w:before="181" w:line="219" w:lineRule="auto"/>
        <w:ind w:left="501"/>
        <w:outlineLvl w:val="9"/>
        <w:rPr>
          <w:rFonts w:hint="eastAsia" w:ascii="宋体" w:hAnsi="宋体" w:eastAsia="宋体" w:cs="宋体"/>
          <w:color w:val="auto"/>
          <w:spacing w:val="0"/>
          <w:sz w:val="24"/>
          <w:szCs w:val="24"/>
          <w:highlight w:val="none"/>
        </w:rPr>
      </w:pPr>
      <w:bookmarkStart w:id="76" w:name="_Toc8179"/>
      <w:bookmarkStart w:id="77" w:name="_Toc27967"/>
      <w:bookmarkStart w:id="78" w:name="_Toc15860"/>
      <w:bookmarkStart w:id="79" w:name="_Toc20559"/>
      <w:r>
        <w:rPr>
          <w:rFonts w:hint="eastAsia" w:ascii="宋体" w:hAnsi="宋体" w:eastAsia="宋体" w:cs="宋体"/>
          <w:color w:val="auto"/>
          <w:spacing w:val="0"/>
          <w:sz w:val="24"/>
          <w:szCs w:val="24"/>
          <w:highlight w:val="none"/>
        </w:rPr>
        <w:t>（4）招标代理机构会同交易场所工作人员对投标人的电子投标信息进行解密，</w:t>
      </w:r>
      <w:bookmarkEnd w:id="76"/>
      <w:bookmarkEnd w:id="77"/>
      <w:bookmarkEnd w:id="78"/>
      <w:bookmarkEnd w:id="79"/>
    </w:p>
    <w:p w14:paraId="74589B6E">
      <w:pPr>
        <w:keepNext w:val="0"/>
        <w:keepLines w:val="0"/>
        <w:pageBreakBefore w:val="0"/>
        <w:wordWrap w:val="0"/>
        <w:overflowPunct/>
        <w:topLinePunct w:val="0"/>
        <w:bidi w:val="0"/>
        <w:spacing w:before="183" w:line="22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建设工程交易系统自动生成《投标保证缴纳情况表》和《开标一览表》。</w:t>
      </w:r>
    </w:p>
    <w:p w14:paraId="4C7816EA">
      <w:pPr>
        <w:keepNext w:val="0"/>
        <w:keepLines w:val="0"/>
        <w:pageBreakBefore w:val="0"/>
        <w:wordWrap w:val="0"/>
        <w:overflowPunct/>
        <w:topLinePunct w:val="0"/>
        <w:bidi w:val="0"/>
        <w:spacing w:before="182" w:line="360" w:lineRule="auto"/>
        <w:ind w:firstLine="482" w:firstLineChars="200"/>
        <w:outlineLvl w:val="9"/>
        <w:rPr>
          <w:rFonts w:hint="eastAsia" w:ascii="宋体" w:hAnsi="宋体" w:eastAsia="宋体" w:cs="宋体"/>
          <w:color w:val="auto"/>
          <w:spacing w:val="0"/>
          <w:sz w:val="24"/>
          <w:szCs w:val="24"/>
          <w:highlight w:val="none"/>
        </w:rPr>
      </w:pPr>
      <w:bookmarkStart w:id="80" w:name="_Toc28266"/>
      <w:bookmarkStart w:id="81" w:name="_Toc2199"/>
      <w:bookmarkStart w:id="82" w:name="_Toc28812"/>
      <w:bookmarkStart w:id="83" w:name="_Toc26216"/>
      <w:r>
        <w:rPr>
          <w:rFonts w:hint="eastAsia" w:ascii="宋体" w:hAnsi="宋体" w:eastAsia="宋体" w:cs="宋体"/>
          <w:b/>
          <w:bCs/>
          <w:color w:val="auto"/>
          <w:spacing w:val="0"/>
          <w:sz w:val="24"/>
          <w:szCs w:val="24"/>
          <w:highlight w:val="none"/>
        </w:rPr>
        <w:t>温馨提示：因本项目实行全流程电子化招标投标，投标人无须进行现场签到，可</w:t>
      </w:r>
      <w:bookmarkEnd w:id="80"/>
      <w:bookmarkEnd w:id="81"/>
      <w:bookmarkEnd w:id="82"/>
      <w:r>
        <w:rPr>
          <w:rFonts w:hint="eastAsia" w:ascii="宋体" w:hAnsi="宋体" w:eastAsia="宋体" w:cs="宋体"/>
          <w:b/>
          <w:bCs/>
          <w:color w:val="auto"/>
          <w:spacing w:val="0"/>
          <w:sz w:val="24"/>
          <w:szCs w:val="24"/>
          <w:highlight w:val="none"/>
        </w:rPr>
        <w:t>登录交易平台观看开标实况、提出异议或进行澄清、确认等操作，对开标事项的异议未在开标期间提出的，招标</w:t>
      </w:r>
      <w:r>
        <w:rPr>
          <w:rFonts w:hint="eastAsia" w:ascii="宋体" w:hAnsi="宋体" w:eastAsia="宋体" w:cs="宋体"/>
          <w:b/>
          <w:bCs/>
          <w:color w:val="auto"/>
          <w:spacing w:val="0"/>
          <w:sz w:val="24"/>
          <w:szCs w:val="24"/>
          <w:highlight w:val="none"/>
          <w:lang w:eastAsia="zh-CN"/>
        </w:rPr>
        <w:t>人不</w:t>
      </w:r>
      <w:r>
        <w:rPr>
          <w:rFonts w:hint="eastAsia" w:ascii="宋体" w:hAnsi="宋体" w:eastAsia="宋体" w:cs="宋体"/>
          <w:b/>
          <w:bCs/>
          <w:color w:val="auto"/>
          <w:spacing w:val="0"/>
          <w:sz w:val="24"/>
          <w:szCs w:val="24"/>
          <w:highlight w:val="none"/>
        </w:rPr>
        <w:t>予受理。具体按招标文件和系统操作手册为准。</w:t>
      </w:r>
      <w:bookmarkEnd w:id="83"/>
    </w:p>
    <w:p w14:paraId="324154A1">
      <w:pPr>
        <w:keepNext w:val="0"/>
        <w:keepLines w:val="0"/>
        <w:pageBreakBefore w:val="0"/>
        <w:wordWrap w:val="0"/>
        <w:overflowPunct/>
        <w:topLinePunct w:val="0"/>
        <w:bidi w:val="0"/>
        <w:spacing w:before="143" w:line="299" w:lineRule="auto"/>
        <w:ind w:left="11" w:right="80"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14.3  </w:t>
      </w:r>
      <w:r>
        <w:rPr>
          <w:rFonts w:hint="eastAsia" w:ascii="宋体" w:hAnsi="宋体" w:eastAsia="宋体" w:cs="宋体"/>
          <w:color w:val="auto"/>
          <w:spacing w:val="0"/>
          <w:sz w:val="24"/>
          <w:szCs w:val="24"/>
          <w:highlight w:val="none"/>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14:paraId="367BD1D2">
      <w:pPr>
        <w:keepNext w:val="0"/>
        <w:keepLines w:val="0"/>
        <w:pageBreakBefore w:val="0"/>
        <w:wordWrap w:val="0"/>
        <w:overflowPunct/>
        <w:topLinePunct w:val="0"/>
        <w:bidi w:val="0"/>
        <w:spacing w:before="155" w:line="279" w:lineRule="auto"/>
        <w:ind w:left="8" w:right="82"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14.4 </w:t>
      </w:r>
      <w:r>
        <w:rPr>
          <w:rFonts w:hint="eastAsia" w:ascii="宋体" w:hAnsi="宋体" w:eastAsia="宋体" w:cs="宋体"/>
          <w:color w:val="auto"/>
          <w:spacing w:val="0"/>
          <w:sz w:val="24"/>
          <w:szCs w:val="24"/>
          <w:highlight w:val="none"/>
        </w:rPr>
        <w:t>招标代理机构将资料原件（如有）、《开标一览表》以及其他有关资料移交评标委员会。</w:t>
      </w:r>
    </w:p>
    <w:p w14:paraId="77B0C3F1">
      <w:pP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br w:type="page"/>
      </w:r>
    </w:p>
    <w:p w14:paraId="70937984">
      <w:pPr>
        <w:keepNext w:val="0"/>
        <w:keepLines w:val="0"/>
        <w:pageBreakBefore w:val="0"/>
        <w:wordWrap w:val="0"/>
        <w:overflowPunct/>
        <w:topLinePunct w:val="0"/>
        <w:bidi w:val="0"/>
        <w:spacing w:before="78" w:line="221" w:lineRule="auto"/>
        <w:ind w:left="496"/>
        <w:outlineLvl w:val="2"/>
        <w:rPr>
          <w:rFonts w:hint="eastAsia" w:ascii="宋体" w:hAnsi="宋体" w:eastAsia="宋体" w:cs="宋体"/>
          <w:color w:val="auto"/>
          <w:spacing w:val="0"/>
          <w:highlight w:val="none"/>
        </w:rPr>
      </w:pPr>
      <w:bookmarkStart w:id="84" w:name="_Toc32470"/>
      <w:bookmarkStart w:id="85" w:name="_Toc961"/>
      <w:r>
        <w:rPr>
          <w:rFonts w:hint="eastAsia" w:ascii="宋体" w:hAnsi="宋体" w:eastAsia="宋体" w:cs="宋体"/>
          <w:b/>
          <w:bCs/>
          <w:color w:val="auto"/>
          <w:spacing w:val="0"/>
          <w:sz w:val="24"/>
          <w:szCs w:val="24"/>
          <w:highlight w:val="none"/>
        </w:rPr>
        <w:t>15 ．评标</w:t>
      </w:r>
      <w:bookmarkEnd w:id="84"/>
      <w:bookmarkEnd w:id="85"/>
    </w:p>
    <w:p w14:paraId="42D28C78">
      <w:pPr>
        <w:keepNext w:val="0"/>
        <w:keepLines w:val="0"/>
        <w:pageBreakBefore w:val="0"/>
        <w:wordWrap w:val="0"/>
        <w:overflowPunct/>
        <w:topLinePunct w:val="0"/>
        <w:bidi w:val="0"/>
        <w:spacing w:before="78" w:line="331" w:lineRule="auto"/>
        <w:ind w:left="8" w:right="65" w:firstLine="480"/>
        <w:rPr>
          <w:rFonts w:hint="eastAsia" w:ascii="宋体" w:hAnsi="宋体" w:eastAsia="宋体" w:cs="宋体"/>
          <w:color w:val="auto"/>
          <w:spacing w:val="0"/>
          <w:sz w:val="24"/>
          <w:szCs w:val="24"/>
          <w:highlight w:val="none"/>
        </w:rPr>
      </w:pPr>
      <w:bookmarkStart w:id="86" w:name="bookmark124"/>
      <w:bookmarkEnd w:id="86"/>
      <w:bookmarkStart w:id="87" w:name="_Toc3020"/>
      <w:bookmarkStart w:id="88" w:name="_Toc16801"/>
      <w:bookmarkStart w:id="89" w:name="_Toc17375"/>
      <w:r>
        <w:rPr>
          <w:rFonts w:hint="eastAsia" w:ascii="宋体" w:hAnsi="宋体" w:eastAsia="宋体" w:cs="宋体"/>
          <w:color w:val="auto"/>
          <w:spacing w:val="0"/>
          <w:sz w:val="24"/>
          <w:szCs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b/>
          <w:bCs/>
          <w:color w:val="auto"/>
          <w:spacing w:val="0"/>
          <w:sz w:val="24"/>
          <w:szCs w:val="24"/>
          <w:highlight w:val="none"/>
          <w:u w:val="single"/>
          <w:lang w:val="en-US" w:eastAsia="zh-CN"/>
        </w:rPr>
        <w:t>5</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个</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标候选人</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如不足5个，则往下递减，但不可少于3个</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，并向招标人提交由全体评标委员会成员签字的评标报告。</w:t>
      </w:r>
    </w:p>
    <w:p w14:paraId="4EA478A4">
      <w:pPr>
        <w:keepNext w:val="0"/>
        <w:keepLines w:val="0"/>
        <w:pageBreakBefore w:val="0"/>
        <w:wordWrap w:val="0"/>
        <w:overflowPunct/>
        <w:topLinePunct w:val="0"/>
        <w:bidi w:val="0"/>
        <w:spacing w:before="38" w:line="219" w:lineRule="auto"/>
        <w:ind w:left="49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  </w:t>
      </w:r>
      <w:r>
        <w:rPr>
          <w:rFonts w:hint="eastAsia" w:ascii="宋体" w:hAnsi="宋体" w:eastAsia="宋体" w:cs="宋体"/>
          <w:color w:val="auto"/>
          <w:spacing w:val="0"/>
          <w:sz w:val="24"/>
          <w:szCs w:val="24"/>
          <w:highlight w:val="none"/>
        </w:rPr>
        <w:t>评标委员会</w:t>
      </w:r>
    </w:p>
    <w:p w14:paraId="07FACA56">
      <w:pPr>
        <w:keepNext w:val="0"/>
        <w:keepLines w:val="0"/>
        <w:pageBreakBefore w:val="0"/>
        <w:wordWrap w:val="0"/>
        <w:overflowPunct/>
        <w:topLinePunct w:val="0"/>
        <w:bidi w:val="0"/>
        <w:spacing w:before="155" w:line="324" w:lineRule="auto"/>
        <w:ind w:left="10" w:right="65" w:firstLine="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15.1.1 </w:t>
      </w:r>
      <w:r>
        <w:rPr>
          <w:rFonts w:hint="eastAsia" w:ascii="宋体" w:hAnsi="宋体" w:eastAsia="宋体" w:cs="宋体"/>
          <w:color w:val="auto"/>
          <w:spacing w:val="0"/>
          <w:sz w:val="24"/>
          <w:szCs w:val="24"/>
          <w:highlight w:val="none"/>
        </w:rPr>
        <w:t>评标委员会由</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人组成，其中招标人代表</w:t>
      </w:r>
      <w:r>
        <w:rPr>
          <w:rFonts w:hint="eastAsia" w:ascii="宋体" w:hAnsi="宋体" w:eastAsia="宋体" w:cs="宋体"/>
          <w:color w:val="auto"/>
          <w:spacing w:val="0"/>
          <w:sz w:val="24"/>
          <w:szCs w:val="24"/>
          <w:highlight w:val="none"/>
          <w:u w:val="single"/>
        </w:rPr>
        <w:t xml:space="preserve"> 0 </w:t>
      </w:r>
      <w:r>
        <w:rPr>
          <w:rFonts w:hint="eastAsia" w:ascii="宋体" w:hAnsi="宋体" w:eastAsia="宋体" w:cs="宋体"/>
          <w:color w:val="auto"/>
          <w:spacing w:val="0"/>
          <w:sz w:val="24"/>
          <w:szCs w:val="24"/>
          <w:highlight w:val="none"/>
        </w:rPr>
        <w:t>人，专家</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人。专家从</w:t>
      </w:r>
      <w:r>
        <w:rPr>
          <w:rFonts w:hint="eastAsia" w:ascii="宋体" w:hAnsi="宋体" w:eastAsia="宋体" w:cs="宋体"/>
          <w:color w:val="auto"/>
          <w:spacing w:val="0"/>
          <w:sz w:val="24"/>
          <w:szCs w:val="24"/>
          <w:highlight w:val="none"/>
          <w:u w:val="none"/>
        </w:rPr>
        <w:t>广东省综合评标评审专家库</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u w:val="single"/>
        </w:rPr>
        <w:t>韶关区域</w:t>
      </w:r>
      <w:r>
        <w:rPr>
          <w:rFonts w:hint="eastAsia" w:ascii="宋体" w:hAnsi="宋体" w:eastAsia="宋体" w:cs="宋体"/>
          <w:color w:val="auto"/>
          <w:spacing w:val="0"/>
          <w:sz w:val="24"/>
          <w:szCs w:val="24"/>
          <w:highlight w:val="none"/>
          <w:u w:val="single"/>
          <w:lang w:eastAsia="zh-CN"/>
        </w:rPr>
        <w:t>）</w:t>
      </w:r>
      <w:r>
        <w:rPr>
          <w:rFonts w:hint="eastAsia" w:ascii="宋体" w:hAnsi="宋体" w:eastAsia="宋体" w:cs="宋体"/>
          <w:color w:val="auto"/>
          <w:spacing w:val="0"/>
          <w:sz w:val="24"/>
          <w:szCs w:val="24"/>
          <w:highlight w:val="none"/>
        </w:rPr>
        <w:t>中随机抽取，其中技术类专家</w:t>
      </w:r>
      <w:r>
        <w:rPr>
          <w:rFonts w:hint="eastAsia" w:ascii="宋体" w:hAnsi="宋体" w:eastAsia="宋体" w:cs="宋体"/>
          <w:color w:val="auto"/>
          <w:spacing w:val="0"/>
          <w:sz w:val="24"/>
          <w:szCs w:val="24"/>
          <w:highlight w:val="none"/>
          <w:u w:val="single"/>
        </w:rPr>
        <w:t xml:space="preserve"> 3 </w:t>
      </w:r>
      <w:r>
        <w:rPr>
          <w:rFonts w:hint="eastAsia" w:ascii="宋体" w:hAnsi="宋体" w:eastAsia="宋体" w:cs="宋体"/>
          <w:color w:val="auto"/>
          <w:spacing w:val="0"/>
          <w:sz w:val="24"/>
          <w:szCs w:val="24"/>
          <w:highlight w:val="none"/>
        </w:rPr>
        <w:t>人，经济类专家</w:t>
      </w:r>
      <w:r>
        <w:rPr>
          <w:rFonts w:hint="eastAsia" w:ascii="宋体" w:hAnsi="宋体" w:eastAsia="宋体" w:cs="宋体"/>
          <w:color w:val="auto"/>
          <w:spacing w:val="0"/>
          <w:sz w:val="24"/>
          <w:szCs w:val="24"/>
          <w:highlight w:val="none"/>
          <w:u w:val="single"/>
        </w:rPr>
        <w:t xml:space="preserve"> 2 </w:t>
      </w:r>
      <w:r>
        <w:rPr>
          <w:rFonts w:hint="eastAsia" w:ascii="宋体" w:hAnsi="宋体" w:eastAsia="宋体" w:cs="宋体"/>
          <w:color w:val="auto"/>
          <w:spacing w:val="0"/>
          <w:sz w:val="24"/>
          <w:szCs w:val="24"/>
          <w:highlight w:val="none"/>
        </w:rPr>
        <w:t>人。评标委员会设负责人，由评标委员会成员推举产生。评标委员会负责人与评标委员会的其他成员有同等的表决权。</w:t>
      </w:r>
    </w:p>
    <w:p w14:paraId="059C36AA">
      <w:pPr>
        <w:keepNext w:val="0"/>
        <w:keepLines w:val="0"/>
        <w:pageBreakBefore w:val="0"/>
        <w:wordWrap w:val="0"/>
        <w:overflowPunct/>
        <w:topLinePunct w:val="0"/>
        <w:bidi w:val="0"/>
        <w:spacing w:before="32" w:line="280" w:lineRule="auto"/>
        <w:ind w:left="13" w:right="7" w:firstLine="561"/>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15.1.2  </w:t>
      </w:r>
      <w:r>
        <w:rPr>
          <w:rFonts w:hint="eastAsia" w:ascii="宋体" w:hAnsi="宋体" w:eastAsia="宋体" w:cs="宋体"/>
          <w:color w:val="auto"/>
          <w:spacing w:val="0"/>
          <w:sz w:val="24"/>
          <w:szCs w:val="24"/>
          <w:highlight w:val="none"/>
        </w:rPr>
        <w:t>评标委员会应认真、公正、诚实、廉洁地履行职责。有下列情形之一的，不得担任评标委员会成员：</w:t>
      </w:r>
    </w:p>
    <w:p w14:paraId="63C8129C">
      <w:pPr>
        <w:keepNext w:val="0"/>
        <w:keepLines w:val="0"/>
        <w:pageBreakBefore w:val="0"/>
        <w:wordWrap w:val="0"/>
        <w:overflowPunct/>
        <w:topLinePunct w:val="0"/>
        <w:bidi w:val="0"/>
        <w:spacing w:before="154"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（1）投标人或投标人主要负责人的近亲属；</w:t>
      </w:r>
    </w:p>
    <w:p w14:paraId="1EEDB855">
      <w:pPr>
        <w:keepNext w:val="0"/>
        <w:keepLines w:val="0"/>
        <w:pageBreakBefore w:val="0"/>
        <w:wordWrap w:val="0"/>
        <w:overflowPunct/>
        <w:topLinePunct w:val="0"/>
        <w:bidi w:val="0"/>
        <w:spacing w:before="153"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（2）项目主管部门或者行政监督部门的人员；</w:t>
      </w:r>
    </w:p>
    <w:p w14:paraId="42600ECE">
      <w:pPr>
        <w:keepNext w:val="0"/>
        <w:keepLines w:val="0"/>
        <w:pageBreakBefore w:val="0"/>
        <w:wordWrap w:val="0"/>
        <w:overflowPunct/>
        <w:topLinePunct w:val="0"/>
        <w:bidi w:val="0"/>
        <w:spacing w:before="155" w:line="221" w:lineRule="auto"/>
        <w:ind w:left="5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（3）与投标人有经济利益关系，可能影响对投标公正评审的；</w:t>
      </w:r>
    </w:p>
    <w:p w14:paraId="4E2648B8">
      <w:pPr>
        <w:keepNext w:val="0"/>
        <w:keepLines w:val="0"/>
        <w:pageBreakBefore w:val="0"/>
        <w:wordWrap w:val="0"/>
        <w:overflowPunct/>
        <w:topLinePunct w:val="0"/>
        <w:bidi w:val="0"/>
        <w:spacing w:before="153" w:line="279" w:lineRule="auto"/>
        <w:ind w:left="8" w:right="65" w:firstLine="57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（4）曾因在招标、评标以及其他与招标投标有关活动中从事违法行为而受过行政处罚或刑事处罚的。</w:t>
      </w:r>
    </w:p>
    <w:p w14:paraId="426C15BC">
      <w:pPr>
        <w:keepNext w:val="0"/>
        <w:keepLines w:val="0"/>
        <w:pageBreakBefore w:val="0"/>
        <w:wordWrap w:val="0"/>
        <w:overflowPunct/>
        <w:topLinePunct w:val="0"/>
        <w:bidi w:val="0"/>
        <w:spacing w:before="155"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评标委员会成员有以上情形之一的，应主动提出回避。</w:t>
      </w:r>
    </w:p>
    <w:p w14:paraId="01D44039">
      <w:pPr>
        <w:keepNext w:val="0"/>
        <w:keepLines w:val="0"/>
        <w:pageBreakBefore w:val="0"/>
        <w:wordWrap w:val="0"/>
        <w:overflowPunct/>
        <w:topLinePunct w:val="0"/>
        <w:bidi w:val="0"/>
        <w:spacing w:before="154" w:line="279" w:lineRule="auto"/>
        <w:ind w:left="8" w:right="65"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15.1.3  </w:t>
      </w:r>
      <w:r>
        <w:rPr>
          <w:rFonts w:hint="eastAsia" w:ascii="宋体" w:hAnsi="宋体" w:eastAsia="宋体" w:cs="宋体"/>
          <w:color w:val="auto"/>
          <w:spacing w:val="0"/>
          <w:sz w:val="24"/>
          <w:szCs w:val="24"/>
          <w:highlight w:val="none"/>
        </w:rPr>
        <w:t>评标全过程实行封闭式管理，在中标结果公布前，禁止评标委员会成员以任何方式私下接触投标人。</w:t>
      </w:r>
    </w:p>
    <w:p w14:paraId="376321F7">
      <w:pPr>
        <w:keepNext w:val="0"/>
        <w:keepLines w:val="0"/>
        <w:pageBreakBefore w:val="0"/>
        <w:wordWrap w:val="0"/>
        <w:overflowPunct/>
        <w:topLinePunct w:val="0"/>
        <w:bidi w:val="0"/>
        <w:spacing w:before="157" w:line="298" w:lineRule="auto"/>
        <w:ind w:left="11" w:right="65" w:firstLine="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15.1.4  </w:t>
      </w:r>
      <w:r>
        <w:rPr>
          <w:rFonts w:hint="eastAsia" w:ascii="宋体" w:hAnsi="宋体" w:eastAsia="宋体" w:cs="宋体"/>
          <w:color w:val="auto"/>
          <w:spacing w:val="0"/>
          <w:sz w:val="24"/>
          <w:szCs w:val="24"/>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0CE97C21">
      <w:pPr>
        <w:keepNext w:val="0"/>
        <w:keepLines w:val="0"/>
        <w:pageBreakBefore w:val="0"/>
        <w:wordWrap w:val="0"/>
        <w:overflowPunct/>
        <w:topLinePunct w:val="0"/>
        <w:bidi w:val="0"/>
        <w:spacing w:before="156" w:line="309" w:lineRule="auto"/>
        <w:ind w:left="8" w:right="65" w:firstLine="56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15.1.5  </w:t>
      </w:r>
      <w:r>
        <w:rPr>
          <w:rFonts w:hint="eastAsia" w:ascii="宋体" w:hAnsi="宋体" w:eastAsia="宋体" w:cs="宋体"/>
          <w:color w:val="auto"/>
          <w:spacing w:val="0"/>
          <w:sz w:val="24"/>
          <w:szCs w:val="24"/>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73BFB3D1">
      <w:pPr>
        <w:keepNext w:val="0"/>
        <w:keepLines w:val="0"/>
        <w:pageBreakBefore w:val="0"/>
        <w:wordWrap w:val="0"/>
        <w:overflowPunct/>
        <w:topLinePunct w:val="0"/>
        <w:bidi w:val="0"/>
        <w:spacing w:before="79" w:line="221" w:lineRule="auto"/>
        <w:ind w:left="57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15.2  </w:t>
      </w:r>
      <w:r>
        <w:rPr>
          <w:rFonts w:hint="eastAsia" w:ascii="宋体" w:hAnsi="宋体" w:eastAsia="宋体" w:cs="宋体"/>
          <w:color w:val="auto"/>
          <w:spacing w:val="0"/>
          <w:sz w:val="24"/>
          <w:szCs w:val="24"/>
          <w:highlight w:val="none"/>
        </w:rPr>
        <w:t>评标方法</w:t>
      </w:r>
    </w:p>
    <w:p w14:paraId="74A36995">
      <w:pPr>
        <w:keepNext w:val="0"/>
        <w:keepLines w:val="0"/>
        <w:pageBreakBefore w:val="0"/>
        <w:wordWrap w:val="0"/>
        <w:overflowPunct/>
        <w:topLinePunct w:val="0"/>
        <w:bidi w:val="0"/>
        <w:spacing w:before="78" w:line="326" w:lineRule="auto"/>
        <w:ind w:left="231" w:right="181" w:firstLine="560"/>
        <w:rPr>
          <w:rFonts w:hint="eastAsia" w:ascii="宋体" w:hAnsi="宋体" w:eastAsia="宋体" w:cs="宋体"/>
          <w:color w:val="auto"/>
          <w:spacing w:val="0"/>
          <w:highlight w:val="none"/>
        </w:rPr>
      </w:pPr>
      <w:bookmarkStart w:id="90" w:name="bookmark125"/>
      <w:bookmarkEnd w:id="90"/>
      <w:r>
        <w:rPr>
          <w:rFonts w:hint="eastAsia" w:ascii="宋体" w:hAnsi="宋体" w:eastAsia="宋体" w:cs="宋体"/>
          <w:color w:val="auto"/>
          <w:spacing w:val="0"/>
          <w:sz w:val="24"/>
          <w:szCs w:val="24"/>
          <w:highlight w:val="none"/>
        </w:rPr>
        <w:t>根据有关法律、法规的相关规定，结合本招标项目资金来源和规模特点，本次招标采用</w:t>
      </w:r>
      <w:r>
        <w:rPr>
          <w:rFonts w:hint="eastAsia" w:ascii="宋体" w:hAnsi="宋体" w:eastAsia="宋体" w:cs="宋体"/>
          <w:b/>
          <w:bCs/>
          <w:color w:val="auto"/>
          <w:spacing w:val="0"/>
          <w:sz w:val="24"/>
          <w:szCs w:val="24"/>
          <w:highlight w:val="none"/>
          <w:u w:val="single"/>
        </w:rPr>
        <w:t xml:space="preserve"> 综合评估法 </w:t>
      </w:r>
      <w:r>
        <w:rPr>
          <w:rFonts w:hint="eastAsia" w:ascii="宋体" w:hAnsi="宋体" w:eastAsia="宋体" w:cs="宋体"/>
          <w:color w:val="auto"/>
          <w:spacing w:val="0"/>
          <w:sz w:val="24"/>
          <w:szCs w:val="24"/>
          <w:highlight w:val="none"/>
          <w:u w:val="single"/>
        </w:rPr>
        <w:t>（</w:t>
      </w:r>
      <w:r>
        <w:rPr>
          <w:rFonts w:hint="eastAsia" w:ascii="宋体" w:hAnsi="宋体" w:eastAsia="宋体" w:cs="宋体"/>
          <w:color w:val="auto"/>
          <w:spacing w:val="0"/>
          <w:sz w:val="24"/>
          <w:szCs w:val="24"/>
          <w:highlight w:val="none"/>
        </w:rPr>
        <w:t>评标方法名称）进行评标。</w:t>
      </w:r>
    </w:p>
    <w:p w14:paraId="16F8291A">
      <w:pPr>
        <w:keepNext w:val="0"/>
        <w:keepLines w:val="0"/>
        <w:pageBreakBefore w:val="0"/>
        <w:wordWrap w:val="0"/>
        <w:overflowPunct/>
        <w:topLinePunct w:val="0"/>
        <w:bidi w:val="0"/>
        <w:spacing w:before="154" w:line="269" w:lineRule="auto"/>
        <w:ind w:left="220" w:right="33" w:firstLine="496"/>
        <w:rPr>
          <w:rFonts w:hint="eastAsia" w:ascii="宋体" w:hAnsi="宋体" w:eastAsia="宋体" w:cs="宋体"/>
          <w:color w:val="auto"/>
          <w:spacing w:val="0"/>
          <w:sz w:val="25"/>
          <w:szCs w:val="25"/>
          <w:highlight w:val="none"/>
        </w:rPr>
      </w:pPr>
      <w:r>
        <w:rPr>
          <w:rFonts w:hint="eastAsia" w:ascii="宋体" w:hAnsi="宋体" w:eastAsia="宋体" w:cs="宋体"/>
          <w:b/>
          <w:bCs/>
          <w:color w:val="auto"/>
          <w:spacing w:val="0"/>
          <w:sz w:val="24"/>
          <w:szCs w:val="24"/>
          <w:highlight w:val="none"/>
        </w:rPr>
        <w:t xml:space="preserve">15.3  </w:t>
      </w:r>
      <w:r>
        <w:rPr>
          <w:rFonts w:hint="eastAsia" w:ascii="宋体" w:hAnsi="宋体" w:eastAsia="宋体" w:cs="宋体"/>
          <w:color w:val="auto"/>
          <w:spacing w:val="0"/>
          <w:sz w:val="24"/>
          <w:szCs w:val="24"/>
          <w:highlight w:val="none"/>
        </w:rPr>
        <w:t>评审范围：评标委员会应对所有投标人的投标文件进行评审。</w:t>
      </w:r>
    </w:p>
    <w:p w14:paraId="7E7B141D">
      <w:pPr>
        <w:keepNext w:val="0"/>
        <w:keepLines w:val="0"/>
        <w:pageBreakBefore w:val="0"/>
        <w:wordWrap w:val="0"/>
        <w:overflowPunct/>
        <w:topLinePunct w:val="0"/>
        <w:bidi w:val="0"/>
        <w:spacing w:before="153" w:line="220" w:lineRule="auto"/>
        <w:ind w:left="71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  </w:t>
      </w:r>
      <w:r>
        <w:rPr>
          <w:rFonts w:hint="eastAsia" w:ascii="宋体" w:hAnsi="宋体" w:eastAsia="宋体" w:cs="宋体"/>
          <w:color w:val="auto"/>
          <w:spacing w:val="0"/>
          <w:sz w:val="24"/>
          <w:szCs w:val="24"/>
          <w:highlight w:val="none"/>
        </w:rPr>
        <w:t>初步评审阶段</w:t>
      </w:r>
    </w:p>
    <w:p w14:paraId="513D8358">
      <w:pPr>
        <w:keepNext w:val="0"/>
        <w:keepLines w:val="0"/>
        <w:pageBreakBefore w:val="0"/>
        <w:wordWrap w:val="0"/>
        <w:overflowPunct/>
        <w:topLinePunct w:val="0"/>
        <w:bidi w:val="0"/>
        <w:spacing w:before="153" w:line="220" w:lineRule="auto"/>
        <w:ind w:left="70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初步评审阶段分为资格评审、形式评审和响应性评审三个环节。</w:t>
      </w:r>
    </w:p>
    <w:p w14:paraId="30E6A985">
      <w:pPr>
        <w:keepNext w:val="0"/>
        <w:keepLines w:val="0"/>
        <w:pageBreakBefore w:val="0"/>
        <w:tabs>
          <w:tab w:val="left" w:pos="3360"/>
        </w:tabs>
        <w:wordWrap w:val="0"/>
        <w:overflowPunct/>
        <w:topLinePunct w:val="0"/>
        <w:bidi w:val="0"/>
        <w:spacing w:before="155" w:line="279" w:lineRule="auto"/>
        <w:ind w:left="719" w:right="6040" w:rightChars="0" w:hanging="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15.4.1 </w:t>
      </w:r>
      <w:r>
        <w:rPr>
          <w:rFonts w:hint="eastAsia" w:ascii="宋体" w:hAnsi="宋体" w:eastAsia="宋体" w:cs="宋体"/>
          <w:color w:val="auto"/>
          <w:spacing w:val="0"/>
          <w:sz w:val="24"/>
          <w:szCs w:val="24"/>
          <w:highlight w:val="none"/>
        </w:rPr>
        <w:t xml:space="preserve"> 资格评审环节 资格评审事项</w:t>
      </w:r>
      <w:r>
        <w:rPr>
          <w:rFonts w:hint="eastAsia" w:ascii="宋体" w:hAnsi="宋体" w:eastAsia="宋体" w:cs="宋体"/>
          <w:color w:val="auto"/>
          <w:spacing w:val="0"/>
          <w:sz w:val="24"/>
          <w:szCs w:val="24"/>
          <w:highlight w:val="none"/>
          <w:lang w:val="en-US" w:eastAsia="zh-CN"/>
        </w:rPr>
        <w:t>包括</w:t>
      </w:r>
      <w:r>
        <w:rPr>
          <w:rFonts w:hint="eastAsia" w:ascii="宋体" w:hAnsi="宋体" w:eastAsia="宋体" w:cs="宋体"/>
          <w:color w:val="auto"/>
          <w:spacing w:val="0"/>
          <w:sz w:val="24"/>
          <w:szCs w:val="24"/>
          <w:highlight w:val="none"/>
        </w:rPr>
        <w:t>：</w:t>
      </w:r>
    </w:p>
    <w:p w14:paraId="02385A91">
      <w:pPr>
        <w:keepNext w:val="0"/>
        <w:keepLines w:val="0"/>
        <w:pageBreakBefore w:val="0"/>
        <w:wordWrap w:val="0"/>
        <w:overflowPunct/>
        <w:topLinePunct w:val="0"/>
        <w:bidi w:val="0"/>
        <w:spacing w:before="152" w:line="315" w:lineRule="auto"/>
        <w:ind w:left="23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（1）投标人是否符合本章第三节第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”规定。如果“禁止投标条款 ”包括失信惩戒的，投标人信用信息的获取采用现场实时查询的方式实施。由</w:t>
      </w:r>
      <w:r>
        <w:rPr>
          <w:rFonts w:hint="eastAsia" w:ascii="宋体" w:hAnsi="宋体" w:eastAsia="宋体" w:cs="宋体"/>
          <w:color w:val="auto"/>
          <w:spacing w:val="0"/>
          <w:sz w:val="24"/>
          <w:szCs w:val="24"/>
          <w:highlight w:val="none"/>
          <w:lang w:val="en-US" w:eastAsia="zh-CN"/>
        </w:rPr>
        <w:t>评标委员会</w:t>
      </w:r>
      <w:r>
        <w:rPr>
          <w:rFonts w:hint="eastAsia" w:ascii="宋体" w:hAnsi="宋体" w:eastAsia="宋体" w:cs="宋体"/>
          <w:color w:val="auto"/>
          <w:spacing w:val="0"/>
          <w:sz w:val="24"/>
          <w:szCs w:val="24"/>
          <w:highlight w:val="none"/>
        </w:rPr>
        <w:t xml:space="preserve">登录信用中国网站（https://www.creditchina.gov.cn），在企业查询界面下载和打印《法人和非法人组织公共信用信息报告》。 </w:t>
      </w:r>
    </w:p>
    <w:p w14:paraId="574B216F">
      <w:pPr>
        <w:keepNext w:val="0"/>
        <w:keepLines w:val="0"/>
        <w:pageBreakBefore w:val="0"/>
        <w:wordWrap w:val="0"/>
        <w:overflowPunct/>
        <w:topLinePunct w:val="0"/>
        <w:bidi w:val="0"/>
        <w:spacing w:before="155" w:line="219" w:lineRule="auto"/>
        <w:ind w:left="72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（2）投标人名称是否与营业执照、资质证书、安全生产许可证一致。</w:t>
      </w:r>
    </w:p>
    <w:p w14:paraId="06491F7F">
      <w:pPr>
        <w:keepNext w:val="0"/>
        <w:keepLines w:val="0"/>
        <w:pageBreakBefore w:val="0"/>
        <w:widowControl/>
        <w:kinsoku w:val="0"/>
        <w:wordWrap w:val="0"/>
        <w:overflowPunct/>
        <w:topLinePunct w:val="0"/>
        <w:autoSpaceDE w:val="0"/>
        <w:autoSpaceDN w:val="0"/>
        <w:bidi w:val="0"/>
        <w:adjustRightInd w:val="0"/>
        <w:snapToGrid w:val="0"/>
        <w:spacing w:before="155" w:line="286" w:lineRule="auto"/>
        <w:ind w:left="232" w:right="96" w:firstLine="48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（3）投标人的资质是否符合招标文件规定；其营业执照、资质证书、安全生产许可证（含实时网页查询页，可参考网址 https://zlaq.mohurd.gov.cn/fwmh/bjxcjgl/fwm</w:t>
      </w:r>
      <w:bookmarkStart w:id="91" w:name="bookmark126"/>
      <w:bookmarkEnd w:id="91"/>
      <w:r>
        <w:rPr>
          <w:rFonts w:hint="eastAsia" w:ascii="宋体" w:hAnsi="宋体" w:eastAsia="宋体" w:cs="宋体"/>
          <w:color w:val="auto"/>
          <w:spacing w:val="0"/>
          <w:position w:val="3"/>
          <w:sz w:val="24"/>
          <w:szCs w:val="24"/>
          <w:highlight w:val="none"/>
        </w:rPr>
        <w:t>h/pages/construction_safety/qyaqscxkz/qyaqscxkz）是否合法、有效、准确。</w:t>
      </w:r>
    </w:p>
    <w:p w14:paraId="62284951">
      <w:pPr>
        <w:keepNext w:val="0"/>
        <w:keepLines w:val="0"/>
        <w:pageBreakBefore w:val="0"/>
        <w:wordWrap w:val="0"/>
        <w:overflowPunct/>
        <w:topLinePunct w:val="0"/>
        <w:bidi w:val="0"/>
        <w:spacing w:before="144" w:line="219"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（4）《项目经理简历表》中拟派项目经理是否与《开标一览表》一致。</w:t>
      </w:r>
    </w:p>
    <w:p w14:paraId="077E1DF6">
      <w:pPr>
        <w:keepNext w:val="0"/>
        <w:keepLines w:val="0"/>
        <w:pageBreakBefore w:val="0"/>
        <w:wordWrap w:val="0"/>
        <w:overflowPunct/>
        <w:topLinePunct w:val="0"/>
        <w:bidi w:val="0"/>
        <w:spacing w:before="151" w:line="315" w:lineRule="auto"/>
        <w:ind w:left="11"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65B40B4B">
      <w:pPr>
        <w:keepNext w:val="0"/>
        <w:keepLines w:val="0"/>
        <w:pageBreakBefore w:val="0"/>
        <w:wordWrap w:val="0"/>
        <w:overflowPunct/>
        <w:topLinePunct w:val="0"/>
        <w:bidi w:val="0"/>
        <w:spacing w:before="156" w:line="298"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7874A7F2">
      <w:pPr>
        <w:keepNext w:val="0"/>
        <w:keepLines w:val="0"/>
        <w:pageBreakBefore w:val="0"/>
        <w:wordWrap w:val="0"/>
        <w:overflowPunct/>
        <w:topLinePunct w:val="0"/>
        <w:bidi w:val="0"/>
        <w:spacing w:before="155" w:line="360" w:lineRule="auto"/>
        <w:ind w:left="8" w:right="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（7）投标人为外省建筑企业的，是否按规定在“进粤企业和人员诚信信息登记平台 ”录入企业及其拟派人员有关信息并通过数据规范检查。</w:t>
      </w:r>
    </w:p>
    <w:p w14:paraId="3F2C05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bookmarkStart w:id="92" w:name="_Toc22778"/>
      <w:r>
        <w:rPr>
          <w:rFonts w:hint="eastAsia" w:ascii="宋体" w:hAnsi="宋体" w:eastAsia="宋体" w:cs="宋体"/>
          <w:b/>
          <w:bCs/>
          <w:color w:val="auto"/>
          <w:spacing w:val="0"/>
          <w:sz w:val="24"/>
          <w:szCs w:val="24"/>
          <w:highlight w:val="none"/>
        </w:rPr>
        <w:t xml:space="preserve">15.4.2 </w:t>
      </w:r>
      <w:r>
        <w:rPr>
          <w:rFonts w:hint="eastAsia" w:ascii="宋体" w:hAnsi="宋体" w:eastAsia="宋体" w:cs="宋体"/>
          <w:color w:val="auto"/>
          <w:spacing w:val="0"/>
          <w:sz w:val="24"/>
          <w:szCs w:val="24"/>
          <w:highlight w:val="none"/>
        </w:rPr>
        <w:t xml:space="preserve"> 形式评审环节</w:t>
      </w:r>
    </w:p>
    <w:p w14:paraId="6CA1C88A">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形式评审事</w:t>
      </w:r>
      <w:r>
        <w:rPr>
          <w:rFonts w:hint="eastAsia" w:ascii="宋体" w:hAnsi="宋体" w:eastAsia="宋体" w:cs="宋体"/>
          <w:color w:val="auto"/>
          <w:spacing w:val="0"/>
          <w:sz w:val="24"/>
          <w:szCs w:val="24"/>
          <w:highlight w:val="none"/>
          <w:lang w:eastAsia="zh-CN"/>
        </w:rPr>
        <w:t>项包括</w:t>
      </w:r>
      <w:bookmarkEnd w:id="92"/>
      <w:r>
        <w:rPr>
          <w:rFonts w:hint="eastAsia" w:ascii="宋体" w:hAnsi="宋体" w:eastAsia="宋体" w:cs="宋体"/>
          <w:color w:val="auto"/>
          <w:spacing w:val="0"/>
          <w:sz w:val="24"/>
          <w:szCs w:val="24"/>
          <w:highlight w:val="none"/>
          <w:lang w:eastAsia="zh-CN"/>
        </w:rPr>
        <w:t>：</w:t>
      </w:r>
    </w:p>
    <w:p w14:paraId="290BCF8D">
      <w:pPr>
        <w:keepNext w:val="0"/>
        <w:keepLines w:val="0"/>
        <w:pageBreakBefore w:val="0"/>
        <w:wordWrap w:val="0"/>
        <w:overflowPunct/>
        <w:topLinePunct w:val="0"/>
        <w:bidi w:val="0"/>
        <w:spacing w:before="40" w:line="360" w:lineRule="auto"/>
        <w:ind w:left="501"/>
        <w:outlineLvl w:val="9"/>
        <w:rPr>
          <w:rFonts w:hint="eastAsia" w:ascii="宋体" w:hAnsi="宋体" w:eastAsia="宋体" w:cs="宋体"/>
          <w:color w:val="auto"/>
          <w:spacing w:val="0"/>
          <w:sz w:val="24"/>
          <w:szCs w:val="24"/>
          <w:highlight w:val="none"/>
        </w:rPr>
      </w:pPr>
      <w:bookmarkStart w:id="93" w:name="_Toc23632"/>
      <w:bookmarkStart w:id="94" w:name="_Toc4914"/>
      <w:bookmarkStart w:id="95" w:name="_Toc20481"/>
      <w:bookmarkStart w:id="96" w:name="_Toc13304"/>
      <w:r>
        <w:rPr>
          <w:rFonts w:hint="eastAsia" w:ascii="宋体" w:hAnsi="宋体" w:eastAsia="宋体" w:cs="宋体"/>
          <w:color w:val="auto"/>
          <w:spacing w:val="0"/>
          <w:sz w:val="24"/>
          <w:szCs w:val="24"/>
          <w:highlight w:val="none"/>
        </w:rPr>
        <w:t>（1）各分册是否按招标文件规定加盖电子印章。</w:t>
      </w:r>
      <w:bookmarkEnd w:id="93"/>
      <w:bookmarkEnd w:id="94"/>
      <w:bookmarkEnd w:id="95"/>
      <w:bookmarkEnd w:id="96"/>
    </w:p>
    <w:p w14:paraId="6A8E625A">
      <w:pPr>
        <w:keepNext w:val="0"/>
        <w:keepLines w:val="0"/>
        <w:pageBreakBefore w:val="0"/>
        <w:wordWrap w:val="0"/>
        <w:overflowPunct/>
        <w:topLinePunct w:val="0"/>
        <w:bidi w:val="0"/>
        <w:spacing w:before="15" w:line="360" w:lineRule="auto"/>
        <w:ind w:firstLine="480" w:firstLineChars="200"/>
        <w:outlineLvl w:val="9"/>
        <w:rPr>
          <w:rFonts w:hint="eastAsia" w:ascii="宋体" w:hAnsi="宋体" w:eastAsia="宋体" w:cs="宋体"/>
          <w:color w:val="auto"/>
          <w:spacing w:val="0"/>
          <w:sz w:val="24"/>
          <w:szCs w:val="24"/>
          <w:highlight w:val="none"/>
          <w:lang w:eastAsia="zh-CN"/>
        </w:rPr>
      </w:pPr>
      <w:bookmarkStart w:id="97" w:name="_Toc27432"/>
      <w:bookmarkStart w:id="98" w:name="_Toc10806"/>
      <w:bookmarkStart w:id="99" w:name="_Toc28409"/>
      <w:bookmarkStart w:id="100" w:name="_Toc12756"/>
      <w:r>
        <w:rPr>
          <w:rFonts w:hint="eastAsia" w:ascii="宋体" w:hAnsi="宋体" w:eastAsia="宋体" w:cs="宋体"/>
          <w:color w:val="auto"/>
          <w:spacing w:val="0"/>
          <w:sz w:val="24"/>
          <w:szCs w:val="24"/>
          <w:highlight w:val="none"/>
        </w:rPr>
        <w:t>（2）本节第</w:t>
      </w:r>
      <w:r>
        <w:rPr>
          <w:rFonts w:hint="eastAsia" w:ascii="宋体" w:hAnsi="宋体" w:eastAsia="宋体" w:cs="宋体"/>
          <w:b/>
          <w:bCs/>
          <w:color w:val="auto"/>
          <w:spacing w:val="0"/>
          <w:sz w:val="24"/>
          <w:szCs w:val="24"/>
          <w:highlight w:val="none"/>
        </w:rPr>
        <w:t xml:space="preserve"> 10.2.2 </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 xml:space="preserve">10.3.2 </w:t>
      </w:r>
      <w:r>
        <w:rPr>
          <w:rFonts w:hint="eastAsia" w:ascii="宋体" w:hAnsi="宋体" w:eastAsia="宋体" w:cs="宋体"/>
          <w:color w:val="auto"/>
          <w:spacing w:val="0"/>
          <w:sz w:val="24"/>
          <w:szCs w:val="24"/>
          <w:highlight w:val="none"/>
        </w:rPr>
        <w:t xml:space="preserve"> 目、第</w:t>
      </w:r>
      <w:r>
        <w:rPr>
          <w:rFonts w:hint="eastAsia" w:ascii="宋体" w:hAnsi="宋体" w:eastAsia="宋体" w:cs="宋体"/>
          <w:b/>
          <w:bCs/>
          <w:color w:val="auto"/>
          <w:spacing w:val="0"/>
          <w:sz w:val="24"/>
          <w:szCs w:val="24"/>
          <w:highlight w:val="none"/>
        </w:rPr>
        <w:t xml:space="preserve"> 10.4.3 </w:t>
      </w:r>
      <w:r>
        <w:rPr>
          <w:rFonts w:hint="eastAsia" w:ascii="宋体" w:hAnsi="宋体" w:eastAsia="宋体" w:cs="宋体"/>
          <w:color w:val="auto"/>
          <w:spacing w:val="0"/>
          <w:sz w:val="24"/>
          <w:szCs w:val="24"/>
          <w:highlight w:val="none"/>
        </w:rPr>
        <w:t xml:space="preserve"> 目中规定的“所有投标人均应提</w:t>
      </w:r>
      <w:bookmarkEnd w:id="97"/>
      <w:bookmarkEnd w:id="98"/>
      <w:bookmarkEnd w:id="99"/>
      <w:r>
        <w:rPr>
          <w:rFonts w:hint="eastAsia" w:ascii="宋体" w:hAnsi="宋体" w:eastAsia="宋体" w:cs="宋体"/>
          <w:color w:val="auto"/>
          <w:spacing w:val="0"/>
          <w:sz w:val="24"/>
          <w:szCs w:val="24"/>
          <w:highlight w:val="none"/>
        </w:rPr>
        <w:t>供 ”的组成内容（包括该组成内容的所附资料）是否完整、齐全</w:t>
      </w:r>
      <w:bookmarkEnd w:id="100"/>
      <w:r>
        <w:rPr>
          <w:rFonts w:hint="eastAsia" w:ascii="宋体" w:hAnsi="宋体" w:eastAsia="宋体" w:cs="宋体"/>
          <w:color w:val="auto"/>
          <w:spacing w:val="0"/>
          <w:sz w:val="24"/>
          <w:szCs w:val="24"/>
          <w:highlight w:val="none"/>
          <w:lang w:eastAsia="zh-CN"/>
        </w:rPr>
        <w:t>。</w:t>
      </w:r>
    </w:p>
    <w:p w14:paraId="438D1D33">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bookmarkStart w:id="101" w:name="_Toc17918"/>
      <w:bookmarkStart w:id="102" w:name="_Toc9581"/>
      <w:bookmarkStart w:id="103" w:name="_Toc15678"/>
      <w:bookmarkStart w:id="104" w:name="_Toc22691"/>
      <w:r>
        <w:rPr>
          <w:rFonts w:hint="eastAsia" w:ascii="宋体" w:hAnsi="宋体" w:eastAsia="宋体" w:cs="宋体"/>
          <w:color w:val="auto"/>
          <w:spacing w:val="0"/>
          <w:sz w:val="24"/>
          <w:szCs w:val="24"/>
          <w:highlight w:val="none"/>
          <w:lang w:eastAsia="zh-CN"/>
        </w:rPr>
        <w:t>（3）</w:t>
      </w:r>
      <w:r>
        <w:rPr>
          <w:rFonts w:hint="eastAsia" w:ascii="宋体" w:hAnsi="宋体" w:eastAsia="宋体" w:cs="宋体"/>
          <w:color w:val="auto"/>
          <w:spacing w:val="0"/>
          <w:sz w:val="24"/>
          <w:szCs w:val="24"/>
          <w:highlight w:val="none"/>
        </w:rPr>
        <w:t>施工组织设计采用“暗标 ”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bookmarkEnd w:id="101"/>
      <w:bookmarkEnd w:id="102"/>
      <w:bookmarkEnd w:id="103"/>
      <w:bookmarkEnd w:id="104"/>
    </w:p>
    <w:p w14:paraId="59F478D8">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b/>
          <w:bCs/>
          <w:color w:val="auto"/>
          <w:spacing w:val="0"/>
          <w:sz w:val="24"/>
          <w:szCs w:val="24"/>
          <w:highlight w:val="none"/>
        </w:rPr>
      </w:pPr>
      <w:bookmarkStart w:id="105" w:name="_Toc16645"/>
      <w:bookmarkStart w:id="106" w:name="_Toc22562"/>
      <w:bookmarkStart w:id="107" w:name="_Toc14202"/>
      <w:bookmarkStart w:id="108" w:name="_Toc22642"/>
    </w:p>
    <w:p w14:paraId="4C13FFD3">
      <w:pPr>
        <w:keepNext w:val="0"/>
        <w:keepLines w:val="0"/>
        <w:pageBreakBefore w:val="0"/>
        <w:wordWrap w:val="0"/>
        <w:overflowPunct/>
        <w:topLinePunct w:val="0"/>
        <w:bidi w:val="0"/>
        <w:spacing w:before="15" w:line="360" w:lineRule="auto"/>
        <w:ind w:right="2" w:firstLine="482" w:firstLineChars="200"/>
        <w:jc w:val="both"/>
        <w:outlineLvl w:val="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15.4.3  </w:t>
      </w:r>
      <w:r>
        <w:rPr>
          <w:rFonts w:hint="eastAsia" w:ascii="宋体" w:hAnsi="宋体" w:eastAsia="宋体" w:cs="宋体"/>
          <w:color w:val="auto"/>
          <w:spacing w:val="0"/>
          <w:sz w:val="24"/>
          <w:szCs w:val="24"/>
          <w:highlight w:val="none"/>
        </w:rPr>
        <w:t xml:space="preserve">响应性评审环节 </w:t>
      </w:r>
    </w:p>
    <w:p w14:paraId="3519CDD1">
      <w:pPr>
        <w:keepNext w:val="0"/>
        <w:keepLines w:val="0"/>
        <w:pageBreakBefore w:val="0"/>
        <w:wordWrap w:val="0"/>
        <w:overflowPunct/>
        <w:topLinePunct w:val="0"/>
        <w:bidi w:val="0"/>
        <w:spacing w:before="15" w:line="360" w:lineRule="auto"/>
        <w:ind w:right="2" w:firstLine="480" w:firstLineChars="200"/>
        <w:jc w:val="both"/>
        <w:outlineLvl w:val="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响应性评项包括：</w:t>
      </w:r>
      <w:bookmarkEnd w:id="105"/>
      <w:bookmarkEnd w:id="106"/>
      <w:bookmarkEnd w:id="107"/>
      <w:bookmarkEnd w:id="108"/>
    </w:p>
    <w:p w14:paraId="3B227407">
      <w:pPr>
        <w:keepNext w:val="0"/>
        <w:keepLines w:val="0"/>
        <w:pageBreakBefore w:val="0"/>
        <w:wordWrap w:val="0"/>
        <w:overflowPunct/>
        <w:topLinePunct w:val="0"/>
        <w:bidi w:val="0"/>
        <w:spacing w:before="155" w:line="360" w:lineRule="auto"/>
        <w:ind w:left="9"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（1）投标有效期、质量标准、工期等是否响应招标文件实质性要求；是否擅自修改、遗漏《投标函》《各项承诺一览表》的实质性内容。</w:t>
      </w:r>
    </w:p>
    <w:p w14:paraId="74AB4830">
      <w:pPr>
        <w:keepNext w:val="0"/>
        <w:keepLines w:val="0"/>
        <w:pageBreakBefore w:val="0"/>
        <w:wordWrap w:val="0"/>
        <w:overflowPunct/>
        <w:topLinePunct w:val="0"/>
        <w:bidi w:val="0"/>
        <w:spacing w:before="152" w:line="360" w:lineRule="auto"/>
        <w:ind w:left="50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（2）编制《投标总价》的造价工程师，其注册证书是否合法、有效。</w:t>
      </w:r>
    </w:p>
    <w:p w14:paraId="52F8B469">
      <w:pPr>
        <w:keepNext w:val="0"/>
        <w:keepLines w:val="0"/>
        <w:pageBreakBefore w:val="0"/>
        <w:wordWrap w:val="0"/>
        <w:overflowPunct/>
        <w:topLinePunct w:val="0"/>
        <w:bidi w:val="0"/>
        <w:spacing w:before="158" w:line="360" w:lineRule="auto"/>
        <w:ind w:left="21" w:right="2"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（3）投标人委托造价咨询单位编制《投标总价》的，是否在《投标总价》“投标人 ”栏目加盖造价咨询人公章；是否提供造价咨询人的营业执照副本彩色扫描件；</w:t>
      </w:r>
    </w:p>
    <w:p w14:paraId="364BA91D">
      <w:pPr>
        <w:keepNext w:val="0"/>
        <w:keepLines w:val="0"/>
        <w:pageBreakBefore w:val="0"/>
        <w:wordWrap w:val="0"/>
        <w:overflowPunct/>
        <w:topLinePunct w:val="0"/>
        <w:bidi w:val="0"/>
        <w:spacing w:before="158" w:line="328" w:lineRule="auto"/>
        <w:ind w:left="9" w:firstLine="49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（4）投标总价是否唯一；投标总价是否超出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是否达到最低要求；暂列金额、暂估价是否按照招标工程量清单统一报价；投标人是否以低于成本的价格竞标。</w:t>
      </w:r>
    </w:p>
    <w:p w14:paraId="4FD03933">
      <w:pPr>
        <w:keepNext w:val="0"/>
        <w:keepLines w:val="0"/>
        <w:pageBreakBefore w:val="0"/>
        <w:wordWrap w:val="0"/>
        <w:overflowPunct/>
        <w:topLinePunct w:val="0"/>
        <w:bidi w:val="0"/>
        <w:spacing w:before="38" w:line="360" w:lineRule="auto"/>
        <w:ind w:right="2" w:firstLine="482" w:firstLineChars="200"/>
        <w:jc w:val="both"/>
        <w:rPr>
          <w:rFonts w:hint="eastAsia" w:ascii="宋体" w:hAnsi="宋体" w:eastAsia="宋体" w:cs="宋体"/>
          <w:color w:val="auto"/>
          <w:spacing w:val="0"/>
          <w:position w:val="-8"/>
          <w:sz w:val="24"/>
          <w:szCs w:val="24"/>
          <w:highlight w:val="none"/>
        </w:rPr>
      </w:pPr>
      <w:r>
        <w:rPr>
          <w:rFonts w:hint="eastAsia" w:ascii="宋体" w:hAnsi="宋体" w:eastAsia="宋体" w:cs="宋体"/>
          <w:b/>
          <w:bCs/>
          <w:color w:val="auto"/>
          <w:spacing w:val="0"/>
          <w:sz w:val="24"/>
          <w:szCs w:val="24"/>
          <w:highlight w:val="none"/>
        </w:rPr>
        <w:t>注：如果某投标人的投标总价下浮率超过</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15% ，又未提供相应书面说明和佐证</w:t>
      </w:r>
      <w:bookmarkStart w:id="109" w:name="bookmark127"/>
      <w:bookmarkEnd w:id="109"/>
      <w:r>
        <w:rPr>
          <w:rFonts w:hint="eastAsia" w:ascii="宋体" w:hAnsi="宋体" w:eastAsia="宋体" w:cs="宋体"/>
          <w:b/>
          <w:bCs/>
          <w:color w:val="auto"/>
          <w:spacing w:val="0"/>
          <w:sz w:val="24"/>
          <w:szCs w:val="24"/>
          <w:highlight w:val="none"/>
        </w:rPr>
        <w:t>材料或提供的书面说明和佐证材料不能令人信服的，评标委员会应认定其以低于成本的价格竞标，并否决其投标。评标委员会接受该投标人的投标总价而未否决其投标的，应在评标报告中说明判断理由。投标总价下浮率＝（1－投标总价÷</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）×100% 。</w:t>
      </w:r>
    </w:p>
    <w:p w14:paraId="4E33E3DD">
      <w:pPr>
        <w:keepNext w:val="0"/>
        <w:keepLines w:val="0"/>
        <w:pageBreakBefore w:val="0"/>
        <w:wordWrap w:val="0"/>
        <w:overflowPunct/>
        <w:topLinePunct w:val="0"/>
        <w:bidi w:val="0"/>
        <w:spacing w:before="157" w:line="360" w:lineRule="auto"/>
        <w:ind w:left="11" w:right="114" w:firstLine="501" w:firstLineChars="20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（5）施工组织设计的质量、进度保障措施是否符合国家和省市现行有关规范、规定、标准，是否能实现工程质量、进度管理目标。</w:t>
      </w:r>
    </w:p>
    <w:p w14:paraId="556B94DC">
      <w:pPr>
        <w:keepNext w:val="0"/>
        <w:keepLines w:val="0"/>
        <w:pageBreakBefore w:val="0"/>
        <w:wordWrap w:val="0"/>
        <w:overflowPunct/>
        <w:topLinePunct w:val="0"/>
        <w:bidi w:val="0"/>
        <w:spacing w:before="82" w:line="211" w:lineRule="auto"/>
        <w:ind w:left="580"/>
        <w:outlineLvl w:val="9"/>
        <w:rPr>
          <w:rFonts w:hint="eastAsia" w:ascii="宋体" w:hAnsi="宋体" w:eastAsia="宋体" w:cs="宋体"/>
          <w:color w:val="auto"/>
          <w:spacing w:val="0"/>
          <w:sz w:val="25"/>
          <w:szCs w:val="25"/>
          <w:highlight w:val="none"/>
        </w:rPr>
      </w:pPr>
      <w:bookmarkStart w:id="110" w:name="_Toc18204"/>
      <w:bookmarkStart w:id="111" w:name="_Toc15367"/>
      <w:bookmarkStart w:id="112" w:name="_Toc19814"/>
      <w:bookmarkStart w:id="113" w:name="_Toc32114"/>
      <w:r>
        <w:rPr>
          <w:rFonts w:hint="eastAsia" w:ascii="宋体" w:hAnsi="宋体" w:eastAsia="宋体" w:cs="宋体"/>
          <w:b/>
          <w:bCs/>
          <w:color w:val="auto"/>
          <w:spacing w:val="0"/>
          <w:sz w:val="24"/>
          <w:szCs w:val="24"/>
          <w:highlight w:val="none"/>
        </w:rPr>
        <w:t xml:space="preserve">15.4.4  </w:t>
      </w:r>
      <w:r>
        <w:rPr>
          <w:rFonts w:hint="eastAsia" w:ascii="宋体" w:hAnsi="宋体" w:eastAsia="宋体" w:cs="宋体"/>
          <w:color w:val="auto"/>
          <w:spacing w:val="0"/>
          <w:sz w:val="24"/>
          <w:szCs w:val="24"/>
          <w:highlight w:val="none"/>
        </w:rPr>
        <w:t>否决投标说明</w:t>
      </w:r>
      <w:bookmarkEnd w:id="110"/>
      <w:bookmarkEnd w:id="111"/>
      <w:bookmarkEnd w:id="112"/>
      <w:bookmarkEnd w:id="113"/>
    </w:p>
    <w:p w14:paraId="09D6B103">
      <w:pPr>
        <w:keepNext w:val="0"/>
        <w:keepLines w:val="0"/>
        <w:pageBreakBefore w:val="0"/>
        <w:wordWrap w:val="0"/>
        <w:overflowPunct/>
        <w:topLinePunct w:val="0"/>
        <w:bidi w:val="0"/>
        <w:spacing w:before="152" w:line="333" w:lineRule="auto"/>
        <w:ind w:left="11" w:right="175" w:firstLine="561"/>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初步评审阶段各个环节否决投标的全部条件，在本章第四节“否决投标条件 ”第</w:t>
      </w:r>
      <w:r>
        <w:rPr>
          <w:rFonts w:hint="eastAsia" w:ascii="宋体" w:hAnsi="宋体" w:eastAsia="宋体" w:cs="宋体"/>
          <w:b/>
          <w:bCs/>
          <w:color w:val="auto"/>
          <w:spacing w:val="0"/>
          <w:sz w:val="24"/>
          <w:szCs w:val="24"/>
          <w:highlight w:val="none"/>
        </w:rPr>
        <w:t xml:space="preserve">1 </w:t>
      </w:r>
      <w:r>
        <w:rPr>
          <w:rFonts w:hint="eastAsia" w:ascii="宋体" w:hAnsi="宋体" w:eastAsia="宋体" w:cs="宋体"/>
          <w:color w:val="auto"/>
          <w:spacing w:val="0"/>
          <w:sz w:val="24"/>
          <w:szCs w:val="24"/>
          <w:highlight w:val="none"/>
        </w:rPr>
        <w:t xml:space="preserve">条至第 </w:t>
      </w:r>
      <w:r>
        <w:rPr>
          <w:rFonts w:hint="eastAsia" w:ascii="宋体" w:hAnsi="宋体" w:eastAsia="宋体" w:cs="宋体"/>
          <w:b/>
          <w:bCs/>
          <w:color w:val="auto"/>
          <w:spacing w:val="0"/>
          <w:sz w:val="24"/>
          <w:szCs w:val="24"/>
          <w:highlight w:val="none"/>
        </w:rPr>
        <w:t xml:space="preserve">4 </w:t>
      </w:r>
      <w:r>
        <w:rPr>
          <w:rFonts w:hint="eastAsia" w:ascii="宋体" w:hAnsi="宋体" w:eastAsia="宋体" w:cs="宋体"/>
          <w:color w:val="auto"/>
          <w:spacing w:val="0"/>
          <w:sz w:val="24"/>
          <w:szCs w:val="24"/>
          <w:highlight w:val="none"/>
        </w:rPr>
        <w:t>条中集中列示。投标人有其中所列任何一种情形的，由评标委员会否决其投标。在初步评审阶段任何环节被否决的投标人，不进入下一环节（或阶段）评审。在初步评审阶段任何环节</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评标委员会经评审，认为所有投标都不符合招标文件要求的，可否决所有投标，项目的所有投标被否决的，招标人应依法重新组织招标。</w:t>
      </w:r>
    </w:p>
    <w:p w14:paraId="10CC8727">
      <w:pPr>
        <w:keepNext w:val="0"/>
        <w:keepLines w:val="0"/>
        <w:pageBreakBefore w:val="0"/>
        <w:wordWrap w:val="0"/>
        <w:overflowPunct/>
        <w:topLinePunct w:val="0"/>
        <w:bidi w:val="0"/>
        <w:spacing w:before="78" w:line="221" w:lineRule="auto"/>
        <w:ind w:left="5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drawing>
          <wp:anchor distT="0" distB="0" distL="114300" distR="114300" simplePos="0" relativeHeight="251669504"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32"/>
                    <a:stretch>
                      <a:fillRect/>
                    </a:stretch>
                  </pic:blipFill>
                  <pic:spPr>
                    <a:xfrm>
                      <a:off x="0" y="0"/>
                      <a:ext cx="6350" cy="279400"/>
                    </a:xfrm>
                    <a:prstGeom prst="rect">
                      <a:avLst/>
                    </a:prstGeom>
                    <a:noFill/>
                    <a:ln>
                      <a:noFill/>
                    </a:ln>
                  </pic:spPr>
                </pic:pic>
              </a:graphicData>
            </a:graphic>
          </wp:anchor>
        </w:drawing>
      </w:r>
      <w:bookmarkStart w:id="114" w:name="bookmark128"/>
      <w:bookmarkEnd w:id="114"/>
      <w:r>
        <w:rPr>
          <w:rFonts w:hint="eastAsia" w:ascii="宋体" w:hAnsi="宋体" w:eastAsia="宋体" w:cs="宋体"/>
          <w:b/>
          <w:bCs/>
          <w:color w:val="auto"/>
          <w:spacing w:val="0"/>
          <w:sz w:val="24"/>
          <w:szCs w:val="24"/>
          <w:highlight w:val="none"/>
        </w:rPr>
        <w:t xml:space="preserve">15.5  </w:t>
      </w:r>
      <w:r>
        <w:rPr>
          <w:rFonts w:hint="eastAsia" w:ascii="宋体" w:hAnsi="宋体" w:eastAsia="宋体" w:cs="宋体"/>
          <w:color w:val="auto"/>
          <w:spacing w:val="0"/>
          <w:sz w:val="24"/>
          <w:szCs w:val="24"/>
          <w:highlight w:val="none"/>
        </w:rPr>
        <w:t>详细评审阶段</w:t>
      </w:r>
    </w:p>
    <w:p w14:paraId="269EBC2C">
      <w:pPr>
        <w:keepNext w:val="0"/>
        <w:keepLines w:val="0"/>
        <w:pageBreakBefore w:val="0"/>
        <w:wordWrap w:val="0"/>
        <w:overflowPunct/>
        <w:topLinePunct w:val="0"/>
        <w:bidi w:val="0"/>
        <w:spacing w:before="81" w:line="211" w:lineRule="auto"/>
        <w:ind w:left="498"/>
        <w:outlineLvl w:val="9"/>
        <w:rPr>
          <w:rFonts w:hint="eastAsia" w:ascii="宋体" w:hAnsi="宋体" w:eastAsia="宋体" w:cs="宋体"/>
          <w:color w:val="auto"/>
          <w:spacing w:val="0"/>
          <w:sz w:val="25"/>
          <w:szCs w:val="25"/>
          <w:highlight w:val="none"/>
        </w:rPr>
      </w:pPr>
      <w:bookmarkStart w:id="115" w:name="_Toc28572"/>
      <w:bookmarkStart w:id="116" w:name="_Toc10503"/>
      <w:bookmarkStart w:id="117" w:name="_Toc14991"/>
      <w:bookmarkStart w:id="118" w:name="_Toc4119"/>
      <w:r>
        <w:rPr>
          <w:rFonts w:hint="eastAsia" w:ascii="宋体" w:hAnsi="宋体" w:eastAsia="宋体" w:cs="宋体"/>
          <w:b/>
          <w:bCs/>
          <w:color w:val="auto"/>
          <w:spacing w:val="0"/>
          <w:sz w:val="24"/>
          <w:szCs w:val="24"/>
          <w:highlight w:val="none"/>
        </w:rPr>
        <w:t xml:space="preserve">15.5.1  </w:t>
      </w:r>
      <w:r>
        <w:rPr>
          <w:rFonts w:hint="eastAsia" w:ascii="宋体" w:hAnsi="宋体" w:eastAsia="宋体" w:cs="宋体"/>
          <w:color w:val="auto"/>
          <w:spacing w:val="0"/>
          <w:sz w:val="24"/>
          <w:szCs w:val="24"/>
          <w:highlight w:val="none"/>
        </w:rPr>
        <w:t>“综合评估法 ”评审程序</w:t>
      </w:r>
      <w:bookmarkEnd w:id="115"/>
      <w:bookmarkEnd w:id="116"/>
      <w:bookmarkEnd w:id="117"/>
      <w:bookmarkEnd w:id="118"/>
    </w:p>
    <w:p w14:paraId="40207E1F">
      <w:pPr>
        <w:keepNext w:val="0"/>
        <w:keepLines w:val="0"/>
        <w:pageBreakBefore w:val="0"/>
        <w:wordWrap w:val="0"/>
        <w:overflowPunct/>
        <w:topLinePunct w:val="0"/>
        <w:bidi w:val="0"/>
        <w:spacing w:before="152" w:line="329" w:lineRule="auto"/>
        <w:ind w:left="14" w:right="81"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评审内容分为商务技术和投标报价两大部分。其中，商务技术合计满分</w:t>
      </w:r>
      <w:r>
        <w:rPr>
          <w:rFonts w:hint="eastAsia" w:ascii="宋体" w:hAnsi="宋体" w:eastAsia="宋体" w:cs="宋体"/>
          <w:color w:val="auto"/>
          <w:spacing w:val="0"/>
          <w:sz w:val="24"/>
          <w:szCs w:val="24"/>
          <w:highlight w:val="none"/>
          <w:lang w:eastAsia="zh-CN"/>
        </w:rPr>
        <w:t>100</w:t>
      </w:r>
      <w:r>
        <w:rPr>
          <w:rFonts w:hint="eastAsia" w:ascii="宋体" w:hAnsi="宋体" w:eastAsia="宋体" w:cs="宋体"/>
          <w:color w:val="auto"/>
          <w:spacing w:val="0"/>
          <w:sz w:val="24"/>
          <w:szCs w:val="24"/>
          <w:highlight w:val="none"/>
        </w:rPr>
        <w:t>分，权重为</w:t>
      </w:r>
      <w:r>
        <w:rPr>
          <w:rFonts w:hint="eastAsia" w:ascii="宋体" w:hAnsi="宋体" w:eastAsia="宋体" w:cs="宋体"/>
          <w:color w:val="auto"/>
          <w:spacing w:val="0"/>
          <w:sz w:val="24"/>
          <w:szCs w:val="24"/>
          <w:highlight w:val="none"/>
          <w:lang w:eastAsia="zh-CN"/>
        </w:rPr>
        <w:t>40</w:t>
      </w:r>
      <w:r>
        <w:rPr>
          <w:rFonts w:hint="eastAsia" w:ascii="宋体" w:hAnsi="宋体" w:eastAsia="宋体" w:cs="宋体"/>
          <w:color w:val="auto"/>
          <w:spacing w:val="0"/>
          <w:sz w:val="24"/>
          <w:szCs w:val="24"/>
          <w:highlight w:val="none"/>
        </w:rPr>
        <w:t>%；投标报价满分 100 分，权重为</w:t>
      </w:r>
      <w:r>
        <w:rPr>
          <w:rFonts w:hint="eastAsia" w:ascii="宋体" w:hAnsi="宋体" w:eastAsia="宋体" w:cs="宋体"/>
          <w:color w:val="auto"/>
          <w:spacing w:val="0"/>
          <w:sz w:val="24"/>
          <w:szCs w:val="24"/>
          <w:highlight w:val="none"/>
          <w:lang w:eastAsia="zh-CN"/>
        </w:rPr>
        <w:t>60</w:t>
      </w:r>
      <w:r>
        <w:rPr>
          <w:rFonts w:hint="eastAsia" w:ascii="宋体" w:hAnsi="宋体" w:eastAsia="宋体" w:cs="宋体"/>
          <w:color w:val="auto"/>
          <w:spacing w:val="0"/>
          <w:sz w:val="24"/>
          <w:szCs w:val="24"/>
          <w:highlight w:val="none"/>
        </w:rPr>
        <w:t>% 。两大部分权重之和应为 100%。</w:t>
      </w:r>
    </w:p>
    <w:p w14:paraId="17D2E71D">
      <w:pPr>
        <w:keepNext w:val="0"/>
        <w:keepLines w:val="0"/>
        <w:pageBreakBefore w:val="0"/>
        <w:wordWrap w:val="0"/>
        <w:overflowPunct/>
        <w:topLinePunct w:val="0"/>
        <w:bidi w:val="0"/>
        <w:spacing w:before="153" w:line="324" w:lineRule="auto"/>
        <w:ind w:left="14" w:right="8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除特别注明外，综合得分以及商务技术得分、投标报价得分的中间过程计算值和最终值，均按“ 四舍五入 ”原则精确到两位小数。</w:t>
      </w:r>
    </w:p>
    <w:p w14:paraId="6D824175">
      <w:pPr>
        <w:keepNext w:val="0"/>
        <w:keepLines w:val="0"/>
        <w:pageBreakBefore w:val="0"/>
        <w:wordWrap w:val="0"/>
        <w:overflowPunct/>
        <w:topLinePunct w:val="0"/>
        <w:bidi w:val="0"/>
        <w:spacing w:before="38" w:line="220" w:lineRule="auto"/>
        <w:ind w:left="503"/>
        <w:outlineLvl w:val="9"/>
        <w:rPr>
          <w:rFonts w:hint="eastAsia" w:ascii="宋体" w:hAnsi="宋体" w:eastAsia="宋体" w:cs="宋体"/>
          <w:color w:val="auto"/>
          <w:spacing w:val="0"/>
          <w:sz w:val="24"/>
          <w:szCs w:val="24"/>
          <w:highlight w:val="none"/>
        </w:rPr>
      </w:pPr>
      <w:bookmarkStart w:id="119" w:name="_Toc18029"/>
      <w:bookmarkStart w:id="120" w:name="_Toc17510"/>
      <w:bookmarkStart w:id="121" w:name="_Toc10398"/>
      <w:bookmarkStart w:id="122" w:name="_Toc22949"/>
      <w:r>
        <w:rPr>
          <w:rFonts w:hint="eastAsia" w:ascii="宋体" w:hAnsi="宋体" w:eastAsia="宋体" w:cs="宋体"/>
          <w:color w:val="auto"/>
          <w:spacing w:val="0"/>
          <w:sz w:val="24"/>
          <w:szCs w:val="24"/>
          <w:highlight w:val="none"/>
        </w:rPr>
        <w:t>（1）商务技术得分 M</w:t>
      </w:r>
      <w:bookmarkEnd w:id="119"/>
      <w:bookmarkEnd w:id="120"/>
      <w:bookmarkEnd w:id="121"/>
      <w:bookmarkEnd w:id="122"/>
    </w:p>
    <w:p w14:paraId="120A17FE">
      <w:pPr>
        <w:keepNext w:val="0"/>
        <w:keepLines w:val="0"/>
        <w:pageBreakBefore w:val="0"/>
        <w:wordWrap w:val="0"/>
        <w:overflowPunct/>
        <w:topLinePunct w:val="0"/>
        <w:bidi w:val="0"/>
        <w:spacing w:before="153" w:line="279" w:lineRule="auto"/>
        <w:ind w:left="15" w:right="81"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．评标委员会按照《综合评分表》商务部分指定的评分标准对各评分因素进行打分。各评分因素得分之和即为某投标人的商务得分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w:t>
      </w:r>
    </w:p>
    <w:p w14:paraId="1339ADCB">
      <w:pPr>
        <w:keepNext w:val="0"/>
        <w:keepLines w:val="0"/>
        <w:pageBreakBefore w:val="0"/>
        <w:wordWrap w:val="0"/>
        <w:overflowPunct/>
        <w:topLinePunct w:val="0"/>
        <w:bidi w:val="0"/>
        <w:spacing w:before="154" w:line="299" w:lineRule="auto"/>
        <w:ind w:left="12" w:right="8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 M</w:t>
      </w:r>
      <w:r>
        <w:rPr>
          <w:rFonts w:hint="eastAsia" w:ascii="宋体" w:hAnsi="宋体" w:eastAsia="宋体" w:cs="宋体"/>
          <w:color w:val="auto"/>
          <w:spacing w:val="0"/>
          <w:position w:val="-1"/>
          <w:sz w:val="15"/>
          <w:szCs w:val="15"/>
          <w:highlight w:val="none"/>
        </w:rPr>
        <w:t>2</w:t>
      </w:r>
      <w:r>
        <w:rPr>
          <w:rFonts w:hint="eastAsia" w:ascii="宋体" w:hAnsi="宋体" w:eastAsia="宋体" w:cs="宋体"/>
          <w:color w:val="auto"/>
          <w:spacing w:val="0"/>
          <w:sz w:val="24"/>
          <w:szCs w:val="24"/>
          <w:highlight w:val="none"/>
        </w:rPr>
        <w:t>。</w:t>
      </w:r>
    </w:p>
    <w:p w14:paraId="0BBD9A29">
      <w:pPr>
        <w:keepNext w:val="0"/>
        <w:keepLines w:val="0"/>
        <w:pageBreakBefore w:val="0"/>
        <w:wordWrap w:val="0"/>
        <w:overflowPunct/>
        <w:topLinePunct w:val="0"/>
        <w:bidi w:val="0"/>
        <w:spacing w:before="155" w:line="231" w:lineRule="auto"/>
        <w:ind w:left="491"/>
        <w:rPr>
          <w:rFonts w:hint="eastAsia" w:ascii="宋体" w:hAnsi="宋体" w:eastAsia="宋体" w:cs="宋体"/>
          <w:color w:val="auto"/>
          <w:spacing w:val="0"/>
          <w:sz w:val="15"/>
          <w:szCs w:val="15"/>
          <w:highlight w:val="none"/>
        </w:rPr>
      </w:pPr>
      <w:r>
        <w:rPr>
          <w:rFonts w:hint="eastAsia" w:ascii="宋体" w:hAnsi="宋体" w:eastAsia="宋体" w:cs="宋体"/>
          <w:b/>
          <w:bCs/>
          <w:color w:val="auto"/>
          <w:spacing w:val="0"/>
          <w:sz w:val="24"/>
          <w:szCs w:val="24"/>
          <w:highlight w:val="none"/>
        </w:rPr>
        <w:t xml:space="preserve">c </w:t>
      </w:r>
      <w:r>
        <w:rPr>
          <w:rFonts w:hint="eastAsia" w:ascii="宋体" w:hAnsi="宋体" w:eastAsia="宋体" w:cs="宋体"/>
          <w:color w:val="auto"/>
          <w:spacing w:val="0"/>
          <w:sz w:val="24"/>
          <w:szCs w:val="24"/>
          <w:highlight w:val="none"/>
        </w:rPr>
        <w:t>．M ＝M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sz w:val="24"/>
          <w:szCs w:val="24"/>
          <w:highlight w:val="none"/>
        </w:rPr>
        <w:t>＋M</w:t>
      </w:r>
      <w:r>
        <w:rPr>
          <w:rFonts w:hint="eastAsia" w:ascii="宋体" w:hAnsi="宋体" w:eastAsia="宋体" w:cs="宋体"/>
          <w:color w:val="auto"/>
          <w:spacing w:val="0"/>
          <w:position w:val="-1"/>
          <w:sz w:val="15"/>
          <w:szCs w:val="15"/>
          <w:highlight w:val="none"/>
        </w:rPr>
        <w:t>2</w:t>
      </w:r>
    </w:p>
    <w:p w14:paraId="77066CCD">
      <w:pPr>
        <w:keepNext w:val="0"/>
        <w:keepLines w:val="0"/>
        <w:pageBreakBefore w:val="0"/>
        <w:wordWrap w:val="0"/>
        <w:overflowPunct/>
        <w:topLinePunct w:val="0"/>
        <w:bidi w:val="0"/>
        <w:spacing w:before="139" w:line="220" w:lineRule="auto"/>
        <w:ind w:left="49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为某投标人的商务得分，M</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为某投标人的技术得分。</w:t>
      </w:r>
    </w:p>
    <w:p w14:paraId="741F8731">
      <w:pPr>
        <w:keepNext w:val="0"/>
        <w:keepLines w:val="0"/>
        <w:pageBreakBefore w:val="0"/>
        <w:wordWrap w:val="0"/>
        <w:overflowPunct/>
        <w:topLinePunct w:val="0"/>
        <w:bidi w:val="0"/>
        <w:spacing w:before="153" w:line="219" w:lineRule="auto"/>
        <w:ind w:left="503"/>
        <w:outlineLvl w:val="9"/>
        <w:rPr>
          <w:rFonts w:hint="eastAsia" w:ascii="宋体" w:hAnsi="宋体" w:eastAsia="宋体" w:cs="宋体"/>
          <w:color w:val="auto"/>
          <w:spacing w:val="0"/>
          <w:sz w:val="24"/>
          <w:szCs w:val="24"/>
          <w:highlight w:val="none"/>
        </w:rPr>
      </w:pPr>
      <w:bookmarkStart w:id="123" w:name="_Toc3958"/>
      <w:bookmarkStart w:id="124" w:name="_Toc27609"/>
      <w:bookmarkStart w:id="125" w:name="_Toc16136"/>
      <w:bookmarkStart w:id="126" w:name="_Toc14059"/>
      <w:r>
        <w:rPr>
          <w:rFonts w:hint="eastAsia" w:ascii="宋体" w:hAnsi="宋体" w:eastAsia="宋体" w:cs="宋体"/>
          <w:color w:val="auto"/>
          <w:spacing w:val="0"/>
          <w:sz w:val="24"/>
          <w:szCs w:val="24"/>
          <w:highlight w:val="none"/>
        </w:rPr>
        <w:t>（2）投标报价得分 N</w:t>
      </w:r>
      <w:bookmarkEnd w:id="123"/>
      <w:bookmarkEnd w:id="124"/>
      <w:bookmarkEnd w:id="125"/>
      <w:bookmarkEnd w:id="126"/>
    </w:p>
    <w:p w14:paraId="786741F9">
      <w:pPr>
        <w:keepNext w:val="0"/>
        <w:keepLines w:val="0"/>
        <w:pageBreakBefore w:val="0"/>
        <w:wordWrap w:val="0"/>
        <w:overflowPunct/>
        <w:topLinePunct w:val="0"/>
        <w:bidi w:val="0"/>
        <w:spacing w:before="157" w:line="219" w:lineRule="auto"/>
        <w:ind w:firstLine="482" w:firstLineChars="20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．评标委员会按照《综合评分表》投标报价部分指定的方法计算评标基准价 D。</w:t>
      </w:r>
    </w:p>
    <w:p w14:paraId="4AA96151">
      <w:pPr>
        <w:keepNext w:val="0"/>
        <w:keepLines w:val="0"/>
        <w:pageBreakBefore w:val="0"/>
        <w:wordWrap w:val="0"/>
        <w:overflowPunct/>
        <w:topLinePunct w:val="0"/>
        <w:bidi w:val="0"/>
        <w:spacing w:before="155" w:line="299" w:lineRule="auto"/>
        <w:ind w:left="12" w:right="83"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b </w:t>
      </w:r>
      <w:r>
        <w:rPr>
          <w:rFonts w:hint="eastAsia" w:ascii="宋体" w:hAnsi="宋体" w:eastAsia="宋体" w:cs="宋体"/>
          <w:color w:val="auto"/>
          <w:spacing w:val="0"/>
          <w:sz w:val="24"/>
          <w:szCs w:val="24"/>
          <w:highlight w:val="none"/>
        </w:rPr>
        <w:t xml:space="preserve">．采用内插法计算某投标人的投标报价得分 N ，即当投标人的投标总价等于评标基准价时得 100 分，每高于评标基准价一个百分点扣 </w:t>
      </w:r>
      <w:r>
        <w:rPr>
          <w:rFonts w:hint="eastAsia" w:ascii="宋体" w:hAnsi="宋体" w:eastAsia="宋体" w:cs="宋体"/>
          <w:b/>
          <w:bCs/>
          <w:color w:val="auto"/>
          <w:spacing w:val="0"/>
          <w:sz w:val="24"/>
          <w:szCs w:val="24"/>
          <w:highlight w:val="none"/>
        </w:rPr>
        <w:t xml:space="preserve">1 分, </w:t>
      </w:r>
      <w:r>
        <w:rPr>
          <w:rFonts w:hint="eastAsia" w:ascii="宋体" w:hAnsi="宋体" w:eastAsia="宋体" w:cs="宋体"/>
          <w:color w:val="auto"/>
          <w:spacing w:val="0"/>
          <w:sz w:val="24"/>
          <w:szCs w:val="24"/>
          <w:highlight w:val="none"/>
        </w:rPr>
        <w:t xml:space="preserve">每低于评标基准价一个百分点扣 </w:t>
      </w:r>
      <w:r>
        <w:rPr>
          <w:rFonts w:hint="eastAsia" w:ascii="宋体" w:hAnsi="宋体" w:eastAsia="宋体" w:cs="宋体"/>
          <w:b/>
          <w:bCs/>
          <w:color w:val="auto"/>
          <w:spacing w:val="0"/>
          <w:sz w:val="24"/>
          <w:szCs w:val="24"/>
          <w:highlight w:val="none"/>
        </w:rPr>
        <w:t>0.5 分</w:t>
      </w:r>
      <w:r>
        <w:rPr>
          <w:rFonts w:hint="eastAsia" w:ascii="宋体" w:hAnsi="宋体" w:eastAsia="宋体" w:cs="宋体"/>
          <w:color w:val="auto"/>
          <w:spacing w:val="0"/>
          <w:sz w:val="24"/>
          <w:szCs w:val="24"/>
          <w:highlight w:val="none"/>
        </w:rPr>
        <w:t>，扣完为止。公式如下：</w:t>
      </w:r>
    </w:p>
    <w:p w14:paraId="26BB5A3A">
      <w:pPr>
        <w:keepNext w:val="0"/>
        <w:keepLines w:val="0"/>
        <w:pageBreakBefore w:val="0"/>
        <w:wordWrap w:val="0"/>
        <w:overflowPunct/>
        <w:topLinePunct w:val="0"/>
        <w:bidi w:val="0"/>
        <w:spacing w:before="118" w:line="333" w:lineRule="exact"/>
        <w:ind w:left="24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N ＝100－（| Di－D | ÷D） × 100×E</w:t>
      </w:r>
    </w:p>
    <w:p w14:paraId="3CCB328A">
      <w:pPr>
        <w:keepNext w:val="0"/>
        <w:keepLines w:val="0"/>
        <w:pageBreakBefore w:val="0"/>
        <w:wordWrap w:val="0"/>
        <w:overflowPunct/>
        <w:topLinePunct w:val="0"/>
        <w:bidi w:val="0"/>
        <w:spacing w:before="106" w:line="316" w:lineRule="auto"/>
        <w:ind w:left="7" w:right="17"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式中：D 为评标基准价；Di为某投标人的投标总价；E 为扣分因子，当 Di＞D时，E ＝</w:t>
      </w:r>
      <w:r>
        <w:rPr>
          <w:rFonts w:hint="eastAsia" w:ascii="宋体" w:hAnsi="宋体" w:eastAsia="宋体" w:cs="宋体"/>
          <w:b/>
          <w:bCs/>
          <w:color w:val="auto"/>
          <w:spacing w:val="0"/>
          <w:sz w:val="24"/>
          <w:szCs w:val="24"/>
          <w:highlight w:val="none"/>
        </w:rPr>
        <w:t>1 ；</w:t>
      </w:r>
      <w:r>
        <w:rPr>
          <w:rFonts w:hint="eastAsia" w:ascii="宋体" w:hAnsi="宋体" w:eastAsia="宋体" w:cs="宋体"/>
          <w:color w:val="auto"/>
          <w:spacing w:val="0"/>
          <w:sz w:val="24"/>
          <w:szCs w:val="24"/>
          <w:highlight w:val="none"/>
        </w:rPr>
        <w:t>当 Di＜D</w:t>
      </w:r>
      <w:r>
        <w:rPr>
          <w:rFonts w:hint="eastAsia" w:ascii="宋体" w:hAnsi="宋体" w:eastAsia="宋体" w:cs="宋体"/>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 xml:space="preserve">时，E </w:t>
      </w:r>
      <w:r>
        <w:rPr>
          <w:rFonts w:hint="eastAsia" w:ascii="宋体" w:hAnsi="宋体" w:eastAsia="宋体" w:cs="宋体"/>
          <w:b/>
          <w:bCs/>
          <w:color w:val="auto"/>
          <w:spacing w:val="0"/>
          <w:sz w:val="24"/>
          <w:szCs w:val="24"/>
          <w:highlight w:val="none"/>
        </w:rPr>
        <w:t>＝0.5</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w:t>
      </w:r>
    </w:p>
    <w:p w14:paraId="43895868">
      <w:pPr>
        <w:keepNext w:val="0"/>
        <w:keepLines w:val="0"/>
        <w:pageBreakBefore w:val="0"/>
        <w:wordWrap w:val="0"/>
        <w:overflowPunct/>
        <w:topLinePunct w:val="0"/>
        <w:bidi w:val="0"/>
        <w:spacing w:before="95" w:line="220" w:lineRule="auto"/>
        <w:ind w:left="503"/>
        <w:outlineLvl w:val="9"/>
        <w:rPr>
          <w:rFonts w:hint="eastAsia" w:ascii="宋体" w:hAnsi="宋体" w:eastAsia="宋体" w:cs="宋体"/>
          <w:color w:val="auto"/>
          <w:spacing w:val="0"/>
          <w:sz w:val="24"/>
          <w:szCs w:val="24"/>
          <w:highlight w:val="none"/>
        </w:rPr>
      </w:pPr>
      <w:bookmarkStart w:id="127" w:name="_Toc4990"/>
      <w:bookmarkStart w:id="128" w:name="_Toc576"/>
      <w:bookmarkStart w:id="129" w:name="_Toc7915"/>
      <w:bookmarkStart w:id="130" w:name="_Toc3861"/>
      <w:r>
        <w:rPr>
          <w:rFonts w:hint="eastAsia" w:ascii="宋体" w:hAnsi="宋体" w:eastAsia="宋体" w:cs="宋体"/>
          <w:color w:val="auto"/>
          <w:spacing w:val="0"/>
          <w:sz w:val="24"/>
          <w:szCs w:val="24"/>
          <w:highlight w:val="none"/>
        </w:rPr>
        <w:t>（3）综合得分</w:t>
      </w:r>
      <w:bookmarkEnd w:id="127"/>
      <w:bookmarkEnd w:id="128"/>
      <w:bookmarkEnd w:id="129"/>
      <w:bookmarkEnd w:id="130"/>
    </w:p>
    <w:p w14:paraId="13D70E4A">
      <w:pPr>
        <w:keepNext w:val="0"/>
        <w:keepLines w:val="0"/>
        <w:pageBreakBefore w:val="0"/>
        <w:wordWrap w:val="0"/>
        <w:overflowPunct/>
        <w:topLinePunct w:val="0"/>
        <w:bidi w:val="0"/>
        <w:spacing w:before="153" w:line="220" w:lineRule="auto"/>
        <w:ind w:left="49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综合得分换算为百分制，满分 100 分，公式如下：</w:t>
      </w:r>
    </w:p>
    <w:p w14:paraId="2B96078E">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综合得分＝M÷商务技术合计满分×100×商务技术权重＋N×投标报价权重</w:t>
      </w:r>
    </w:p>
    <w:p w14:paraId="15423E52">
      <w:pPr>
        <w:keepNext w:val="0"/>
        <w:keepLines w:val="0"/>
        <w:pageBreakBefore w:val="0"/>
        <w:wordWrap w:val="0"/>
        <w:overflowPunct/>
        <w:topLinePunct w:val="0"/>
        <w:bidi w:val="0"/>
        <w:spacing w:before="155" w:line="324" w:lineRule="auto"/>
        <w:ind w:left="496" w:right="532" w:hanging="3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式中：M 为商务技术得分，N 为投标报价得分。</w:t>
      </w:r>
    </w:p>
    <w:p w14:paraId="2F23EBA4">
      <w:pPr>
        <w:keepNext w:val="0"/>
        <w:keepLines w:val="0"/>
        <w:pageBreakBefore w:val="0"/>
        <w:wordWrap w:val="0"/>
        <w:overflowPunct/>
        <w:topLinePunct w:val="0"/>
        <w:bidi w:val="0"/>
        <w:spacing w:before="78" w:line="329" w:lineRule="auto"/>
        <w:ind w:left="276" w:right="263" w:hanging="1"/>
        <w:jc w:val="both"/>
        <w:rPr>
          <w:rFonts w:hint="default"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15.</w:t>
      </w:r>
      <w:r>
        <w:rPr>
          <w:rFonts w:hint="eastAsia" w:ascii="宋体" w:hAnsi="宋体" w:eastAsia="宋体" w:cs="宋体"/>
          <w:b/>
          <w:bCs/>
          <w:color w:val="auto"/>
          <w:spacing w:val="0"/>
          <w:sz w:val="24"/>
          <w:szCs w:val="24"/>
          <w:highlight w:val="none"/>
          <w:lang w:val="en-US" w:eastAsia="zh-CN"/>
        </w:rPr>
        <w:t>6 推荐定标候选人</w:t>
      </w:r>
    </w:p>
    <w:p w14:paraId="71B54385">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评标委员会按照</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评审综合总得分</w:t>
      </w:r>
      <w:r>
        <w:rPr>
          <w:rFonts w:hint="eastAsia" w:ascii="宋体" w:hAnsi="宋体" w:eastAsia="宋体" w:cs="宋体"/>
          <w:color w:val="auto"/>
          <w:sz w:val="24"/>
          <w:highlight w:val="none"/>
          <w:lang w:eastAsia="zh-CN"/>
        </w:rPr>
        <w:t>由</w:t>
      </w:r>
      <w:r>
        <w:rPr>
          <w:rFonts w:hint="eastAsia" w:ascii="宋体" w:hAnsi="宋体" w:eastAsia="宋体" w:cs="宋体"/>
          <w:color w:val="auto"/>
          <w:sz w:val="24"/>
          <w:highlight w:val="none"/>
        </w:rPr>
        <w:t>高</w:t>
      </w:r>
      <w:r>
        <w:rPr>
          <w:rFonts w:hint="eastAsia" w:ascii="宋体" w:hAnsi="宋体" w:eastAsia="宋体" w:cs="宋体"/>
          <w:color w:val="auto"/>
          <w:sz w:val="24"/>
          <w:highlight w:val="none"/>
          <w:lang w:eastAsia="zh-CN"/>
        </w:rPr>
        <w:t>到</w:t>
      </w:r>
      <w:r>
        <w:rPr>
          <w:rFonts w:hint="eastAsia" w:ascii="宋体" w:hAnsi="宋体" w:eastAsia="宋体" w:cs="宋体"/>
          <w:color w:val="auto"/>
          <w:sz w:val="24"/>
          <w:highlight w:val="none"/>
        </w:rPr>
        <w:t>低的</w:t>
      </w:r>
      <w:r>
        <w:rPr>
          <w:rFonts w:hint="eastAsia" w:ascii="宋体" w:hAnsi="宋体" w:eastAsia="宋体" w:cs="宋体"/>
          <w:color w:val="auto"/>
          <w:sz w:val="24"/>
          <w:highlight w:val="none"/>
          <w:lang w:eastAsia="zh-CN"/>
        </w:rPr>
        <w:t>原则</w:t>
      </w:r>
      <w:r>
        <w:rPr>
          <w:rFonts w:hint="eastAsia" w:ascii="宋体" w:hAnsi="宋体" w:eastAsia="宋体" w:cs="宋体"/>
          <w:color w:val="auto"/>
          <w:sz w:val="24"/>
          <w:highlight w:val="none"/>
        </w:rPr>
        <w:t>,向招标人推荐</w:t>
      </w:r>
      <w:r>
        <w:rPr>
          <w:rFonts w:hint="eastAsia" w:ascii="宋体" w:hAnsi="宋体" w:eastAsia="宋体" w:cs="宋体"/>
          <w:color w:val="auto"/>
          <w:sz w:val="24"/>
          <w:highlight w:val="none"/>
          <w:lang w:val="en-US" w:eastAsia="zh-CN"/>
        </w:rPr>
        <w:t>已明确的</w:t>
      </w:r>
      <w:r>
        <w:rPr>
          <w:rFonts w:hint="eastAsia" w:ascii="宋体" w:hAnsi="宋体" w:eastAsia="宋体" w:cs="宋体"/>
          <w:color w:val="auto"/>
          <w:sz w:val="24"/>
          <w:highlight w:val="none"/>
        </w:rPr>
        <w:t>定标候选人</w:t>
      </w:r>
      <w:r>
        <w:rPr>
          <w:rFonts w:hint="eastAsia" w:ascii="宋体" w:hAnsi="宋体" w:eastAsia="宋体" w:cs="宋体"/>
          <w:color w:val="auto"/>
          <w:sz w:val="24"/>
          <w:highlight w:val="none"/>
          <w:lang w:eastAsia="zh-CN"/>
        </w:rPr>
        <w:t>数量</w:t>
      </w:r>
      <w:r>
        <w:rPr>
          <w:rFonts w:hint="eastAsia" w:ascii="宋体" w:hAnsi="宋体" w:eastAsia="宋体" w:cs="宋体"/>
          <w:color w:val="auto"/>
          <w:sz w:val="24"/>
          <w:highlight w:val="none"/>
        </w:rPr>
        <w:t>（不</w:t>
      </w:r>
      <w:r>
        <w:rPr>
          <w:rFonts w:hint="eastAsia" w:ascii="宋体" w:hAnsi="宋体" w:eastAsia="宋体" w:cs="宋体"/>
          <w:color w:val="auto"/>
          <w:sz w:val="24"/>
          <w:highlight w:val="none"/>
          <w:lang w:val="en-US" w:eastAsia="zh-CN"/>
        </w:rPr>
        <w:t>标明</w:t>
      </w:r>
      <w:r>
        <w:rPr>
          <w:rFonts w:hint="eastAsia" w:ascii="宋体" w:hAnsi="宋体" w:eastAsia="宋体" w:cs="宋体"/>
          <w:color w:val="auto"/>
          <w:sz w:val="24"/>
          <w:highlight w:val="none"/>
        </w:rPr>
        <w:t>排序）</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评标委员会推荐定标候选人后，</w:t>
      </w:r>
      <w:r>
        <w:rPr>
          <w:rFonts w:hint="eastAsia" w:ascii="宋体" w:hAnsi="宋体" w:eastAsia="宋体" w:cs="宋体"/>
          <w:color w:val="auto"/>
          <w:sz w:val="24"/>
          <w:highlight w:val="none"/>
        </w:rPr>
        <w:t>招标人应</w:t>
      </w:r>
      <w:r>
        <w:rPr>
          <w:rFonts w:hint="eastAsia" w:ascii="宋体" w:hAnsi="宋体" w:eastAsia="宋体" w:cs="宋体"/>
          <w:color w:val="auto"/>
          <w:sz w:val="24"/>
          <w:highlight w:val="none"/>
          <w:lang w:eastAsia="zh-CN"/>
        </w:rPr>
        <w:t>于评标会结束后</w:t>
      </w:r>
      <w:r>
        <w:rPr>
          <w:rFonts w:hint="eastAsia" w:ascii="宋体" w:hAnsi="宋体" w:eastAsia="宋体" w:cs="宋体"/>
          <w:color w:val="auto"/>
          <w:sz w:val="24"/>
          <w:highlight w:val="none"/>
          <w:lang w:val="en-US" w:eastAsia="zh-CN"/>
        </w:rPr>
        <w:t>3个工作日内将</w:t>
      </w:r>
      <w:r>
        <w:rPr>
          <w:rFonts w:hint="eastAsia" w:ascii="宋体" w:hAnsi="宋体" w:eastAsia="宋体" w:cs="宋体"/>
          <w:color w:val="auto"/>
          <w:sz w:val="24"/>
          <w:highlight w:val="none"/>
          <w:lang w:eastAsia="zh-CN"/>
        </w:rPr>
        <w:t>定</w:t>
      </w:r>
      <w:r>
        <w:rPr>
          <w:rFonts w:hint="eastAsia" w:ascii="宋体" w:hAnsi="宋体" w:eastAsia="宋体" w:cs="宋体"/>
          <w:color w:val="auto"/>
          <w:sz w:val="24"/>
          <w:highlight w:val="none"/>
        </w:rPr>
        <w:t>标候选</w:t>
      </w:r>
      <w:r>
        <w:rPr>
          <w:rFonts w:hint="eastAsia" w:ascii="宋体" w:hAnsi="宋体" w:eastAsia="宋体" w:cs="宋体"/>
          <w:color w:val="auto"/>
          <w:sz w:val="24"/>
          <w:highlight w:val="none"/>
          <w:lang w:eastAsia="zh-CN"/>
        </w:rPr>
        <w:t>人和评标情况</w:t>
      </w:r>
      <w:r>
        <w:rPr>
          <w:rFonts w:hint="eastAsia" w:ascii="宋体" w:hAnsi="宋体" w:eastAsia="宋体" w:cs="宋体"/>
          <w:color w:val="auto"/>
          <w:sz w:val="24"/>
          <w:highlight w:val="none"/>
          <w:lang w:val="en-US" w:eastAsia="zh-CN"/>
        </w:rPr>
        <w:t>在广东省招标投标监管网和</w:t>
      </w:r>
      <w:r>
        <w:rPr>
          <w:rFonts w:hint="eastAsia" w:ascii="宋体" w:hAnsi="宋体" w:eastAsia="宋体" w:cs="宋体"/>
          <w:color w:val="auto"/>
          <w:sz w:val="24"/>
          <w:highlight w:val="none"/>
        </w:rPr>
        <w:t>韶关市公共资源交易中心</w:t>
      </w:r>
      <w:r>
        <w:rPr>
          <w:rFonts w:hint="eastAsia" w:ascii="宋体" w:hAnsi="宋体" w:eastAsia="宋体" w:cs="宋体"/>
          <w:color w:val="auto"/>
          <w:sz w:val="24"/>
          <w:highlight w:val="none"/>
          <w:lang w:eastAsia="zh-CN"/>
        </w:rPr>
        <w:t>建设工程交易系统</w:t>
      </w:r>
      <w:r>
        <w:rPr>
          <w:rFonts w:hint="eastAsia" w:ascii="宋体" w:hAnsi="宋体" w:eastAsia="宋体" w:cs="宋体"/>
          <w:color w:val="auto"/>
          <w:sz w:val="24"/>
          <w:highlight w:val="none"/>
          <w:lang w:val="en-US" w:eastAsia="zh-CN"/>
        </w:rPr>
        <w:t>上</w:t>
      </w:r>
      <w:r>
        <w:rPr>
          <w:rFonts w:hint="eastAsia" w:ascii="宋体" w:hAnsi="宋体" w:eastAsia="宋体" w:cs="宋体"/>
          <w:color w:val="auto"/>
          <w:sz w:val="24"/>
          <w:highlight w:val="none"/>
        </w:rPr>
        <w:t>公示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公示时间不少于3个工作日。</w:t>
      </w:r>
      <w:r>
        <w:rPr>
          <w:rFonts w:hint="eastAsia" w:ascii="宋体" w:hAnsi="宋体" w:eastAsia="宋体" w:cs="宋体"/>
          <w:color w:val="auto"/>
          <w:kern w:val="0"/>
          <w:sz w:val="24"/>
          <w:szCs w:val="24"/>
          <w:highlight w:val="none"/>
          <w:u w:val="none" w:color="auto"/>
          <w:lang w:eastAsia="zh-CN"/>
        </w:rPr>
        <w:t>公示主要内容包括：（</w:t>
      </w:r>
      <w:r>
        <w:rPr>
          <w:rFonts w:hint="eastAsia" w:ascii="宋体" w:hAnsi="宋体" w:eastAsia="宋体" w:cs="宋体"/>
          <w:b w:val="0"/>
          <w:bCs w:val="0"/>
          <w:color w:val="auto"/>
          <w:spacing w:val="0"/>
          <w:position w:val="0"/>
          <w:sz w:val="24"/>
          <w:szCs w:val="24"/>
          <w:highlight w:val="none"/>
          <w:u w:val="none" w:color="auto"/>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0E2DF559">
      <w:pPr>
        <w:keepNext w:val="0"/>
        <w:keepLines w:val="0"/>
        <w:pageBreakBefore w:val="0"/>
        <w:widowControl/>
        <w:kinsoku w:val="0"/>
        <w:wordWrap w:val="0"/>
        <w:overflowPunct/>
        <w:topLinePunct w:val="0"/>
        <w:autoSpaceDE w:val="0"/>
        <w:autoSpaceDN w:val="0"/>
        <w:bidi w:val="0"/>
        <w:adjustRightInd w:val="0"/>
        <w:snapToGrid w:val="0"/>
        <w:spacing w:before="153" w:line="360" w:lineRule="auto"/>
        <w:ind w:left="493" w:firstLine="602" w:firstLineChars="200"/>
        <w:textAlignment w:val="baseline"/>
        <w:rPr>
          <w:rFonts w:hint="eastAsia" w:ascii="宋体" w:hAnsi="宋体" w:eastAsia="宋体" w:cs="宋体"/>
          <w:b/>
          <w:bCs/>
          <w:color w:val="auto"/>
          <w:spacing w:val="0"/>
          <w:sz w:val="30"/>
          <w:szCs w:val="30"/>
          <w:highlight w:val="none"/>
        </w:rPr>
      </w:pPr>
      <w:r>
        <w:rPr>
          <w:rFonts w:hint="eastAsia" w:ascii="宋体" w:hAnsi="宋体" w:eastAsia="宋体" w:cs="宋体"/>
          <w:b/>
          <w:bCs/>
          <w:color w:val="auto"/>
          <w:spacing w:val="0"/>
          <w:sz w:val="30"/>
          <w:szCs w:val="30"/>
          <w:highlight w:val="none"/>
        </w:rPr>
        <w:br w:type="page"/>
      </w:r>
    </w:p>
    <w:p w14:paraId="6C62DB67">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b/>
          <w:bCs/>
          <w:color w:val="auto"/>
          <w:spacing w:val="0"/>
          <w:sz w:val="30"/>
          <w:szCs w:val="30"/>
          <w:highlight w:val="none"/>
        </w:rPr>
      </w:pPr>
      <w:r>
        <w:rPr>
          <w:rFonts w:hint="eastAsia" w:ascii="宋体" w:hAnsi="宋体" w:eastAsia="宋体" w:cs="宋体"/>
          <w:b/>
          <w:bCs/>
          <w:color w:val="auto"/>
          <w:spacing w:val="0"/>
          <w:sz w:val="30"/>
          <w:szCs w:val="30"/>
          <w:highlight w:val="none"/>
        </w:rPr>
        <w:t>综合评分表</w:t>
      </w:r>
      <w:bookmarkEnd w:id="87"/>
      <w:bookmarkEnd w:id="88"/>
      <w:bookmarkEnd w:id="89"/>
    </w:p>
    <w:tbl>
      <w:tblPr>
        <w:tblStyle w:val="15"/>
        <w:tblW w:w="10307" w:type="dxa"/>
        <w:jc w:val="center"/>
        <w:tblLayout w:type="fixed"/>
        <w:tblCellMar>
          <w:top w:w="0" w:type="dxa"/>
          <w:left w:w="108" w:type="dxa"/>
          <w:bottom w:w="0" w:type="dxa"/>
          <w:right w:w="108" w:type="dxa"/>
        </w:tblCellMar>
      </w:tblPr>
      <w:tblGrid>
        <w:gridCol w:w="1216"/>
        <w:gridCol w:w="3733"/>
        <w:gridCol w:w="5358"/>
      </w:tblGrid>
      <w:tr w14:paraId="3A11EBAA">
        <w:tblPrEx>
          <w:tblCellMar>
            <w:top w:w="0" w:type="dxa"/>
            <w:left w:w="108" w:type="dxa"/>
            <w:bottom w:w="0" w:type="dxa"/>
            <w:right w:w="108" w:type="dxa"/>
          </w:tblCellMar>
        </w:tblPrEx>
        <w:trPr>
          <w:trHeight w:val="58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7D7D7"/>
            <w:noWrap w:val="0"/>
            <w:vAlign w:val="center"/>
          </w:tcPr>
          <w:p w14:paraId="28B1DA57">
            <w:pPr>
              <w:widowControl w:val="0"/>
              <w:tabs>
                <w:tab w:val="left" w:pos="1354"/>
                <w:tab w:val="left" w:pos="1459"/>
                <w:tab w:val="center" w:pos="3902"/>
                <w:tab w:val="right" w:pos="7805"/>
              </w:tabs>
              <w:wordWrap w:val="0"/>
              <w:spacing w:after="0" w:line="240" w:lineRule="auto"/>
              <w:jc w:val="both"/>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b/>
                <w:bCs/>
                <w:snapToGrid w:val="0"/>
                <w:kern w:val="0"/>
                <w:sz w:val="24"/>
                <w:szCs w:val="24"/>
                <w:highlight w:val="none"/>
                <w:lang w:val="en-US" w:eastAsia="zh-CN" w:bidi="ar-SA"/>
              </w:rPr>
              <w:t>商务部分，满分：</w:t>
            </w:r>
            <w:r>
              <w:rPr>
                <w:rFonts w:hint="eastAsia" w:asciiTheme="minorEastAsia" w:hAnsiTheme="minorEastAsia" w:eastAsiaTheme="minorEastAsia" w:cstheme="minorEastAsia"/>
                <w:b/>
                <w:bCs/>
                <w:snapToGrid w:val="0"/>
                <w:kern w:val="0"/>
                <w:sz w:val="24"/>
                <w:szCs w:val="24"/>
                <w:highlight w:val="none"/>
                <w:u w:val="single"/>
                <w:lang w:val="en-US" w:eastAsia="zh-CN" w:bidi="ar-SA"/>
              </w:rPr>
              <w:t xml:space="preserve">  80  </w:t>
            </w:r>
            <w:r>
              <w:rPr>
                <w:rFonts w:hint="eastAsia" w:asciiTheme="minorEastAsia" w:hAnsiTheme="minorEastAsia" w:eastAsiaTheme="minorEastAsia" w:cstheme="minorEastAsia"/>
                <w:b/>
                <w:bCs/>
                <w:snapToGrid w:val="0"/>
                <w:kern w:val="0"/>
                <w:sz w:val="24"/>
                <w:szCs w:val="24"/>
                <w:highlight w:val="none"/>
                <w:lang w:val="en-US" w:eastAsia="zh-CN" w:bidi="ar-SA"/>
              </w:rPr>
              <w:t>分。</w:t>
            </w:r>
          </w:p>
        </w:tc>
      </w:tr>
      <w:tr w14:paraId="12372085">
        <w:tblPrEx>
          <w:tblCellMar>
            <w:top w:w="0" w:type="dxa"/>
            <w:left w:w="108" w:type="dxa"/>
            <w:bottom w:w="0" w:type="dxa"/>
            <w:right w:w="108" w:type="dxa"/>
          </w:tblCellMar>
        </w:tblPrEx>
        <w:trPr>
          <w:trHeight w:val="583"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630ABC1">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B1D403E">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BCE2DCE">
            <w:pPr>
              <w:widowControl w:val="0"/>
              <w:tabs>
                <w:tab w:val="left" w:pos="1354"/>
                <w:tab w:val="left" w:pos="1459"/>
                <w:tab w:val="center" w:pos="3902"/>
                <w:tab w:val="right" w:pos="7805"/>
              </w:tabs>
              <w:wordWrap w:val="0"/>
              <w:adjustRightInd w:val="0"/>
              <w:spacing w:after="0" w:line="240" w:lineRule="auto"/>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备注</w:t>
            </w:r>
          </w:p>
        </w:tc>
      </w:tr>
      <w:tr w14:paraId="55F368F5">
        <w:tblPrEx>
          <w:tblCellMar>
            <w:top w:w="0" w:type="dxa"/>
            <w:left w:w="108" w:type="dxa"/>
            <w:bottom w:w="0" w:type="dxa"/>
            <w:right w:w="108" w:type="dxa"/>
          </w:tblCellMar>
        </w:tblPrEx>
        <w:trPr>
          <w:trHeight w:val="8334"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EF256C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企业奖项</w:t>
            </w:r>
          </w:p>
          <w:p w14:paraId="33FBA06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（10分）</w:t>
            </w:r>
            <w:r>
              <w:rPr>
                <w:rFonts w:hint="eastAsia" w:asciiTheme="minorEastAsia" w:hAnsiTheme="minorEastAsia" w:eastAsiaTheme="minorEastAsia" w:cstheme="minorEastAsia"/>
                <w:b/>
                <w:bCs/>
                <w:snapToGrid w:val="0"/>
                <w:kern w:val="0"/>
                <w:sz w:val="21"/>
                <w:szCs w:val="21"/>
                <w:highlight w:val="none"/>
                <w:lang w:eastAsia="zh-CN"/>
              </w:rPr>
              <w:br w:type="textWrapping"/>
            </w:r>
            <w:r>
              <w:rPr>
                <w:rFonts w:hint="eastAsia" w:asciiTheme="minorEastAsia" w:hAnsiTheme="minorEastAsia" w:eastAsiaTheme="minorEastAsia" w:cstheme="minorEastAsia"/>
                <w:b w:val="0"/>
                <w:bCs w:val="0"/>
                <w:snapToGrid w:val="0"/>
                <w:kern w:val="0"/>
                <w:sz w:val="21"/>
                <w:szCs w:val="21"/>
                <w:highlight w:val="none"/>
                <w:lang w:eastAsia="zh-CN"/>
              </w:rPr>
              <w:t>（</w:t>
            </w:r>
            <w:r>
              <w:rPr>
                <w:rFonts w:hint="eastAsia" w:asciiTheme="minorEastAsia" w:hAnsiTheme="minorEastAsia" w:eastAsiaTheme="minorEastAsia" w:cstheme="minorEastAsia"/>
                <w:b w:val="0"/>
                <w:bCs w:val="0"/>
                <w:snapToGrid w:val="0"/>
                <w:kern w:val="0"/>
                <w:sz w:val="21"/>
                <w:szCs w:val="21"/>
                <w:highlight w:val="none"/>
                <w:lang w:val="en-US" w:eastAsia="zh-CN"/>
              </w:rPr>
              <w:t>组成联合体投标的由联合体</w:t>
            </w:r>
            <w:r>
              <w:rPr>
                <w:rFonts w:hint="eastAsia" w:asciiTheme="minorEastAsia" w:hAnsiTheme="minorEastAsia" w:eastAsiaTheme="minorEastAsia" w:cstheme="minorEastAsia"/>
                <w:b/>
                <w:bCs/>
                <w:snapToGrid w:val="0"/>
                <w:kern w:val="0"/>
                <w:sz w:val="21"/>
                <w:szCs w:val="21"/>
                <w:highlight w:val="none"/>
                <w:lang w:val="en-US" w:eastAsia="zh-CN"/>
              </w:rPr>
              <w:t>牵头人</w:t>
            </w:r>
            <w:r>
              <w:rPr>
                <w:rFonts w:hint="eastAsia" w:asciiTheme="minorEastAsia" w:hAnsiTheme="minorEastAsia" w:eastAsiaTheme="minorEastAsia" w:cstheme="minorEastAsia"/>
                <w:b w:val="0"/>
                <w:bCs w:val="0"/>
                <w:snapToGrid w:val="0"/>
                <w:kern w:val="0"/>
                <w:sz w:val="21"/>
                <w:szCs w:val="21"/>
                <w:highlight w:val="none"/>
                <w:lang w:val="en-US" w:eastAsia="zh-CN"/>
              </w:rPr>
              <w:t>提供</w:t>
            </w:r>
            <w:r>
              <w:rPr>
                <w:rFonts w:hint="eastAsia" w:asciiTheme="minorEastAsia" w:hAnsiTheme="minorEastAsia" w:eastAsiaTheme="minorEastAsia" w:cstheme="minorEastAsia"/>
                <w:b w:val="0"/>
                <w:bCs w:val="0"/>
                <w:snapToGrid w:val="0"/>
                <w:kern w:val="0"/>
                <w:sz w:val="21"/>
                <w:szCs w:val="21"/>
                <w:highlight w:val="none"/>
                <w:lang w:eastAsia="zh-CN"/>
              </w:rPr>
              <w:t>）</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B49BFA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企业近</w:t>
            </w:r>
            <w:r>
              <w:rPr>
                <w:rFonts w:hint="eastAsia" w:asciiTheme="minorEastAsia" w:hAnsiTheme="minorEastAsia" w:eastAsiaTheme="minorEastAsia" w:cstheme="minorEastAsia"/>
                <w:snapToGrid w:val="0"/>
                <w:kern w:val="0"/>
                <w:sz w:val="21"/>
                <w:szCs w:val="21"/>
                <w:highlight w:val="none"/>
                <w:u w:val="single"/>
                <w:lang w:eastAsia="zh-CN"/>
              </w:rPr>
              <w:t xml:space="preserve"> </w:t>
            </w:r>
            <w:r>
              <w:rPr>
                <w:rFonts w:hint="eastAsia" w:asciiTheme="minorEastAsia" w:hAnsiTheme="minorEastAsia" w:eastAsiaTheme="minorEastAsia" w:cstheme="minorEastAsia"/>
                <w:snapToGrid w:val="0"/>
                <w:kern w:val="0"/>
                <w:sz w:val="21"/>
                <w:szCs w:val="21"/>
                <w:highlight w:val="none"/>
                <w:u w:val="single"/>
                <w:lang w:val="en-US" w:eastAsia="zh-CN"/>
              </w:rPr>
              <w:t xml:space="preserve">5 </w:t>
            </w:r>
            <w:r>
              <w:rPr>
                <w:rFonts w:hint="eastAsia" w:asciiTheme="minorEastAsia" w:hAnsiTheme="minorEastAsia" w:eastAsiaTheme="minorEastAsia" w:cstheme="minorEastAsia"/>
                <w:snapToGrid w:val="0"/>
                <w:kern w:val="0"/>
                <w:sz w:val="21"/>
                <w:szCs w:val="21"/>
                <w:highlight w:val="none"/>
                <w:lang w:eastAsia="zh-CN"/>
              </w:rPr>
              <w:t>年来（202</w:t>
            </w:r>
            <w:r>
              <w:rPr>
                <w:rFonts w:hint="eastAsia" w:asciiTheme="minorEastAsia" w:hAnsiTheme="minorEastAsia" w:eastAsiaTheme="minorEastAsia" w:cstheme="minorEastAsia"/>
                <w:snapToGrid w:val="0"/>
                <w:kern w:val="0"/>
                <w:sz w:val="21"/>
                <w:szCs w:val="21"/>
                <w:highlight w:val="none"/>
                <w:lang w:val="en-US" w:eastAsia="zh-CN"/>
              </w:rPr>
              <w:t>2</w:t>
            </w:r>
            <w:r>
              <w:rPr>
                <w:rFonts w:hint="eastAsia" w:asciiTheme="minorEastAsia" w:hAnsiTheme="minorEastAsia" w:eastAsiaTheme="minorEastAsia" w:cstheme="minorEastAsia"/>
                <w:snapToGrid w:val="0"/>
                <w:kern w:val="0"/>
                <w:sz w:val="21"/>
                <w:szCs w:val="21"/>
                <w:highlight w:val="none"/>
                <w:lang w:eastAsia="zh-CN"/>
              </w:rPr>
              <w:t>年1月1日至今）获得</w:t>
            </w:r>
            <w:r>
              <w:rPr>
                <w:rFonts w:hint="eastAsia" w:asciiTheme="minorEastAsia" w:hAnsiTheme="minorEastAsia" w:eastAsiaTheme="minorEastAsia" w:cstheme="minorEastAsia"/>
                <w:snapToGrid w:val="0"/>
                <w:kern w:val="0"/>
                <w:sz w:val="21"/>
                <w:szCs w:val="21"/>
                <w:highlight w:val="none"/>
                <w:u w:val="single"/>
                <w:lang w:eastAsia="zh-CN"/>
              </w:rPr>
              <w:t xml:space="preserve"> 市政</w:t>
            </w:r>
            <w:r>
              <w:rPr>
                <w:rFonts w:hint="eastAsia" w:asciiTheme="minorEastAsia" w:hAnsiTheme="minorEastAsia" w:eastAsiaTheme="minorEastAsia" w:cstheme="minorEastAsia"/>
                <w:snapToGrid w:val="0"/>
                <w:kern w:val="0"/>
                <w:sz w:val="21"/>
                <w:szCs w:val="21"/>
                <w:highlight w:val="none"/>
                <w:u w:val="single"/>
                <w:lang w:val="en-US" w:eastAsia="zh-CN"/>
              </w:rPr>
              <w:t>或桥梁</w:t>
            </w:r>
            <w:r>
              <w:rPr>
                <w:rFonts w:hint="eastAsia" w:asciiTheme="minorEastAsia" w:hAnsiTheme="minorEastAsia" w:eastAsiaTheme="minorEastAsia" w:cstheme="minorEastAsia"/>
                <w:snapToGrid w:val="0"/>
                <w:kern w:val="0"/>
                <w:sz w:val="21"/>
                <w:szCs w:val="21"/>
                <w:highlight w:val="none"/>
                <w:lang w:eastAsia="zh-CN"/>
              </w:rPr>
              <w:t>工程奖项情况：</w:t>
            </w:r>
          </w:p>
          <w:p w14:paraId="2E03269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1．获得国家级奖项的，每个得</w:t>
            </w:r>
            <w:r>
              <w:rPr>
                <w:rFonts w:hint="eastAsia" w:asciiTheme="minorEastAsia" w:hAnsiTheme="minorEastAsia" w:eastAsiaTheme="minorEastAsia" w:cstheme="minorEastAsia"/>
                <w:snapToGrid w:val="0"/>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kern w:val="0"/>
                <w:sz w:val="21"/>
                <w:szCs w:val="21"/>
                <w:highlight w:val="none"/>
                <w:u w:val="single"/>
                <w:lang w:eastAsia="zh-CN"/>
              </w:rPr>
              <w:t>8</w:t>
            </w:r>
            <w:r>
              <w:rPr>
                <w:rFonts w:hint="eastAsia" w:asciiTheme="minorEastAsia" w:hAnsiTheme="minorEastAsia" w:eastAsiaTheme="minorEastAsia" w:cstheme="minorEastAsia"/>
                <w:snapToGrid w:val="0"/>
                <w:kern w:val="0"/>
                <w:sz w:val="21"/>
                <w:szCs w:val="21"/>
                <w:highlight w:val="none"/>
                <w:lang w:eastAsia="zh-CN"/>
              </w:rPr>
              <w:t>分。</w:t>
            </w:r>
          </w:p>
          <w:p w14:paraId="49EB717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2．获得省级奖项的，每个得</w:t>
            </w:r>
            <w:r>
              <w:rPr>
                <w:rFonts w:hint="eastAsia" w:asciiTheme="minorEastAsia" w:hAnsiTheme="minorEastAsia" w:eastAsiaTheme="minorEastAsia" w:cstheme="minorEastAsia"/>
                <w:snapToGrid w:val="0"/>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kern w:val="0"/>
                <w:sz w:val="21"/>
                <w:szCs w:val="21"/>
                <w:highlight w:val="none"/>
                <w:u w:val="single"/>
                <w:lang w:eastAsia="zh-CN"/>
              </w:rPr>
              <w:t>4</w:t>
            </w:r>
            <w:r>
              <w:rPr>
                <w:rFonts w:hint="eastAsia" w:asciiTheme="minorEastAsia" w:hAnsiTheme="minorEastAsia" w:eastAsiaTheme="minorEastAsia" w:cstheme="minorEastAsia"/>
                <w:snapToGrid w:val="0"/>
                <w:kern w:val="0"/>
                <w:sz w:val="21"/>
                <w:szCs w:val="21"/>
                <w:highlight w:val="none"/>
                <w:lang w:eastAsia="zh-CN"/>
              </w:rPr>
              <w:t>分。</w:t>
            </w:r>
          </w:p>
          <w:p w14:paraId="2E2D716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3．获得地市级奖项的，每个得</w:t>
            </w:r>
            <w:r>
              <w:rPr>
                <w:rFonts w:hint="eastAsia" w:asciiTheme="minorEastAsia" w:hAnsiTheme="minorEastAsia" w:eastAsiaTheme="minorEastAsia" w:cstheme="minorEastAsia"/>
                <w:snapToGrid w:val="0"/>
                <w:kern w:val="0"/>
                <w:sz w:val="21"/>
                <w:szCs w:val="21"/>
                <w:highlight w:val="none"/>
                <w:u w:val="single"/>
                <w:lang w:val="en-US" w:eastAsia="zh-CN"/>
              </w:rPr>
              <w:t xml:space="preserve"> </w:t>
            </w:r>
            <w:r>
              <w:rPr>
                <w:rFonts w:hint="eastAsia" w:asciiTheme="minorEastAsia" w:hAnsiTheme="minorEastAsia" w:eastAsiaTheme="minorEastAsia" w:cstheme="minorEastAsia"/>
                <w:snapToGrid w:val="0"/>
                <w:kern w:val="0"/>
                <w:sz w:val="21"/>
                <w:szCs w:val="21"/>
                <w:highlight w:val="none"/>
                <w:u w:val="single"/>
                <w:lang w:eastAsia="zh-CN"/>
              </w:rPr>
              <w:t>2</w:t>
            </w:r>
            <w:r>
              <w:rPr>
                <w:rFonts w:hint="eastAsia" w:asciiTheme="minorEastAsia" w:hAnsiTheme="minorEastAsia" w:eastAsiaTheme="minorEastAsia" w:cstheme="minorEastAsia"/>
                <w:snapToGrid w:val="0"/>
                <w:kern w:val="0"/>
                <w:sz w:val="21"/>
                <w:szCs w:val="21"/>
                <w:highlight w:val="none"/>
                <w:lang w:eastAsia="zh-CN"/>
              </w:rPr>
              <w:t>分。</w:t>
            </w:r>
          </w:p>
          <w:p w14:paraId="2DFB4F5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4．以上奖项均未获得的，不予计分。</w:t>
            </w:r>
          </w:p>
          <w:p w14:paraId="0F0E1BC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5．本项最高得10分。</w:t>
            </w:r>
          </w:p>
          <w:p w14:paraId="505CCCE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p>
          <w:p w14:paraId="60A8CFF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E059B3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1．允许投标人提交多个业绩，但同一业绩只按最高级别奖项计分一次。</w:t>
            </w:r>
          </w:p>
          <w:p w14:paraId="3F08282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2．需附有关奖项证明复印件（或打印件或扫描件)，</w:t>
            </w:r>
            <w:r>
              <w:rPr>
                <w:rFonts w:hint="eastAsia" w:asciiTheme="minorEastAsia" w:hAnsiTheme="minorEastAsia" w:eastAsiaTheme="minorEastAsia" w:cstheme="minorEastAsia"/>
                <w:b/>
                <w:bCs/>
                <w:snapToGrid w:val="0"/>
                <w:kern w:val="0"/>
                <w:sz w:val="21"/>
                <w:szCs w:val="21"/>
                <w:highlight w:val="none"/>
                <w:lang w:eastAsia="zh-CN"/>
              </w:rPr>
              <w:t>同时提供原件供核对。（奖项如电子证书的除外）</w:t>
            </w:r>
          </w:p>
          <w:p w14:paraId="2EAA468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3．颁发机构限定以下范围：</w:t>
            </w:r>
          </w:p>
          <w:p w14:paraId="43D12DA6">
            <w:pPr>
              <w:widowControl/>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①国家级奖项：</w:t>
            </w:r>
            <w:r>
              <w:rPr>
                <w:rFonts w:hint="eastAsia" w:asciiTheme="minorEastAsia" w:hAnsiTheme="minorEastAsia" w:eastAsiaTheme="minorEastAsia" w:cstheme="minorEastAsia"/>
                <w:kern w:val="2"/>
                <w:sz w:val="21"/>
                <w:szCs w:val="21"/>
                <w:highlight w:val="none"/>
                <w:u w:val="single"/>
                <w:lang w:val="en-US" w:eastAsia="zh-CN" w:bidi="ar-SA"/>
              </w:rPr>
              <w:t xml:space="preserve"> 国务院、住建部、国家级相关行业协会；</w:t>
            </w:r>
            <w:r>
              <w:rPr>
                <w:rFonts w:hint="eastAsia" w:asciiTheme="minorEastAsia" w:hAnsiTheme="minorEastAsia" w:eastAsiaTheme="minorEastAsia" w:cstheme="minorEastAsia"/>
                <w:b/>
                <w:bCs/>
                <w:kern w:val="2"/>
                <w:sz w:val="21"/>
                <w:szCs w:val="21"/>
                <w:highlight w:val="none"/>
                <w:lang w:val="en-US" w:eastAsia="zh-CN" w:bidi="ar-SA"/>
              </w:rPr>
              <w:t>（相关协会需经民政部门备案）</w:t>
            </w:r>
          </w:p>
          <w:p w14:paraId="70BC1370">
            <w:pPr>
              <w:widowControl/>
              <w:jc w:val="left"/>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②省级奖项：</w:t>
            </w:r>
            <w:r>
              <w:rPr>
                <w:rFonts w:hint="eastAsia" w:asciiTheme="minorEastAsia" w:hAnsiTheme="minorEastAsia" w:eastAsiaTheme="minorEastAsia" w:cstheme="minorEastAsia"/>
                <w:kern w:val="2"/>
                <w:sz w:val="21"/>
                <w:szCs w:val="21"/>
                <w:highlight w:val="none"/>
                <w:u w:val="single"/>
                <w:lang w:val="en-US" w:eastAsia="zh-CN" w:bidi="ar-SA"/>
              </w:rPr>
              <w:t>省级人民政府、省级住建部门、省级相关行业协会；</w:t>
            </w:r>
            <w:r>
              <w:rPr>
                <w:rFonts w:hint="eastAsia" w:asciiTheme="minorEastAsia" w:hAnsiTheme="minorEastAsia" w:eastAsiaTheme="minorEastAsia" w:cstheme="minorEastAsia"/>
                <w:b/>
                <w:bCs/>
                <w:kern w:val="2"/>
                <w:sz w:val="21"/>
                <w:szCs w:val="21"/>
                <w:highlight w:val="none"/>
                <w:lang w:val="en-US" w:eastAsia="zh-CN" w:bidi="ar-SA"/>
              </w:rPr>
              <w:t>（相关协会需经民政部门备案）</w:t>
            </w:r>
          </w:p>
          <w:p w14:paraId="663AB83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③地市级奖项：</w:t>
            </w:r>
            <w:r>
              <w:rPr>
                <w:rFonts w:hint="eastAsia" w:asciiTheme="minorEastAsia" w:hAnsiTheme="minorEastAsia" w:eastAsiaTheme="minorEastAsia" w:cstheme="minorEastAsia"/>
                <w:snapToGrid/>
                <w:kern w:val="0"/>
                <w:sz w:val="21"/>
                <w:szCs w:val="21"/>
                <w:highlight w:val="none"/>
                <w:u w:val="single"/>
                <w:lang w:eastAsia="zh-CN"/>
              </w:rPr>
              <w:t xml:space="preserve"> 地市级人民政府、地市级住建部门、</w:t>
            </w:r>
            <w:r>
              <w:rPr>
                <w:rFonts w:hint="eastAsia" w:asciiTheme="minorEastAsia" w:hAnsiTheme="minorEastAsia" w:eastAsiaTheme="minorEastAsia" w:cstheme="minorEastAsia"/>
                <w:snapToGrid/>
                <w:kern w:val="0"/>
                <w:sz w:val="21"/>
                <w:szCs w:val="21"/>
                <w:highlight w:val="none"/>
                <w:u w:val="single"/>
                <w:lang w:val="en-US" w:eastAsia="zh-CN"/>
              </w:rPr>
              <w:t>地</w:t>
            </w:r>
            <w:r>
              <w:rPr>
                <w:rFonts w:hint="eastAsia" w:asciiTheme="minorEastAsia" w:hAnsiTheme="minorEastAsia" w:eastAsiaTheme="minorEastAsia" w:cstheme="minorEastAsia"/>
                <w:snapToGrid/>
                <w:kern w:val="0"/>
                <w:sz w:val="21"/>
                <w:szCs w:val="21"/>
                <w:highlight w:val="none"/>
                <w:u w:val="single"/>
                <w:lang w:eastAsia="zh-CN"/>
              </w:rPr>
              <w:t>市级相关行业协会。</w:t>
            </w:r>
            <w:r>
              <w:rPr>
                <w:rFonts w:hint="eastAsia" w:asciiTheme="minorEastAsia" w:hAnsiTheme="minorEastAsia" w:eastAsiaTheme="minorEastAsia" w:cstheme="minorEastAsia"/>
                <w:b/>
                <w:bCs/>
                <w:snapToGrid/>
                <w:kern w:val="0"/>
                <w:sz w:val="21"/>
                <w:szCs w:val="21"/>
                <w:highlight w:val="none"/>
                <w:lang w:eastAsia="zh-CN"/>
              </w:rPr>
              <w:t>（相关协会需经民政部门备案）</w:t>
            </w:r>
          </w:p>
          <w:p w14:paraId="5D3D200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4．获奖时间以奖项证明的落款日期为准。</w:t>
            </w:r>
          </w:p>
          <w:p w14:paraId="4BD10FB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5．任一奖项有以下情形之一的，该奖项视为无效，不予计分：</w:t>
            </w:r>
          </w:p>
          <w:p w14:paraId="486D222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①未提供奖项原件的；</w:t>
            </w:r>
          </w:p>
          <w:p w14:paraId="1D9680F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②奖项不属于指定类别的；</w:t>
            </w:r>
          </w:p>
          <w:p w14:paraId="5EE1EF0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③颁发机构不符合要求的；</w:t>
            </w:r>
          </w:p>
          <w:p w14:paraId="0635438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④获奖时间不符合要求的。</w:t>
            </w:r>
          </w:p>
          <w:p w14:paraId="6DA6BD7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6</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组成联合体时，由牵头人提供以上资料。</w:t>
            </w:r>
          </w:p>
          <w:p w14:paraId="1D9DF25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说明：以上所称“要求”均指本表评分标准及备注的要求，下同。</w:t>
            </w:r>
          </w:p>
        </w:tc>
      </w:tr>
      <w:tr w14:paraId="2069B978">
        <w:tblPrEx>
          <w:tblCellMar>
            <w:top w:w="0" w:type="dxa"/>
            <w:left w:w="108" w:type="dxa"/>
            <w:bottom w:w="0" w:type="dxa"/>
            <w:right w:w="108" w:type="dxa"/>
          </w:tblCellMar>
        </w:tblPrEx>
        <w:trPr>
          <w:trHeight w:val="390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B5584B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项目经理</w:t>
            </w:r>
          </w:p>
          <w:p w14:paraId="78E84D5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综合素质</w:t>
            </w:r>
          </w:p>
          <w:p w14:paraId="6624E74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（10分）</w:t>
            </w:r>
            <w:r>
              <w:rPr>
                <w:rFonts w:hint="eastAsia" w:asciiTheme="minorEastAsia" w:hAnsiTheme="minorEastAsia" w:eastAsiaTheme="minorEastAsia" w:cstheme="minorEastAsia"/>
                <w:b/>
                <w:bCs/>
                <w:snapToGrid w:val="0"/>
                <w:kern w:val="0"/>
                <w:sz w:val="21"/>
                <w:szCs w:val="21"/>
                <w:highlight w:val="none"/>
                <w:lang w:eastAsia="zh-CN"/>
              </w:rPr>
              <w:br w:type="textWrapping"/>
            </w:r>
            <w:r>
              <w:rPr>
                <w:rFonts w:hint="eastAsia" w:asciiTheme="minorEastAsia" w:hAnsiTheme="minorEastAsia" w:eastAsiaTheme="minorEastAsia" w:cstheme="minorEastAsia"/>
                <w:b w:val="0"/>
                <w:bCs w:val="0"/>
                <w:snapToGrid w:val="0"/>
                <w:kern w:val="0"/>
                <w:sz w:val="21"/>
                <w:szCs w:val="21"/>
                <w:highlight w:val="none"/>
                <w:lang w:eastAsia="zh-CN"/>
              </w:rPr>
              <w:t>（</w:t>
            </w:r>
            <w:r>
              <w:rPr>
                <w:rFonts w:hint="eastAsia" w:asciiTheme="minorEastAsia" w:hAnsiTheme="minorEastAsia" w:eastAsiaTheme="minorEastAsia" w:cstheme="minorEastAsia"/>
                <w:b w:val="0"/>
                <w:bCs w:val="0"/>
                <w:snapToGrid w:val="0"/>
                <w:kern w:val="0"/>
                <w:sz w:val="21"/>
                <w:szCs w:val="21"/>
                <w:highlight w:val="none"/>
                <w:lang w:val="en-US" w:eastAsia="zh-CN"/>
              </w:rPr>
              <w:t>组成联合体投标的由联合体</w:t>
            </w:r>
            <w:r>
              <w:rPr>
                <w:rFonts w:hint="eastAsia" w:asciiTheme="minorEastAsia" w:hAnsiTheme="minorEastAsia" w:eastAsiaTheme="minorEastAsia" w:cstheme="minorEastAsia"/>
                <w:b/>
                <w:bCs/>
                <w:snapToGrid w:val="0"/>
                <w:kern w:val="0"/>
                <w:sz w:val="21"/>
                <w:szCs w:val="21"/>
                <w:highlight w:val="none"/>
                <w:lang w:val="en-US" w:eastAsia="zh-CN"/>
              </w:rPr>
              <w:t>牵头人</w:t>
            </w:r>
            <w:r>
              <w:rPr>
                <w:rFonts w:hint="eastAsia" w:asciiTheme="minorEastAsia" w:hAnsiTheme="minorEastAsia" w:eastAsiaTheme="minorEastAsia" w:cstheme="minorEastAsia"/>
                <w:b w:val="0"/>
                <w:bCs w:val="0"/>
                <w:snapToGrid w:val="0"/>
                <w:kern w:val="0"/>
                <w:sz w:val="21"/>
                <w:szCs w:val="21"/>
                <w:highlight w:val="none"/>
                <w:lang w:val="en-US" w:eastAsia="zh-CN"/>
              </w:rPr>
              <w:t>提供</w:t>
            </w:r>
            <w:r>
              <w:rPr>
                <w:rFonts w:hint="eastAsia" w:asciiTheme="minorEastAsia" w:hAnsiTheme="minorEastAsia" w:eastAsiaTheme="minorEastAsia" w:cstheme="minorEastAsia"/>
                <w:b w:val="0"/>
                <w:bCs w:val="0"/>
                <w:snapToGrid w:val="0"/>
                <w:kern w:val="0"/>
                <w:sz w:val="21"/>
                <w:szCs w:val="21"/>
                <w:highlight w:val="none"/>
                <w:lang w:eastAsia="zh-CN"/>
              </w:rPr>
              <w:t>）</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22A20E2">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bidi="ar"/>
              </w:rPr>
              <w:t xml:space="preserve">项目经理工程类技术职称情况： </w:t>
            </w:r>
          </w:p>
          <w:p w14:paraId="6B79ECA3">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w:t>
            </w:r>
            <w:r>
              <w:rPr>
                <w:rFonts w:hint="eastAsia" w:asciiTheme="minorEastAsia" w:hAnsiTheme="minorEastAsia" w:eastAsiaTheme="minorEastAsia" w:cstheme="minorEastAsia"/>
                <w:snapToGrid/>
                <w:kern w:val="0"/>
                <w:sz w:val="21"/>
                <w:szCs w:val="21"/>
                <w:highlight w:val="none"/>
                <w:lang w:eastAsia="zh-CN" w:bidi="ar"/>
              </w:rPr>
              <w:t>具备工程师或以上职称的，得</w:t>
            </w:r>
            <w:r>
              <w:rPr>
                <w:rFonts w:hint="eastAsia" w:asciiTheme="minorEastAsia" w:hAnsiTheme="minorEastAsia" w:eastAsiaTheme="minorEastAsia" w:cstheme="minorEastAsia"/>
                <w:snapToGrid/>
                <w:kern w:val="0"/>
                <w:sz w:val="21"/>
                <w:szCs w:val="21"/>
                <w:highlight w:val="none"/>
                <w:lang w:val="en-US" w:eastAsia="zh-CN" w:bidi="ar"/>
              </w:rPr>
              <w:t xml:space="preserve"> </w:t>
            </w:r>
            <w:r>
              <w:rPr>
                <w:rFonts w:hint="eastAsia" w:asciiTheme="minorEastAsia" w:hAnsiTheme="minorEastAsia" w:eastAsiaTheme="minorEastAsia" w:cstheme="minorEastAsia"/>
                <w:snapToGrid/>
                <w:kern w:val="0"/>
                <w:sz w:val="21"/>
                <w:szCs w:val="21"/>
                <w:highlight w:val="none"/>
                <w:u w:val="single"/>
                <w:lang w:val="en-US" w:eastAsia="zh-CN" w:bidi="ar"/>
              </w:rPr>
              <w:t>1</w:t>
            </w:r>
            <w:r>
              <w:rPr>
                <w:rFonts w:hint="eastAsia" w:asciiTheme="minorEastAsia" w:hAnsiTheme="minorEastAsia" w:eastAsiaTheme="minorEastAsia" w:cstheme="minorEastAsia"/>
                <w:snapToGrid/>
                <w:kern w:val="0"/>
                <w:sz w:val="21"/>
                <w:szCs w:val="21"/>
                <w:highlight w:val="none"/>
                <w:u w:val="single"/>
                <w:lang w:eastAsia="zh-CN" w:bidi="ar"/>
              </w:rPr>
              <w:t xml:space="preserve">0 </w:t>
            </w:r>
            <w:r>
              <w:rPr>
                <w:rFonts w:hint="eastAsia" w:asciiTheme="minorEastAsia" w:hAnsiTheme="minorEastAsia" w:eastAsiaTheme="minorEastAsia" w:cstheme="minorEastAsia"/>
                <w:snapToGrid/>
                <w:kern w:val="0"/>
                <w:sz w:val="21"/>
                <w:szCs w:val="21"/>
                <w:highlight w:val="none"/>
                <w:lang w:eastAsia="zh-CN" w:bidi="ar"/>
              </w:rPr>
              <w:t xml:space="preserve">分。 </w:t>
            </w:r>
          </w:p>
          <w:p w14:paraId="3803FA96">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bidi="ar"/>
              </w:rPr>
              <w:t>2</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kern w:val="0"/>
                <w:sz w:val="21"/>
                <w:szCs w:val="21"/>
                <w:highlight w:val="none"/>
                <w:lang w:eastAsia="zh-CN" w:bidi="ar"/>
              </w:rPr>
              <w:t>具备助理工程师职称的，得</w:t>
            </w:r>
            <w:r>
              <w:rPr>
                <w:rFonts w:hint="eastAsia" w:asciiTheme="minorEastAsia" w:hAnsiTheme="minorEastAsia" w:eastAsiaTheme="minorEastAsia" w:cstheme="minorEastAsia"/>
                <w:snapToGrid/>
                <w:kern w:val="0"/>
                <w:sz w:val="21"/>
                <w:szCs w:val="21"/>
                <w:highlight w:val="none"/>
                <w:u w:val="single"/>
                <w:lang w:eastAsia="zh-CN" w:bidi="ar"/>
              </w:rPr>
              <w:t xml:space="preserve"> 5 </w:t>
            </w:r>
            <w:r>
              <w:rPr>
                <w:rFonts w:hint="eastAsia" w:asciiTheme="minorEastAsia" w:hAnsiTheme="minorEastAsia" w:eastAsiaTheme="minorEastAsia" w:cstheme="minorEastAsia"/>
                <w:snapToGrid/>
                <w:kern w:val="0"/>
                <w:sz w:val="21"/>
                <w:szCs w:val="21"/>
                <w:highlight w:val="none"/>
                <w:lang w:eastAsia="zh-CN" w:bidi="ar"/>
              </w:rPr>
              <w:t xml:space="preserve">分。 </w:t>
            </w:r>
          </w:p>
          <w:p w14:paraId="1B5D4934">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kern w:val="0"/>
                <w:sz w:val="21"/>
                <w:szCs w:val="21"/>
                <w:highlight w:val="none"/>
                <w:lang w:eastAsia="zh-CN" w:bidi="ar"/>
              </w:rPr>
            </w:pPr>
            <w:r>
              <w:rPr>
                <w:rFonts w:hint="eastAsia" w:asciiTheme="minorEastAsia" w:hAnsiTheme="minorEastAsia" w:eastAsiaTheme="minorEastAsia" w:cstheme="minorEastAsia"/>
                <w:snapToGrid/>
                <w:kern w:val="0"/>
                <w:sz w:val="21"/>
                <w:szCs w:val="21"/>
                <w:highlight w:val="none"/>
                <w:lang w:eastAsia="zh-CN" w:bidi="ar"/>
              </w:rPr>
              <w:t>3</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kern w:val="0"/>
                <w:sz w:val="21"/>
                <w:szCs w:val="21"/>
                <w:highlight w:val="none"/>
                <w:lang w:eastAsia="zh-CN" w:bidi="ar"/>
              </w:rPr>
              <w:t>不具备以上职称的，或未提供职称证原件的，不予计分。</w:t>
            </w:r>
          </w:p>
          <w:p w14:paraId="14E75CB3">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b/>
                <w:bCs/>
                <w:snapToGrid/>
                <w:kern w:val="0"/>
                <w:sz w:val="21"/>
                <w:szCs w:val="21"/>
                <w:highlight w:val="none"/>
                <w:lang w:eastAsia="zh-CN" w:bidi="ar"/>
              </w:rPr>
              <w:t>4</w:t>
            </w:r>
            <w:r>
              <w:rPr>
                <w:rFonts w:hint="eastAsia" w:asciiTheme="minorEastAsia" w:hAnsiTheme="minorEastAsia" w:eastAsiaTheme="minorEastAsia" w:cstheme="minorEastAsia"/>
                <w:b/>
                <w:bCs/>
                <w:snapToGrid w:val="0"/>
                <w:kern w:val="0"/>
                <w:sz w:val="21"/>
                <w:szCs w:val="21"/>
                <w:highlight w:val="none"/>
                <w:lang w:eastAsia="zh-CN"/>
              </w:rPr>
              <w:t>．本项最高得10分。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B39FCF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1</w:t>
            </w:r>
            <w:r>
              <w:rPr>
                <w:rFonts w:hint="eastAsia" w:asciiTheme="minorEastAsia" w:hAnsiTheme="minorEastAsia" w:eastAsiaTheme="minorEastAsia" w:cstheme="minorEastAsia"/>
                <w:snapToGrid w:val="0"/>
                <w:kern w:val="0"/>
                <w:sz w:val="21"/>
                <w:szCs w:val="21"/>
                <w:highlight w:val="none"/>
                <w:lang w:eastAsia="zh-CN"/>
              </w:rPr>
              <w:t>．需附职称证复印件或打印件或扫描件，</w:t>
            </w:r>
            <w:r>
              <w:rPr>
                <w:rFonts w:hint="eastAsia" w:asciiTheme="minorEastAsia" w:hAnsiTheme="minorEastAsia" w:eastAsiaTheme="minorEastAsia" w:cstheme="minorEastAsia"/>
                <w:b/>
                <w:bCs/>
                <w:snapToGrid w:val="0"/>
                <w:kern w:val="0"/>
                <w:sz w:val="21"/>
                <w:szCs w:val="21"/>
                <w:highlight w:val="none"/>
                <w:lang w:eastAsia="zh-CN"/>
              </w:rPr>
              <w:t>同时提供原件供核对</w:t>
            </w:r>
            <w:r>
              <w:rPr>
                <w:rFonts w:hint="eastAsia" w:asciiTheme="minorEastAsia" w:hAnsiTheme="minorEastAsia" w:eastAsiaTheme="minorEastAsia" w:cstheme="minorEastAsia"/>
                <w:b/>
                <w:bCs/>
                <w:snapToGrid/>
                <w:kern w:val="2"/>
                <w:sz w:val="21"/>
                <w:szCs w:val="21"/>
                <w:highlight w:val="none"/>
                <w:lang w:eastAsia="zh-CN"/>
              </w:rPr>
              <w:t>（职称证为电子证书打印件的除外）</w:t>
            </w:r>
            <w:r>
              <w:rPr>
                <w:rFonts w:hint="eastAsia" w:asciiTheme="minorEastAsia" w:hAnsiTheme="minorEastAsia" w:eastAsiaTheme="minorEastAsia" w:cstheme="minorEastAsia"/>
                <w:b/>
                <w:bCs/>
                <w:snapToGrid w:val="0"/>
                <w:kern w:val="0"/>
                <w:sz w:val="21"/>
                <w:szCs w:val="21"/>
                <w:highlight w:val="none"/>
                <w:lang w:eastAsia="zh-CN"/>
              </w:rPr>
              <w:t>。</w:t>
            </w:r>
          </w:p>
          <w:p w14:paraId="28AA5FE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2</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组成联合体时，由牵头人提供以上资料。</w:t>
            </w:r>
          </w:p>
        </w:tc>
      </w:tr>
      <w:tr w14:paraId="4D3FFDC1">
        <w:tblPrEx>
          <w:tblCellMar>
            <w:top w:w="0" w:type="dxa"/>
            <w:left w:w="108" w:type="dxa"/>
            <w:bottom w:w="0" w:type="dxa"/>
            <w:right w:w="108" w:type="dxa"/>
          </w:tblCellMar>
        </w:tblPrEx>
        <w:trPr>
          <w:trHeight w:val="5268"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34BA38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企业业绩</w:t>
            </w:r>
          </w:p>
          <w:p w14:paraId="1610E0F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（1</w:t>
            </w:r>
            <w:r>
              <w:rPr>
                <w:rFonts w:hint="eastAsia" w:asciiTheme="minorEastAsia" w:hAnsiTheme="minorEastAsia" w:eastAsiaTheme="minorEastAsia" w:cstheme="minorEastAsia"/>
                <w:b/>
                <w:bCs/>
                <w:snapToGrid w:val="0"/>
                <w:kern w:val="0"/>
                <w:sz w:val="21"/>
                <w:szCs w:val="21"/>
                <w:highlight w:val="none"/>
                <w:lang w:val="en-US" w:eastAsia="zh-CN"/>
              </w:rPr>
              <w:t>0</w:t>
            </w:r>
            <w:r>
              <w:rPr>
                <w:rFonts w:hint="eastAsia" w:asciiTheme="minorEastAsia" w:hAnsiTheme="minorEastAsia" w:eastAsiaTheme="minorEastAsia" w:cstheme="minorEastAsia"/>
                <w:b/>
                <w:bCs/>
                <w:snapToGrid w:val="0"/>
                <w:kern w:val="0"/>
                <w:sz w:val="21"/>
                <w:szCs w:val="21"/>
                <w:highlight w:val="none"/>
                <w:lang w:eastAsia="zh-CN"/>
              </w:rPr>
              <w:t>分）</w:t>
            </w:r>
            <w:r>
              <w:rPr>
                <w:rFonts w:hint="eastAsia" w:asciiTheme="minorEastAsia" w:hAnsiTheme="minorEastAsia" w:eastAsiaTheme="minorEastAsia" w:cstheme="minorEastAsia"/>
                <w:b/>
                <w:bCs/>
                <w:snapToGrid w:val="0"/>
                <w:kern w:val="0"/>
                <w:sz w:val="21"/>
                <w:szCs w:val="21"/>
                <w:highlight w:val="none"/>
                <w:lang w:eastAsia="zh-CN"/>
              </w:rPr>
              <w:br w:type="textWrapping"/>
            </w:r>
            <w:r>
              <w:rPr>
                <w:rFonts w:hint="eastAsia" w:asciiTheme="minorEastAsia" w:hAnsiTheme="minorEastAsia" w:eastAsiaTheme="minorEastAsia" w:cstheme="minorEastAsia"/>
                <w:b w:val="0"/>
                <w:bCs w:val="0"/>
                <w:snapToGrid w:val="0"/>
                <w:kern w:val="0"/>
                <w:sz w:val="21"/>
                <w:szCs w:val="21"/>
                <w:highlight w:val="none"/>
                <w:lang w:eastAsia="zh-CN"/>
              </w:rPr>
              <w:t>（</w:t>
            </w:r>
            <w:r>
              <w:rPr>
                <w:rFonts w:hint="eastAsia" w:asciiTheme="minorEastAsia" w:hAnsiTheme="minorEastAsia" w:eastAsiaTheme="minorEastAsia" w:cstheme="minorEastAsia"/>
                <w:b w:val="0"/>
                <w:bCs w:val="0"/>
                <w:snapToGrid w:val="0"/>
                <w:kern w:val="0"/>
                <w:sz w:val="21"/>
                <w:szCs w:val="21"/>
                <w:highlight w:val="none"/>
                <w:lang w:val="en-US" w:eastAsia="zh-CN"/>
              </w:rPr>
              <w:t>组成联合体投标的由联合体</w:t>
            </w:r>
            <w:r>
              <w:rPr>
                <w:rFonts w:hint="eastAsia" w:asciiTheme="minorEastAsia" w:hAnsiTheme="minorEastAsia" w:eastAsiaTheme="minorEastAsia" w:cstheme="minorEastAsia"/>
                <w:b/>
                <w:bCs/>
                <w:snapToGrid w:val="0"/>
                <w:kern w:val="0"/>
                <w:sz w:val="21"/>
                <w:szCs w:val="21"/>
                <w:highlight w:val="none"/>
                <w:lang w:val="en-US" w:eastAsia="zh-CN"/>
              </w:rPr>
              <w:t>任意一方</w:t>
            </w:r>
            <w:r>
              <w:rPr>
                <w:rFonts w:hint="eastAsia" w:asciiTheme="minorEastAsia" w:hAnsiTheme="minorEastAsia" w:eastAsiaTheme="minorEastAsia" w:cstheme="minorEastAsia"/>
                <w:b w:val="0"/>
                <w:bCs w:val="0"/>
                <w:snapToGrid w:val="0"/>
                <w:kern w:val="0"/>
                <w:sz w:val="21"/>
                <w:szCs w:val="21"/>
                <w:highlight w:val="none"/>
                <w:lang w:val="en-US" w:eastAsia="zh-CN"/>
              </w:rPr>
              <w:t>提供</w:t>
            </w:r>
            <w:r>
              <w:rPr>
                <w:rFonts w:hint="eastAsia" w:asciiTheme="minorEastAsia" w:hAnsiTheme="minorEastAsia" w:eastAsiaTheme="minorEastAsia" w:cstheme="minorEastAsia"/>
                <w:b w:val="0"/>
                <w:bCs w:val="0"/>
                <w:snapToGrid w:val="0"/>
                <w:kern w:val="0"/>
                <w:sz w:val="21"/>
                <w:szCs w:val="21"/>
                <w:highlight w:val="none"/>
                <w:lang w:eastAsia="zh-CN"/>
              </w:rPr>
              <w:t>）</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760B6B6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企业近</w:t>
            </w:r>
            <w:r>
              <w:rPr>
                <w:rFonts w:hint="eastAsia" w:asciiTheme="minorEastAsia" w:hAnsiTheme="minorEastAsia" w:eastAsiaTheme="minorEastAsia" w:cstheme="minorEastAsia"/>
                <w:snapToGrid w:val="0"/>
                <w:kern w:val="0"/>
                <w:sz w:val="21"/>
                <w:szCs w:val="21"/>
                <w:highlight w:val="none"/>
                <w:u w:val="single"/>
                <w:lang w:eastAsia="zh-CN"/>
              </w:rPr>
              <w:t xml:space="preserve"> </w:t>
            </w:r>
            <w:r>
              <w:rPr>
                <w:rFonts w:hint="eastAsia" w:asciiTheme="minorEastAsia" w:hAnsiTheme="minorEastAsia" w:eastAsiaTheme="minorEastAsia" w:cstheme="minorEastAsia"/>
                <w:snapToGrid w:val="0"/>
                <w:kern w:val="0"/>
                <w:sz w:val="21"/>
                <w:szCs w:val="21"/>
                <w:highlight w:val="none"/>
                <w:u w:val="single"/>
                <w:lang w:val="en-US" w:eastAsia="zh-CN"/>
              </w:rPr>
              <w:t>5</w:t>
            </w:r>
            <w:r>
              <w:rPr>
                <w:rFonts w:hint="eastAsia" w:asciiTheme="minorEastAsia" w:hAnsiTheme="minorEastAsia" w:eastAsiaTheme="minorEastAsia" w:cstheme="minorEastAsia"/>
                <w:snapToGrid w:val="0"/>
                <w:kern w:val="0"/>
                <w:sz w:val="21"/>
                <w:szCs w:val="21"/>
                <w:highlight w:val="none"/>
                <w:u w:val="single"/>
                <w:lang w:eastAsia="zh-CN"/>
              </w:rPr>
              <w:t xml:space="preserve"> </w:t>
            </w:r>
            <w:r>
              <w:rPr>
                <w:rFonts w:hint="eastAsia" w:asciiTheme="minorEastAsia" w:hAnsiTheme="minorEastAsia" w:eastAsiaTheme="minorEastAsia" w:cstheme="minorEastAsia"/>
                <w:snapToGrid w:val="0"/>
                <w:kern w:val="0"/>
                <w:sz w:val="21"/>
                <w:szCs w:val="21"/>
                <w:highlight w:val="none"/>
                <w:lang w:eastAsia="zh-CN"/>
              </w:rPr>
              <w:t>年来（202</w:t>
            </w:r>
            <w:r>
              <w:rPr>
                <w:rFonts w:hint="eastAsia" w:asciiTheme="minorEastAsia" w:hAnsiTheme="minorEastAsia" w:eastAsiaTheme="minorEastAsia" w:cstheme="minorEastAsia"/>
                <w:snapToGrid w:val="0"/>
                <w:kern w:val="0"/>
                <w:sz w:val="21"/>
                <w:szCs w:val="21"/>
                <w:highlight w:val="none"/>
                <w:lang w:val="en-US" w:eastAsia="zh-CN"/>
              </w:rPr>
              <w:t>1</w:t>
            </w:r>
            <w:r>
              <w:rPr>
                <w:rFonts w:hint="eastAsia" w:asciiTheme="minorEastAsia" w:hAnsiTheme="minorEastAsia" w:eastAsiaTheme="minorEastAsia" w:cstheme="minorEastAsia"/>
                <w:snapToGrid w:val="0"/>
                <w:kern w:val="0"/>
                <w:sz w:val="21"/>
                <w:szCs w:val="21"/>
                <w:highlight w:val="none"/>
                <w:lang w:eastAsia="zh-CN"/>
              </w:rPr>
              <w:t>年1月1日至今）业绩情况：</w:t>
            </w:r>
          </w:p>
          <w:p w14:paraId="7D7304D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w:t>
            </w:r>
            <w:r>
              <w:rPr>
                <w:rFonts w:hint="eastAsia" w:asciiTheme="minorEastAsia" w:hAnsiTheme="minorEastAsia" w:eastAsiaTheme="minorEastAsia" w:cstheme="minorEastAsia"/>
                <w:snapToGrid w:val="0"/>
                <w:kern w:val="0"/>
                <w:sz w:val="21"/>
                <w:szCs w:val="21"/>
                <w:highlight w:val="none"/>
                <w:u w:val="single"/>
                <w:lang w:eastAsia="zh-CN"/>
              </w:rPr>
              <w:t xml:space="preserve">承接 </w:t>
            </w:r>
            <w:r>
              <w:rPr>
                <w:rFonts w:hint="eastAsia" w:asciiTheme="minorEastAsia" w:hAnsiTheme="minorEastAsia" w:eastAsiaTheme="minorEastAsia" w:cstheme="minorEastAsia"/>
                <w:snapToGrid w:val="0"/>
                <w:kern w:val="0"/>
                <w:sz w:val="21"/>
                <w:szCs w:val="21"/>
                <w:highlight w:val="none"/>
                <w:lang w:eastAsia="zh-CN"/>
              </w:rPr>
              <w:t>过类似工程的，每个得</w:t>
            </w:r>
            <w:r>
              <w:rPr>
                <w:rFonts w:hint="eastAsia" w:asciiTheme="minorEastAsia" w:hAnsiTheme="minorEastAsia" w:eastAsiaTheme="minorEastAsia" w:cstheme="minorEastAsia"/>
                <w:snapToGrid w:val="0"/>
                <w:kern w:val="0"/>
                <w:sz w:val="21"/>
                <w:szCs w:val="21"/>
                <w:highlight w:val="none"/>
                <w:u w:val="single"/>
                <w:lang w:eastAsia="zh-CN"/>
              </w:rPr>
              <w:t xml:space="preserve"> 5 </w:t>
            </w:r>
            <w:r>
              <w:rPr>
                <w:rFonts w:hint="eastAsia" w:asciiTheme="minorEastAsia" w:hAnsiTheme="minorEastAsia" w:eastAsiaTheme="minorEastAsia" w:cstheme="minorEastAsia"/>
                <w:snapToGrid w:val="0"/>
                <w:kern w:val="0"/>
                <w:sz w:val="21"/>
                <w:szCs w:val="21"/>
                <w:highlight w:val="none"/>
                <w:lang w:eastAsia="zh-CN"/>
              </w:rPr>
              <w:t>分。</w:t>
            </w:r>
          </w:p>
          <w:p w14:paraId="47048D8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2．未</w:t>
            </w:r>
            <w:r>
              <w:rPr>
                <w:rFonts w:hint="eastAsia" w:asciiTheme="minorEastAsia" w:hAnsiTheme="minorEastAsia" w:eastAsiaTheme="minorEastAsia" w:cstheme="minorEastAsia"/>
                <w:snapToGrid w:val="0"/>
                <w:kern w:val="0"/>
                <w:sz w:val="21"/>
                <w:szCs w:val="21"/>
                <w:highlight w:val="none"/>
                <w:u w:val="single"/>
                <w:lang w:eastAsia="zh-CN"/>
              </w:rPr>
              <w:t xml:space="preserve"> 承接 </w:t>
            </w:r>
            <w:r>
              <w:rPr>
                <w:rFonts w:hint="eastAsia" w:asciiTheme="minorEastAsia" w:hAnsiTheme="minorEastAsia" w:eastAsiaTheme="minorEastAsia" w:cstheme="minorEastAsia"/>
                <w:snapToGrid w:val="0"/>
                <w:kern w:val="0"/>
                <w:sz w:val="21"/>
                <w:szCs w:val="21"/>
                <w:highlight w:val="none"/>
                <w:lang w:eastAsia="zh-CN"/>
              </w:rPr>
              <w:t>过类似工程的，不予计分。</w:t>
            </w:r>
          </w:p>
          <w:p w14:paraId="4575903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3．本项最高得1</w:t>
            </w:r>
            <w:r>
              <w:rPr>
                <w:rFonts w:hint="eastAsia" w:asciiTheme="minorEastAsia" w:hAnsiTheme="minorEastAsia" w:eastAsiaTheme="minorEastAsia" w:cstheme="minorEastAsia"/>
                <w:b/>
                <w:bCs/>
                <w:snapToGrid w:val="0"/>
                <w:kern w:val="0"/>
                <w:sz w:val="21"/>
                <w:szCs w:val="21"/>
                <w:highlight w:val="none"/>
                <w:lang w:val="en-US" w:eastAsia="zh-CN"/>
              </w:rPr>
              <w:t>0</w:t>
            </w:r>
            <w:r>
              <w:rPr>
                <w:rFonts w:hint="eastAsia" w:asciiTheme="minorEastAsia" w:hAnsiTheme="minorEastAsia" w:eastAsiaTheme="minorEastAsia" w:cstheme="minorEastAsia"/>
                <w:b/>
                <w:bCs/>
                <w:snapToGrid w:val="0"/>
                <w:kern w:val="0"/>
                <w:sz w:val="21"/>
                <w:szCs w:val="21"/>
                <w:highlight w:val="none"/>
                <w:lang w:eastAsia="zh-CN"/>
              </w:rPr>
              <w:t xml:space="preserve">分。 </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93702D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u w:val="single"/>
                <w:lang w:eastAsia="zh-CN"/>
              </w:rPr>
            </w:pPr>
            <w:r>
              <w:rPr>
                <w:rFonts w:hint="eastAsia" w:asciiTheme="minorEastAsia" w:hAnsiTheme="minorEastAsia" w:eastAsiaTheme="minorEastAsia" w:cstheme="minorEastAsia"/>
                <w:snapToGrid w:val="0"/>
                <w:kern w:val="0"/>
                <w:sz w:val="21"/>
                <w:szCs w:val="21"/>
                <w:highlight w:val="none"/>
                <w:lang w:eastAsia="zh-CN"/>
              </w:rPr>
              <w:t>1．类似工程指：</w:t>
            </w:r>
            <w:r>
              <w:rPr>
                <w:rFonts w:hint="eastAsia" w:asciiTheme="minorEastAsia" w:hAnsiTheme="minorEastAsia" w:eastAsiaTheme="minorEastAsia" w:cstheme="minorEastAsia"/>
                <w:snapToGrid/>
                <w:kern w:val="2"/>
                <w:sz w:val="21"/>
                <w:szCs w:val="21"/>
                <w:highlight w:val="none"/>
                <w:u w:val="single"/>
                <w:lang w:eastAsia="zh-CN"/>
              </w:rPr>
              <w:t>单项工程总造价≥</w:t>
            </w:r>
            <w:r>
              <w:rPr>
                <w:rFonts w:hint="eastAsia" w:asciiTheme="minorEastAsia" w:hAnsiTheme="minorEastAsia" w:eastAsiaTheme="minorEastAsia" w:cstheme="minorEastAsia"/>
                <w:snapToGrid/>
                <w:kern w:val="2"/>
                <w:sz w:val="21"/>
                <w:szCs w:val="21"/>
                <w:highlight w:val="none"/>
                <w:u w:val="single"/>
                <w:lang w:val="en-US" w:eastAsia="zh-CN"/>
              </w:rPr>
              <w:t>2</w:t>
            </w:r>
            <w:r>
              <w:rPr>
                <w:rFonts w:hint="eastAsia" w:asciiTheme="minorEastAsia" w:hAnsiTheme="minorEastAsia" w:eastAsiaTheme="minorEastAsia" w:cstheme="minorEastAsia"/>
                <w:snapToGrid/>
                <w:kern w:val="2"/>
                <w:sz w:val="21"/>
                <w:szCs w:val="21"/>
                <w:highlight w:val="none"/>
                <w:u w:val="single"/>
                <w:lang w:eastAsia="zh-CN"/>
              </w:rPr>
              <w:t>00万元的</w:t>
            </w:r>
            <w:r>
              <w:rPr>
                <w:rFonts w:hint="eastAsia" w:asciiTheme="minorEastAsia" w:hAnsiTheme="minorEastAsia" w:eastAsiaTheme="minorEastAsia" w:cstheme="minorEastAsia"/>
                <w:snapToGrid/>
                <w:kern w:val="2"/>
                <w:sz w:val="21"/>
                <w:szCs w:val="21"/>
                <w:highlight w:val="none"/>
                <w:u w:val="single"/>
                <w:lang w:val="en-US" w:eastAsia="zh-CN"/>
              </w:rPr>
              <w:t>桥梁</w:t>
            </w:r>
            <w:r>
              <w:rPr>
                <w:rFonts w:hint="eastAsia" w:asciiTheme="minorEastAsia" w:hAnsiTheme="minorEastAsia" w:eastAsiaTheme="minorEastAsia" w:cstheme="minorEastAsia"/>
                <w:snapToGrid/>
                <w:kern w:val="2"/>
                <w:sz w:val="21"/>
                <w:szCs w:val="21"/>
                <w:highlight w:val="none"/>
                <w:u w:val="single"/>
                <w:lang w:eastAsia="zh-CN"/>
              </w:rPr>
              <w:t>工程类</w:t>
            </w:r>
            <w:r>
              <w:rPr>
                <w:rFonts w:hint="eastAsia" w:asciiTheme="minorEastAsia" w:hAnsiTheme="minorEastAsia" w:eastAsiaTheme="minorEastAsia" w:cstheme="minorEastAsia"/>
                <w:snapToGrid/>
                <w:kern w:val="2"/>
                <w:sz w:val="21"/>
                <w:szCs w:val="21"/>
                <w:highlight w:val="none"/>
                <w:u w:val="single"/>
                <w:lang w:val="en-US" w:eastAsia="zh-CN"/>
              </w:rPr>
              <w:t>或桥梁加固、补强类</w:t>
            </w:r>
            <w:r>
              <w:rPr>
                <w:rFonts w:hint="eastAsia" w:asciiTheme="minorEastAsia" w:hAnsiTheme="minorEastAsia" w:eastAsiaTheme="minorEastAsia" w:cstheme="minorEastAsia"/>
                <w:snapToGrid w:val="0"/>
                <w:kern w:val="0"/>
                <w:sz w:val="21"/>
                <w:szCs w:val="21"/>
                <w:highlight w:val="none"/>
                <w:u w:val="single"/>
                <w:lang w:eastAsia="zh-CN"/>
              </w:rPr>
              <w:t>。</w:t>
            </w:r>
          </w:p>
          <w:p w14:paraId="201C0CE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i/>
                <w:i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2．需附有关业绩（仅限于以施工</w:t>
            </w:r>
            <w:r>
              <w:rPr>
                <w:rFonts w:hint="eastAsia" w:asciiTheme="minorEastAsia" w:hAnsiTheme="minorEastAsia" w:eastAsiaTheme="minorEastAsia" w:cstheme="minorEastAsia"/>
                <w:snapToGrid w:val="0"/>
                <w:kern w:val="0"/>
                <w:sz w:val="21"/>
                <w:szCs w:val="21"/>
                <w:highlight w:val="none"/>
                <w:u w:val="single"/>
                <w:lang w:eastAsia="zh-CN"/>
              </w:rPr>
              <w:t xml:space="preserve"> 总承包单位 </w:t>
            </w:r>
            <w:r>
              <w:rPr>
                <w:rFonts w:hint="eastAsia" w:asciiTheme="minorEastAsia" w:hAnsiTheme="minorEastAsia" w:eastAsiaTheme="minorEastAsia" w:cstheme="minorEastAsia"/>
                <w:snapToGrid w:val="0"/>
                <w:kern w:val="0"/>
                <w:sz w:val="21"/>
                <w:szCs w:val="21"/>
                <w:highlight w:val="none"/>
                <w:lang w:eastAsia="zh-CN"/>
              </w:rPr>
              <w:t>身份参建的项目）</w:t>
            </w:r>
            <w:r>
              <w:rPr>
                <w:rFonts w:hint="eastAsia" w:asciiTheme="minorEastAsia" w:hAnsiTheme="minorEastAsia" w:eastAsiaTheme="minorEastAsia" w:cstheme="minorEastAsia"/>
                <w:snapToGrid/>
                <w:kern w:val="0"/>
                <w:sz w:val="21"/>
                <w:szCs w:val="21"/>
                <w:highlight w:val="none"/>
                <w:lang w:eastAsia="zh-CN"/>
              </w:rPr>
              <w:t>合同协议书</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lang w:eastAsia="zh-CN"/>
              </w:rPr>
              <w:t>同时提供原件供核对</w:t>
            </w:r>
            <w:r>
              <w:rPr>
                <w:rFonts w:hint="eastAsia" w:asciiTheme="minorEastAsia" w:hAnsiTheme="minorEastAsia" w:eastAsiaTheme="minorEastAsia" w:cstheme="minorEastAsia"/>
                <w:snapToGrid w:val="0"/>
                <w:kern w:val="0"/>
                <w:sz w:val="21"/>
                <w:szCs w:val="21"/>
                <w:highlight w:val="none"/>
                <w:lang w:eastAsia="zh-CN"/>
              </w:rPr>
              <w:t>。</w:t>
            </w:r>
          </w:p>
          <w:p w14:paraId="10C4804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3．业绩时间以合同协议书日期为准。</w:t>
            </w:r>
          </w:p>
          <w:p w14:paraId="32D04DF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4．任一业绩有以下情形之一的，该业绩视为无效，不予计分：</w:t>
            </w:r>
          </w:p>
          <w:p w14:paraId="50D4EA1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①未提供业绩证明材料原件的；</w:t>
            </w:r>
          </w:p>
          <w:p w14:paraId="50B8ABA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②业绩不属于类似工程的；</w:t>
            </w:r>
          </w:p>
          <w:p w14:paraId="6DD0530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③不是以指定身份参建的；</w:t>
            </w:r>
          </w:p>
          <w:p w14:paraId="652B9B2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④业绩时间不符合要求的。</w:t>
            </w:r>
          </w:p>
          <w:p w14:paraId="5B42CCE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5</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组成联合体时，由牵头人提供以上资料。</w:t>
            </w:r>
          </w:p>
        </w:tc>
      </w:tr>
      <w:tr w14:paraId="0B330CD4">
        <w:tblPrEx>
          <w:tblCellMar>
            <w:top w:w="0" w:type="dxa"/>
            <w:left w:w="108" w:type="dxa"/>
            <w:bottom w:w="0" w:type="dxa"/>
            <w:right w:w="108" w:type="dxa"/>
          </w:tblCellMar>
        </w:tblPrEx>
        <w:trPr>
          <w:trHeight w:val="48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09189F7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企业银行</w:t>
            </w:r>
          </w:p>
          <w:p w14:paraId="46DEFF0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资信评级</w:t>
            </w:r>
          </w:p>
          <w:p w14:paraId="4D764F1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（10分）</w:t>
            </w:r>
            <w:r>
              <w:rPr>
                <w:rFonts w:hint="eastAsia" w:asciiTheme="minorEastAsia" w:hAnsiTheme="minorEastAsia" w:eastAsiaTheme="minorEastAsia" w:cstheme="minorEastAsia"/>
                <w:b/>
                <w:bCs/>
                <w:snapToGrid w:val="0"/>
                <w:kern w:val="0"/>
                <w:sz w:val="21"/>
                <w:szCs w:val="21"/>
                <w:highlight w:val="none"/>
                <w:lang w:eastAsia="zh-CN"/>
              </w:rPr>
              <w:br w:type="textWrapping"/>
            </w:r>
            <w:r>
              <w:rPr>
                <w:rFonts w:hint="eastAsia" w:asciiTheme="minorEastAsia" w:hAnsiTheme="minorEastAsia" w:eastAsiaTheme="minorEastAsia" w:cstheme="minorEastAsia"/>
                <w:b w:val="0"/>
                <w:bCs w:val="0"/>
                <w:snapToGrid w:val="0"/>
                <w:kern w:val="0"/>
                <w:sz w:val="21"/>
                <w:szCs w:val="21"/>
                <w:highlight w:val="none"/>
                <w:lang w:eastAsia="zh-CN"/>
              </w:rPr>
              <w:t>（</w:t>
            </w:r>
            <w:r>
              <w:rPr>
                <w:rFonts w:hint="eastAsia" w:asciiTheme="minorEastAsia" w:hAnsiTheme="minorEastAsia" w:eastAsiaTheme="minorEastAsia" w:cstheme="minorEastAsia"/>
                <w:b w:val="0"/>
                <w:bCs w:val="0"/>
                <w:snapToGrid w:val="0"/>
                <w:kern w:val="0"/>
                <w:sz w:val="21"/>
                <w:szCs w:val="21"/>
                <w:highlight w:val="none"/>
                <w:lang w:val="en-US" w:eastAsia="zh-CN"/>
              </w:rPr>
              <w:t>组成联合体投标的由联合体</w:t>
            </w:r>
            <w:r>
              <w:rPr>
                <w:rFonts w:hint="eastAsia" w:asciiTheme="minorEastAsia" w:hAnsiTheme="minorEastAsia" w:eastAsiaTheme="minorEastAsia" w:cstheme="minorEastAsia"/>
                <w:b/>
                <w:bCs/>
                <w:snapToGrid w:val="0"/>
                <w:kern w:val="0"/>
                <w:sz w:val="21"/>
                <w:szCs w:val="21"/>
                <w:highlight w:val="none"/>
                <w:lang w:val="en-US" w:eastAsia="zh-CN"/>
              </w:rPr>
              <w:t>牵头人</w:t>
            </w:r>
            <w:r>
              <w:rPr>
                <w:rFonts w:hint="eastAsia" w:asciiTheme="minorEastAsia" w:hAnsiTheme="minorEastAsia" w:eastAsiaTheme="minorEastAsia" w:cstheme="minorEastAsia"/>
                <w:b w:val="0"/>
                <w:bCs w:val="0"/>
                <w:snapToGrid w:val="0"/>
                <w:kern w:val="0"/>
                <w:sz w:val="21"/>
                <w:szCs w:val="21"/>
                <w:highlight w:val="none"/>
                <w:lang w:val="en-US" w:eastAsia="zh-CN"/>
              </w:rPr>
              <w:t>提供</w:t>
            </w:r>
            <w:r>
              <w:rPr>
                <w:rFonts w:hint="eastAsia" w:asciiTheme="minorEastAsia" w:hAnsiTheme="minorEastAsia" w:eastAsiaTheme="minorEastAsia" w:cstheme="minorEastAsia"/>
                <w:b w:val="0"/>
                <w:bCs w:val="0"/>
                <w:snapToGrid w:val="0"/>
                <w:kern w:val="0"/>
                <w:sz w:val="21"/>
                <w:szCs w:val="21"/>
                <w:highlight w:val="none"/>
                <w:lang w:eastAsia="zh-CN"/>
              </w:rPr>
              <w:t>）</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7CF822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1．银行资信评级AAA的，得</w:t>
            </w:r>
            <w:r>
              <w:rPr>
                <w:rFonts w:hint="eastAsia" w:asciiTheme="minorEastAsia" w:hAnsiTheme="minorEastAsia" w:eastAsiaTheme="minorEastAsia" w:cstheme="minorEastAsia"/>
                <w:snapToGrid w:val="0"/>
                <w:kern w:val="0"/>
                <w:sz w:val="21"/>
                <w:szCs w:val="21"/>
                <w:highlight w:val="none"/>
                <w:u w:val="single"/>
                <w:lang w:eastAsia="zh-CN"/>
              </w:rPr>
              <w:t xml:space="preserve"> 10</w:t>
            </w:r>
            <w:r>
              <w:rPr>
                <w:rFonts w:hint="eastAsia" w:asciiTheme="minorEastAsia" w:hAnsiTheme="minorEastAsia" w:eastAsiaTheme="minorEastAsia" w:cstheme="minorEastAsia"/>
                <w:snapToGrid w:val="0"/>
                <w:kern w:val="0"/>
                <w:sz w:val="21"/>
                <w:szCs w:val="21"/>
                <w:highlight w:val="none"/>
                <w:lang w:eastAsia="zh-CN"/>
              </w:rPr>
              <w:t>分；</w:t>
            </w:r>
          </w:p>
          <w:p w14:paraId="20FBC11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2．银行资信评级AA（含AA＋、AA－）的，得</w:t>
            </w:r>
            <w:r>
              <w:rPr>
                <w:rFonts w:hint="eastAsia" w:asciiTheme="minorEastAsia" w:hAnsiTheme="minorEastAsia" w:eastAsiaTheme="minorEastAsia" w:cstheme="minorEastAsia"/>
                <w:snapToGrid w:val="0"/>
                <w:kern w:val="0"/>
                <w:sz w:val="21"/>
                <w:szCs w:val="21"/>
                <w:highlight w:val="none"/>
                <w:u w:val="single"/>
                <w:lang w:eastAsia="zh-CN"/>
              </w:rPr>
              <w:t xml:space="preserve"> 5 </w:t>
            </w:r>
            <w:r>
              <w:rPr>
                <w:rFonts w:hint="eastAsia" w:asciiTheme="minorEastAsia" w:hAnsiTheme="minorEastAsia" w:eastAsiaTheme="minorEastAsia" w:cstheme="minorEastAsia"/>
                <w:snapToGrid w:val="0"/>
                <w:kern w:val="0"/>
                <w:sz w:val="21"/>
                <w:szCs w:val="21"/>
                <w:highlight w:val="none"/>
                <w:lang w:eastAsia="zh-CN"/>
              </w:rPr>
              <w:t>分。</w:t>
            </w:r>
          </w:p>
          <w:p w14:paraId="19AA884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3．银行资信评级A（含A＋、A－）的，得</w:t>
            </w:r>
            <w:r>
              <w:rPr>
                <w:rFonts w:hint="eastAsia" w:asciiTheme="minorEastAsia" w:hAnsiTheme="minorEastAsia" w:eastAsiaTheme="minorEastAsia" w:cstheme="minorEastAsia"/>
                <w:snapToGrid w:val="0"/>
                <w:kern w:val="0"/>
                <w:sz w:val="21"/>
                <w:szCs w:val="21"/>
                <w:highlight w:val="none"/>
                <w:u w:val="single"/>
                <w:lang w:eastAsia="zh-CN"/>
              </w:rPr>
              <w:t xml:space="preserve"> 3 </w:t>
            </w:r>
            <w:r>
              <w:rPr>
                <w:rFonts w:hint="eastAsia" w:asciiTheme="minorEastAsia" w:hAnsiTheme="minorEastAsia" w:eastAsiaTheme="minorEastAsia" w:cstheme="minorEastAsia"/>
                <w:snapToGrid w:val="0"/>
                <w:kern w:val="0"/>
                <w:sz w:val="21"/>
                <w:szCs w:val="21"/>
                <w:highlight w:val="none"/>
                <w:lang w:eastAsia="zh-CN"/>
              </w:rPr>
              <w:t>分。</w:t>
            </w:r>
          </w:p>
          <w:p w14:paraId="09244F5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4．未获得过以上评级的，或评级证书无效的，不予计分。</w:t>
            </w:r>
          </w:p>
          <w:p w14:paraId="725C9D9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5．本项最高得10分。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B42978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1．需附在有效期内的资信评级证书（证明）复印件（或打印件或扫描件)，</w:t>
            </w:r>
            <w:r>
              <w:rPr>
                <w:rFonts w:hint="eastAsia" w:asciiTheme="minorEastAsia" w:hAnsiTheme="minorEastAsia" w:eastAsiaTheme="minorEastAsia" w:cstheme="minorEastAsia"/>
                <w:b/>
                <w:bCs/>
                <w:snapToGrid w:val="0"/>
                <w:kern w:val="0"/>
                <w:sz w:val="21"/>
                <w:szCs w:val="21"/>
                <w:highlight w:val="none"/>
                <w:lang w:eastAsia="zh-CN"/>
              </w:rPr>
              <w:t>同时提供原件供核对</w:t>
            </w:r>
            <w:r>
              <w:rPr>
                <w:rFonts w:hint="eastAsia" w:asciiTheme="minorEastAsia" w:hAnsiTheme="minorEastAsia" w:eastAsiaTheme="minorEastAsia" w:cstheme="minorEastAsia"/>
                <w:snapToGrid w:val="0"/>
                <w:kern w:val="0"/>
                <w:sz w:val="21"/>
                <w:szCs w:val="21"/>
                <w:highlight w:val="none"/>
                <w:lang w:eastAsia="zh-CN"/>
              </w:rPr>
              <w:t>。</w:t>
            </w:r>
          </w:p>
          <w:p w14:paraId="78F080C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2．评级证书（证明）须由</w:t>
            </w:r>
            <w:r>
              <w:rPr>
                <w:rFonts w:hint="eastAsia" w:asciiTheme="minorEastAsia" w:hAnsiTheme="minorEastAsia" w:eastAsiaTheme="minorEastAsia" w:cstheme="minorEastAsia"/>
                <w:snapToGrid w:val="0"/>
                <w:kern w:val="0"/>
                <w:sz w:val="21"/>
                <w:szCs w:val="21"/>
                <w:highlight w:val="none"/>
                <w:u w:val="single"/>
                <w:lang w:eastAsia="zh-CN"/>
              </w:rPr>
              <w:t xml:space="preserve"> </w:t>
            </w:r>
            <w:r>
              <w:rPr>
                <w:rFonts w:hint="eastAsia" w:asciiTheme="minorEastAsia" w:hAnsiTheme="minorEastAsia" w:eastAsiaTheme="minorEastAsia" w:cstheme="minorEastAsia"/>
                <w:snapToGrid/>
                <w:kern w:val="0"/>
                <w:sz w:val="21"/>
                <w:szCs w:val="21"/>
                <w:highlight w:val="none"/>
                <w:u w:val="single"/>
                <w:lang w:eastAsia="zh-CN"/>
              </w:rPr>
              <w:t>企业基本账户开户银行</w:t>
            </w:r>
            <w:r>
              <w:rPr>
                <w:rFonts w:hint="eastAsia" w:asciiTheme="minorEastAsia" w:hAnsiTheme="minorEastAsia" w:eastAsiaTheme="minorEastAsia" w:cstheme="minorEastAsia"/>
                <w:snapToGrid w:val="0"/>
                <w:kern w:val="0"/>
                <w:sz w:val="21"/>
                <w:szCs w:val="21"/>
                <w:highlight w:val="none"/>
                <w:u w:val="single"/>
                <w:lang w:eastAsia="zh-CN"/>
              </w:rPr>
              <w:t xml:space="preserve"> </w:t>
            </w:r>
            <w:r>
              <w:rPr>
                <w:rFonts w:hint="eastAsia" w:asciiTheme="minorEastAsia" w:hAnsiTheme="minorEastAsia" w:eastAsiaTheme="minorEastAsia" w:cstheme="minorEastAsia"/>
                <w:snapToGrid w:val="0"/>
                <w:kern w:val="0"/>
                <w:sz w:val="21"/>
                <w:szCs w:val="21"/>
                <w:highlight w:val="none"/>
                <w:lang w:eastAsia="zh-CN"/>
              </w:rPr>
              <w:t>出具。</w:t>
            </w:r>
          </w:p>
          <w:p w14:paraId="27623ED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3．评级证书（证明）有以下情形之一的，视为无效：</w:t>
            </w:r>
          </w:p>
          <w:p w14:paraId="29F6914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①未提供评级证书（证明）原件的；</w:t>
            </w:r>
          </w:p>
          <w:p w14:paraId="685A632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②评级证书（证明）不在有效期内的；</w:t>
            </w:r>
          </w:p>
          <w:p w14:paraId="02913DC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③出具机构不符合要求的。</w:t>
            </w:r>
          </w:p>
          <w:p w14:paraId="2AB55F8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4</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组成联合体时，由牵头人提供以上资料。</w:t>
            </w:r>
          </w:p>
        </w:tc>
      </w:tr>
      <w:tr w14:paraId="008689E8">
        <w:tblPrEx>
          <w:tblCellMar>
            <w:top w:w="0" w:type="dxa"/>
            <w:left w:w="108" w:type="dxa"/>
            <w:bottom w:w="0" w:type="dxa"/>
            <w:right w:w="108" w:type="dxa"/>
          </w:tblCellMar>
        </w:tblPrEx>
        <w:trPr>
          <w:trHeight w:val="3461"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6058D3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企业管理</w:t>
            </w:r>
          </w:p>
          <w:p w14:paraId="495E413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体系认证</w:t>
            </w:r>
          </w:p>
          <w:p w14:paraId="4A4DA37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（6分）</w:t>
            </w:r>
            <w:r>
              <w:rPr>
                <w:rFonts w:hint="eastAsia" w:asciiTheme="minorEastAsia" w:hAnsiTheme="minorEastAsia" w:eastAsiaTheme="minorEastAsia" w:cstheme="minorEastAsia"/>
                <w:b/>
                <w:bCs/>
                <w:snapToGrid w:val="0"/>
                <w:kern w:val="0"/>
                <w:sz w:val="21"/>
                <w:szCs w:val="21"/>
                <w:highlight w:val="none"/>
                <w:lang w:eastAsia="zh-CN"/>
              </w:rPr>
              <w:br w:type="textWrapping"/>
            </w:r>
            <w:r>
              <w:rPr>
                <w:rFonts w:hint="eastAsia" w:asciiTheme="minorEastAsia" w:hAnsiTheme="minorEastAsia" w:eastAsiaTheme="minorEastAsia" w:cstheme="minorEastAsia"/>
                <w:b w:val="0"/>
                <w:bCs w:val="0"/>
                <w:snapToGrid w:val="0"/>
                <w:kern w:val="0"/>
                <w:sz w:val="21"/>
                <w:szCs w:val="21"/>
                <w:highlight w:val="none"/>
                <w:lang w:eastAsia="zh-CN"/>
              </w:rPr>
              <w:t>（</w:t>
            </w:r>
            <w:r>
              <w:rPr>
                <w:rFonts w:hint="eastAsia" w:asciiTheme="minorEastAsia" w:hAnsiTheme="minorEastAsia" w:eastAsiaTheme="minorEastAsia" w:cstheme="minorEastAsia"/>
                <w:b w:val="0"/>
                <w:bCs w:val="0"/>
                <w:snapToGrid w:val="0"/>
                <w:kern w:val="0"/>
                <w:sz w:val="21"/>
                <w:szCs w:val="21"/>
                <w:highlight w:val="none"/>
                <w:lang w:val="en-US" w:eastAsia="zh-CN"/>
              </w:rPr>
              <w:t>组成联合体投标的由联合体</w:t>
            </w:r>
            <w:r>
              <w:rPr>
                <w:rFonts w:hint="eastAsia" w:asciiTheme="minorEastAsia" w:hAnsiTheme="minorEastAsia" w:eastAsiaTheme="minorEastAsia" w:cstheme="minorEastAsia"/>
                <w:b/>
                <w:bCs/>
                <w:snapToGrid w:val="0"/>
                <w:kern w:val="0"/>
                <w:sz w:val="21"/>
                <w:szCs w:val="21"/>
                <w:highlight w:val="none"/>
                <w:lang w:val="en-US" w:eastAsia="zh-CN"/>
              </w:rPr>
              <w:t>牵头人</w:t>
            </w:r>
            <w:r>
              <w:rPr>
                <w:rFonts w:hint="eastAsia" w:asciiTheme="minorEastAsia" w:hAnsiTheme="minorEastAsia" w:eastAsiaTheme="minorEastAsia" w:cstheme="minorEastAsia"/>
                <w:b w:val="0"/>
                <w:bCs w:val="0"/>
                <w:snapToGrid w:val="0"/>
                <w:kern w:val="0"/>
                <w:sz w:val="21"/>
                <w:szCs w:val="21"/>
                <w:highlight w:val="none"/>
                <w:lang w:val="en-US" w:eastAsia="zh-CN"/>
              </w:rPr>
              <w:t>提供</w:t>
            </w:r>
            <w:r>
              <w:rPr>
                <w:rFonts w:hint="eastAsia" w:asciiTheme="minorEastAsia" w:hAnsiTheme="minorEastAsia" w:eastAsiaTheme="minorEastAsia" w:cstheme="minorEastAsia"/>
                <w:b w:val="0"/>
                <w:bCs w:val="0"/>
                <w:snapToGrid w:val="0"/>
                <w:kern w:val="0"/>
                <w:sz w:val="21"/>
                <w:szCs w:val="21"/>
                <w:highlight w:val="none"/>
                <w:lang w:eastAsia="zh-CN"/>
              </w:rPr>
              <w:t>）</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4E26CF3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1．质量管理体系认证、职业健康安全管理体系认证、环境管理体系认证中，每获得1项认证得</w:t>
            </w:r>
            <w:r>
              <w:rPr>
                <w:rFonts w:hint="eastAsia" w:asciiTheme="minorEastAsia" w:hAnsiTheme="minorEastAsia" w:eastAsiaTheme="minorEastAsia" w:cstheme="minorEastAsia"/>
                <w:snapToGrid w:val="0"/>
                <w:kern w:val="0"/>
                <w:sz w:val="21"/>
                <w:szCs w:val="21"/>
                <w:highlight w:val="none"/>
                <w:u w:val="single"/>
                <w:lang w:eastAsia="zh-CN"/>
              </w:rPr>
              <w:t xml:space="preserve"> 2 </w:t>
            </w:r>
            <w:r>
              <w:rPr>
                <w:rFonts w:hint="eastAsia" w:asciiTheme="minorEastAsia" w:hAnsiTheme="minorEastAsia" w:eastAsiaTheme="minorEastAsia" w:cstheme="minorEastAsia"/>
                <w:snapToGrid w:val="0"/>
                <w:kern w:val="0"/>
                <w:sz w:val="21"/>
                <w:szCs w:val="21"/>
                <w:highlight w:val="none"/>
                <w:lang w:eastAsia="zh-CN"/>
              </w:rPr>
              <w:t>分，最高得</w:t>
            </w:r>
            <w:r>
              <w:rPr>
                <w:rFonts w:hint="eastAsia" w:asciiTheme="minorEastAsia" w:hAnsiTheme="minorEastAsia" w:eastAsiaTheme="minorEastAsia" w:cstheme="minorEastAsia"/>
                <w:snapToGrid w:val="0"/>
                <w:kern w:val="0"/>
                <w:sz w:val="21"/>
                <w:szCs w:val="21"/>
                <w:highlight w:val="none"/>
                <w:u w:val="single"/>
                <w:lang w:eastAsia="zh-CN"/>
              </w:rPr>
              <w:t xml:space="preserve"> 6 </w:t>
            </w:r>
            <w:r>
              <w:rPr>
                <w:rFonts w:hint="eastAsia" w:asciiTheme="minorEastAsia" w:hAnsiTheme="minorEastAsia" w:eastAsiaTheme="minorEastAsia" w:cstheme="minorEastAsia"/>
                <w:snapToGrid w:val="0"/>
                <w:kern w:val="0"/>
                <w:sz w:val="21"/>
                <w:szCs w:val="21"/>
                <w:highlight w:val="none"/>
                <w:lang w:eastAsia="zh-CN"/>
              </w:rPr>
              <w:t>分。</w:t>
            </w:r>
          </w:p>
          <w:p w14:paraId="7C2F401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2．未获得以上认证的，不予计分。</w:t>
            </w:r>
          </w:p>
          <w:p w14:paraId="25D3F1B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3．本项最高得6分。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ACA121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1．需附在有效期内的认证证书复印件（或打印件或扫描件)，</w:t>
            </w:r>
            <w:r>
              <w:rPr>
                <w:rFonts w:hint="eastAsia" w:asciiTheme="minorEastAsia" w:hAnsiTheme="minorEastAsia" w:eastAsiaTheme="minorEastAsia" w:cstheme="minorEastAsia"/>
                <w:b/>
                <w:bCs/>
                <w:snapToGrid w:val="0"/>
                <w:kern w:val="0"/>
                <w:sz w:val="21"/>
                <w:szCs w:val="21"/>
                <w:highlight w:val="none"/>
                <w:lang w:eastAsia="zh-CN"/>
              </w:rPr>
              <w:t>同时提供原件供核对（证书为电子证书的除外）</w:t>
            </w:r>
            <w:r>
              <w:rPr>
                <w:rFonts w:hint="eastAsia" w:asciiTheme="minorEastAsia" w:hAnsiTheme="minorEastAsia" w:eastAsiaTheme="minorEastAsia" w:cstheme="minorEastAsia"/>
                <w:snapToGrid w:val="0"/>
                <w:kern w:val="0"/>
                <w:sz w:val="21"/>
                <w:szCs w:val="21"/>
                <w:highlight w:val="none"/>
                <w:lang w:eastAsia="zh-CN"/>
              </w:rPr>
              <w:t>。</w:t>
            </w:r>
          </w:p>
          <w:p w14:paraId="45BEAA6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2．任一认证证书有以下情形之一的，该认证证书视为无效，不予计分：</w:t>
            </w:r>
          </w:p>
          <w:p w14:paraId="5D27336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①未提供认证证书原件的；</w:t>
            </w:r>
          </w:p>
          <w:p w14:paraId="47282A6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②认证证书不在有效期内的。</w:t>
            </w:r>
          </w:p>
          <w:p w14:paraId="046BB62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3</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组成联合体时，由牵头人提供以上资料。</w:t>
            </w:r>
          </w:p>
        </w:tc>
      </w:tr>
      <w:tr w14:paraId="71EE4CF0">
        <w:tblPrEx>
          <w:tblCellMar>
            <w:top w:w="0" w:type="dxa"/>
            <w:left w:w="108" w:type="dxa"/>
            <w:bottom w:w="0" w:type="dxa"/>
            <w:right w:w="108" w:type="dxa"/>
          </w:tblCellMar>
        </w:tblPrEx>
        <w:trPr>
          <w:trHeight w:val="568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F2EC0D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企业</w:t>
            </w:r>
          </w:p>
          <w:p w14:paraId="5409F26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trike/>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财务状况</w:t>
            </w:r>
          </w:p>
          <w:p w14:paraId="52D19AB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（9分）</w:t>
            </w:r>
            <w:r>
              <w:rPr>
                <w:rFonts w:hint="eastAsia" w:asciiTheme="minorEastAsia" w:hAnsiTheme="minorEastAsia" w:eastAsiaTheme="minorEastAsia" w:cstheme="minorEastAsia"/>
                <w:b/>
                <w:bCs/>
                <w:snapToGrid w:val="0"/>
                <w:kern w:val="0"/>
                <w:sz w:val="21"/>
                <w:szCs w:val="21"/>
                <w:highlight w:val="none"/>
                <w:lang w:eastAsia="zh-CN"/>
              </w:rPr>
              <w:br w:type="textWrapping"/>
            </w:r>
            <w:r>
              <w:rPr>
                <w:rFonts w:hint="eastAsia" w:asciiTheme="minorEastAsia" w:hAnsiTheme="minorEastAsia" w:eastAsiaTheme="minorEastAsia" w:cstheme="minorEastAsia"/>
                <w:b w:val="0"/>
                <w:bCs w:val="0"/>
                <w:snapToGrid w:val="0"/>
                <w:kern w:val="0"/>
                <w:sz w:val="21"/>
                <w:szCs w:val="21"/>
                <w:highlight w:val="none"/>
                <w:lang w:eastAsia="zh-CN"/>
              </w:rPr>
              <w:t>（</w:t>
            </w:r>
            <w:r>
              <w:rPr>
                <w:rFonts w:hint="eastAsia" w:asciiTheme="minorEastAsia" w:hAnsiTheme="minorEastAsia" w:eastAsiaTheme="minorEastAsia" w:cstheme="minorEastAsia"/>
                <w:b w:val="0"/>
                <w:bCs w:val="0"/>
                <w:snapToGrid w:val="0"/>
                <w:kern w:val="0"/>
                <w:sz w:val="21"/>
                <w:szCs w:val="21"/>
                <w:highlight w:val="none"/>
                <w:lang w:val="en-US" w:eastAsia="zh-CN"/>
              </w:rPr>
              <w:t>组成联合体投标的由联合体</w:t>
            </w:r>
            <w:r>
              <w:rPr>
                <w:rFonts w:hint="eastAsia" w:asciiTheme="minorEastAsia" w:hAnsiTheme="minorEastAsia" w:eastAsiaTheme="minorEastAsia" w:cstheme="minorEastAsia"/>
                <w:b/>
                <w:bCs/>
                <w:snapToGrid w:val="0"/>
                <w:kern w:val="0"/>
                <w:sz w:val="21"/>
                <w:szCs w:val="21"/>
                <w:highlight w:val="none"/>
                <w:lang w:val="en-US" w:eastAsia="zh-CN"/>
              </w:rPr>
              <w:t>牵头人</w:t>
            </w:r>
            <w:r>
              <w:rPr>
                <w:rFonts w:hint="eastAsia" w:asciiTheme="minorEastAsia" w:hAnsiTheme="minorEastAsia" w:eastAsiaTheme="minorEastAsia" w:cstheme="minorEastAsia"/>
                <w:b w:val="0"/>
                <w:bCs w:val="0"/>
                <w:snapToGrid w:val="0"/>
                <w:kern w:val="0"/>
                <w:sz w:val="21"/>
                <w:szCs w:val="21"/>
                <w:highlight w:val="none"/>
                <w:lang w:val="en-US" w:eastAsia="zh-CN"/>
              </w:rPr>
              <w:t>提供</w:t>
            </w:r>
            <w:r>
              <w:rPr>
                <w:rFonts w:hint="eastAsia" w:asciiTheme="minorEastAsia" w:hAnsiTheme="minorEastAsia" w:eastAsiaTheme="minorEastAsia" w:cstheme="minorEastAsia"/>
                <w:b w:val="0"/>
                <w:bCs w:val="0"/>
                <w:snapToGrid w:val="0"/>
                <w:kern w:val="0"/>
                <w:sz w:val="21"/>
                <w:szCs w:val="21"/>
                <w:highlight w:val="none"/>
                <w:lang w:eastAsia="zh-CN"/>
              </w:rPr>
              <w:t>）</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AA0BC63">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1．提供不少于</w:t>
            </w:r>
            <w:r>
              <w:rPr>
                <w:rFonts w:hint="eastAsia" w:asciiTheme="minorEastAsia" w:hAnsiTheme="minorEastAsia" w:eastAsiaTheme="minorEastAsia" w:cstheme="minorEastAsia"/>
                <w:snapToGrid w:val="0"/>
                <w:kern w:val="0"/>
                <w:sz w:val="21"/>
                <w:szCs w:val="21"/>
                <w:highlight w:val="none"/>
                <w:u w:val="single"/>
                <w:lang w:eastAsia="zh-CN"/>
              </w:rPr>
              <w:t xml:space="preserve"> </w:t>
            </w:r>
            <w:r>
              <w:rPr>
                <w:rFonts w:hint="eastAsia" w:asciiTheme="minorEastAsia" w:hAnsiTheme="minorEastAsia" w:eastAsiaTheme="minorEastAsia" w:cstheme="minorEastAsia"/>
                <w:snapToGrid w:val="0"/>
                <w:kern w:val="0"/>
                <w:sz w:val="21"/>
                <w:szCs w:val="21"/>
                <w:highlight w:val="none"/>
                <w:u w:val="single"/>
                <w:lang w:val="en-US" w:eastAsia="zh-CN"/>
              </w:rPr>
              <w:t>50</w:t>
            </w:r>
            <w:r>
              <w:rPr>
                <w:rFonts w:hint="eastAsia" w:asciiTheme="minorEastAsia" w:hAnsiTheme="minorEastAsia" w:eastAsiaTheme="minorEastAsia" w:cstheme="minorEastAsia"/>
                <w:snapToGrid w:val="0"/>
                <w:kern w:val="0"/>
                <w:sz w:val="21"/>
                <w:szCs w:val="21"/>
                <w:highlight w:val="none"/>
                <w:lang w:eastAsia="zh-CN"/>
              </w:rPr>
              <w:t>万元银行授信证明的，得4分。</w:t>
            </w:r>
          </w:p>
          <w:p w14:paraId="59903DF3">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2．提供投标人基本账户在本项目招标公告发布之日起至投标截止时间期间出现过至少连续3日不少于</w:t>
            </w:r>
            <w:r>
              <w:rPr>
                <w:rFonts w:hint="eastAsia" w:asciiTheme="minorEastAsia" w:hAnsiTheme="minorEastAsia" w:eastAsiaTheme="minorEastAsia" w:cstheme="minorEastAsia"/>
                <w:snapToGrid w:val="0"/>
                <w:kern w:val="0"/>
                <w:sz w:val="21"/>
                <w:szCs w:val="21"/>
                <w:highlight w:val="none"/>
                <w:u w:val="single"/>
                <w:lang w:eastAsia="zh-CN"/>
              </w:rPr>
              <w:t xml:space="preserve"> </w:t>
            </w:r>
            <w:r>
              <w:rPr>
                <w:rFonts w:hint="eastAsia" w:asciiTheme="minorEastAsia" w:hAnsiTheme="minorEastAsia" w:eastAsiaTheme="minorEastAsia" w:cstheme="minorEastAsia"/>
                <w:snapToGrid w:val="0"/>
                <w:kern w:val="0"/>
                <w:sz w:val="21"/>
                <w:szCs w:val="21"/>
                <w:highlight w:val="none"/>
                <w:u w:val="single"/>
                <w:lang w:val="en-US" w:eastAsia="zh-CN"/>
              </w:rPr>
              <w:t>50</w:t>
            </w:r>
            <w:r>
              <w:rPr>
                <w:rFonts w:hint="eastAsia" w:asciiTheme="minorEastAsia" w:hAnsiTheme="minorEastAsia" w:eastAsiaTheme="minorEastAsia" w:cstheme="minorEastAsia"/>
                <w:snapToGrid w:val="0"/>
                <w:kern w:val="0"/>
                <w:sz w:val="21"/>
                <w:szCs w:val="21"/>
                <w:highlight w:val="none"/>
                <w:u w:val="single"/>
                <w:lang w:eastAsia="zh-CN"/>
              </w:rPr>
              <w:t xml:space="preserve"> </w:t>
            </w:r>
            <w:r>
              <w:rPr>
                <w:rFonts w:hint="eastAsia" w:asciiTheme="minorEastAsia" w:hAnsiTheme="minorEastAsia" w:eastAsiaTheme="minorEastAsia" w:cstheme="minorEastAsia"/>
                <w:snapToGrid w:val="0"/>
                <w:kern w:val="0"/>
                <w:sz w:val="21"/>
                <w:szCs w:val="21"/>
                <w:highlight w:val="none"/>
                <w:lang w:eastAsia="zh-CN"/>
              </w:rPr>
              <w:t>万元存款余额资金流水证明的，得5分。</w:t>
            </w:r>
          </w:p>
          <w:p w14:paraId="38AB0B6B">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b/>
                <w:bCs/>
                <w:snapToGrid/>
                <w:kern w:val="2"/>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3．本项最高得9分。</w:t>
            </w:r>
          </w:p>
          <w:p w14:paraId="5336D171">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kern w:val="2"/>
                <w:sz w:val="21"/>
                <w:szCs w:val="21"/>
                <w:highlight w:val="none"/>
                <w:lang w:eastAsia="zh-CN"/>
              </w:rPr>
            </w:pPr>
          </w:p>
        </w:tc>
        <w:tc>
          <w:tcPr>
            <w:tcW w:w="5358" w:type="dxa"/>
            <w:tcBorders>
              <w:top w:val="single" w:color="auto" w:sz="4" w:space="0"/>
              <w:left w:val="single" w:color="auto" w:sz="4" w:space="0"/>
              <w:bottom w:val="single" w:color="auto" w:sz="4" w:space="0"/>
              <w:right w:val="single" w:color="auto" w:sz="4" w:space="0"/>
            </w:tcBorders>
            <w:noWrap w:val="0"/>
            <w:vAlign w:val="center"/>
          </w:tcPr>
          <w:p w14:paraId="35E3211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1．需附在有效期内的有关证明复印件（或打印件或扫描件)，</w:t>
            </w:r>
            <w:r>
              <w:rPr>
                <w:rFonts w:hint="eastAsia" w:asciiTheme="minorEastAsia" w:hAnsiTheme="minorEastAsia" w:eastAsiaTheme="minorEastAsia" w:cstheme="minorEastAsia"/>
                <w:b/>
                <w:bCs/>
                <w:snapToGrid w:val="0"/>
                <w:kern w:val="0"/>
                <w:sz w:val="21"/>
                <w:szCs w:val="21"/>
                <w:highlight w:val="none"/>
                <w:lang w:eastAsia="zh-CN"/>
              </w:rPr>
              <w:t>同时提供原件供核对</w:t>
            </w:r>
            <w:r>
              <w:rPr>
                <w:rFonts w:hint="eastAsia" w:asciiTheme="minorEastAsia" w:hAnsiTheme="minorEastAsia" w:eastAsiaTheme="minorEastAsia" w:cstheme="minorEastAsia"/>
                <w:snapToGrid w:val="0"/>
                <w:kern w:val="0"/>
                <w:sz w:val="21"/>
                <w:szCs w:val="21"/>
                <w:highlight w:val="none"/>
                <w:lang w:eastAsia="zh-CN"/>
              </w:rPr>
              <w:t>。</w:t>
            </w:r>
          </w:p>
          <w:p w14:paraId="4A6E85B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2．银行授信证明有以下情形之一的，视为无效，不予计分：</w:t>
            </w:r>
          </w:p>
          <w:p w14:paraId="46400B7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①未提供授信证明原件的；</w:t>
            </w:r>
          </w:p>
          <w:p w14:paraId="0E5F99F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②授信证明不在有效期内的；</w:t>
            </w:r>
          </w:p>
          <w:p w14:paraId="58EFC1A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③授信额度不符合要求的；</w:t>
            </w:r>
          </w:p>
          <w:p w14:paraId="45B150E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3．存款余额资金流水证明有以下情形之一的，视为无效，不予计分：</w:t>
            </w:r>
          </w:p>
          <w:p w14:paraId="73768CB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①未提供存款证明原件的；</w:t>
            </w:r>
          </w:p>
          <w:p w14:paraId="7291C65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②存款账户不是基本账户的；</w:t>
            </w:r>
          </w:p>
          <w:p w14:paraId="3436D29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③存款时间不符合要求的；</w:t>
            </w:r>
          </w:p>
          <w:p w14:paraId="51BA465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④存款额度不符合要求的。</w:t>
            </w:r>
          </w:p>
          <w:p w14:paraId="470EA77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val="en-US" w:eastAsia="zh-CN"/>
              </w:rPr>
              <w:t>4</w:t>
            </w:r>
            <w:r>
              <w:rPr>
                <w:rFonts w:hint="eastAsia" w:asciiTheme="minorEastAsia" w:hAnsiTheme="minorEastAsia" w:eastAsiaTheme="minorEastAsia" w:cstheme="minorEastAsia"/>
                <w:snapToGrid w:val="0"/>
                <w:kern w:val="0"/>
                <w:sz w:val="21"/>
                <w:szCs w:val="21"/>
                <w:highlight w:val="none"/>
                <w:lang w:eastAsia="zh-CN"/>
              </w:rPr>
              <w:t>．</w:t>
            </w:r>
            <w:r>
              <w:rPr>
                <w:rFonts w:hint="eastAsia" w:asciiTheme="minorEastAsia" w:hAnsiTheme="minorEastAsia" w:eastAsiaTheme="minorEastAsia" w:cstheme="minorEastAsia"/>
                <w:snapToGrid w:val="0"/>
                <w:kern w:val="0"/>
                <w:sz w:val="21"/>
                <w:szCs w:val="21"/>
                <w:highlight w:val="none"/>
                <w:lang w:val="en-US" w:eastAsia="zh-CN"/>
              </w:rPr>
              <w:t>组成联合体时，由牵头人提供以上资料。</w:t>
            </w:r>
          </w:p>
        </w:tc>
      </w:tr>
      <w:tr w14:paraId="6CB6C465">
        <w:tblPrEx>
          <w:tblCellMar>
            <w:top w:w="0" w:type="dxa"/>
            <w:left w:w="108" w:type="dxa"/>
            <w:bottom w:w="0" w:type="dxa"/>
            <w:right w:w="108" w:type="dxa"/>
          </w:tblCellMar>
        </w:tblPrEx>
        <w:trPr>
          <w:trHeight w:val="1289" w:hRule="atLeast"/>
          <w:jc w:val="center"/>
        </w:trPr>
        <w:tc>
          <w:tcPr>
            <w:tcW w:w="1216" w:type="dxa"/>
            <w:vMerge w:val="restart"/>
            <w:tcBorders>
              <w:top w:val="single" w:color="auto" w:sz="4" w:space="0"/>
              <w:left w:val="single" w:color="auto" w:sz="4" w:space="0"/>
              <w:bottom w:val="single" w:color="auto" w:sz="4" w:space="0"/>
              <w:right w:val="single" w:color="auto" w:sz="4" w:space="0"/>
            </w:tcBorders>
            <w:noWrap w:val="0"/>
            <w:vAlign w:val="center"/>
          </w:tcPr>
          <w:p w14:paraId="3D57BDB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招标人</w:t>
            </w:r>
          </w:p>
          <w:p w14:paraId="1DE38E2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自选项</w:t>
            </w:r>
          </w:p>
          <w:p w14:paraId="742822A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（2</w:t>
            </w:r>
            <w:r>
              <w:rPr>
                <w:rFonts w:hint="eastAsia" w:asciiTheme="minorEastAsia" w:hAnsiTheme="minorEastAsia" w:eastAsiaTheme="minorEastAsia" w:cstheme="minorEastAsia"/>
                <w:b/>
                <w:bCs/>
                <w:snapToGrid w:val="0"/>
                <w:kern w:val="0"/>
                <w:sz w:val="21"/>
                <w:szCs w:val="21"/>
                <w:highlight w:val="none"/>
                <w:lang w:val="en-US" w:eastAsia="zh-CN"/>
              </w:rPr>
              <w:t>5</w:t>
            </w:r>
            <w:r>
              <w:rPr>
                <w:rFonts w:hint="eastAsia" w:asciiTheme="minorEastAsia" w:hAnsiTheme="minorEastAsia" w:eastAsiaTheme="minorEastAsia" w:cstheme="minorEastAsia"/>
                <w:b/>
                <w:bCs/>
                <w:snapToGrid w:val="0"/>
                <w:kern w:val="0"/>
                <w:sz w:val="21"/>
                <w:szCs w:val="21"/>
                <w:highlight w:val="none"/>
                <w:lang w:eastAsia="zh-CN"/>
              </w:rPr>
              <w:t>分）</w:t>
            </w:r>
            <w:r>
              <w:rPr>
                <w:rFonts w:hint="eastAsia" w:asciiTheme="minorEastAsia" w:hAnsiTheme="minorEastAsia" w:eastAsiaTheme="minorEastAsia" w:cstheme="minorEastAsia"/>
                <w:b/>
                <w:bCs/>
                <w:snapToGrid w:val="0"/>
                <w:kern w:val="0"/>
                <w:sz w:val="21"/>
                <w:szCs w:val="21"/>
                <w:highlight w:val="none"/>
                <w:lang w:eastAsia="zh-CN"/>
              </w:rPr>
              <w:br w:type="textWrapping"/>
            </w:r>
            <w:r>
              <w:rPr>
                <w:rFonts w:hint="eastAsia" w:asciiTheme="minorEastAsia" w:hAnsiTheme="minorEastAsia" w:eastAsiaTheme="minorEastAsia" w:cstheme="minorEastAsia"/>
                <w:b w:val="0"/>
                <w:bCs w:val="0"/>
                <w:snapToGrid w:val="0"/>
                <w:kern w:val="0"/>
                <w:sz w:val="21"/>
                <w:szCs w:val="21"/>
                <w:highlight w:val="none"/>
                <w:lang w:eastAsia="zh-CN"/>
              </w:rPr>
              <w:t>（</w:t>
            </w:r>
            <w:r>
              <w:rPr>
                <w:rFonts w:hint="eastAsia" w:asciiTheme="minorEastAsia" w:hAnsiTheme="minorEastAsia" w:eastAsiaTheme="minorEastAsia" w:cstheme="minorEastAsia"/>
                <w:b w:val="0"/>
                <w:bCs w:val="0"/>
                <w:snapToGrid w:val="0"/>
                <w:kern w:val="0"/>
                <w:sz w:val="21"/>
                <w:szCs w:val="21"/>
                <w:highlight w:val="none"/>
                <w:lang w:val="en-US" w:eastAsia="zh-CN"/>
              </w:rPr>
              <w:t>组成联合体投标的由联合体</w:t>
            </w:r>
            <w:r>
              <w:rPr>
                <w:rFonts w:hint="eastAsia" w:asciiTheme="minorEastAsia" w:hAnsiTheme="minorEastAsia" w:eastAsiaTheme="minorEastAsia" w:cstheme="minorEastAsia"/>
                <w:b/>
                <w:bCs/>
                <w:snapToGrid w:val="0"/>
                <w:kern w:val="0"/>
                <w:sz w:val="21"/>
                <w:szCs w:val="21"/>
                <w:highlight w:val="none"/>
                <w:lang w:val="en-US" w:eastAsia="zh-CN"/>
              </w:rPr>
              <w:t>牵头人</w:t>
            </w:r>
            <w:r>
              <w:rPr>
                <w:rFonts w:hint="eastAsia" w:asciiTheme="minorEastAsia" w:hAnsiTheme="minorEastAsia" w:eastAsiaTheme="minorEastAsia" w:cstheme="minorEastAsia"/>
                <w:b w:val="0"/>
                <w:bCs w:val="0"/>
                <w:snapToGrid w:val="0"/>
                <w:kern w:val="0"/>
                <w:sz w:val="21"/>
                <w:szCs w:val="21"/>
                <w:highlight w:val="none"/>
                <w:lang w:val="en-US" w:eastAsia="zh-CN"/>
              </w:rPr>
              <w:t>提供</w:t>
            </w:r>
            <w:r>
              <w:rPr>
                <w:rFonts w:hint="eastAsia" w:asciiTheme="minorEastAsia" w:hAnsiTheme="minorEastAsia" w:eastAsiaTheme="minorEastAsia" w:cstheme="minorEastAsia"/>
                <w:b w:val="0"/>
                <w:bCs w:val="0"/>
                <w:snapToGrid w:val="0"/>
                <w:kern w:val="0"/>
                <w:sz w:val="21"/>
                <w:szCs w:val="21"/>
                <w:highlight w:val="none"/>
                <w:lang w:eastAsia="zh-CN"/>
              </w:rPr>
              <w:t>）</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D95BC17">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eastAsia="zh-CN"/>
              </w:rPr>
            </w:pPr>
            <w:r>
              <w:rPr>
                <w:rFonts w:hint="eastAsia" w:asciiTheme="minorEastAsia" w:hAnsiTheme="minorEastAsia" w:eastAsiaTheme="minorEastAsia" w:cstheme="minorEastAsia"/>
                <w:snapToGrid w:val="0"/>
                <w:color w:val="000000"/>
                <w:kern w:val="0"/>
                <w:sz w:val="21"/>
                <w:szCs w:val="21"/>
                <w:highlight w:val="none"/>
                <w:lang w:eastAsia="zh-CN"/>
              </w:rPr>
              <w:t xml:space="preserve">1．企业近 </w:t>
            </w:r>
            <w:r>
              <w:rPr>
                <w:rFonts w:hint="eastAsia" w:asciiTheme="minorEastAsia" w:hAnsiTheme="minorEastAsia" w:eastAsiaTheme="minorEastAsia" w:cstheme="minorEastAsia"/>
                <w:snapToGrid w:val="0"/>
                <w:color w:val="000000"/>
                <w:kern w:val="0"/>
                <w:sz w:val="21"/>
                <w:szCs w:val="21"/>
                <w:highlight w:val="none"/>
                <w:lang w:val="en-US" w:eastAsia="zh-CN"/>
              </w:rPr>
              <w:t>5</w:t>
            </w:r>
            <w:r>
              <w:rPr>
                <w:rFonts w:hint="eastAsia" w:asciiTheme="minorEastAsia" w:hAnsiTheme="minorEastAsia" w:eastAsiaTheme="minorEastAsia" w:cstheme="minorEastAsia"/>
                <w:snapToGrid w:val="0"/>
                <w:color w:val="000000"/>
                <w:kern w:val="0"/>
                <w:sz w:val="21"/>
                <w:szCs w:val="21"/>
                <w:highlight w:val="none"/>
                <w:lang w:eastAsia="zh-CN"/>
              </w:rPr>
              <w:t>年（202</w:t>
            </w:r>
            <w:r>
              <w:rPr>
                <w:rFonts w:hint="eastAsia" w:asciiTheme="minorEastAsia" w:hAnsiTheme="minorEastAsia" w:eastAsiaTheme="minorEastAsia" w:cstheme="minorEastAsia"/>
                <w:snapToGrid w:val="0"/>
                <w:color w:val="000000"/>
                <w:kern w:val="0"/>
                <w:sz w:val="21"/>
                <w:szCs w:val="21"/>
                <w:highlight w:val="none"/>
                <w:lang w:val="en-US" w:eastAsia="zh-CN"/>
              </w:rPr>
              <w:t>1</w:t>
            </w:r>
            <w:r>
              <w:rPr>
                <w:rFonts w:hint="eastAsia" w:asciiTheme="minorEastAsia" w:hAnsiTheme="minorEastAsia" w:eastAsiaTheme="minorEastAsia" w:cstheme="minorEastAsia"/>
                <w:snapToGrid w:val="0"/>
                <w:color w:val="000000"/>
                <w:kern w:val="0"/>
                <w:sz w:val="21"/>
                <w:szCs w:val="21"/>
                <w:highlight w:val="none"/>
                <w:lang w:eastAsia="zh-CN"/>
              </w:rPr>
              <w:t>年</w:t>
            </w:r>
            <w:r>
              <w:rPr>
                <w:rFonts w:hint="eastAsia" w:asciiTheme="minorEastAsia" w:hAnsiTheme="minorEastAsia" w:eastAsiaTheme="minorEastAsia" w:cstheme="minorEastAsia"/>
                <w:snapToGrid w:val="0"/>
                <w:color w:val="000000"/>
                <w:kern w:val="0"/>
                <w:sz w:val="21"/>
                <w:szCs w:val="21"/>
                <w:highlight w:val="none"/>
                <w:lang w:val="en-US" w:eastAsia="zh-CN"/>
              </w:rPr>
              <w:t>1月1日</w:t>
            </w:r>
            <w:r>
              <w:rPr>
                <w:rFonts w:hint="eastAsia" w:asciiTheme="minorEastAsia" w:hAnsiTheme="minorEastAsia" w:eastAsiaTheme="minorEastAsia" w:cstheme="minorEastAsia"/>
                <w:snapToGrid w:val="0"/>
                <w:color w:val="000000"/>
                <w:kern w:val="0"/>
                <w:sz w:val="21"/>
                <w:szCs w:val="21"/>
                <w:highlight w:val="none"/>
                <w:lang w:eastAsia="zh-CN"/>
              </w:rPr>
              <w:t>度至</w:t>
            </w:r>
            <w:r>
              <w:rPr>
                <w:rFonts w:hint="eastAsia" w:asciiTheme="minorEastAsia" w:hAnsiTheme="minorEastAsia" w:eastAsiaTheme="minorEastAsia" w:cstheme="minorEastAsia"/>
                <w:snapToGrid w:val="0"/>
                <w:color w:val="000000"/>
                <w:kern w:val="0"/>
                <w:sz w:val="21"/>
                <w:szCs w:val="21"/>
                <w:highlight w:val="none"/>
                <w:lang w:val="en-US" w:eastAsia="zh-CN"/>
              </w:rPr>
              <w:t>今</w:t>
            </w:r>
            <w:r>
              <w:rPr>
                <w:rFonts w:hint="eastAsia" w:asciiTheme="minorEastAsia" w:hAnsiTheme="minorEastAsia" w:eastAsiaTheme="minorEastAsia" w:cstheme="minorEastAsia"/>
                <w:snapToGrid w:val="0"/>
                <w:color w:val="000000"/>
                <w:kern w:val="0"/>
                <w:sz w:val="21"/>
                <w:szCs w:val="21"/>
                <w:highlight w:val="none"/>
                <w:lang w:eastAsia="zh-CN"/>
              </w:rPr>
              <w:t>）获得过省级或以上市政行业协</w:t>
            </w:r>
          </w:p>
          <w:p w14:paraId="683DAAA3">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eastAsia="zh-CN"/>
              </w:rPr>
            </w:pPr>
            <w:r>
              <w:rPr>
                <w:rFonts w:hint="eastAsia" w:asciiTheme="minorEastAsia" w:hAnsiTheme="minorEastAsia" w:eastAsiaTheme="minorEastAsia" w:cstheme="minorEastAsia"/>
                <w:snapToGrid w:val="0"/>
                <w:color w:val="000000"/>
                <w:kern w:val="0"/>
                <w:sz w:val="21"/>
                <w:szCs w:val="21"/>
                <w:highlight w:val="none"/>
                <w:lang w:eastAsia="zh-CN"/>
              </w:rPr>
              <w:t>会颁发的市政行业协会先进单位证书</w:t>
            </w:r>
          </w:p>
          <w:p w14:paraId="60EA5634">
            <w:pPr>
              <w:widowControl/>
              <w:kinsoku/>
              <w:autoSpaceDE/>
              <w:autoSpaceDN/>
              <w:adjustRightInd/>
              <w:snapToGrid/>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eastAsia="zh-CN"/>
              </w:rPr>
            </w:pPr>
            <w:r>
              <w:rPr>
                <w:rFonts w:hint="eastAsia" w:asciiTheme="minorEastAsia" w:hAnsiTheme="minorEastAsia" w:eastAsiaTheme="minorEastAsia" w:cstheme="minorEastAsia"/>
                <w:snapToGrid w:val="0"/>
                <w:color w:val="000000"/>
                <w:kern w:val="0"/>
                <w:sz w:val="21"/>
                <w:szCs w:val="21"/>
                <w:highlight w:val="none"/>
                <w:lang w:eastAsia="zh-CN"/>
              </w:rPr>
              <w:t>的，得5分；</w:t>
            </w:r>
          </w:p>
          <w:p w14:paraId="12FE1F98">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eastAsia="zh-CN"/>
              </w:rPr>
            </w:pPr>
            <w:r>
              <w:rPr>
                <w:rFonts w:hint="eastAsia" w:asciiTheme="minorEastAsia" w:hAnsiTheme="minorEastAsia" w:eastAsiaTheme="minorEastAsia" w:cstheme="minorEastAsia"/>
                <w:snapToGrid w:val="0"/>
                <w:color w:val="000000"/>
                <w:kern w:val="0"/>
                <w:sz w:val="21"/>
                <w:szCs w:val="21"/>
                <w:highlight w:val="none"/>
                <w:lang w:eastAsia="zh-CN"/>
              </w:rPr>
              <w:t>2．其他情形的，不予计分；</w:t>
            </w:r>
          </w:p>
          <w:p w14:paraId="62026E36">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color w:val="000000"/>
                <w:kern w:val="0"/>
                <w:sz w:val="21"/>
                <w:szCs w:val="21"/>
                <w:highlight w:val="none"/>
                <w:lang w:eastAsia="zh-CN"/>
              </w:rPr>
              <w:t>3．本项最高得</w:t>
            </w:r>
            <w:r>
              <w:rPr>
                <w:rFonts w:hint="eastAsia" w:asciiTheme="minorEastAsia" w:hAnsiTheme="minorEastAsia" w:eastAsiaTheme="minorEastAsia" w:cstheme="minorEastAsia"/>
                <w:b/>
                <w:bCs/>
                <w:snapToGrid w:val="0"/>
                <w:color w:val="000000"/>
                <w:kern w:val="0"/>
                <w:sz w:val="21"/>
                <w:szCs w:val="21"/>
                <w:highlight w:val="none"/>
                <w:lang w:val="en-US" w:eastAsia="zh-CN"/>
              </w:rPr>
              <w:t>5</w:t>
            </w:r>
            <w:r>
              <w:rPr>
                <w:rFonts w:hint="eastAsia" w:asciiTheme="minorEastAsia" w:hAnsiTheme="minorEastAsia" w:eastAsiaTheme="minorEastAsia" w:cstheme="minorEastAsia"/>
                <w:b/>
                <w:bCs/>
                <w:snapToGrid w:val="0"/>
                <w:color w:val="000000"/>
                <w:kern w:val="0"/>
                <w:sz w:val="21"/>
                <w:szCs w:val="21"/>
                <w:highlight w:val="none"/>
                <w:lang w:eastAsia="zh-CN"/>
              </w:rPr>
              <w:t>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51AFDC8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1．证书由省级或以上市政行业协会颁发，须提</w:t>
            </w:r>
          </w:p>
          <w:p w14:paraId="3637D59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供有关证书及通知彩色扫描件。</w:t>
            </w:r>
          </w:p>
          <w:p w14:paraId="7FE48EC4">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2．颁发机构不符合要求的，按第2项标准处</w:t>
            </w:r>
          </w:p>
          <w:p w14:paraId="73BEB9E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理。</w:t>
            </w:r>
          </w:p>
        </w:tc>
      </w:tr>
      <w:tr w14:paraId="27669AAE">
        <w:tblPrEx>
          <w:tblCellMar>
            <w:top w:w="0" w:type="dxa"/>
            <w:left w:w="108" w:type="dxa"/>
            <w:bottom w:w="0" w:type="dxa"/>
            <w:right w:w="108" w:type="dxa"/>
          </w:tblCellMar>
        </w:tblPrEx>
        <w:trPr>
          <w:trHeight w:val="2177" w:hRule="atLeast"/>
          <w:jc w:val="center"/>
        </w:trPr>
        <w:tc>
          <w:tcPr>
            <w:tcW w:w="1216" w:type="dxa"/>
            <w:vMerge w:val="continue"/>
            <w:tcBorders>
              <w:left w:val="single" w:color="auto" w:sz="4" w:space="0"/>
              <w:right w:val="single" w:color="auto" w:sz="4" w:space="0"/>
            </w:tcBorders>
            <w:noWrap w:val="0"/>
            <w:vAlign w:val="center"/>
          </w:tcPr>
          <w:p w14:paraId="1289DFE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b/>
                <w:bCs/>
                <w:snapToGrid/>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F3F85F6">
            <w:pPr>
              <w:keepNext w:val="0"/>
              <w:keepLines w:val="0"/>
              <w:widowControl/>
              <w:suppressLineNumbers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000000"/>
                <w:kern w:val="2"/>
                <w:sz w:val="21"/>
                <w:szCs w:val="21"/>
                <w:highlight w:val="none"/>
                <w:lang w:val="en-US" w:eastAsia="zh-CN" w:bidi="ar-SA"/>
              </w:rPr>
            </w:pPr>
            <w:r>
              <w:rPr>
                <w:rFonts w:hint="eastAsia" w:asciiTheme="minorEastAsia" w:hAnsiTheme="minorEastAsia" w:eastAsiaTheme="minorEastAsia" w:cstheme="minorEastAsia"/>
                <w:snapToGrid/>
                <w:color w:val="000000"/>
                <w:kern w:val="2"/>
                <w:sz w:val="21"/>
                <w:szCs w:val="21"/>
                <w:highlight w:val="none"/>
                <w:lang w:val="en-US" w:eastAsia="zh-CN" w:bidi="ar-SA"/>
              </w:rPr>
              <w:t>1.企业连续8年或8年以上获得纳税信</w:t>
            </w:r>
          </w:p>
          <w:p w14:paraId="6047C064">
            <w:pPr>
              <w:keepNext w:val="0"/>
              <w:keepLines w:val="0"/>
              <w:widowControl/>
              <w:suppressLineNumbers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000000"/>
                <w:kern w:val="2"/>
                <w:sz w:val="21"/>
                <w:szCs w:val="21"/>
                <w:highlight w:val="none"/>
                <w:lang w:val="en-US" w:eastAsia="zh-CN" w:bidi="ar-SA"/>
              </w:rPr>
            </w:pPr>
            <w:r>
              <w:rPr>
                <w:rFonts w:hint="eastAsia" w:asciiTheme="minorEastAsia" w:hAnsiTheme="minorEastAsia" w:eastAsiaTheme="minorEastAsia" w:cstheme="minorEastAsia"/>
                <w:snapToGrid/>
                <w:color w:val="000000"/>
                <w:kern w:val="2"/>
                <w:sz w:val="21"/>
                <w:szCs w:val="21"/>
                <w:highlight w:val="none"/>
                <w:lang w:val="en-US" w:eastAsia="zh-CN" w:bidi="ar-SA"/>
              </w:rPr>
              <w:t>用A级纳税人的，得5分。（其中必须</w:t>
            </w:r>
          </w:p>
          <w:p w14:paraId="7610512D">
            <w:pPr>
              <w:keepNext w:val="0"/>
              <w:keepLines w:val="0"/>
              <w:widowControl/>
              <w:suppressLineNumbers w:val="0"/>
              <w:kinsoku/>
              <w:autoSpaceDE/>
              <w:autoSpaceDN/>
              <w:adjustRightInd/>
              <w:snapToGrid/>
              <w:spacing w:line="360" w:lineRule="auto"/>
              <w:jc w:val="left"/>
              <w:textAlignment w:val="auto"/>
              <w:rPr>
                <w:rFonts w:hint="eastAsia" w:asciiTheme="minorEastAsia" w:hAnsiTheme="minorEastAsia" w:eastAsiaTheme="minorEastAsia" w:cstheme="minorEastAsia"/>
                <w:snapToGrid/>
                <w:color w:val="000000"/>
                <w:kern w:val="2"/>
                <w:sz w:val="21"/>
                <w:szCs w:val="21"/>
                <w:highlight w:val="none"/>
                <w:lang w:val="en-US" w:eastAsia="zh-CN" w:bidi="ar-SA"/>
              </w:rPr>
            </w:pPr>
            <w:r>
              <w:rPr>
                <w:rFonts w:hint="eastAsia" w:asciiTheme="minorEastAsia" w:hAnsiTheme="minorEastAsia" w:eastAsiaTheme="minorEastAsia" w:cstheme="minorEastAsia"/>
                <w:snapToGrid/>
                <w:color w:val="000000"/>
                <w:kern w:val="2"/>
                <w:sz w:val="21"/>
                <w:szCs w:val="21"/>
                <w:highlight w:val="none"/>
                <w:lang w:val="en-US" w:eastAsia="zh-CN" w:bidi="ar-SA"/>
              </w:rPr>
              <w:t>有2024年度）</w:t>
            </w:r>
          </w:p>
          <w:p w14:paraId="2FB6083F">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2．其他情形的，不予计分。</w:t>
            </w:r>
          </w:p>
          <w:p w14:paraId="19FE76C0">
            <w:pPr>
              <w:keepNext w:val="0"/>
              <w:keepLines w:val="0"/>
              <w:widowControl/>
              <w:suppressLineNumbers w:val="0"/>
              <w:kinsoku/>
              <w:autoSpaceDE/>
              <w:autoSpaceDN/>
              <w:adjustRightInd/>
              <w:snapToGrid/>
              <w:spacing w:line="360" w:lineRule="auto"/>
              <w:jc w:val="left"/>
              <w:textAlignment w:val="auto"/>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b/>
                <w:bCs/>
                <w:snapToGrid w:val="0"/>
                <w:color w:val="000000"/>
                <w:kern w:val="0"/>
                <w:sz w:val="21"/>
                <w:szCs w:val="21"/>
                <w:highlight w:val="none"/>
                <w:lang w:val="en-US" w:eastAsia="zh-CN"/>
              </w:rPr>
              <w:t>3．本项最高得5分。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29B0BB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80" w:lineRule="exact"/>
              <w:ind w:left="0" w:leftChars="0" w:right="0" w:rightChars="0"/>
              <w:jc w:val="both"/>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1．必须提供企业纳税信用A级纳税人证明材料</w:t>
            </w:r>
          </w:p>
          <w:p w14:paraId="28D0ABF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80" w:lineRule="exact"/>
              <w:ind w:left="0" w:leftChars="0" w:right="0" w:rightChars="0"/>
              <w:jc w:val="both"/>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（或证书）彩色扫描件及国家税务总局（或省级</w:t>
            </w:r>
          </w:p>
          <w:p w14:paraId="1AADCD0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80" w:lineRule="exact"/>
              <w:ind w:left="0" w:leftChars="0" w:right="0" w:rightChars="0"/>
              <w:jc w:val="both"/>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电子税务局）网上查询截图，否则不得分。</w:t>
            </w:r>
          </w:p>
          <w:p w14:paraId="63E7206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80" w:lineRule="exact"/>
              <w:ind w:left="0" w:leftChars="0" w:right="0" w:rightChars="0"/>
              <w:jc w:val="both"/>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2．只计算投标人自身（不计算投标人的分公司、</w:t>
            </w:r>
          </w:p>
          <w:p w14:paraId="4658F64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80" w:lineRule="exact"/>
              <w:ind w:left="0" w:leftChars="0" w:right="0" w:rightChars="0"/>
              <w:jc w:val="both"/>
              <w:textAlignment w:val="auto"/>
              <w:rPr>
                <w:rFonts w:hint="eastAsia" w:asciiTheme="minorEastAsia" w:hAnsiTheme="minorEastAsia" w:eastAsiaTheme="minorEastAsia" w:cstheme="minorEastAsia"/>
                <w:color w:val="000000"/>
                <w:kern w:val="2"/>
                <w:sz w:val="21"/>
                <w:szCs w:val="21"/>
                <w:highlight w:val="none"/>
                <w:lang w:val="en-US" w:eastAsia="zh-CN" w:bidi="ar-SA"/>
              </w:rPr>
            </w:pPr>
            <w:r>
              <w:rPr>
                <w:rFonts w:hint="eastAsia" w:asciiTheme="minorEastAsia" w:hAnsiTheme="minorEastAsia" w:eastAsiaTheme="minorEastAsia" w:cstheme="minorEastAsia"/>
                <w:color w:val="000000"/>
                <w:kern w:val="2"/>
                <w:sz w:val="21"/>
                <w:szCs w:val="21"/>
                <w:highlight w:val="none"/>
                <w:lang w:val="en-US" w:eastAsia="zh-CN" w:bidi="ar-SA"/>
              </w:rPr>
              <w:t>子公司及分支机构）。</w:t>
            </w:r>
          </w:p>
        </w:tc>
      </w:tr>
      <w:tr w14:paraId="153314B6">
        <w:tblPrEx>
          <w:tblCellMar>
            <w:top w:w="0" w:type="dxa"/>
            <w:left w:w="108" w:type="dxa"/>
            <w:bottom w:w="0" w:type="dxa"/>
            <w:right w:w="108" w:type="dxa"/>
          </w:tblCellMar>
        </w:tblPrEx>
        <w:trPr>
          <w:trHeight w:val="90" w:hRule="atLeast"/>
          <w:jc w:val="center"/>
        </w:trPr>
        <w:tc>
          <w:tcPr>
            <w:tcW w:w="1216" w:type="dxa"/>
            <w:vMerge w:val="continue"/>
            <w:tcBorders>
              <w:left w:val="single" w:color="auto" w:sz="4" w:space="0"/>
              <w:right w:val="single" w:color="auto" w:sz="4" w:space="0"/>
            </w:tcBorders>
            <w:noWrap w:val="0"/>
            <w:vAlign w:val="center"/>
          </w:tcPr>
          <w:p w14:paraId="22DE6E5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b/>
                <w:bCs/>
                <w:snapToGrid/>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743F481">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eastAsia="zh-CN"/>
              </w:rPr>
              <w:t>1.</w:t>
            </w:r>
            <w:r>
              <w:rPr>
                <w:rFonts w:hint="eastAsia" w:asciiTheme="minorEastAsia" w:hAnsiTheme="minorEastAsia" w:eastAsiaTheme="minorEastAsia" w:cstheme="minorEastAsia"/>
                <w:snapToGrid w:val="0"/>
                <w:color w:val="000000"/>
                <w:kern w:val="0"/>
                <w:sz w:val="21"/>
                <w:szCs w:val="21"/>
                <w:highlight w:val="none"/>
                <w:lang w:val="en-US" w:eastAsia="zh-CN"/>
              </w:rPr>
              <w:t>企业近5年来（2021年1月1日至今）</w:t>
            </w:r>
          </w:p>
          <w:p w14:paraId="74059C56">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连续三年以上（含三年）获得过地市</w:t>
            </w:r>
          </w:p>
          <w:p w14:paraId="3256ADC1">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级或以上建筑协会颁发"优秀典型施</w:t>
            </w:r>
          </w:p>
          <w:p w14:paraId="0695110B">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工企业"的，得5分。</w:t>
            </w:r>
          </w:p>
          <w:p w14:paraId="0B874351">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2．其他情形的，不予计分。</w:t>
            </w:r>
          </w:p>
          <w:p w14:paraId="0BAEFAE0">
            <w:pPr>
              <w:widowControl w:val="0"/>
              <w:kinsoku/>
              <w:wordWrap w:val="0"/>
              <w:autoSpaceDE/>
              <w:autoSpaceDN/>
              <w:adjustRightInd w:val="0"/>
              <w:snapToGrid w:val="0"/>
              <w:spacing w:line="360" w:lineRule="auto"/>
              <w:jc w:val="left"/>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b/>
                <w:bCs/>
                <w:snapToGrid w:val="0"/>
                <w:color w:val="000000"/>
                <w:kern w:val="0"/>
                <w:sz w:val="21"/>
                <w:szCs w:val="21"/>
                <w:highlight w:val="none"/>
                <w:lang w:val="en-US" w:eastAsia="zh-CN"/>
              </w:rPr>
              <w:t>3．本项最高得5分。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021EC738">
            <w:pPr>
              <w:widowControl w:val="0"/>
              <w:kinsoku/>
              <w:wordWrap w:val="0"/>
              <w:autoSpaceDE/>
              <w:autoSpaceDN/>
              <w:adjustRightInd w:val="0"/>
              <w:snapToGrid w:val="0"/>
              <w:spacing w:after="120" w:line="240" w:lineRule="auto"/>
              <w:jc w:val="both"/>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1．需提供有关证书彩色扫描件。同时提供原件供</w:t>
            </w:r>
          </w:p>
          <w:p w14:paraId="7CAB624A">
            <w:pPr>
              <w:widowControl w:val="0"/>
              <w:kinsoku/>
              <w:wordWrap w:val="0"/>
              <w:autoSpaceDE/>
              <w:autoSpaceDN/>
              <w:adjustRightInd w:val="0"/>
              <w:snapToGrid w:val="0"/>
              <w:spacing w:after="120" w:line="240" w:lineRule="auto"/>
              <w:jc w:val="both"/>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核对（证书为电子证书的除外）。</w:t>
            </w:r>
          </w:p>
          <w:p w14:paraId="35422DB7">
            <w:pPr>
              <w:widowControl w:val="0"/>
              <w:kinsoku/>
              <w:wordWrap w:val="0"/>
              <w:autoSpaceDE/>
              <w:autoSpaceDN/>
              <w:adjustRightInd w:val="0"/>
              <w:snapToGrid w:val="0"/>
              <w:spacing w:after="120" w:line="240" w:lineRule="auto"/>
              <w:jc w:val="both"/>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kern w:val="0"/>
                <w:sz w:val="21"/>
                <w:szCs w:val="21"/>
                <w:highlight w:val="none"/>
                <w:lang w:val="en-US" w:eastAsia="zh-CN"/>
              </w:rPr>
              <w:t>2．提供建筑行业协会或建设行政主管部门网站</w:t>
            </w:r>
          </w:p>
          <w:p w14:paraId="72DA4418">
            <w:pPr>
              <w:widowControl w:val="0"/>
              <w:kinsoku/>
              <w:wordWrap w:val="0"/>
              <w:autoSpaceDE/>
              <w:autoSpaceDN/>
              <w:adjustRightInd w:val="0"/>
              <w:snapToGrid w:val="0"/>
              <w:spacing w:after="120" w:line="240" w:lineRule="auto"/>
              <w:jc w:val="both"/>
              <w:textAlignment w:val="auto"/>
              <w:rPr>
                <w:rFonts w:hint="eastAsia" w:asciiTheme="minorEastAsia" w:hAnsiTheme="minorEastAsia" w:eastAsiaTheme="minorEastAsia" w:cstheme="minorEastAsia"/>
                <w:b w:val="0"/>
                <w:bCs w:val="0"/>
                <w:snapToGrid/>
                <w:color w:val="000000"/>
                <w:kern w:val="0"/>
                <w:sz w:val="21"/>
                <w:szCs w:val="21"/>
                <w:highlight w:val="none"/>
                <w:lang w:eastAsia="zh-CN" w:bidi="ar"/>
              </w:rPr>
            </w:pPr>
            <w:r>
              <w:rPr>
                <w:rFonts w:hint="eastAsia" w:asciiTheme="minorEastAsia" w:hAnsiTheme="minorEastAsia" w:eastAsiaTheme="minorEastAsia" w:cstheme="minorEastAsia"/>
                <w:snapToGrid w:val="0"/>
                <w:kern w:val="0"/>
                <w:sz w:val="21"/>
                <w:szCs w:val="21"/>
                <w:highlight w:val="none"/>
                <w:lang w:val="en-US" w:eastAsia="zh-CN"/>
              </w:rPr>
              <w:t>截图。</w:t>
            </w:r>
          </w:p>
        </w:tc>
      </w:tr>
      <w:tr w14:paraId="047331B0">
        <w:tblPrEx>
          <w:tblCellMar>
            <w:top w:w="0" w:type="dxa"/>
            <w:left w:w="108" w:type="dxa"/>
            <w:bottom w:w="0" w:type="dxa"/>
            <w:right w:w="108" w:type="dxa"/>
          </w:tblCellMar>
        </w:tblPrEx>
        <w:trPr>
          <w:trHeight w:val="2055" w:hRule="atLeast"/>
          <w:jc w:val="center"/>
        </w:trPr>
        <w:tc>
          <w:tcPr>
            <w:tcW w:w="1216" w:type="dxa"/>
            <w:vMerge w:val="continue"/>
            <w:tcBorders>
              <w:left w:val="single" w:color="auto" w:sz="4" w:space="0"/>
              <w:right w:val="single" w:color="auto" w:sz="4" w:space="0"/>
            </w:tcBorders>
            <w:noWrap w:val="0"/>
            <w:vAlign w:val="center"/>
          </w:tcPr>
          <w:p w14:paraId="417C9A5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b/>
                <w:bCs/>
                <w:snapToGrid/>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B27A71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1．企业近5年来（2021年1月1日至</w:t>
            </w:r>
          </w:p>
          <w:p w14:paraId="588DBA5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今）获得过省级或以上商业联合会颁</w:t>
            </w:r>
          </w:p>
          <w:p w14:paraId="3D8F899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发的诚信兴商证书的，得5分。</w:t>
            </w:r>
          </w:p>
          <w:p w14:paraId="7BAB09D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color w:val="000000"/>
                <w:kern w:val="0"/>
                <w:sz w:val="21"/>
                <w:szCs w:val="21"/>
                <w:highlight w:val="none"/>
                <w:lang w:val="en-US" w:eastAsia="zh-CN"/>
              </w:rPr>
            </w:pPr>
            <w:r>
              <w:rPr>
                <w:rFonts w:hint="eastAsia" w:asciiTheme="minorEastAsia" w:hAnsiTheme="minorEastAsia" w:eastAsiaTheme="minorEastAsia" w:cstheme="minorEastAsia"/>
                <w:snapToGrid/>
                <w:kern w:val="0"/>
                <w:sz w:val="21"/>
                <w:szCs w:val="21"/>
                <w:highlight w:val="none"/>
                <w:lang w:eastAsia="zh-CN"/>
              </w:rPr>
              <w:t>2．其他情形的，不予计分。</w:t>
            </w:r>
            <w:r>
              <w:rPr>
                <w:rFonts w:hint="eastAsia" w:asciiTheme="minorEastAsia" w:hAnsiTheme="minorEastAsia" w:eastAsiaTheme="minorEastAsia" w:cstheme="minorEastAsia"/>
                <w:snapToGrid/>
                <w:kern w:val="0"/>
                <w:sz w:val="21"/>
                <w:szCs w:val="21"/>
                <w:highlight w:val="none"/>
                <w:lang w:eastAsia="zh-CN"/>
              </w:rPr>
              <w:br w:type="textWrapping"/>
            </w:r>
            <w:r>
              <w:rPr>
                <w:rFonts w:hint="eastAsia" w:asciiTheme="minorEastAsia" w:hAnsiTheme="minorEastAsia" w:eastAsiaTheme="minorEastAsia" w:cstheme="minorEastAsia"/>
                <w:b/>
                <w:bCs/>
                <w:snapToGrid w:val="0"/>
                <w:color w:val="000000"/>
                <w:kern w:val="0"/>
                <w:sz w:val="21"/>
                <w:szCs w:val="21"/>
                <w:highlight w:val="none"/>
                <w:lang w:val="en-US" w:eastAsia="zh-CN"/>
              </w:rPr>
              <w:t>3．本项最高得5分。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28AFE263">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1．证书由省级或以上商业联合会颁发，须提供有</w:t>
            </w:r>
          </w:p>
          <w:p w14:paraId="05B43994">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关证书彩色扫描件。</w:t>
            </w:r>
          </w:p>
          <w:p w14:paraId="36290086">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2．颁发机构不符合要求的，按第2项标准处理。</w:t>
            </w:r>
          </w:p>
        </w:tc>
      </w:tr>
      <w:tr w14:paraId="5C21B6FE">
        <w:tblPrEx>
          <w:tblCellMar>
            <w:top w:w="0" w:type="dxa"/>
            <w:left w:w="108" w:type="dxa"/>
            <w:bottom w:w="0" w:type="dxa"/>
            <w:right w:w="108" w:type="dxa"/>
          </w:tblCellMar>
        </w:tblPrEx>
        <w:trPr>
          <w:trHeight w:val="438" w:hRule="atLeast"/>
          <w:jc w:val="center"/>
        </w:trPr>
        <w:tc>
          <w:tcPr>
            <w:tcW w:w="1216" w:type="dxa"/>
            <w:vMerge w:val="continue"/>
            <w:tcBorders>
              <w:top w:val="single" w:color="auto" w:sz="4" w:space="0"/>
              <w:left w:val="single" w:color="auto" w:sz="4" w:space="0"/>
              <w:bottom w:val="single" w:color="auto" w:sz="4" w:space="0"/>
              <w:right w:val="single" w:color="auto" w:sz="4" w:space="0"/>
            </w:tcBorders>
            <w:noWrap w:val="0"/>
            <w:vAlign w:val="center"/>
          </w:tcPr>
          <w:p w14:paraId="37B740F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bidi="ar"/>
              </w:rPr>
            </w:pP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937BE3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val="en-US" w:eastAsia="zh-CN"/>
              </w:rPr>
              <w:t>1.</w:t>
            </w:r>
            <w:r>
              <w:rPr>
                <w:rFonts w:hint="eastAsia" w:asciiTheme="minorEastAsia" w:hAnsiTheme="minorEastAsia" w:eastAsiaTheme="minorEastAsia" w:cstheme="minorEastAsia"/>
                <w:snapToGrid/>
                <w:kern w:val="0"/>
                <w:sz w:val="21"/>
                <w:szCs w:val="21"/>
                <w:highlight w:val="none"/>
                <w:lang w:eastAsia="zh-CN"/>
              </w:rPr>
              <w:t>企业近5年来（2021年1月1日至今）</w:t>
            </w:r>
          </w:p>
          <w:p w14:paraId="49BEEC8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获得过专精特新中小企业的，得5分。</w:t>
            </w:r>
            <w:r>
              <w:rPr>
                <w:rFonts w:hint="eastAsia" w:asciiTheme="minorEastAsia" w:hAnsiTheme="minorEastAsia" w:eastAsiaTheme="minorEastAsia" w:cstheme="minorEastAsia"/>
                <w:snapToGrid/>
                <w:kern w:val="0"/>
                <w:sz w:val="21"/>
                <w:szCs w:val="21"/>
                <w:highlight w:val="none"/>
                <w:lang w:eastAsia="zh-CN"/>
              </w:rPr>
              <w:br w:type="textWrapping"/>
            </w:r>
            <w:r>
              <w:rPr>
                <w:rFonts w:hint="eastAsia" w:asciiTheme="minorEastAsia" w:hAnsiTheme="minorEastAsia" w:eastAsiaTheme="minorEastAsia" w:cstheme="minorEastAsia"/>
                <w:snapToGrid/>
                <w:kern w:val="0"/>
                <w:sz w:val="21"/>
                <w:szCs w:val="21"/>
                <w:highlight w:val="none"/>
                <w:lang w:eastAsia="zh-CN"/>
              </w:rPr>
              <w:t>2．其他情形的，不予计分。</w:t>
            </w:r>
            <w:r>
              <w:rPr>
                <w:rFonts w:hint="eastAsia" w:asciiTheme="minorEastAsia" w:hAnsiTheme="minorEastAsia" w:eastAsiaTheme="minorEastAsia" w:cstheme="minorEastAsia"/>
                <w:snapToGrid/>
                <w:kern w:val="0"/>
                <w:sz w:val="21"/>
                <w:szCs w:val="21"/>
                <w:highlight w:val="none"/>
                <w:lang w:eastAsia="zh-CN"/>
              </w:rPr>
              <w:br w:type="textWrapping"/>
            </w:r>
            <w:r>
              <w:rPr>
                <w:rFonts w:hint="eastAsia" w:asciiTheme="minorEastAsia" w:hAnsiTheme="minorEastAsia" w:eastAsiaTheme="minorEastAsia" w:cstheme="minorEastAsia"/>
                <w:b/>
                <w:bCs/>
                <w:snapToGrid w:val="0"/>
                <w:color w:val="000000"/>
                <w:kern w:val="0"/>
                <w:sz w:val="21"/>
                <w:szCs w:val="21"/>
                <w:highlight w:val="none"/>
                <w:lang w:val="en-US" w:eastAsia="zh-CN"/>
              </w:rPr>
              <w:t>3．本项最高得5分。</w:t>
            </w:r>
          </w:p>
        </w:tc>
        <w:tc>
          <w:tcPr>
            <w:tcW w:w="5358" w:type="dxa"/>
            <w:tcBorders>
              <w:top w:val="single" w:color="auto" w:sz="4" w:space="0"/>
              <w:left w:val="single" w:color="auto" w:sz="4" w:space="0"/>
              <w:bottom w:val="single" w:color="auto" w:sz="4" w:space="0"/>
              <w:right w:val="single" w:color="auto" w:sz="4" w:space="0"/>
            </w:tcBorders>
            <w:noWrap w:val="0"/>
            <w:vAlign w:val="top"/>
          </w:tcPr>
          <w:p w14:paraId="44754294">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1.需提供省级或以上政府评定部门网站的通告或</w:t>
            </w:r>
          </w:p>
          <w:p w14:paraId="0D0D517F">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color w:val="000000"/>
                <w:kern w:val="0"/>
                <w:sz w:val="21"/>
                <w:szCs w:val="21"/>
                <w:highlight w:val="none"/>
                <w:lang w:val="en-US" w:eastAsia="zh-CN"/>
              </w:rPr>
            </w:pPr>
            <w:r>
              <w:rPr>
                <w:rFonts w:hint="eastAsia" w:asciiTheme="minorEastAsia" w:hAnsiTheme="minorEastAsia" w:eastAsiaTheme="minorEastAsia" w:cstheme="minorEastAsia"/>
                <w:snapToGrid w:val="0"/>
                <w:color w:val="000000"/>
                <w:kern w:val="0"/>
                <w:sz w:val="21"/>
                <w:szCs w:val="21"/>
                <w:highlight w:val="none"/>
                <w:lang w:val="en-US" w:eastAsia="zh-CN"/>
              </w:rPr>
              <w:t>通知截图，否则不得分。</w:t>
            </w:r>
          </w:p>
        </w:tc>
      </w:tr>
      <w:tr w14:paraId="4CF3F82A">
        <w:tblPrEx>
          <w:tblCellMar>
            <w:top w:w="0" w:type="dxa"/>
            <w:left w:w="108" w:type="dxa"/>
            <w:bottom w:w="0" w:type="dxa"/>
            <w:right w:w="108" w:type="dxa"/>
          </w:tblCellMar>
        </w:tblPrEx>
        <w:trPr>
          <w:trHeight w:val="567"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08818D0D">
            <w:pPr>
              <w:widowControl w:val="0"/>
              <w:wordWrap w:val="0"/>
              <w:adjustRightInd w:val="0"/>
              <w:snapToGrid w:val="0"/>
              <w:spacing w:after="0" w:line="440" w:lineRule="exact"/>
              <w:jc w:val="left"/>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b/>
                <w:bCs/>
                <w:kern w:val="0"/>
                <w:sz w:val="24"/>
                <w:szCs w:val="24"/>
                <w:highlight w:val="none"/>
                <w:lang w:val="en-US" w:eastAsia="zh-CN" w:bidi="ar-SA"/>
              </w:rPr>
              <w:t>技术部分（施工组织设计），满分：</w:t>
            </w:r>
            <w:r>
              <w:rPr>
                <w:rFonts w:hint="eastAsia" w:asciiTheme="minorEastAsia" w:hAnsiTheme="minorEastAsia" w:eastAsiaTheme="minorEastAsia" w:cstheme="minorEastAsia"/>
                <w:b/>
                <w:bCs/>
                <w:kern w:val="0"/>
                <w:sz w:val="24"/>
                <w:szCs w:val="24"/>
                <w:highlight w:val="none"/>
                <w:u w:val="single"/>
                <w:lang w:val="en-US" w:eastAsia="zh-CN" w:bidi="ar-SA"/>
              </w:rPr>
              <w:t xml:space="preserve">  20  </w:t>
            </w:r>
            <w:r>
              <w:rPr>
                <w:rFonts w:hint="eastAsia" w:asciiTheme="minorEastAsia" w:hAnsiTheme="minorEastAsia" w:eastAsiaTheme="minorEastAsia" w:cstheme="minorEastAsia"/>
                <w:b/>
                <w:bCs/>
                <w:kern w:val="0"/>
                <w:sz w:val="24"/>
                <w:szCs w:val="24"/>
                <w:highlight w:val="none"/>
                <w:lang w:val="en-US" w:eastAsia="zh-CN" w:bidi="ar-SA"/>
              </w:rPr>
              <w:t>分。</w:t>
            </w:r>
          </w:p>
        </w:tc>
      </w:tr>
      <w:tr w14:paraId="4B66BDA5">
        <w:tblPrEx>
          <w:tblCellMar>
            <w:top w:w="0" w:type="dxa"/>
            <w:left w:w="108" w:type="dxa"/>
            <w:bottom w:w="0" w:type="dxa"/>
            <w:right w:w="108" w:type="dxa"/>
          </w:tblCellMar>
        </w:tblPrEx>
        <w:trPr>
          <w:trHeight w:val="680"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DB8F929">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评分因素</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03398D18">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评分标准</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4B742C69">
            <w:pPr>
              <w:widowControl w:val="0"/>
              <w:wordWrap w:val="0"/>
              <w:adjustRightInd w:val="0"/>
              <w:snapToGrid w:val="0"/>
              <w:spacing w:after="0" w:line="440" w:lineRule="exact"/>
              <w:jc w:val="center"/>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snapToGrid w:val="0"/>
                <w:kern w:val="0"/>
                <w:sz w:val="21"/>
                <w:szCs w:val="21"/>
                <w:highlight w:val="none"/>
                <w:lang w:val="en-US" w:eastAsia="zh-CN" w:bidi="ar-SA"/>
              </w:rPr>
              <w:t>备注</w:t>
            </w:r>
          </w:p>
        </w:tc>
      </w:tr>
      <w:tr w14:paraId="0A9DFC21">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EEE0D3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 xml:space="preserve"> 总体概述</w:t>
            </w:r>
          </w:p>
          <w:p w14:paraId="6105431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650D14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36B2B92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722A250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7A5D4422">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A2DDC8D">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【优】对项目总体有深刻认识，表述清晰、完整、严谨、合理，措施先进、具体、有效、成熟，采用了新技术、新工艺、新材料、新设备；施工段划分呼应总体表述，划分清晰、合理，符合规范要求。</w:t>
            </w:r>
          </w:p>
          <w:p w14:paraId="0F9DBA93">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【良】对项目总体有一定认识，表述清晰、完整，措施具体有效；施工段划分呼应总体表述，划分清晰，符合规范要求。</w:t>
            </w:r>
          </w:p>
          <w:p w14:paraId="2DF4D804">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【中】对项目总体有认识，有一定的措施但部分不具体；施工段划分较合理，符合规范要求。</w:t>
            </w:r>
          </w:p>
          <w:p w14:paraId="7AB15B10">
            <w:pPr>
              <w:widowControl w:val="0"/>
              <w:kinsoku/>
              <w:wordWrap w:val="0"/>
              <w:autoSpaceDE/>
              <w:autoSpaceDN/>
              <w:adjustRightInd w:val="0"/>
              <w:snapToGrid w:val="0"/>
              <w:spacing w:line="400" w:lineRule="exact"/>
              <w:jc w:val="left"/>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【差】对项目认识不足，表述不清晰，措施不具体；施工段划分不合理。</w:t>
            </w:r>
          </w:p>
        </w:tc>
      </w:tr>
      <w:tr w14:paraId="4566FD7B">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E965F5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施工总进</w:t>
            </w:r>
          </w:p>
          <w:p w14:paraId="1F0C67D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度计划及</w:t>
            </w:r>
          </w:p>
          <w:p w14:paraId="754D65D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保证措施</w:t>
            </w:r>
          </w:p>
          <w:p w14:paraId="2C0A1F6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3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65497DE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33A9466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3B0C729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07B838C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21E2E9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Theme="minorEastAsia" w:hAnsiTheme="minorEastAsia" w:eastAsiaTheme="minorEastAsia" w:cstheme="minorEastAsia"/>
                <w:b/>
                <w:bCs/>
                <w:snapToGrid w:val="0"/>
                <w:kern w:val="0"/>
                <w:sz w:val="21"/>
                <w:szCs w:val="21"/>
                <w:highlight w:val="none"/>
                <w:lang w:eastAsia="zh-CN"/>
              </w:rPr>
              <w:t>经济赔偿合理。</w:t>
            </w:r>
          </w:p>
          <w:p w14:paraId="19C1FB4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Theme="minorEastAsia" w:hAnsiTheme="minorEastAsia" w:eastAsiaTheme="minorEastAsia" w:cstheme="minorEastAsia"/>
                <w:b/>
                <w:bCs/>
                <w:snapToGrid w:val="0"/>
                <w:kern w:val="0"/>
                <w:sz w:val="21"/>
                <w:szCs w:val="21"/>
                <w:highlight w:val="none"/>
                <w:lang w:eastAsia="zh-CN"/>
              </w:rPr>
              <w:t>经济赔偿较合理。</w:t>
            </w:r>
          </w:p>
          <w:p w14:paraId="0EE5FB53">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【中】关键线路基本准确，计划编制基本合理。关键节点的控制措施基本可行。人、材、机需求和进场计划与进度计划相呼应，基本满足施工需要，调配投入计划基本合理。进度违约责任承诺具体。</w:t>
            </w:r>
          </w:p>
          <w:p w14:paraId="63E8EF0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【差】关键线路不准确，计划编制不合理。关键节点的控制不可行。人、材、机需求和进场计划与进度计划不相呼应，不能满足施工需要。没有违约责任承诺。</w:t>
            </w:r>
          </w:p>
        </w:tc>
      </w:tr>
      <w:tr w14:paraId="5199214C">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009F87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质量</w:t>
            </w:r>
          </w:p>
          <w:p w14:paraId="4F89884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保证措施</w:t>
            </w:r>
          </w:p>
          <w:p w14:paraId="388AF86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（4</w:t>
            </w:r>
            <w:r>
              <w:rPr>
                <w:rFonts w:hint="eastAsia" w:asciiTheme="minorEastAsia" w:hAnsiTheme="minorEastAsia" w:eastAsiaTheme="minorEastAsia" w:cstheme="minorEastAsia"/>
                <w:b/>
                <w:bCs/>
                <w:snapToGrid w:val="0"/>
                <w:kern w:val="0"/>
                <w:sz w:val="21"/>
                <w:szCs w:val="21"/>
                <w:highlight w:val="none"/>
                <w:u w:val="single"/>
                <w:lang w:eastAsia="zh-CN"/>
              </w:rPr>
              <w:t xml:space="preserve">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32E1534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583686F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00AE193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3C44AEB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1B9CFCF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【优】应用新技术、新工艺、新材料、新设备，针对项目实际提出先进、可行、具体的保证措施。超过招标文件的质量要求。</w:t>
            </w:r>
          </w:p>
          <w:p w14:paraId="08993DC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【良】针对项目实际提出先进、可行、具体的保证措施。满足招标文件的质量要求。</w:t>
            </w:r>
          </w:p>
          <w:p w14:paraId="351AD0B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【中】具体措施可行。满足招标文件的质量要求。</w:t>
            </w:r>
          </w:p>
          <w:p w14:paraId="37BC574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【差】措施不可行，没有质量违约责任承诺。</w:t>
            </w:r>
          </w:p>
        </w:tc>
      </w:tr>
      <w:tr w14:paraId="30A926CA">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15B9AA1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施工</w:t>
            </w:r>
          </w:p>
          <w:p w14:paraId="550948C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技术措施</w:t>
            </w:r>
          </w:p>
          <w:p w14:paraId="611D30F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316F20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1549636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6438807D">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6488DCA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1C08F8C">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Theme="minorEastAsia" w:hAnsiTheme="minorEastAsia" w:eastAsiaTheme="minorEastAsia" w:cstheme="minorEastAsia"/>
                <w:b/>
                <w:bCs/>
                <w:snapToGrid w:val="0"/>
                <w:kern w:val="0"/>
                <w:sz w:val="21"/>
                <w:szCs w:val="21"/>
                <w:highlight w:val="none"/>
                <w:lang w:eastAsia="zh-CN"/>
              </w:rPr>
              <w:t>经济赔偿合理。</w:t>
            </w:r>
          </w:p>
          <w:p w14:paraId="3FE56E5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b/>
                <w:bCs/>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Theme="minorEastAsia" w:hAnsiTheme="minorEastAsia" w:eastAsiaTheme="minorEastAsia" w:cstheme="minorEastAsia"/>
                <w:b/>
                <w:bCs/>
                <w:snapToGrid w:val="0"/>
                <w:kern w:val="0"/>
                <w:sz w:val="21"/>
                <w:szCs w:val="21"/>
                <w:highlight w:val="none"/>
                <w:lang w:eastAsia="zh-CN"/>
              </w:rPr>
              <w:t>经济赔偿较合理。</w:t>
            </w:r>
          </w:p>
          <w:p w14:paraId="589B379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3A6F76C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【差】对项目关键技术有表述，对重点、难点有建议，解决方案不可行。采用的新技术针对性不强或验证材料不可靠，对节约投资、工期没有具体收益。无违约责任承诺。</w:t>
            </w:r>
          </w:p>
        </w:tc>
      </w:tr>
      <w:tr w14:paraId="472B5554">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3672BA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绿色施工、</w:t>
            </w:r>
          </w:p>
          <w:p w14:paraId="5D8F7C5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安全防护、</w:t>
            </w:r>
          </w:p>
          <w:p w14:paraId="72B5CBB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文明施工</w:t>
            </w:r>
          </w:p>
          <w:p w14:paraId="203F93D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措施计划</w:t>
            </w:r>
          </w:p>
          <w:p w14:paraId="7754528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9CDE7B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2191867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2E5C72B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1792058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B2C4E0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【优】针对项目实际情况，有先进、具体、完整、可行的措施，采用规范准确、清晰。</w:t>
            </w:r>
          </w:p>
          <w:p w14:paraId="16146B0F">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【良】针对项目实际情况，有合理的措施且具体、完整，采用规范准确。</w:t>
            </w:r>
          </w:p>
          <w:p w14:paraId="1D6C023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【中】有基本合理的措施，采用规范准确。</w:t>
            </w:r>
          </w:p>
          <w:p w14:paraId="62A08F09">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【差】措施不力，采用规范不正确。</w:t>
            </w:r>
          </w:p>
        </w:tc>
      </w:tr>
      <w:tr w14:paraId="14298529">
        <w:tblPrEx>
          <w:tblCellMar>
            <w:top w:w="0" w:type="dxa"/>
            <w:left w:w="108" w:type="dxa"/>
            <w:bottom w:w="0" w:type="dxa"/>
            <w:right w:w="108" w:type="dxa"/>
          </w:tblCellMar>
        </w:tblPrEx>
        <w:trPr>
          <w:trHeight w:val="457"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7194A0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施工平面</w:t>
            </w:r>
          </w:p>
          <w:p w14:paraId="4DBB0C1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布置和临时设施布置</w:t>
            </w:r>
          </w:p>
          <w:p w14:paraId="4384538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2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22DA81A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7EE10BF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33C82DB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2FA5008B">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208E8385">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【优】总体布置有针对性、合理，较好满足施工需要，符合绿色施工、安全防护、文明施工要求。</w:t>
            </w:r>
          </w:p>
          <w:p w14:paraId="4C2E618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【良】总体布置合理，能满足施工需要，基本符合绿色施工、安全防护、文明施工要求。</w:t>
            </w:r>
          </w:p>
          <w:p w14:paraId="7E4A1B7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【中】总体布置基本合理，基本满足施工需要。</w:t>
            </w:r>
          </w:p>
          <w:p w14:paraId="61A92980">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【差】总体布置不合理，不符合绿色施工、安全防护、文明施工要求。</w:t>
            </w:r>
          </w:p>
        </w:tc>
      </w:tr>
      <w:tr w14:paraId="30544851">
        <w:tblPrEx>
          <w:tblCellMar>
            <w:top w:w="0" w:type="dxa"/>
            <w:left w:w="108" w:type="dxa"/>
            <w:bottom w:w="0" w:type="dxa"/>
            <w:right w:w="108" w:type="dxa"/>
          </w:tblCellMar>
        </w:tblPrEx>
        <w:trPr>
          <w:trHeight w:val="7090"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6330951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项目</w:t>
            </w:r>
          </w:p>
          <w:p w14:paraId="794CB4A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管理机构</w:t>
            </w:r>
          </w:p>
          <w:p w14:paraId="05265A38">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b/>
                <w:bCs/>
                <w:snapToGrid w:val="0"/>
                <w:kern w:val="0"/>
                <w:sz w:val="21"/>
                <w:szCs w:val="21"/>
                <w:highlight w:val="none"/>
                <w:lang w:eastAsia="zh-CN"/>
              </w:rPr>
              <w:t>（</w:t>
            </w:r>
            <w:r>
              <w:rPr>
                <w:rFonts w:hint="eastAsia" w:asciiTheme="minorEastAsia" w:hAnsiTheme="minorEastAsia" w:eastAsiaTheme="minorEastAsia" w:cstheme="minorEastAsia"/>
                <w:b/>
                <w:bCs/>
                <w:snapToGrid w:val="0"/>
                <w:kern w:val="0"/>
                <w:sz w:val="21"/>
                <w:szCs w:val="21"/>
                <w:highlight w:val="none"/>
                <w:u w:val="single"/>
                <w:lang w:eastAsia="zh-CN"/>
              </w:rPr>
              <w:t xml:space="preserve"> 3 </w:t>
            </w:r>
            <w:r>
              <w:rPr>
                <w:rFonts w:hint="eastAsia" w:asciiTheme="minorEastAsia" w:hAnsiTheme="minorEastAsia" w:eastAsiaTheme="minorEastAsia" w:cstheme="minorEastAsia"/>
                <w:b/>
                <w:bCs/>
                <w:snapToGrid w:val="0"/>
                <w:kern w:val="0"/>
                <w:sz w:val="21"/>
                <w:szCs w:val="21"/>
                <w:highlight w:val="none"/>
                <w:lang w:eastAsia="zh-CN"/>
              </w:rPr>
              <w:t>分）</w:t>
            </w:r>
          </w:p>
        </w:tc>
        <w:tc>
          <w:tcPr>
            <w:tcW w:w="3733" w:type="dxa"/>
            <w:tcBorders>
              <w:top w:val="single" w:color="auto" w:sz="4" w:space="0"/>
              <w:left w:val="single" w:color="auto" w:sz="4" w:space="0"/>
              <w:bottom w:val="single" w:color="auto" w:sz="4" w:space="0"/>
              <w:right w:val="single" w:color="auto" w:sz="4" w:space="0"/>
            </w:tcBorders>
            <w:noWrap w:val="0"/>
            <w:vAlign w:val="center"/>
          </w:tcPr>
          <w:p w14:paraId="5FAE949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【优】得该项评分因素分值的90%～100%（含90%）。</w:t>
            </w:r>
          </w:p>
          <w:p w14:paraId="57897A82">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【良】得该项评分因素分值的80%～90%（含80%）。</w:t>
            </w:r>
          </w:p>
          <w:p w14:paraId="1C8A769E">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【中】得该项评分因素分值的70%～80%（含70%）。</w:t>
            </w:r>
          </w:p>
          <w:p w14:paraId="16361E17">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【差】得该项评分因素分值的60～70%（含60%）。</w:t>
            </w:r>
          </w:p>
        </w:tc>
        <w:tc>
          <w:tcPr>
            <w:tcW w:w="5358" w:type="dxa"/>
            <w:tcBorders>
              <w:top w:val="single" w:color="auto" w:sz="4" w:space="0"/>
              <w:left w:val="single" w:color="auto" w:sz="4" w:space="0"/>
              <w:bottom w:val="single" w:color="auto" w:sz="4" w:space="0"/>
              <w:right w:val="single" w:color="auto" w:sz="4" w:space="0"/>
            </w:tcBorders>
            <w:noWrap w:val="0"/>
            <w:vAlign w:val="center"/>
          </w:tcPr>
          <w:p w14:paraId="7583BBE8">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【优】组织机构形式合理，有完善的指挥系统，生产及质量、绿色施工、安全、文明施工、创优达标监控系统、联络协调系统，项目管理人员内高级职称人员20%（含20%）以上、中级职称人员</w:t>
            </w:r>
            <w:r>
              <w:rPr>
                <w:rFonts w:hint="eastAsia" w:asciiTheme="minorEastAsia" w:hAnsiTheme="minorEastAsia" w:eastAsiaTheme="minorEastAsia" w:cstheme="minorEastAsia"/>
                <w:b/>
                <w:bCs/>
                <w:snapToGrid w:val="0"/>
                <w:kern w:val="0"/>
                <w:sz w:val="21"/>
                <w:szCs w:val="21"/>
                <w:highlight w:val="none"/>
                <w:lang w:eastAsia="zh-CN"/>
              </w:rPr>
              <w:t>及以上职称</w:t>
            </w:r>
            <w:r>
              <w:rPr>
                <w:rFonts w:hint="eastAsia" w:asciiTheme="minorEastAsia" w:hAnsiTheme="minorEastAsia" w:eastAsiaTheme="minorEastAsia" w:cstheme="minorEastAsia"/>
                <w:snapToGrid w:val="0"/>
                <w:kern w:val="0"/>
                <w:sz w:val="21"/>
                <w:szCs w:val="21"/>
                <w:highlight w:val="none"/>
                <w:lang w:eastAsia="zh-CN"/>
              </w:rPr>
              <w:t>60%（含60%）以上。</w:t>
            </w:r>
          </w:p>
          <w:p w14:paraId="32B87F3A">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【良】组织机构形式合理，指挥系统，生产及质量、绿色施工、安全、文明施工、创优达标监控系统、联络协调系统齐全，项目管理人员内高级职称人员15%～20%（含15%）、中级职称</w:t>
            </w:r>
            <w:r>
              <w:rPr>
                <w:rFonts w:hint="eastAsia" w:asciiTheme="minorEastAsia" w:hAnsiTheme="minorEastAsia" w:eastAsiaTheme="minorEastAsia" w:cstheme="minorEastAsia"/>
                <w:b/>
                <w:bCs/>
                <w:snapToGrid w:val="0"/>
                <w:kern w:val="0"/>
                <w:sz w:val="21"/>
                <w:szCs w:val="21"/>
                <w:highlight w:val="none"/>
                <w:lang w:eastAsia="zh-CN"/>
              </w:rPr>
              <w:t>及以上职称</w:t>
            </w:r>
            <w:r>
              <w:rPr>
                <w:rFonts w:hint="eastAsia" w:asciiTheme="minorEastAsia" w:hAnsiTheme="minorEastAsia" w:eastAsiaTheme="minorEastAsia" w:cstheme="minorEastAsia"/>
                <w:snapToGrid w:val="0"/>
                <w:kern w:val="0"/>
                <w:sz w:val="21"/>
                <w:szCs w:val="21"/>
                <w:highlight w:val="none"/>
                <w:lang w:eastAsia="zh-CN"/>
              </w:rPr>
              <w:t>人员50%～60%（含50%）。</w:t>
            </w:r>
          </w:p>
          <w:p w14:paraId="54429B21">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【中】组织机构形式基本合理，有指挥系统，生产及质量、绿色施工、安全、文明施工、创优达标监控系统、联络协调系统，项目管理人员内高级职称人员10%～15%（含10%）、中级职称人员</w:t>
            </w:r>
            <w:r>
              <w:rPr>
                <w:rFonts w:hint="eastAsia" w:asciiTheme="minorEastAsia" w:hAnsiTheme="minorEastAsia" w:eastAsiaTheme="minorEastAsia" w:cstheme="minorEastAsia"/>
                <w:b/>
                <w:bCs/>
                <w:snapToGrid w:val="0"/>
                <w:kern w:val="0"/>
                <w:sz w:val="21"/>
                <w:szCs w:val="21"/>
                <w:highlight w:val="none"/>
                <w:lang w:eastAsia="zh-CN"/>
              </w:rPr>
              <w:t>及以上职称</w:t>
            </w:r>
            <w:r>
              <w:rPr>
                <w:rFonts w:hint="eastAsia" w:asciiTheme="minorEastAsia" w:hAnsiTheme="minorEastAsia" w:eastAsiaTheme="minorEastAsia" w:cstheme="minorEastAsia"/>
                <w:snapToGrid w:val="0"/>
                <w:kern w:val="0"/>
                <w:sz w:val="21"/>
                <w:szCs w:val="21"/>
                <w:highlight w:val="none"/>
                <w:lang w:eastAsia="zh-CN"/>
              </w:rPr>
              <w:t>40%～50%（含40%）。</w:t>
            </w:r>
          </w:p>
          <w:p w14:paraId="6DAB4E56">
            <w:pPr>
              <w:widowControl w:val="0"/>
              <w:kinsoku/>
              <w:wordWrap w:val="0"/>
              <w:autoSpaceDE/>
              <w:autoSpaceDN/>
              <w:adjustRightInd w:val="0"/>
              <w:snapToGrid w:val="0"/>
              <w:spacing w:line="400" w:lineRule="exact"/>
              <w:jc w:val="both"/>
              <w:textAlignment w:val="auto"/>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【差】组织机构形式合理，指挥系统，生产及质量、绿色施工、安全、文明施工、创优达标监控系统、联络协调系统不齐全，项目管理人员内高级职称人员10%以下、中级职称人员</w:t>
            </w:r>
            <w:r>
              <w:rPr>
                <w:rFonts w:hint="eastAsia" w:asciiTheme="minorEastAsia" w:hAnsiTheme="minorEastAsia" w:eastAsiaTheme="minorEastAsia" w:cstheme="minorEastAsia"/>
                <w:b/>
                <w:bCs/>
                <w:snapToGrid w:val="0"/>
                <w:kern w:val="0"/>
                <w:sz w:val="21"/>
                <w:szCs w:val="21"/>
                <w:highlight w:val="none"/>
                <w:lang w:eastAsia="zh-CN"/>
              </w:rPr>
              <w:t>及以上职称</w:t>
            </w:r>
            <w:r>
              <w:rPr>
                <w:rFonts w:hint="eastAsia" w:asciiTheme="minorEastAsia" w:hAnsiTheme="minorEastAsia" w:eastAsiaTheme="minorEastAsia" w:cstheme="minorEastAsia"/>
                <w:snapToGrid w:val="0"/>
                <w:kern w:val="0"/>
                <w:sz w:val="21"/>
                <w:szCs w:val="21"/>
                <w:highlight w:val="none"/>
                <w:lang w:eastAsia="zh-CN"/>
              </w:rPr>
              <w:t>40%以下。</w:t>
            </w:r>
          </w:p>
        </w:tc>
      </w:tr>
      <w:tr w14:paraId="61D74F99">
        <w:tblPrEx>
          <w:tblCellMar>
            <w:top w:w="0" w:type="dxa"/>
            <w:left w:w="108" w:type="dxa"/>
            <w:bottom w:w="0" w:type="dxa"/>
            <w:right w:w="108" w:type="dxa"/>
          </w:tblCellMar>
        </w:tblPrEx>
        <w:trPr>
          <w:trHeight w:val="554" w:hRule="exact"/>
          <w:jc w:val="center"/>
        </w:trPr>
        <w:tc>
          <w:tcPr>
            <w:tcW w:w="1030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2B57F38F">
            <w:pPr>
              <w:widowControl w:val="0"/>
              <w:wordWrap w:val="0"/>
              <w:adjustRightInd w:val="0"/>
              <w:snapToGrid w:val="0"/>
              <w:spacing w:line="400" w:lineRule="exact"/>
              <w:jc w:val="both"/>
              <w:rPr>
                <w:rFonts w:hint="eastAsia" w:asciiTheme="minorEastAsia" w:hAnsiTheme="minorEastAsia" w:eastAsiaTheme="minorEastAsia" w:cstheme="minorEastAsia"/>
                <w:snapToGrid w:val="0"/>
                <w:kern w:val="0"/>
                <w:sz w:val="21"/>
                <w:szCs w:val="21"/>
                <w:highlight w:val="none"/>
                <w:lang w:val="en-US" w:eastAsia="zh-CN" w:bidi="ar-SA"/>
              </w:rPr>
            </w:pPr>
            <w:r>
              <w:rPr>
                <w:rFonts w:hint="eastAsia" w:asciiTheme="minorEastAsia" w:hAnsiTheme="minorEastAsia" w:eastAsiaTheme="minorEastAsia" w:cstheme="minorEastAsia"/>
                <w:b/>
                <w:bCs/>
                <w:snapToGrid w:val="0"/>
                <w:kern w:val="0"/>
                <w:sz w:val="24"/>
                <w:szCs w:val="24"/>
                <w:highlight w:val="none"/>
                <w:lang w:val="en-US" w:eastAsia="zh-CN" w:bidi="ar-SA"/>
              </w:rPr>
              <w:t>投标报价部分，满分：100分。</w:t>
            </w:r>
          </w:p>
        </w:tc>
      </w:tr>
      <w:tr w14:paraId="158278BC">
        <w:tblPrEx>
          <w:tblCellMar>
            <w:top w:w="0" w:type="dxa"/>
            <w:left w:w="108" w:type="dxa"/>
            <w:bottom w:w="0" w:type="dxa"/>
            <w:right w:w="108" w:type="dxa"/>
          </w:tblCellMar>
        </w:tblPrEx>
        <w:trPr>
          <w:trHeight w:val="451"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9EEAEA5">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评分事项</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40B053FD">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评分方法</w:t>
            </w:r>
          </w:p>
        </w:tc>
      </w:tr>
      <w:tr w14:paraId="7C84A66C">
        <w:tblPrEx>
          <w:tblCellMar>
            <w:top w:w="0" w:type="dxa"/>
            <w:left w:w="108" w:type="dxa"/>
            <w:bottom w:w="0" w:type="dxa"/>
            <w:right w:w="108" w:type="dxa"/>
          </w:tblCellMar>
        </w:tblPrEx>
        <w:trPr>
          <w:trHeight w:val="632" w:hRule="atLeas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517D891">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评标基准价D</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18C1D6FE">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（1）确定</w:t>
            </w:r>
            <w:r>
              <w:rPr>
                <w:rFonts w:hint="eastAsia" w:asciiTheme="minorEastAsia" w:hAnsiTheme="minorEastAsia" w:eastAsiaTheme="minorEastAsia" w:cstheme="minorEastAsia"/>
                <w:snapToGrid/>
                <w:kern w:val="0"/>
                <w:sz w:val="21"/>
                <w:szCs w:val="21"/>
                <w:highlight w:val="none"/>
                <w:lang w:val="en-US" w:eastAsia="zh-CN"/>
              </w:rPr>
              <w:t>最高投标限价</w:t>
            </w:r>
            <w:r>
              <w:rPr>
                <w:rFonts w:hint="eastAsia" w:asciiTheme="minorEastAsia" w:hAnsiTheme="minorEastAsia" w:eastAsiaTheme="minorEastAsia" w:cstheme="minorEastAsia"/>
                <w:snapToGrid/>
                <w:kern w:val="0"/>
                <w:sz w:val="21"/>
                <w:szCs w:val="21"/>
                <w:highlight w:val="none"/>
                <w:lang w:eastAsia="zh-CN"/>
              </w:rPr>
              <w:t>下浮系数n：用1～21号球分别代表一个下浮系数，由评委代表从这21个号码中随机抽取 3 次，每次抽取1个号码，抽出的号球不参与下次抽取。所抽取的3个号码对应下浮系数的算术平均值作为</w:t>
            </w:r>
            <w:r>
              <w:rPr>
                <w:rFonts w:hint="eastAsia" w:asciiTheme="minorEastAsia" w:hAnsiTheme="minorEastAsia" w:eastAsiaTheme="minorEastAsia" w:cstheme="minorEastAsia"/>
                <w:snapToGrid/>
                <w:kern w:val="0"/>
                <w:sz w:val="21"/>
                <w:szCs w:val="21"/>
                <w:highlight w:val="none"/>
                <w:lang w:val="en-US" w:eastAsia="zh-CN"/>
              </w:rPr>
              <w:t>最高投标限价</w:t>
            </w:r>
            <w:r>
              <w:rPr>
                <w:rFonts w:hint="eastAsia" w:asciiTheme="minorEastAsia" w:hAnsiTheme="minorEastAsia" w:eastAsiaTheme="minorEastAsia" w:cstheme="minorEastAsia"/>
                <w:snapToGrid/>
                <w:kern w:val="0"/>
                <w:sz w:val="21"/>
                <w:szCs w:val="21"/>
                <w:highlight w:val="none"/>
                <w:lang w:eastAsia="zh-CN"/>
              </w:rPr>
              <w:t>下浮系数n。具体号码对应的下浮系数见下表。</w:t>
            </w:r>
          </w:p>
          <w:tbl>
            <w:tblPr>
              <w:tblStyle w:val="15"/>
              <w:tblW w:w="0" w:type="auto"/>
              <w:tblInd w:w="113" w:type="dxa"/>
              <w:tblLayout w:type="fixed"/>
              <w:tblCellMar>
                <w:top w:w="0" w:type="dxa"/>
                <w:left w:w="108" w:type="dxa"/>
                <w:bottom w:w="0" w:type="dxa"/>
                <w:right w:w="108" w:type="dxa"/>
              </w:tblCellMar>
            </w:tblPr>
            <w:tblGrid>
              <w:gridCol w:w="1731"/>
              <w:gridCol w:w="938"/>
              <w:gridCol w:w="1100"/>
              <w:gridCol w:w="1050"/>
              <w:gridCol w:w="987"/>
              <w:gridCol w:w="1038"/>
              <w:gridCol w:w="925"/>
              <w:gridCol w:w="850"/>
            </w:tblGrid>
            <w:tr w14:paraId="191B2DE9">
              <w:tblPrEx>
                <w:tblCellMar>
                  <w:top w:w="0" w:type="dxa"/>
                  <w:left w:w="108" w:type="dxa"/>
                  <w:bottom w:w="0" w:type="dxa"/>
                  <w:right w:w="108" w:type="dxa"/>
                </w:tblCellMar>
              </w:tblPrEx>
              <w:trPr>
                <w:trHeight w:val="446"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33B3354F">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7A2D15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6C04022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A41C67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3EA2E5A0">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4</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275DAA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E7C29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6</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5C76CFF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7</w:t>
                  </w:r>
                </w:p>
              </w:tc>
            </w:tr>
            <w:tr w14:paraId="06C62F3C">
              <w:tblPrEx>
                <w:tblCellMar>
                  <w:top w:w="0" w:type="dxa"/>
                  <w:left w:w="108" w:type="dxa"/>
                  <w:bottom w:w="0" w:type="dxa"/>
                  <w:right w:w="108" w:type="dxa"/>
                </w:tblCellMar>
              </w:tblPrEx>
              <w:trPr>
                <w:trHeight w:val="637"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16208630">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ED7480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1.0</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8F2A23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79FE41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1.2</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0706024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1.3</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02DB1F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1.4</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53B4A6D">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F28A58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1.6</w:t>
                  </w:r>
                </w:p>
              </w:tc>
            </w:tr>
            <w:tr w14:paraId="4BED358B">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4F5B9A23">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8DFE12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8</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927AB8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A93D8A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10</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2F2EAD3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11</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7D1069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12</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1DB84C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13</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3A02131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14</w:t>
                  </w:r>
                </w:p>
              </w:tc>
            </w:tr>
            <w:tr w14:paraId="4245F957">
              <w:tblPrEx>
                <w:tblCellMar>
                  <w:top w:w="0" w:type="dxa"/>
                  <w:left w:w="108" w:type="dxa"/>
                  <w:bottom w:w="0" w:type="dxa"/>
                  <w:right w:w="108" w:type="dxa"/>
                </w:tblCellMar>
              </w:tblPrEx>
              <w:trPr>
                <w:trHeight w:val="571"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52D38D3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76C407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1.7</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5519A4D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74A72B">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1.9</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7CD743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2.0</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9742E1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2.1</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EF5DFE5">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2.2</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6E38BC3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2.3</w:t>
                  </w:r>
                </w:p>
              </w:tc>
            </w:tr>
            <w:tr w14:paraId="063A84B1">
              <w:tblPrEx>
                <w:tblCellMar>
                  <w:top w:w="0" w:type="dxa"/>
                  <w:left w:w="108" w:type="dxa"/>
                  <w:bottom w:w="0" w:type="dxa"/>
                  <w:right w:w="108" w:type="dxa"/>
                </w:tblCellMar>
              </w:tblPrEx>
              <w:trPr>
                <w:trHeight w:val="522"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2771BA6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号球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5CF1976">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15</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A65808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CDD72F">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17</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A3B7B4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18</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0BC0424">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19</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602A819A">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458FDC2E">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21</w:t>
                  </w:r>
                </w:p>
              </w:tc>
            </w:tr>
            <w:tr w14:paraId="583A524D">
              <w:tblPrEx>
                <w:tblCellMar>
                  <w:top w:w="0" w:type="dxa"/>
                  <w:left w:w="108" w:type="dxa"/>
                  <w:bottom w:w="0" w:type="dxa"/>
                  <w:right w:w="108" w:type="dxa"/>
                </w:tblCellMar>
              </w:tblPrEx>
              <w:trPr>
                <w:trHeight w:val="675" w:hRule="atLeast"/>
              </w:trPr>
              <w:tc>
                <w:tcPr>
                  <w:tcW w:w="1731" w:type="dxa"/>
                  <w:tcBorders>
                    <w:top w:val="single" w:color="000000" w:sz="4" w:space="0"/>
                    <w:left w:val="single" w:color="000000" w:sz="4" w:space="0"/>
                    <w:bottom w:val="single" w:color="000000" w:sz="4" w:space="0"/>
                    <w:right w:val="single" w:color="000000" w:sz="4" w:space="0"/>
                  </w:tcBorders>
                  <w:noWrap w:val="0"/>
                  <w:vAlign w:val="center"/>
                </w:tcPr>
                <w:p w14:paraId="790E2A4E">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下浮系数（%）</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0C74519">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2.4</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922E613">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90D992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2.6</w:t>
                  </w:r>
                </w:p>
              </w:tc>
              <w:tc>
                <w:tcPr>
                  <w:tcW w:w="987" w:type="dxa"/>
                  <w:tcBorders>
                    <w:top w:val="single" w:color="000000" w:sz="4" w:space="0"/>
                    <w:left w:val="single" w:color="000000" w:sz="4" w:space="0"/>
                    <w:bottom w:val="single" w:color="000000" w:sz="4" w:space="0"/>
                    <w:right w:val="single" w:color="000000" w:sz="4" w:space="0"/>
                  </w:tcBorders>
                  <w:noWrap w:val="0"/>
                  <w:vAlign w:val="center"/>
                </w:tcPr>
                <w:p w14:paraId="6A6CFC52">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2.7</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CB0FD5C">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2.8</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AD22F27">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2.9</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271F0BF1">
                  <w:pPr>
                    <w:widowControl w:val="0"/>
                    <w:kinsoku/>
                    <w:wordWrap w:val="0"/>
                    <w:autoSpaceDE/>
                    <w:autoSpaceDN/>
                    <w:adjustRightInd w:val="0"/>
                    <w:snapToGrid w:val="0"/>
                    <w:spacing w:line="400" w:lineRule="exact"/>
                    <w:jc w:val="center"/>
                    <w:textAlignment w:val="auto"/>
                    <w:rPr>
                      <w:rFonts w:hint="eastAsia" w:asciiTheme="minorEastAsia" w:hAnsiTheme="minorEastAsia" w:eastAsiaTheme="minorEastAsia" w:cstheme="minorEastAsia"/>
                      <w:snapToGrid/>
                      <w:kern w:val="2"/>
                      <w:sz w:val="21"/>
                      <w:szCs w:val="21"/>
                      <w:highlight w:val="none"/>
                      <w:lang w:eastAsia="zh-CN"/>
                    </w:rPr>
                  </w:pPr>
                  <w:r>
                    <w:rPr>
                      <w:rFonts w:hint="eastAsia" w:asciiTheme="minorEastAsia" w:hAnsiTheme="minorEastAsia" w:eastAsiaTheme="minorEastAsia" w:cstheme="minorEastAsia"/>
                      <w:snapToGrid w:val="0"/>
                      <w:kern w:val="0"/>
                      <w:sz w:val="21"/>
                      <w:szCs w:val="21"/>
                      <w:highlight w:val="none"/>
                      <w:lang w:eastAsia="zh-CN"/>
                    </w:rPr>
                    <w:t>3.0</w:t>
                  </w:r>
                </w:p>
              </w:tc>
            </w:tr>
          </w:tbl>
          <w:p w14:paraId="604F1991">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（2）评标基准价D＝</w:t>
            </w:r>
            <w:r>
              <w:rPr>
                <w:rFonts w:hint="eastAsia" w:asciiTheme="minorEastAsia" w:hAnsiTheme="minorEastAsia" w:eastAsiaTheme="minorEastAsia" w:cstheme="minorEastAsia"/>
                <w:snapToGrid/>
                <w:kern w:val="0"/>
                <w:sz w:val="21"/>
                <w:szCs w:val="21"/>
                <w:highlight w:val="none"/>
                <w:lang w:val="en-US" w:eastAsia="zh-CN"/>
              </w:rPr>
              <w:t>最高投标限价</w:t>
            </w:r>
            <w:r>
              <w:rPr>
                <w:rFonts w:hint="eastAsia" w:asciiTheme="minorEastAsia" w:hAnsiTheme="minorEastAsia" w:eastAsiaTheme="minorEastAsia" w:cstheme="minorEastAsia"/>
                <w:snapToGrid/>
                <w:kern w:val="0"/>
                <w:sz w:val="21"/>
                <w:szCs w:val="21"/>
                <w:highlight w:val="none"/>
                <w:lang w:eastAsia="zh-CN"/>
              </w:rPr>
              <w:t>×（1－n）</w:t>
            </w:r>
          </w:p>
        </w:tc>
      </w:tr>
      <w:tr w14:paraId="601E7FAF">
        <w:tblPrEx>
          <w:tblCellMar>
            <w:top w:w="0" w:type="dxa"/>
            <w:left w:w="108" w:type="dxa"/>
            <w:bottom w:w="0" w:type="dxa"/>
            <w:right w:w="108" w:type="dxa"/>
          </w:tblCellMar>
        </w:tblPrEx>
        <w:trPr>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20E2DAA5">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投标报价</w:t>
            </w:r>
          </w:p>
          <w:p w14:paraId="67DA4203">
            <w:pPr>
              <w:widowControl w:val="0"/>
              <w:kinsoku/>
              <w:autoSpaceDE/>
              <w:autoSpaceDN/>
              <w:adjustRightInd w:val="0"/>
              <w:snapToGrid/>
              <w:spacing w:line="360" w:lineRule="atLeast"/>
              <w:jc w:val="center"/>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得分N</w:t>
            </w:r>
          </w:p>
        </w:tc>
        <w:tc>
          <w:tcPr>
            <w:tcW w:w="9091" w:type="dxa"/>
            <w:gridSpan w:val="2"/>
            <w:tcBorders>
              <w:top w:val="single" w:color="auto" w:sz="4" w:space="0"/>
              <w:left w:val="single" w:color="auto" w:sz="4" w:space="0"/>
              <w:bottom w:val="single" w:color="auto" w:sz="4" w:space="0"/>
              <w:right w:val="single" w:color="auto" w:sz="4" w:space="0"/>
            </w:tcBorders>
            <w:noWrap w:val="0"/>
            <w:vAlign w:val="center"/>
          </w:tcPr>
          <w:p w14:paraId="5CC7694C">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采用内插法计算某投标人的投标报价得分N，即当投标人的投标总价等于评标基准价时得100分，每高于评标基准价一个百分点扣</w:t>
            </w:r>
            <w:r>
              <w:rPr>
                <w:rFonts w:hint="eastAsia" w:asciiTheme="minorEastAsia" w:hAnsiTheme="minorEastAsia" w:eastAsiaTheme="minorEastAsia" w:cstheme="minorEastAsia"/>
                <w:b/>
                <w:bCs/>
                <w:snapToGrid/>
                <w:kern w:val="0"/>
                <w:sz w:val="21"/>
                <w:szCs w:val="21"/>
                <w:highlight w:val="none"/>
                <w:lang w:eastAsia="zh-CN"/>
              </w:rPr>
              <w:t>1分</w:t>
            </w:r>
            <w:r>
              <w:rPr>
                <w:rFonts w:hint="eastAsia" w:asciiTheme="minorEastAsia" w:hAnsiTheme="minorEastAsia" w:eastAsiaTheme="minorEastAsia" w:cstheme="minorEastAsia"/>
                <w:snapToGrid/>
                <w:kern w:val="0"/>
                <w:sz w:val="21"/>
                <w:szCs w:val="21"/>
                <w:highlight w:val="none"/>
                <w:lang w:eastAsia="zh-CN"/>
              </w:rPr>
              <w:t>, 每低于评标基准价一个百分点扣</w:t>
            </w:r>
            <w:r>
              <w:rPr>
                <w:rFonts w:hint="eastAsia" w:asciiTheme="minorEastAsia" w:hAnsiTheme="minorEastAsia" w:eastAsiaTheme="minorEastAsia" w:cstheme="minorEastAsia"/>
                <w:b/>
                <w:bCs/>
                <w:snapToGrid/>
                <w:kern w:val="0"/>
                <w:sz w:val="21"/>
                <w:szCs w:val="21"/>
                <w:highlight w:val="none"/>
                <w:lang w:eastAsia="zh-CN"/>
              </w:rPr>
              <w:t>0.5分</w:t>
            </w:r>
            <w:r>
              <w:rPr>
                <w:rFonts w:hint="eastAsia" w:asciiTheme="minorEastAsia" w:hAnsiTheme="minorEastAsia" w:eastAsiaTheme="minorEastAsia" w:cstheme="minorEastAsia"/>
                <w:snapToGrid/>
                <w:kern w:val="0"/>
                <w:sz w:val="21"/>
                <w:szCs w:val="21"/>
                <w:highlight w:val="none"/>
                <w:lang w:eastAsia="zh-CN"/>
              </w:rPr>
              <w:t>，扣完为止。公式如下：</w:t>
            </w:r>
          </w:p>
          <w:p w14:paraId="56931477">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N＝100－（| Di－D | ÷D）×100×E</w:t>
            </w:r>
          </w:p>
          <w:p w14:paraId="398AFD9E">
            <w:pPr>
              <w:widowControl w:val="0"/>
              <w:kinsoku/>
              <w:autoSpaceDE/>
              <w:autoSpaceDN/>
              <w:adjustRightInd w:val="0"/>
              <w:snapToGrid/>
              <w:spacing w:line="360" w:lineRule="atLeast"/>
              <w:jc w:val="left"/>
              <w:textAlignment w:val="baseline"/>
              <w:rPr>
                <w:rFonts w:hint="eastAsia" w:asciiTheme="minorEastAsia" w:hAnsiTheme="minorEastAsia" w:eastAsiaTheme="minorEastAsia" w:cstheme="minorEastAsia"/>
                <w:snapToGrid w:val="0"/>
                <w:kern w:val="0"/>
                <w:sz w:val="21"/>
                <w:szCs w:val="21"/>
                <w:highlight w:val="none"/>
                <w:lang w:eastAsia="zh-CN"/>
              </w:rPr>
            </w:pPr>
            <w:r>
              <w:rPr>
                <w:rFonts w:hint="eastAsia" w:asciiTheme="minorEastAsia" w:hAnsiTheme="minorEastAsia" w:eastAsiaTheme="minorEastAsia" w:cstheme="minorEastAsia"/>
                <w:snapToGrid/>
                <w:kern w:val="0"/>
                <w:sz w:val="21"/>
                <w:szCs w:val="21"/>
                <w:highlight w:val="none"/>
                <w:lang w:eastAsia="zh-CN"/>
              </w:rPr>
              <w:t>式中：D为评标基准价；Di为某投标人的投标总价；E为扣分因子，当Di＞D时，E＝</w:t>
            </w:r>
            <w:r>
              <w:rPr>
                <w:rFonts w:hint="eastAsia" w:asciiTheme="minorEastAsia" w:hAnsiTheme="minorEastAsia" w:eastAsiaTheme="minorEastAsia" w:cstheme="minorEastAsia"/>
                <w:b/>
                <w:bCs/>
                <w:snapToGrid/>
                <w:kern w:val="0"/>
                <w:sz w:val="21"/>
                <w:szCs w:val="21"/>
                <w:highlight w:val="none"/>
                <w:lang w:eastAsia="zh-CN"/>
              </w:rPr>
              <w:t>1</w:t>
            </w:r>
            <w:r>
              <w:rPr>
                <w:rFonts w:hint="eastAsia" w:asciiTheme="minorEastAsia" w:hAnsiTheme="minorEastAsia" w:eastAsiaTheme="minorEastAsia" w:cstheme="minorEastAsia"/>
                <w:snapToGrid/>
                <w:kern w:val="0"/>
                <w:sz w:val="21"/>
                <w:szCs w:val="21"/>
                <w:highlight w:val="none"/>
                <w:lang w:eastAsia="zh-CN"/>
              </w:rPr>
              <w:t xml:space="preserve"> ；当Di＜D时，E＝</w:t>
            </w:r>
            <w:r>
              <w:rPr>
                <w:rFonts w:hint="eastAsia" w:asciiTheme="minorEastAsia" w:hAnsiTheme="minorEastAsia" w:eastAsiaTheme="minorEastAsia" w:cstheme="minorEastAsia"/>
                <w:b/>
                <w:bCs/>
                <w:snapToGrid/>
                <w:kern w:val="0"/>
                <w:sz w:val="21"/>
                <w:szCs w:val="21"/>
                <w:highlight w:val="none"/>
                <w:lang w:eastAsia="zh-CN"/>
              </w:rPr>
              <w:t>0.5</w:t>
            </w:r>
            <w:r>
              <w:rPr>
                <w:rFonts w:hint="eastAsia" w:asciiTheme="minorEastAsia" w:hAnsiTheme="minorEastAsia" w:eastAsiaTheme="minorEastAsia" w:cstheme="minorEastAsia"/>
                <w:snapToGrid/>
                <w:kern w:val="0"/>
                <w:sz w:val="21"/>
                <w:szCs w:val="21"/>
                <w:highlight w:val="none"/>
                <w:lang w:eastAsia="zh-CN"/>
              </w:rPr>
              <w:t>。</w:t>
            </w:r>
          </w:p>
        </w:tc>
      </w:tr>
    </w:tbl>
    <w:p w14:paraId="07EBEFB9">
      <w:pPr>
        <w:pStyle w:val="25"/>
        <w:jc w:val="both"/>
        <w:rPr>
          <w:rFonts w:hint="eastAsia"/>
          <w:highlight w:val="none"/>
        </w:rPr>
      </w:pPr>
    </w:p>
    <w:p w14:paraId="1121F9B5">
      <w:pPr>
        <w:keepNext w:val="0"/>
        <w:keepLines w:val="0"/>
        <w:pageBreakBefore w:val="0"/>
        <w:wordWrap w:val="0"/>
        <w:overflowPunct/>
        <w:topLinePunct w:val="0"/>
        <w:bidi w:val="0"/>
        <w:spacing w:before="98" w:line="221" w:lineRule="auto"/>
        <w:ind w:left="4248"/>
        <w:outlineLvl w:val="9"/>
        <w:rPr>
          <w:rFonts w:hint="eastAsia" w:ascii="宋体" w:hAnsi="宋体" w:eastAsia="宋体" w:cs="宋体"/>
          <w:color w:val="auto"/>
          <w:spacing w:val="0"/>
          <w:sz w:val="30"/>
          <w:szCs w:val="30"/>
          <w:highlight w:val="none"/>
        </w:rPr>
      </w:pPr>
    </w:p>
    <w:p w14:paraId="1C0C5678">
      <w:pPr>
        <w:keepNext w:val="0"/>
        <w:keepLines w:val="0"/>
        <w:pageBreakBefore w:val="0"/>
        <w:wordWrap w:val="0"/>
        <w:overflowPunct/>
        <w:topLinePunct w:val="0"/>
        <w:bidi w:val="0"/>
        <w:spacing w:before="5"/>
        <w:rPr>
          <w:rFonts w:hint="eastAsia" w:ascii="宋体" w:hAnsi="宋体" w:eastAsia="宋体" w:cs="宋体"/>
          <w:color w:val="auto"/>
          <w:spacing w:val="0"/>
          <w:highlight w:val="none"/>
        </w:rPr>
      </w:pPr>
    </w:p>
    <w:p w14:paraId="008A750B">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bookmarkStart w:id="131" w:name="_Toc9725"/>
      <w:bookmarkStart w:id="132" w:name="_Toc17436"/>
      <w:bookmarkStart w:id="133" w:name="_Toc31744"/>
      <w:bookmarkStart w:id="134" w:name="_Toc5769"/>
      <w:r>
        <w:rPr>
          <w:rFonts w:hint="eastAsia" w:ascii="宋体" w:hAnsi="宋体" w:eastAsia="宋体" w:cs="宋体"/>
          <w:b/>
          <w:bCs/>
          <w:color w:val="auto"/>
          <w:spacing w:val="0"/>
          <w:sz w:val="24"/>
          <w:szCs w:val="24"/>
          <w:highlight w:val="none"/>
        </w:rPr>
        <w:br w:type="page"/>
      </w:r>
    </w:p>
    <w:bookmarkEnd w:id="131"/>
    <w:bookmarkEnd w:id="132"/>
    <w:bookmarkEnd w:id="133"/>
    <w:bookmarkEnd w:id="134"/>
    <w:p w14:paraId="4C2E53D2">
      <w:pPr>
        <w:keepNext w:val="0"/>
        <w:keepLines w:val="0"/>
        <w:pageBreakBefore w:val="0"/>
        <w:wordWrap w:val="0"/>
        <w:overflowPunct/>
        <w:topLinePunct w:val="0"/>
        <w:bidi w:val="0"/>
        <w:spacing w:before="155" w:line="211" w:lineRule="auto"/>
        <w:ind w:firstLine="482" w:firstLineChars="200"/>
        <w:outlineLvl w:val="9"/>
        <w:rPr>
          <w:rFonts w:hint="eastAsia" w:ascii="宋体" w:hAnsi="宋体" w:eastAsia="宋体" w:cs="宋体"/>
          <w:color w:val="auto"/>
          <w:spacing w:val="0"/>
          <w:sz w:val="25"/>
          <w:szCs w:val="25"/>
          <w:highlight w:val="none"/>
        </w:rPr>
      </w:pPr>
      <w:bookmarkStart w:id="135" w:name="bookmark138"/>
      <w:bookmarkEnd w:id="135"/>
      <w:bookmarkStart w:id="136" w:name="bookmark137"/>
      <w:bookmarkEnd w:id="136"/>
      <w:r>
        <w:rPr>
          <w:rFonts w:hint="eastAsia" w:ascii="宋体" w:hAnsi="宋体" w:eastAsia="宋体" w:cs="宋体"/>
          <w:b/>
          <w:bCs/>
          <w:color w:val="auto"/>
          <w:spacing w:val="0"/>
          <w:sz w:val="24"/>
          <w:szCs w:val="24"/>
          <w:highlight w:val="none"/>
        </w:rPr>
        <w:t xml:space="preserve">15.5.2  </w:t>
      </w:r>
      <w:r>
        <w:rPr>
          <w:rFonts w:hint="eastAsia" w:ascii="宋体" w:hAnsi="宋体" w:eastAsia="宋体" w:cs="宋体"/>
          <w:color w:val="auto"/>
          <w:spacing w:val="0"/>
          <w:sz w:val="24"/>
          <w:szCs w:val="24"/>
          <w:highlight w:val="none"/>
        </w:rPr>
        <w:t>否决投标说明</w:t>
      </w:r>
    </w:p>
    <w:p w14:paraId="1C3B22D9">
      <w:pPr>
        <w:keepNext w:val="0"/>
        <w:keepLines w:val="0"/>
        <w:pageBreakBefore w:val="0"/>
        <w:wordWrap w:val="0"/>
        <w:overflowPunct/>
        <w:topLinePunct w:val="0"/>
        <w:bidi w:val="0"/>
        <w:spacing w:before="150" w:line="332" w:lineRule="auto"/>
        <w:ind w:left="10" w:right="195" w:firstLine="5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详细评审阶段否决投标的全部条件，在本章第四节“否决投标条件 ”第 4 条中集中列示。投标人有其中所列任何一种情形的，由评标委员会否决其投标。评标委员会经评审，认为所有投标都不符合招标文件要求的，可否决所有投标，项目的所有投标被否决的，招标人应依法重新组织招标。</w:t>
      </w:r>
    </w:p>
    <w:p w14:paraId="4B1E3531">
      <w:pPr>
        <w:keepNext w:val="0"/>
        <w:keepLines w:val="0"/>
        <w:pageBreakBefore w:val="0"/>
        <w:wordWrap w:val="0"/>
        <w:overflowPunct/>
        <w:topLinePunct w:val="0"/>
        <w:bidi w:val="0"/>
        <w:spacing w:before="59" w:line="330" w:lineRule="auto"/>
        <w:ind w:left="10" w:right="195"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val="en-US" w:eastAsia="zh-CN"/>
        </w:rPr>
        <w:t>温馨提示</w:t>
      </w:r>
      <w:r>
        <w:rPr>
          <w:rFonts w:hint="eastAsia" w:ascii="宋体" w:hAnsi="宋体" w:eastAsia="宋体" w:cs="宋体"/>
          <w:b/>
          <w:bCs/>
          <w:color w:val="auto"/>
          <w:spacing w:val="0"/>
          <w:sz w:val="24"/>
          <w:szCs w:val="24"/>
          <w:highlight w:val="none"/>
        </w:rPr>
        <w:t>：投标人在详细评审阶段根据评分方法提供的佐证材料，其合法性、有效性和准确性不符合要求的，有关量化因素（或评分因素）的折算、调整（或评分）按相应量化标准（或评分标准）处理，但不否决投标。</w:t>
      </w:r>
    </w:p>
    <w:p w14:paraId="69E9356F">
      <w:pPr>
        <w:keepNext w:val="0"/>
        <w:keepLines w:val="0"/>
        <w:pageBreakBefore w:val="0"/>
        <w:wordWrap w:val="0"/>
        <w:overflowPunct/>
        <w:topLinePunct w:val="0"/>
        <w:bidi w:val="0"/>
        <w:spacing w:before="78" w:line="220" w:lineRule="auto"/>
        <w:ind w:left="496"/>
        <w:outlineLvl w:val="2"/>
        <w:rPr>
          <w:rFonts w:hint="eastAsia" w:ascii="宋体" w:hAnsi="宋体" w:eastAsia="宋体" w:cs="宋体"/>
          <w:color w:val="auto"/>
          <w:spacing w:val="0"/>
          <w:sz w:val="24"/>
          <w:szCs w:val="24"/>
          <w:highlight w:val="none"/>
          <w:lang w:eastAsia="zh-CN"/>
        </w:rPr>
      </w:pPr>
      <w:bookmarkStart w:id="137" w:name="_Toc6322"/>
      <w:bookmarkStart w:id="138" w:name="_Toc16384"/>
      <w:bookmarkStart w:id="139" w:name="_Toc7236"/>
      <w:r>
        <w:rPr>
          <w:rFonts w:hint="eastAsia" w:ascii="宋体" w:hAnsi="宋体" w:eastAsia="宋体" w:cs="宋体"/>
          <w:b/>
          <w:bCs/>
          <w:color w:val="auto"/>
          <w:spacing w:val="0"/>
          <w:sz w:val="24"/>
          <w:szCs w:val="24"/>
          <w:highlight w:val="none"/>
        </w:rPr>
        <w:t>16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bookmarkEnd w:id="137"/>
      <w:bookmarkEnd w:id="138"/>
      <w:bookmarkEnd w:id="139"/>
    </w:p>
    <w:p w14:paraId="6E4542A3">
      <w:pPr>
        <w:keepNext w:val="0"/>
        <w:keepLines w:val="0"/>
        <w:pageBreakBefore w:val="0"/>
        <w:kinsoku/>
        <w:wordWrap/>
        <w:overflowPunct/>
        <w:topLinePunct w:val="0"/>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16.</w:t>
      </w:r>
      <w:r>
        <w:rPr>
          <w:rFonts w:hint="eastAsia" w:ascii="宋体" w:hAnsi="宋体" w:eastAsia="宋体" w:cs="宋体"/>
          <w:b/>
          <w:bCs/>
          <w:color w:val="auto"/>
          <w:spacing w:val="0"/>
          <w:sz w:val="24"/>
          <w:szCs w:val="24"/>
          <w:highlight w:val="none"/>
          <w:lang w:val="en-US" w:eastAsia="zh-CN"/>
        </w:rPr>
        <w:t>1</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定标办法</w:t>
      </w:r>
    </w:p>
    <w:p w14:paraId="63682938">
      <w:pPr>
        <w:keepNext w:val="0"/>
        <w:keepLines w:val="0"/>
        <w:pageBreakBefore w:val="0"/>
        <w:kinsoku/>
        <w:wordWrap/>
        <w:overflowPunct/>
        <w:topLinePunct w:val="0"/>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strike w:val="0"/>
          <w:dstrike w:val="0"/>
          <w:color w:val="auto"/>
          <w:kern w:val="2"/>
          <w:sz w:val="24"/>
          <w:szCs w:val="24"/>
          <w:highlight w:val="none"/>
          <w:u w:val="none"/>
          <w:lang w:val="en-US" w:eastAsia="zh-CN" w:bidi="ar-SA"/>
        </w:rPr>
      </w:pPr>
      <w:r>
        <w:rPr>
          <w:rFonts w:hint="eastAsia" w:ascii="宋体" w:hAnsi="宋体" w:eastAsia="宋体" w:cs="宋体"/>
          <w:strike w:val="0"/>
          <w:dstrike w:val="0"/>
          <w:color w:val="auto"/>
          <w:kern w:val="2"/>
          <w:sz w:val="24"/>
          <w:szCs w:val="24"/>
          <w:highlight w:val="none"/>
          <w:u w:val="none"/>
          <w:lang w:val="en-US" w:eastAsia="zh-CN" w:bidi="ar-SA"/>
        </w:rPr>
        <w:t>本项目定标办法由招标人按本投标人须知前附表的规定确定。</w:t>
      </w:r>
    </w:p>
    <w:p w14:paraId="53903B96">
      <w:pPr>
        <w:pStyle w:val="13"/>
        <w:keepNext w:val="0"/>
        <w:keepLines w:val="0"/>
        <w:pageBreakBefore w:val="0"/>
        <w:widowControl w:val="0"/>
        <w:kinsoku/>
        <w:wordWrap/>
        <w:overflowPunct/>
        <w:topLinePunct w:val="0"/>
        <w:autoSpaceDE/>
        <w:autoSpaceDN w:val="0"/>
        <w:bidi w:val="0"/>
        <w:adjustRightInd/>
        <w:snapToGrid/>
        <w:spacing w:before="0" w:beforeLines="0" w:beforeAutospacing="0" w:after="0" w:afterLines="0" w:afterAutospacing="0" w:line="360" w:lineRule="auto"/>
        <w:ind w:left="0" w:leftChars="0" w:right="0" w:rightChars="0" w:firstLine="482" w:firstLineChars="200"/>
        <w:jc w:val="both"/>
        <w:textAlignment w:val="auto"/>
        <w:outlineLvl w:val="9"/>
        <w:rPr>
          <w:rFonts w:hint="eastAsia" w:ascii="宋体" w:hAnsi="宋体" w:eastAsia="宋体" w:cs="宋体"/>
          <w:b/>
          <w:color w:val="auto"/>
          <w:highlight w:val="none"/>
        </w:rPr>
      </w:pP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定标依据：</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（1）现行的法律、法规、规章、规范性文件及国家、省、市各级政府部门工作文件规定；</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（2）招标文件及其他补充通知和补充资料；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（3）评标报告以及定标候选人推荐名单；</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（4）定标候选人的投标文件；</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（5）开、评标全过程资料；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（6）对定标候选人的考察评价资料（如有）；</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（7）关于本工程的其他相关资料。</w:t>
      </w:r>
      <w:r>
        <w:rPr>
          <w:rFonts w:hint="eastAsia" w:ascii="宋体" w:hAnsi="宋体" w:eastAsia="宋体" w:cs="宋体"/>
          <w:color w:val="auto"/>
          <w:spacing w:val="0"/>
          <w:sz w:val="24"/>
          <w:szCs w:val="24"/>
          <w:highlight w:val="none"/>
          <w:lang w:val="en-US" w:eastAsia="zh-CN"/>
        </w:rPr>
        <w:br w:type="textWrapping"/>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定标监督小组：</w:t>
      </w:r>
      <w:r>
        <w:rPr>
          <w:rFonts w:hint="eastAsia" w:ascii="宋体" w:hAnsi="宋体" w:eastAsia="宋体" w:cs="宋体"/>
          <w:b/>
          <w:bCs/>
          <w:color w:val="auto"/>
          <w:spacing w:val="0"/>
          <w:sz w:val="24"/>
          <w:szCs w:val="24"/>
          <w:highlight w:val="none"/>
          <w:lang w:val="en-US" w:eastAsia="zh-CN"/>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strike w:val="0"/>
          <w:dstrike w:val="0"/>
          <w:color w:val="auto"/>
          <w:kern w:val="2"/>
          <w:sz w:val="24"/>
          <w:szCs w:val="24"/>
          <w:highlight w:val="none"/>
          <w:u w:val="none"/>
          <w:lang w:val="en-US" w:eastAsia="zh-CN"/>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531CF4E0">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360" w:lineRule="auto"/>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b/>
          <w:bCs/>
          <w:color w:val="auto"/>
          <w:spacing w:val="0"/>
          <w:sz w:val="24"/>
          <w:szCs w:val="24"/>
          <w:highlight w:val="none"/>
        </w:rPr>
        <w:t>1</w:t>
      </w:r>
      <w:r>
        <w:rPr>
          <w:rFonts w:hint="eastAsia" w:ascii="宋体" w:hAnsi="宋体" w:eastAsia="宋体" w:cs="宋体"/>
          <w:b/>
          <w:bCs/>
          <w:color w:val="auto"/>
          <w:spacing w:val="0"/>
          <w:sz w:val="24"/>
          <w:szCs w:val="24"/>
          <w:highlight w:val="none"/>
          <w:lang w:val="en-US" w:eastAsia="zh-CN"/>
        </w:rPr>
        <w:t>6</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3</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定标委员会：</w:t>
      </w:r>
      <w:r>
        <w:rPr>
          <w:rFonts w:hint="eastAsia" w:ascii="宋体" w:hAnsi="宋体" w:eastAsia="宋体" w:cs="宋体"/>
          <w:b/>
          <w:bCs/>
          <w:color w:val="auto"/>
          <w:spacing w:val="0"/>
          <w:sz w:val="24"/>
          <w:szCs w:val="24"/>
          <w:highlight w:val="none"/>
          <w:lang w:val="en-US" w:eastAsia="zh-CN"/>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val="0"/>
          <w:bCs w:val="0"/>
          <w:color w:val="auto"/>
          <w:sz w:val="24"/>
          <w:szCs w:val="24"/>
          <w:highlight w:val="none"/>
          <w:u w:val="none"/>
          <w:lang w:val="en-US" w:eastAsia="zh-CN"/>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51E7D2BB">
      <w:pPr>
        <w:keepNext w:val="0"/>
        <w:keepLines w:val="0"/>
        <w:pageBreakBefore w:val="0"/>
        <w:widowControl/>
        <w:kinsoku w:val="0"/>
        <w:wordWrap w:val="0"/>
        <w:overflowPunct/>
        <w:topLinePunct w:val="0"/>
        <w:autoSpaceDE w:val="0"/>
        <w:autoSpaceDN w:val="0"/>
        <w:bidi w:val="0"/>
        <w:adjustRightInd w:val="0"/>
        <w:snapToGrid w:val="0"/>
        <w:spacing w:before="0" w:beforeLines="100" w:line="360" w:lineRule="auto"/>
        <w:ind w:left="239" w:leftChars="114" w:right="0" w:firstLine="241" w:firstLineChars="100"/>
        <w:jc w:val="left"/>
        <w:textAlignment w:val="baseline"/>
        <w:rPr>
          <w:rFonts w:hint="default" w:ascii="宋体" w:hAnsi="宋体" w:eastAsia="宋体" w:cs="宋体"/>
          <w:color w:val="auto"/>
          <w:spacing w:val="0"/>
          <w:sz w:val="24"/>
          <w:szCs w:val="24"/>
          <w:highlight w:val="none"/>
          <w:lang w:val="en-US"/>
        </w:rPr>
      </w:pPr>
      <w:r>
        <w:rPr>
          <w:rFonts w:hint="eastAsia" w:ascii="宋体" w:hAnsi="宋体" w:eastAsia="宋体" w:cs="宋体"/>
          <w:b/>
          <w:bCs/>
          <w:color w:val="auto"/>
          <w:spacing w:val="0"/>
          <w:sz w:val="24"/>
          <w:szCs w:val="24"/>
          <w:highlight w:val="none"/>
          <w:lang w:val="en-US" w:eastAsia="zh-CN"/>
        </w:rPr>
        <w:t>16.4</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r>
        <w:rPr>
          <w:rFonts w:hint="eastAsia" w:ascii="宋体" w:hAnsi="宋体" w:eastAsia="宋体" w:cs="宋体"/>
          <w:b/>
          <w:bCs/>
          <w:color w:val="auto"/>
          <w:spacing w:val="0"/>
          <w:sz w:val="24"/>
          <w:szCs w:val="24"/>
          <w:highlight w:val="none"/>
          <w:lang w:val="en-US" w:eastAsia="zh-CN"/>
        </w:rPr>
        <w:t>细则</w:t>
      </w:r>
    </w:p>
    <w:p w14:paraId="36FC19F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本项目采用票决数量法定标。</w:t>
      </w:r>
    </w:p>
    <w:p w14:paraId="3CAC4D2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16.4.1票决数量法程序</w:t>
      </w:r>
    </w:p>
    <w:p w14:paraId="63AA323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17640A5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16.4.2</w:t>
      </w:r>
      <w:r>
        <w:rPr>
          <w:rFonts w:hint="eastAsia" w:ascii="宋体" w:hAnsi="宋体" w:eastAsia="宋体" w:cs="宋体"/>
          <w:b/>
          <w:bCs/>
          <w:color w:val="auto"/>
          <w:sz w:val="24"/>
          <w:szCs w:val="24"/>
          <w:highlight w:val="none"/>
          <w:u w:val="none"/>
          <w:shd w:val="clear" w:color="auto" w:fill="FFFFFF"/>
        </w:rPr>
        <w:t>项目情况介绍</w:t>
      </w:r>
    </w:p>
    <w:p w14:paraId="360C77C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165E1CA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16.4.3</w:t>
      </w:r>
      <w:r>
        <w:rPr>
          <w:rFonts w:hint="eastAsia" w:ascii="宋体" w:hAnsi="宋体" w:eastAsia="宋体" w:cs="宋体"/>
          <w:b/>
          <w:bCs/>
          <w:color w:val="auto"/>
          <w:sz w:val="24"/>
          <w:szCs w:val="24"/>
          <w:highlight w:val="none"/>
          <w:u w:val="none"/>
          <w:shd w:val="clear" w:color="auto" w:fill="FFFFFF"/>
        </w:rPr>
        <w:t>审阅定标资料</w:t>
      </w:r>
    </w:p>
    <w:p w14:paraId="62F8DE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31A79E1D">
      <w:pPr>
        <w:pStyle w:val="1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28"/>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16.4.4</w:t>
      </w:r>
      <w:r>
        <w:rPr>
          <w:rFonts w:hint="eastAsia" w:ascii="宋体" w:hAnsi="宋体" w:eastAsia="宋体" w:cs="宋体"/>
          <w:b/>
          <w:bCs/>
          <w:color w:val="auto"/>
          <w:sz w:val="24"/>
          <w:szCs w:val="24"/>
          <w:highlight w:val="none"/>
          <w:u w:val="none"/>
          <w:shd w:val="clear" w:color="auto" w:fill="FFFFFF"/>
        </w:rPr>
        <w:t>疑问澄清</w:t>
      </w:r>
    </w:p>
    <w:p w14:paraId="6B4CFD5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B6C0BD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16.4.5投票，收票，点票和汇总</w:t>
      </w:r>
    </w:p>
    <w:p w14:paraId="5858F55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4497B4D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16.4.6公布结果和出具定标报告</w:t>
      </w:r>
    </w:p>
    <w:p w14:paraId="50825FA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04452160">
      <w:pPr>
        <w:pStyle w:val="13"/>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exact"/>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16.4.7</w:t>
      </w:r>
      <w:r>
        <w:rPr>
          <w:rFonts w:hint="eastAsia" w:ascii="宋体" w:hAnsi="宋体" w:eastAsia="宋体" w:cs="宋体"/>
          <w:b/>
          <w:bCs/>
          <w:color w:val="auto"/>
          <w:sz w:val="24"/>
          <w:szCs w:val="24"/>
          <w:highlight w:val="none"/>
          <w:u w:val="none"/>
          <w:shd w:val="clear" w:color="auto" w:fill="FFFFFF"/>
        </w:rPr>
        <w:t>全程监督</w:t>
      </w:r>
    </w:p>
    <w:p w14:paraId="1437427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5FC8400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16.5定标因素</w:t>
      </w:r>
    </w:p>
    <w:p w14:paraId="6856A3D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06B0003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16.5.1</w:t>
      </w:r>
      <w:r>
        <w:rPr>
          <w:rFonts w:hint="eastAsia" w:ascii="宋体" w:hAnsi="宋体" w:eastAsia="宋体" w:cs="宋体"/>
          <w:b w:val="0"/>
          <w:bCs w:val="0"/>
          <w:color w:val="auto"/>
          <w:spacing w:val="0"/>
          <w:position w:val="0"/>
          <w:sz w:val="24"/>
          <w:szCs w:val="24"/>
          <w:highlight w:val="none"/>
          <w:u w:val="none" w:color="auto"/>
          <w:lang w:val="en-US" w:eastAsia="zh-CN"/>
        </w:rPr>
        <w:t>拟派团队管理能力与水平（履约能力）</w:t>
      </w:r>
    </w:p>
    <w:p w14:paraId="0B1A86A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25717E0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16.5.2</w:t>
      </w:r>
      <w:r>
        <w:rPr>
          <w:rFonts w:hint="eastAsia" w:ascii="宋体" w:hAnsi="宋体" w:eastAsia="宋体" w:cs="宋体"/>
          <w:b w:val="0"/>
          <w:bCs w:val="0"/>
          <w:color w:val="auto"/>
          <w:spacing w:val="0"/>
          <w:position w:val="0"/>
          <w:sz w:val="24"/>
          <w:szCs w:val="24"/>
          <w:highlight w:val="none"/>
          <w:u w:val="none" w:color="auto"/>
          <w:lang w:val="en-US" w:eastAsia="zh-CN"/>
        </w:rPr>
        <w:t>企业信誉</w:t>
      </w:r>
    </w:p>
    <w:p w14:paraId="6C406391">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63B51B7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16.5.3</w:t>
      </w:r>
      <w:r>
        <w:rPr>
          <w:rFonts w:hint="eastAsia" w:ascii="宋体" w:hAnsi="宋体" w:eastAsia="宋体" w:cs="宋体"/>
          <w:b w:val="0"/>
          <w:bCs w:val="0"/>
          <w:color w:val="auto"/>
          <w:spacing w:val="0"/>
          <w:position w:val="0"/>
          <w:sz w:val="24"/>
          <w:szCs w:val="24"/>
          <w:highlight w:val="none"/>
          <w:u w:val="none" w:color="auto"/>
          <w:lang w:val="en-US" w:eastAsia="zh-CN"/>
        </w:rPr>
        <w:t>农民工工资保障情况</w:t>
      </w:r>
    </w:p>
    <w:p w14:paraId="715526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相对标准：农民工工资保障情况好的定标候选人优于农民工工资保障情况差的定标候选人（结合定标候选人提交的证明材料和招标人查询的材料进行评审）。</w:t>
      </w:r>
    </w:p>
    <w:p w14:paraId="796C44E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default"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16.5.4</w:t>
      </w:r>
      <w:r>
        <w:rPr>
          <w:rFonts w:hint="eastAsia" w:ascii="宋体" w:hAnsi="宋体" w:eastAsia="宋体" w:cs="宋体"/>
          <w:b w:val="0"/>
          <w:bCs w:val="0"/>
          <w:color w:val="auto"/>
          <w:spacing w:val="0"/>
          <w:position w:val="0"/>
          <w:sz w:val="24"/>
          <w:szCs w:val="24"/>
          <w:highlight w:val="none"/>
          <w:u w:val="none" w:color="auto"/>
          <w:lang w:val="en-US" w:eastAsia="zh-CN"/>
        </w:rPr>
        <w:t>企业实力</w:t>
      </w:r>
    </w:p>
    <w:p w14:paraId="189FE33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实力包括企业规模较大、行业主管部门的行业排名比较靠前（如有）、资质等级较高、专业技术人员规模较大、过往业绩（含业绩影响力、难易程度）等方面较多、按时按质完成项目的能力较强、施工期间现场服务及时性较强的定标候选人优于企业实力包括企业规模较小、行业主管部门的行业排名比较靠后（如有）、资质等级较低、专业技术人员规模较小、过往业绩（含业绩影响力、难易程度）等方面较少、按时按质完成项目的能力较弱、施工期间现场服务及时性较弱的定标候选人。</w:t>
      </w:r>
    </w:p>
    <w:p w14:paraId="4067738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16.5.5</w:t>
      </w:r>
      <w:r>
        <w:rPr>
          <w:rFonts w:hint="eastAsia" w:ascii="宋体" w:hAnsi="宋体" w:eastAsia="宋体" w:cs="宋体"/>
          <w:b w:val="0"/>
          <w:bCs w:val="0"/>
          <w:color w:val="auto"/>
          <w:spacing w:val="0"/>
          <w:position w:val="0"/>
          <w:sz w:val="24"/>
          <w:szCs w:val="24"/>
          <w:highlight w:val="none"/>
          <w:u w:val="none" w:color="auto"/>
          <w:lang w:val="en-US" w:eastAsia="zh-CN"/>
        </w:rPr>
        <w:t>技术方案</w:t>
      </w:r>
    </w:p>
    <w:p w14:paraId="5C2F9760">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技术方案的定标候选人优于技术方案一般的定标候选人。（技术方案对保证措施、施工计划和技术、工艺及工程项目实施的重点、难点分析和解决方案、安全文明施工措施、新技术应用、质量保证和违约责任承诺等的充分考虑，技术方案合理性、科学性、表述清晰、完整、具体、有效并实施可行。）</w:t>
      </w:r>
    </w:p>
    <w:p w14:paraId="78EC39E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16.5.6</w:t>
      </w:r>
      <w:r>
        <w:rPr>
          <w:rFonts w:hint="eastAsia" w:ascii="宋体" w:hAnsi="宋体" w:eastAsia="宋体" w:cs="宋体"/>
          <w:b w:val="0"/>
          <w:bCs w:val="0"/>
          <w:color w:val="auto"/>
          <w:spacing w:val="0"/>
          <w:position w:val="0"/>
          <w:sz w:val="24"/>
          <w:szCs w:val="24"/>
          <w:highlight w:val="none"/>
          <w:u w:val="none" w:color="auto"/>
          <w:lang w:val="en-US" w:eastAsia="zh-CN"/>
        </w:rPr>
        <w:t>评标报告</w:t>
      </w:r>
    </w:p>
    <w:p w14:paraId="00EA2B2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722502B1">
      <w:pPr>
        <w:keepNext w:val="0"/>
        <w:keepLines w:val="0"/>
        <w:pageBreakBefore w:val="0"/>
        <w:wordWrap w:val="0"/>
        <w:overflowPunct/>
        <w:topLinePunct w:val="0"/>
        <w:bidi w:val="0"/>
        <w:spacing w:before="78" w:line="220" w:lineRule="auto"/>
        <w:ind w:left="496"/>
        <w:outlineLvl w:val="2"/>
        <w:rPr>
          <w:rFonts w:hint="eastAsia" w:ascii="宋体" w:hAnsi="宋体" w:eastAsia="宋体" w:cs="宋体"/>
          <w:b/>
          <w:bCs/>
          <w:color w:val="auto"/>
          <w:spacing w:val="0"/>
          <w:sz w:val="24"/>
          <w:szCs w:val="24"/>
          <w:highlight w:val="none"/>
        </w:rPr>
      </w:pPr>
      <w:bookmarkStart w:id="140" w:name="_Toc22744"/>
      <w:r>
        <w:rPr>
          <w:rFonts w:hint="eastAsia" w:ascii="宋体" w:hAnsi="宋体" w:eastAsia="宋体" w:cs="宋体"/>
          <w:b/>
          <w:bCs/>
          <w:color w:val="auto"/>
          <w:spacing w:val="0"/>
          <w:sz w:val="24"/>
          <w:szCs w:val="24"/>
          <w:highlight w:val="none"/>
          <w:lang w:val="en-US" w:eastAsia="zh-CN"/>
        </w:rPr>
        <w:t>17</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w:t>
      </w:r>
      <w:r>
        <w:rPr>
          <w:rFonts w:hint="eastAsia" w:ascii="宋体" w:hAnsi="宋体" w:eastAsia="宋体" w:cs="宋体"/>
          <w:b/>
          <w:bCs/>
          <w:color w:val="auto"/>
          <w:spacing w:val="0"/>
          <w:sz w:val="24"/>
          <w:szCs w:val="24"/>
          <w:highlight w:val="none"/>
        </w:rPr>
        <w:t>标</w:t>
      </w:r>
      <w:r>
        <w:rPr>
          <w:rFonts w:hint="eastAsia" w:ascii="宋体" w:hAnsi="宋体" w:eastAsia="宋体" w:cs="宋体"/>
          <w:b/>
          <w:bCs/>
          <w:color w:val="auto"/>
          <w:spacing w:val="0"/>
          <w:sz w:val="24"/>
          <w:szCs w:val="24"/>
          <w:highlight w:val="none"/>
          <w:lang w:val="en-US" w:eastAsia="zh-CN"/>
        </w:rPr>
        <w:t>结果</w:t>
      </w:r>
      <w:r>
        <w:rPr>
          <w:rFonts w:hint="eastAsia" w:ascii="宋体" w:hAnsi="宋体" w:eastAsia="宋体" w:cs="宋体"/>
          <w:b/>
          <w:bCs/>
          <w:color w:val="auto"/>
          <w:spacing w:val="0"/>
          <w:sz w:val="24"/>
          <w:szCs w:val="24"/>
          <w:highlight w:val="none"/>
        </w:rPr>
        <w:t>公示</w:t>
      </w:r>
      <w:bookmarkEnd w:id="140"/>
    </w:p>
    <w:p w14:paraId="7351A8F5">
      <w:pPr>
        <w:keepNext w:val="0"/>
        <w:keepLines w:val="0"/>
        <w:pageBreakBefore w:val="0"/>
        <w:widowControl/>
        <w:kinsoku w:val="0"/>
        <w:wordWrap w:val="0"/>
        <w:overflowPunct/>
        <w:topLinePunct w:val="0"/>
        <w:autoSpaceDE w:val="0"/>
        <w:autoSpaceDN w:val="0"/>
        <w:bidi w:val="0"/>
        <w:adjustRightInd w:val="0"/>
        <w:snapToGrid w:val="0"/>
        <w:spacing w:before="60" w:line="360" w:lineRule="auto"/>
        <w:ind w:left="567" w:right="108" w:firstLine="49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trike w:val="0"/>
          <w:dstrike w:val="0"/>
          <w:color w:val="auto"/>
          <w:kern w:val="2"/>
          <w:sz w:val="24"/>
          <w:szCs w:val="24"/>
          <w:highlight w:val="none"/>
          <w:u w:val="none"/>
          <w:lang w:val="en-US" w:eastAsia="zh-CN" w:bidi="ar-SA"/>
        </w:rPr>
        <w:t>定标委员会完成定标后，招标人应于定标会结束后3日内将中标候选人和定标情况在</w:t>
      </w:r>
      <w:r>
        <w:rPr>
          <w:rFonts w:hint="eastAsia" w:ascii="宋体" w:hAnsi="宋体" w:eastAsia="宋体" w:cs="宋体"/>
          <w:color w:val="auto"/>
          <w:spacing w:val="0"/>
          <w:sz w:val="24"/>
          <w:szCs w:val="24"/>
          <w:highlight w:val="none"/>
        </w:rPr>
        <w:t>广东省招标投标监管网（http://zbtb.gd.gov.cn）、全国公共资源交易平台（广东省 ·韶关市）（https://ygp.gdzwfw.gov.cn/ggzy-portal/#/440200/index）进行公示。</w:t>
      </w:r>
    </w:p>
    <w:p w14:paraId="6806CAA5">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4BE61F7A">
      <w:pPr>
        <w:keepNext w:val="0"/>
        <w:keepLines w:val="0"/>
        <w:pageBreakBefore w:val="0"/>
        <w:wordWrap w:val="0"/>
        <w:overflowPunct/>
        <w:topLinePunct w:val="0"/>
        <w:bidi w:val="0"/>
        <w:spacing w:before="78" w:line="220" w:lineRule="auto"/>
        <w:ind w:left="9"/>
        <w:jc w:val="center"/>
        <w:outlineLvl w:val="1"/>
        <w:rPr>
          <w:rFonts w:hint="eastAsia" w:ascii="宋体" w:hAnsi="宋体" w:eastAsia="宋体" w:cs="宋体"/>
          <w:color w:val="auto"/>
          <w:spacing w:val="0"/>
          <w:sz w:val="24"/>
          <w:szCs w:val="24"/>
          <w:highlight w:val="none"/>
        </w:rPr>
      </w:pPr>
      <w:bookmarkStart w:id="141" w:name="_Toc10994"/>
      <w:r>
        <w:rPr>
          <w:rFonts w:hint="eastAsia" w:ascii="宋体" w:hAnsi="宋体" w:eastAsia="宋体" w:cs="宋体"/>
          <w:b/>
          <w:bCs/>
          <w:color w:val="auto"/>
          <w:spacing w:val="0"/>
          <w:sz w:val="24"/>
          <w:szCs w:val="24"/>
          <w:highlight w:val="none"/>
        </w:rPr>
        <w:t>第四节</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否决投标条件</w:t>
      </w:r>
      <w:bookmarkEnd w:id="141"/>
    </w:p>
    <w:p w14:paraId="3301580C">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5AA9DA86">
      <w:pPr>
        <w:keepNext w:val="0"/>
        <w:keepLines w:val="0"/>
        <w:pageBreakBefore w:val="0"/>
        <w:wordWrap w:val="0"/>
        <w:overflowPunct/>
        <w:topLinePunct w:val="0"/>
        <w:bidi w:val="0"/>
        <w:spacing w:before="78" w:line="330" w:lineRule="auto"/>
        <w:ind w:left="10" w:right="65"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本节所集中列示的否决投标条件，是本章第三节“投标人须知正文 ”的组成部分，是对本章第三节所规定的否决投标条件的总结和补充。</w:t>
      </w:r>
      <w:r>
        <w:rPr>
          <w:rFonts w:hint="eastAsia" w:ascii="宋体" w:hAnsi="宋体" w:eastAsia="宋体" w:cs="宋体"/>
          <w:b/>
          <w:bCs/>
          <w:color w:val="auto"/>
          <w:spacing w:val="0"/>
          <w:sz w:val="24"/>
          <w:szCs w:val="24"/>
          <w:highlight w:val="none"/>
        </w:rPr>
        <w:t>投标人未有列入本节情形的，评标时一律不得否决其投标。</w:t>
      </w:r>
      <w:r>
        <w:rPr>
          <w:rFonts w:hint="eastAsia" w:ascii="宋体" w:hAnsi="宋体" w:eastAsia="宋体" w:cs="宋体"/>
          <w:color w:val="auto"/>
          <w:spacing w:val="0"/>
          <w:sz w:val="24"/>
          <w:szCs w:val="24"/>
          <w:highlight w:val="none"/>
        </w:rPr>
        <w:t>本节所称“规定 ”均指招标文件的规定。</w:t>
      </w:r>
    </w:p>
    <w:p w14:paraId="1BAA8A6A">
      <w:pPr>
        <w:keepNext w:val="0"/>
        <w:keepLines w:val="0"/>
        <w:pageBreakBefore w:val="0"/>
        <w:wordWrap w:val="0"/>
        <w:overflowPunct/>
        <w:topLinePunct w:val="0"/>
        <w:bidi w:val="0"/>
        <w:spacing w:before="34" w:line="220" w:lineRule="auto"/>
        <w:ind w:left="495"/>
        <w:outlineLvl w:val="2"/>
        <w:rPr>
          <w:rFonts w:hint="eastAsia" w:ascii="宋体" w:hAnsi="宋体" w:eastAsia="宋体" w:cs="宋体"/>
          <w:color w:val="auto"/>
          <w:spacing w:val="0"/>
          <w:sz w:val="24"/>
          <w:szCs w:val="24"/>
          <w:highlight w:val="none"/>
        </w:rPr>
      </w:pPr>
      <w:bookmarkStart w:id="142" w:name="_Toc2521"/>
      <w:r>
        <w:rPr>
          <w:rFonts w:hint="eastAsia" w:ascii="宋体" w:hAnsi="宋体" w:eastAsia="宋体" w:cs="宋体"/>
          <w:b/>
          <w:bCs/>
          <w:color w:val="auto"/>
          <w:spacing w:val="0"/>
          <w:sz w:val="24"/>
          <w:szCs w:val="24"/>
          <w:highlight w:val="none"/>
        </w:rPr>
        <w:t>1 ．资格评审环节</w:t>
      </w:r>
      <w:bookmarkEnd w:id="142"/>
    </w:p>
    <w:p w14:paraId="5FDBADCB">
      <w:pPr>
        <w:keepNext w:val="0"/>
        <w:keepLines w:val="0"/>
        <w:pageBreakBefore w:val="0"/>
        <w:wordWrap w:val="0"/>
        <w:overflowPunct/>
        <w:topLinePunct w:val="0"/>
        <w:bidi w:val="0"/>
        <w:spacing w:before="152" w:line="327" w:lineRule="auto"/>
        <w:ind w:left="13" w:right="65"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投标人有下列情形之一的，评标委员会应否决其投标。被否决的投标人，不进入形式评审环节。</w:t>
      </w:r>
    </w:p>
    <w:p w14:paraId="6224D28D">
      <w:pPr>
        <w:keepNext w:val="0"/>
        <w:keepLines w:val="0"/>
        <w:pageBreakBefore w:val="0"/>
        <w:wordWrap w:val="0"/>
        <w:overflowPunct/>
        <w:topLinePunct w:val="0"/>
        <w:bidi w:val="0"/>
        <w:spacing w:before="32" w:line="219"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（1）有本章第三节第 </w:t>
      </w: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条“禁止投标条款 ”规定的任何一种情形；</w:t>
      </w:r>
    </w:p>
    <w:p w14:paraId="5A8A84D3">
      <w:pPr>
        <w:keepNext w:val="0"/>
        <w:keepLines w:val="0"/>
        <w:pageBreakBefore w:val="0"/>
        <w:wordWrap w:val="0"/>
        <w:overflowPunct/>
        <w:topLinePunct w:val="0"/>
        <w:bidi w:val="0"/>
        <w:spacing w:before="154" w:line="220" w:lineRule="auto"/>
        <w:ind w:left="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（2）投标人资质不符合规定的；</w:t>
      </w:r>
    </w:p>
    <w:p w14:paraId="2EEF5389">
      <w:pPr>
        <w:keepNext w:val="0"/>
        <w:keepLines w:val="0"/>
        <w:pageBreakBefore w:val="0"/>
        <w:wordWrap w:val="0"/>
        <w:overflowPunct/>
        <w:topLinePunct w:val="0"/>
        <w:bidi w:val="0"/>
        <w:spacing w:before="153" w:line="315" w:lineRule="auto"/>
        <w:ind w:right="57" w:firstLine="5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含实时网页查询页，可参考网址 https://zlaq.mohurd.gov.cn/fwmh/bjxcjgl/fwmh/pages/construction_safety/qyaqscxkz/qyaqscxkz）被吊销、暂扣或不在有效期内的；</w:t>
      </w:r>
    </w:p>
    <w:p w14:paraId="5957D489">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47D8899C">
      <w:pPr>
        <w:keepNext w:val="0"/>
        <w:keepLines w:val="0"/>
        <w:pageBreakBefore w:val="0"/>
        <w:wordWrap w:val="0"/>
        <w:overflowPunct/>
        <w:topLinePunct w:val="0"/>
        <w:bidi w:val="0"/>
        <w:spacing w:before="32" w:line="325" w:lineRule="auto"/>
        <w:ind w:left="10" w:right="65" w:firstLine="490"/>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rPr>
        <w:t>（4）拟派项目经理、项目技术负责人、专职安全员的条件不符合规定的；拟派专职安全员数量不符合规定的；项目技术负责人未在投标文件《项目技术负责人简历表》中签</w:t>
      </w:r>
      <w:r>
        <w:rPr>
          <w:rFonts w:hint="eastAsia" w:ascii="宋体" w:hAnsi="宋体" w:eastAsia="宋体" w:cs="宋体"/>
          <w:color w:val="auto"/>
          <w:spacing w:val="0"/>
          <w:sz w:val="24"/>
          <w:szCs w:val="24"/>
          <w:highlight w:val="none"/>
          <w:lang w:eastAsia="zh-CN"/>
        </w:rPr>
        <w:t>字确认。</w:t>
      </w:r>
    </w:p>
    <w:p w14:paraId="45D2AAF1">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温馨提示：建造师打印电子证书后，应在个人签名处手写本人签名，未手写签名或与签名图像笔迹不一致的，该电子证书无效。</w:t>
      </w:r>
    </w:p>
    <w:p w14:paraId="47B1AA25">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项目经理简历表》中拟派项目经理与《开标一览表》不一致的；拟派的项目经理未在投标文件《项目经理简历表》中签字确认；一级建造师的注册证书不是国家住建部颁发的；建造师的注册单位与投标人不一致的；项目管理班子组成人员的各类证书、证件、证明不在有效期内的（</w:t>
      </w:r>
      <w:r>
        <w:rPr>
          <w:rFonts w:hint="eastAsia" w:ascii="宋体" w:hAnsi="宋体" w:eastAsia="宋体" w:cs="宋体"/>
          <w:b/>
          <w:bCs/>
          <w:color w:val="auto"/>
          <w:spacing w:val="0"/>
          <w:sz w:val="24"/>
          <w:szCs w:val="24"/>
          <w:highlight w:val="none"/>
        </w:rPr>
        <w:t>建造师注册证书不在使用有效期内的</w:t>
      </w:r>
      <w:r>
        <w:rPr>
          <w:rFonts w:hint="eastAsia" w:ascii="宋体" w:hAnsi="宋体" w:eastAsia="宋体" w:cs="宋体"/>
          <w:color w:val="auto"/>
          <w:spacing w:val="0"/>
          <w:sz w:val="24"/>
          <w:szCs w:val="24"/>
          <w:highlight w:val="none"/>
        </w:rPr>
        <w:t>）；擅自修改、遗漏《项目经理任职声明》实质性内容的；</w:t>
      </w:r>
    </w:p>
    <w:p w14:paraId="0512EB6D">
      <w:pPr>
        <w:keepNext w:val="0"/>
        <w:keepLines w:val="0"/>
        <w:pageBreakBefore w:val="0"/>
        <w:wordWrap w:val="0"/>
        <w:overflowPunct/>
        <w:topLinePunct w:val="0"/>
        <w:bidi w:val="0"/>
        <w:spacing w:before="1" w:line="293" w:lineRule="auto"/>
        <w:ind w:left="28" w:right="66" w:firstLine="462"/>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注：投标人已经工商变更，但其员工执业资格注册证书的注册单位名称未完成变更的，不得否决其投标。</w:t>
      </w:r>
    </w:p>
    <w:p w14:paraId="574B858F">
      <w:pPr>
        <w:keepNext w:val="0"/>
        <w:keepLines w:val="0"/>
        <w:pageBreakBefore w:val="0"/>
        <w:wordWrap w:val="0"/>
        <w:overflowPunct/>
        <w:topLinePunct w:val="0"/>
        <w:bidi w:val="0"/>
        <w:spacing w:before="153" w:line="330" w:lineRule="auto"/>
        <w:ind w:left="9" w:right="66" w:firstLine="480"/>
        <w:jc w:val="both"/>
        <w:rPr>
          <w:rFonts w:hint="eastAsia" w:ascii="宋体" w:hAnsi="宋体" w:eastAsia="宋体" w:cs="宋体"/>
          <w:b/>
          <w:bCs/>
          <w:color w:val="auto"/>
          <w:spacing w:val="0"/>
          <w:sz w:val="24"/>
          <w:szCs w:val="24"/>
          <w:highlight w:val="none"/>
        </w:rPr>
      </w:pPr>
      <w:bookmarkStart w:id="143" w:name="OLE_LINK27"/>
      <w:r>
        <w:rPr>
          <w:rFonts w:hint="eastAsia" w:ascii="宋体" w:hAnsi="宋体" w:eastAsia="宋体" w:cs="宋体"/>
          <w:b/>
          <w:bCs/>
          <w:color w:val="auto"/>
          <w:spacing w:val="0"/>
          <w:sz w:val="24"/>
          <w:szCs w:val="24"/>
          <w:highlight w:val="none"/>
        </w:rPr>
        <w:t>鉴于目前继续教育开展的实际情况，建筑和市政工程施工现场专业人员（例如：施</w:t>
      </w:r>
      <w:bookmarkStart w:id="144" w:name="bookmark139"/>
      <w:bookmarkEnd w:id="144"/>
      <w:r>
        <w:rPr>
          <w:rFonts w:hint="eastAsia" w:ascii="宋体" w:hAnsi="宋体" w:eastAsia="宋体" w:cs="宋体"/>
          <w:b/>
          <w:bCs/>
          <w:color w:val="auto"/>
          <w:spacing w:val="0"/>
          <w:sz w:val="24"/>
          <w:szCs w:val="24"/>
          <w:highlight w:val="none"/>
        </w:rPr>
        <w:t>工员、质量员、材料员、资料员）的岗位证书或培训证书不审查其证书的有效期。</w:t>
      </w:r>
      <w:bookmarkEnd w:id="143"/>
    </w:p>
    <w:p w14:paraId="6DA43A0A">
      <w:pPr>
        <w:keepNext w:val="0"/>
        <w:keepLines w:val="0"/>
        <w:pageBreakBefore w:val="0"/>
        <w:wordWrap w:val="0"/>
        <w:overflowPunct/>
        <w:topLinePunct w:val="0"/>
        <w:bidi w:val="0"/>
        <w:spacing w:before="146" w:line="220" w:lineRule="auto"/>
        <w:ind w:left="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（6）招标文件规定不接受联合体投标，但以联合体投标的；</w:t>
      </w:r>
    </w:p>
    <w:p w14:paraId="5EA3DA3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（7）联合体投标，未提交《联合体协议书》的；擅自修改、遗漏《联合体协议书》实质性内容的；联合体成员的数量、资质不符合规定的；联合体成员同时以自己名义单独投标或者参加其他联合体投标的；</w:t>
      </w:r>
    </w:p>
    <w:p w14:paraId="546A374E">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）投标人为外省建筑企业，但未提供“进粤企业和人员诚信信息登记平台 ”企业和拟派人员信息情况打印页或网页截图的。</w:t>
      </w:r>
    </w:p>
    <w:p w14:paraId="47B412EA">
      <w:pPr>
        <w:keepNext w:val="0"/>
        <w:keepLines w:val="0"/>
        <w:pageBreakBefore w:val="0"/>
        <w:wordWrap w:val="0"/>
        <w:overflowPunct/>
        <w:topLinePunct w:val="0"/>
        <w:bidi w:val="0"/>
        <w:spacing w:before="154" w:line="221" w:lineRule="auto"/>
        <w:ind w:left="477"/>
        <w:outlineLvl w:val="2"/>
        <w:rPr>
          <w:rFonts w:hint="eastAsia" w:ascii="宋体" w:hAnsi="宋体" w:eastAsia="宋体" w:cs="宋体"/>
          <w:color w:val="auto"/>
          <w:spacing w:val="0"/>
          <w:sz w:val="24"/>
          <w:szCs w:val="24"/>
          <w:highlight w:val="none"/>
        </w:rPr>
      </w:pPr>
      <w:bookmarkStart w:id="145" w:name="_Toc26481"/>
      <w:r>
        <w:rPr>
          <w:rFonts w:hint="eastAsia" w:ascii="宋体" w:hAnsi="宋体" w:eastAsia="宋体" w:cs="宋体"/>
          <w:b/>
          <w:bCs/>
          <w:color w:val="auto"/>
          <w:spacing w:val="0"/>
          <w:sz w:val="24"/>
          <w:szCs w:val="24"/>
          <w:highlight w:val="none"/>
        </w:rPr>
        <w:t>2 ．形式评审环节</w:t>
      </w:r>
      <w:bookmarkEnd w:id="145"/>
    </w:p>
    <w:p w14:paraId="4C071E88">
      <w:pPr>
        <w:keepNext w:val="0"/>
        <w:keepLines w:val="0"/>
        <w:pageBreakBefore w:val="0"/>
        <w:wordWrap w:val="0"/>
        <w:overflowPunct/>
        <w:topLinePunct w:val="0"/>
        <w:bidi w:val="0"/>
        <w:spacing w:before="151" w:line="327" w:lineRule="auto"/>
        <w:ind w:right="200" w:firstLine="48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投标人有下列情形之一的，评标委员会应否决其投标。被否决的投标人，不进入响应性评审环节。</w:t>
      </w:r>
    </w:p>
    <w:p w14:paraId="2CCA6807">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（1）各分册没按招标文件规定加盖电子印章；</w:t>
      </w:r>
    </w:p>
    <w:p w14:paraId="3016EC44">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（2）本章第三节第 </w:t>
      </w:r>
      <w:r>
        <w:rPr>
          <w:rFonts w:hint="eastAsia" w:ascii="宋体" w:hAnsi="宋体" w:eastAsia="宋体" w:cs="宋体"/>
          <w:b/>
          <w:bCs/>
          <w:color w:val="auto"/>
          <w:spacing w:val="0"/>
          <w:sz w:val="24"/>
          <w:szCs w:val="24"/>
          <w:highlight w:val="none"/>
        </w:rPr>
        <w:t>10.2.2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10.3.2</w:t>
      </w:r>
      <w:r>
        <w:rPr>
          <w:rFonts w:hint="eastAsia" w:ascii="宋体" w:hAnsi="宋体" w:eastAsia="宋体" w:cs="宋体"/>
          <w:color w:val="auto"/>
          <w:spacing w:val="0"/>
          <w:sz w:val="24"/>
          <w:szCs w:val="24"/>
          <w:highlight w:val="none"/>
        </w:rPr>
        <w:t xml:space="preserve"> 目、第 </w:t>
      </w:r>
      <w:r>
        <w:rPr>
          <w:rFonts w:hint="eastAsia" w:ascii="宋体" w:hAnsi="宋体" w:eastAsia="宋体" w:cs="宋体"/>
          <w:b/>
          <w:bCs/>
          <w:color w:val="auto"/>
          <w:spacing w:val="0"/>
          <w:sz w:val="24"/>
          <w:szCs w:val="24"/>
          <w:highlight w:val="none"/>
        </w:rPr>
        <w:t>10.4.3</w:t>
      </w:r>
      <w:r>
        <w:rPr>
          <w:rFonts w:hint="eastAsia" w:ascii="宋体" w:hAnsi="宋体" w:eastAsia="宋体" w:cs="宋体"/>
          <w:color w:val="auto"/>
          <w:spacing w:val="0"/>
          <w:sz w:val="24"/>
          <w:szCs w:val="24"/>
          <w:highlight w:val="none"/>
        </w:rPr>
        <w:t xml:space="preserve"> 目中规定的“所有投标人均应提供 ”的组成内容（包括该组成内容的所附资料）中，任何一项有缺漏的；</w:t>
      </w:r>
    </w:p>
    <w:p w14:paraId="32F511B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关键字迹模糊、无法辨认，且该种过错将导致评标委员会无法判断投标文件是否响应招标文件实质性要求的；有涂改、行间插字或删除，但未加盖单位章或由投标人的法定代表人或其委托代理人签字确认的；</w:t>
      </w:r>
    </w:p>
    <w:p w14:paraId="2562D028">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（4）投标文件未按规定签字、盖章的。</w:t>
      </w:r>
    </w:p>
    <w:p w14:paraId="018E6E23">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（5）招标文件规定施工组织设计采用“暗标 ”方式进行评审，但施工组织设计的规格颜色、文字排版、正文篇幅（若有）不符合规定的；其任何部位出现手写以及涂改、 行间插字或删除痕迹的；其任何部位出现投标人的名称和其它可识别投标人身份的字符、徽标、人员名称以及其他特殊标记的。</w:t>
      </w:r>
    </w:p>
    <w:p w14:paraId="5756AE48">
      <w:pPr>
        <w:keepNext w:val="0"/>
        <w:keepLines w:val="0"/>
        <w:pageBreakBefore w:val="0"/>
        <w:wordWrap w:val="0"/>
        <w:overflowPunct/>
        <w:topLinePunct w:val="0"/>
        <w:bidi w:val="0"/>
        <w:spacing w:before="227" w:line="221" w:lineRule="auto"/>
        <w:ind w:left="475"/>
        <w:outlineLvl w:val="2"/>
        <w:rPr>
          <w:rFonts w:hint="eastAsia" w:ascii="宋体" w:hAnsi="宋体" w:eastAsia="宋体" w:cs="宋体"/>
          <w:color w:val="auto"/>
          <w:spacing w:val="0"/>
          <w:sz w:val="24"/>
          <w:szCs w:val="24"/>
          <w:highlight w:val="none"/>
        </w:rPr>
      </w:pPr>
      <w:bookmarkStart w:id="146" w:name="_Toc12782"/>
      <w:r>
        <w:rPr>
          <w:rFonts w:hint="eastAsia" w:ascii="宋体" w:hAnsi="宋体" w:eastAsia="宋体" w:cs="宋体"/>
          <w:b/>
          <w:bCs/>
          <w:color w:val="auto"/>
          <w:spacing w:val="0"/>
          <w:sz w:val="24"/>
          <w:szCs w:val="24"/>
          <w:highlight w:val="none"/>
        </w:rPr>
        <w:t>3 ．响应性评审环节</w:t>
      </w:r>
      <w:bookmarkEnd w:id="146"/>
    </w:p>
    <w:p w14:paraId="24A371D1">
      <w:pPr>
        <w:keepNext w:val="0"/>
        <w:keepLines w:val="0"/>
        <w:pageBreakBefore w:val="0"/>
        <w:wordWrap w:val="0"/>
        <w:overflowPunct/>
        <w:topLinePunct w:val="0"/>
        <w:bidi w:val="0"/>
        <w:spacing w:before="151" w:line="327" w:lineRule="auto"/>
        <w:ind w:left="1" w:right="200"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投标人有下列情形之一的，评标委员会应否决其投标。被否决的投标人，不进入详细评审阶段。</w:t>
      </w:r>
    </w:p>
    <w:p w14:paraId="328C80CC">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（1）承诺的投标有效期短于规定的；质量标准低于规定的；工期超出规定的；擅自修改、遗漏《投标函》《各项承诺一览表》实质性内容的；</w:t>
      </w:r>
    </w:p>
    <w:p w14:paraId="51AA35F9">
      <w:pPr>
        <w:keepNext w:val="0"/>
        <w:keepLines w:val="0"/>
        <w:pageBreakBefore w:val="0"/>
        <w:wordWrap w:val="0"/>
        <w:overflowPunct/>
        <w:topLinePunct w:val="0"/>
        <w:bidi w:val="0"/>
        <w:spacing w:before="34" w:line="334" w:lineRule="auto"/>
        <w:ind w:left="8" w:right="65" w:firstLine="49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（2）编制《投标总价》的造价工程师，其注册证书不是</w:t>
      </w:r>
      <w:r>
        <w:rPr>
          <w:rFonts w:hint="eastAsia" w:ascii="宋体" w:hAnsi="宋体" w:eastAsia="宋体" w:cs="宋体"/>
          <w:b/>
          <w:bCs/>
          <w:color w:val="auto"/>
          <w:spacing w:val="0"/>
          <w:sz w:val="24"/>
          <w:szCs w:val="24"/>
          <w:highlight w:val="none"/>
        </w:rPr>
        <w:t>住建部门</w:t>
      </w:r>
      <w:r>
        <w:rPr>
          <w:rFonts w:hint="eastAsia" w:ascii="宋体" w:hAnsi="宋体" w:eastAsia="宋体" w:cs="宋体"/>
          <w:color w:val="auto"/>
          <w:spacing w:val="0"/>
          <w:sz w:val="24"/>
          <w:szCs w:val="24"/>
          <w:highlight w:val="none"/>
        </w:rPr>
        <w:t>颁发的；其注册单位与投标人（或造价咨询人）不一致的；其注册证书不在有效期内的。</w:t>
      </w:r>
    </w:p>
    <w:p w14:paraId="57DA17C2">
      <w:pPr>
        <w:keepNext w:val="0"/>
        <w:keepLines w:val="0"/>
        <w:pageBreakBefore w:val="0"/>
        <w:wordWrap w:val="0"/>
        <w:overflowPunct/>
        <w:topLinePunct w:val="0"/>
        <w:bidi w:val="0"/>
        <w:spacing w:before="156" w:line="329" w:lineRule="auto"/>
        <w:ind w:right="200" w:firstLine="480"/>
        <w:jc w:val="both"/>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注：投标人（或造价咨询人）已经工商变更，但其员工的执业资格注册证书的注册单位名称未完成变更的，不得否决其投标。</w:t>
      </w:r>
    </w:p>
    <w:p w14:paraId="1C0F15DB">
      <w:pPr>
        <w:keepNext w:val="0"/>
        <w:keepLines w:val="0"/>
        <w:pageBreakBefore w:val="0"/>
        <w:wordWrap w:val="0"/>
        <w:overflowPunct/>
        <w:topLinePunct w:val="0"/>
        <w:bidi w:val="0"/>
        <w:spacing w:before="78" w:line="299" w:lineRule="auto"/>
        <w:ind w:left="2" w:right="81"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（3）投标人委托造价咨询单位编制《投标总价》，但未在《投标总价扉页》（即扉—3）“投标人 ”栏目加盖造价咨询人公章的；未提供造价咨询人的营业执照副本彩色扫描件；</w:t>
      </w:r>
    </w:p>
    <w:p w14:paraId="28A4F595">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（4）出现两个或两个以上投标总价的（同一个投标总价大、小写不一致的除外）； 投标总价超出</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少于规定的；暂列金额、暂估价未按照招标工程量清单统一报价的；投标总价下浮率超过 15%，又未提供相应书面说明和佐证材料或提供的书面说明和佐证材料不能令人信服，被评标委员会认定以低于成本报价竞标的；擅自修改、增减招标工程量清单项目（包括措施项目）的；</w:t>
      </w:r>
    </w:p>
    <w:p w14:paraId="0C1C1D63">
      <w:pPr>
        <w:keepNext w:val="0"/>
        <w:keepLines w:val="0"/>
        <w:pageBreakBefore w:val="0"/>
        <w:wordWrap w:val="0"/>
        <w:overflowPunct/>
        <w:topLinePunct w:val="0"/>
        <w:bidi w:val="0"/>
        <w:spacing w:before="156" w:line="299" w:lineRule="auto"/>
        <w:ind w:right="8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（5）在施工组织设计评审中，评标委员会认定质量、进度保障措施与国家和省市现行有关规范、规定、标准有重大偏差，</w:t>
      </w:r>
      <w:r>
        <w:rPr>
          <w:rFonts w:hint="eastAsia" w:ascii="宋体" w:hAnsi="宋体" w:eastAsia="宋体" w:cs="宋体"/>
          <w:b/>
          <w:bCs/>
          <w:color w:val="auto"/>
          <w:spacing w:val="0"/>
          <w:sz w:val="24"/>
          <w:szCs w:val="24"/>
          <w:highlight w:val="none"/>
        </w:rPr>
        <w:t>且该种过错将导致工程质量、进度管理目标无法实现的</w:t>
      </w:r>
      <w:r>
        <w:rPr>
          <w:rFonts w:hint="eastAsia" w:ascii="宋体" w:hAnsi="宋体" w:eastAsia="宋体" w:cs="宋体"/>
          <w:color w:val="auto"/>
          <w:spacing w:val="0"/>
          <w:sz w:val="24"/>
          <w:szCs w:val="24"/>
          <w:highlight w:val="none"/>
        </w:rPr>
        <w:t>。</w:t>
      </w:r>
    </w:p>
    <w:p w14:paraId="7278F5C7">
      <w:pPr>
        <w:keepNext w:val="0"/>
        <w:keepLines w:val="0"/>
        <w:pageBreakBefore w:val="0"/>
        <w:wordWrap w:val="0"/>
        <w:overflowPunct/>
        <w:topLinePunct w:val="0"/>
        <w:bidi w:val="0"/>
        <w:spacing w:before="151" w:line="221" w:lineRule="auto"/>
        <w:ind w:left="476"/>
        <w:outlineLvl w:val="2"/>
        <w:rPr>
          <w:rFonts w:hint="eastAsia" w:ascii="宋体" w:hAnsi="宋体" w:eastAsia="宋体" w:cs="宋体"/>
          <w:color w:val="auto"/>
          <w:spacing w:val="0"/>
          <w:sz w:val="24"/>
          <w:szCs w:val="24"/>
          <w:highlight w:val="none"/>
        </w:rPr>
      </w:pPr>
      <w:bookmarkStart w:id="147" w:name="_Toc29211"/>
      <w:r>
        <w:rPr>
          <w:rFonts w:hint="eastAsia" w:ascii="宋体" w:hAnsi="宋体" w:eastAsia="宋体" w:cs="宋体"/>
          <w:b/>
          <w:bCs/>
          <w:color w:val="auto"/>
          <w:spacing w:val="0"/>
          <w:sz w:val="24"/>
          <w:szCs w:val="24"/>
          <w:highlight w:val="none"/>
        </w:rPr>
        <w:t>4 ．其他</w:t>
      </w:r>
      <w:bookmarkEnd w:id="147"/>
    </w:p>
    <w:p w14:paraId="478ECE44">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在任何评标环节（或阶段），投标人有下列情形之一的，评标委员会应否决其投标。 被否决的投标人，不进入下一环节（或阶段）。</w:t>
      </w:r>
    </w:p>
    <w:p w14:paraId="32C969E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（1）不按评标委员会要求澄清、说明或补正的；</w:t>
      </w:r>
    </w:p>
    <w:p w14:paraId="2BC3CEAA">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（2）有下列情形之一，被评标委员会认定属于串通投标的：</w:t>
      </w:r>
    </w:p>
    <w:p w14:paraId="5E130F1E">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①不同投标人的投标文件两处以上（含两处）错、漏一致；</w:t>
      </w:r>
    </w:p>
    <w:p w14:paraId="7FECEC65">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②不同投标人的投标总价相近且各分项报价、综合单价分析表内容混乱不能相互对应、乱调乱压或乱抬的，而在询标时没有合理的解释或者不能提供计算依据和报价依据；</w:t>
      </w:r>
    </w:p>
    <w:p w14:paraId="2559209F">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③不同投标人的投标各项报价存在异常一致或者呈规律性变化；</w:t>
      </w:r>
    </w:p>
    <w:p w14:paraId="21D10FEB">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④不同投标人的投标文件由同一单位或者同一个人编制；</w:t>
      </w:r>
    </w:p>
    <w:p w14:paraId="5CE4BEF8">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⑤不同投标人的投标文件中投标资料（包括电子资料）相互混装或项目班子成员出现同一人；</w:t>
      </w:r>
    </w:p>
    <w:p w14:paraId="6AC7075C">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⑥不同投标人的投标文件由同一电脑编制或同一台附属设备打印，或投标报价用同一个预算编制软件密码锁制作或出自同一电子文档；</w:t>
      </w:r>
    </w:p>
    <w:p w14:paraId="5863A9E8">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⑦不同投标人的投标保证由同一企业或同一账户资金缴纳；</w:t>
      </w:r>
    </w:p>
    <w:p w14:paraId="61AFEE12">
      <w:pPr>
        <w:keepNext w:val="0"/>
        <w:keepLines w:val="0"/>
        <w:pageBreakBefore w:val="0"/>
        <w:wordWrap w:val="0"/>
        <w:overflowPunct/>
        <w:topLinePunct w:val="0"/>
        <w:bidi w:val="0"/>
        <w:spacing w:before="151" w:line="360" w:lineRule="auto"/>
        <w:ind w:right="21" w:firstLine="49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⑧不同投标人委托同一个人或注册在同一家企业的注册人员或同一家企业为其投标提供投标咨询、商务报价、技术咨询（招标项目本身要求采用专有技术的除外）等服务。</w:t>
      </w:r>
    </w:p>
    <w:p w14:paraId="62C31967">
      <w:pPr>
        <w:pStyle w:val="25"/>
        <w:keepNext w:val="0"/>
        <w:keepLines w:val="0"/>
        <w:pageBreakBefore w:val="0"/>
        <w:wordWrap w:val="0"/>
        <w:overflowPunct/>
        <w:topLinePunct w:val="0"/>
        <w:bidi w:val="0"/>
        <w:rPr>
          <w:rFonts w:hint="eastAsia"/>
          <w:spacing w:val="0"/>
          <w:highlight w:val="none"/>
        </w:rPr>
      </w:pPr>
    </w:p>
    <w:p w14:paraId="3A4CDC3A">
      <w:pPr>
        <w:keepNext w:val="0"/>
        <w:keepLines w:val="0"/>
        <w:pageBreakBefore w:val="0"/>
        <w:wordWrap w:val="0"/>
        <w:overflowPunct/>
        <w:topLinePunct w:val="0"/>
        <w:bidi w:val="0"/>
        <w:spacing w:line="299" w:lineRule="auto"/>
        <w:rPr>
          <w:rFonts w:hint="eastAsia" w:ascii="宋体" w:hAnsi="宋体" w:eastAsia="宋体" w:cs="宋体"/>
          <w:color w:val="auto"/>
          <w:spacing w:val="0"/>
          <w:sz w:val="24"/>
          <w:szCs w:val="24"/>
          <w:highlight w:val="none"/>
        </w:rPr>
        <w:sectPr>
          <w:headerReference r:id="rId9" w:type="default"/>
          <w:footerReference r:id="rId1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73093E">
      <w:pPr>
        <w:keepNext w:val="0"/>
        <w:keepLines w:val="0"/>
        <w:pageBreakBefore w:val="0"/>
        <w:wordWrap w:val="0"/>
        <w:overflowPunct/>
        <w:topLinePunct w:val="0"/>
        <w:bidi w:val="0"/>
        <w:spacing w:before="78" w:line="219" w:lineRule="auto"/>
        <w:ind w:left="3525"/>
        <w:outlineLvl w:val="0"/>
        <w:rPr>
          <w:rFonts w:hint="eastAsia" w:ascii="宋体" w:hAnsi="宋体" w:eastAsia="宋体" w:cs="宋体"/>
          <w:color w:val="auto"/>
          <w:spacing w:val="0"/>
          <w:sz w:val="24"/>
          <w:szCs w:val="24"/>
          <w:highlight w:val="none"/>
        </w:rPr>
      </w:pPr>
      <w:bookmarkStart w:id="148" w:name="bookmark57"/>
      <w:bookmarkEnd w:id="148"/>
      <w:bookmarkStart w:id="149" w:name="_Toc13909"/>
      <w:r>
        <w:rPr>
          <w:rFonts w:hint="eastAsia" w:ascii="宋体" w:hAnsi="宋体" w:eastAsia="宋体" w:cs="宋体"/>
          <w:b/>
          <w:bCs/>
          <w:color w:val="auto"/>
          <w:spacing w:val="0"/>
          <w:sz w:val="24"/>
          <w:szCs w:val="24"/>
          <w:highlight w:val="none"/>
        </w:rPr>
        <w:t>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bookmarkEnd w:id="149"/>
    </w:p>
    <w:p w14:paraId="7366BAAD">
      <w:pPr>
        <w:keepNext w:val="0"/>
        <w:keepLines w:val="0"/>
        <w:pageBreakBefore w:val="0"/>
        <w:wordWrap w:val="0"/>
        <w:overflowPunct/>
        <w:topLinePunct w:val="0"/>
        <w:bidi w:val="0"/>
        <w:spacing w:before="78" w:line="219" w:lineRule="auto"/>
        <w:ind w:left="582"/>
        <w:outlineLvl w:val="2"/>
        <w:rPr>
          <w:rFonts w:hint="eastAsia" w:ascii="宋体" w:hAnsi="宋体" w:eastAsia="宋体" w:cs="宋体"/>
          <w:color w:val="auto"/>
          <w:spacing w:val="0"/>
          <w:sz w:val="24"/>
          <w:szCs w:val="24"/>
          <w:highlight w:val="none"/>
        </w:rPr>
      </w:pPr>
      <w:bookmarkStart w:id="150" w:name="_Toc28758"/>
      <w:r>
        <w:rPr>
          <w:rFonts w:hint="eastAsia" w:ascii="宋体" w:hAnsi="宋体" w:eastAsia="宋体" w:cs="宋体"/>
          <w:b/>
          <w:bCs/>
          <w:color w:val="auto"/>
          <w:spacing w:val="0"/>
          <w:sz w:val="24"/>
          <w:szCs w:val="24"/>
          <w:highlight w:val="none"/>
        </w:rPr>
        <w:t>1 ．中标通知书</w:t>
      </w:r>
      <w:bookmarkEnd w:id="150"/>
    </w:p>
    <w:p w14:paraId="360F6602">
      <w:pPr>
        <w:keepNext w:val="0"/>
        <w:keepLines w:val="0"/>
        <w:pageBreakBefore w:val="0"/>
        <w:wordWrap w:val="0"/>
        <w:overflowPunct/>
        <w:topLinePunct w:val="0"/>
        <w:bidi w:val="0"/>
        <w:spacing w:before="152" w:line="332" w:lineRule="auto"/>
        <w:ind w:left="17" w:firstLine="559"/>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招标人确定</w:t>
      </w:r>
      <w:r>
        <w:rPr>
          <w:rFonts w:hint="eastAsia" w:ascii="宋体" w:hAnsi="宋体" w:eastAsia="宋体" w:cs="宋体"/>
          <w:color w:val="auto"/>
          <w:spacing w:val="0"/>
          <w:sz w:val="24"/>
          <w:szCs w:val="24"/>
          <w:highlight w:val="none"/>
          <w:lang w:val="en-US" w:eastAsia="zh-CN"/>
        </w:rPr>
        <w:t>定</w:t>
      </w:r>
      <w:r>
        <w:rPr>
          <w:rFonts w:hint="eastAsia" w:ascii="宋体" w:hAnsi="宋体" w:eastAsia="宋体" w:cs="宋体"/>
          <w:color w:val="auto"/>
          <w:spacing w:val="0"/>
          <w:sz w:val="24"/>
          <w:szCs w:val="24"/>
          <w:highlight w:val="none"/>
        </w:rPr>
        <w:t>标人为中标人</w:t>
      </w:r>
      <w:r>
        <w:rPr>
          <w:rFonts w:hint="eastAsia" w:ascii="宋体" w:hAnsi="宋体" w:eastAsia="宋体" w:cs="宋体"/>
          <w:color w:val="auto"/>
          <w:spacing w:val="0"/>
          <w:sz w:val="24"/>
          <w:szCs w:val="24"/>
          <w:highlight w:val="none"/>
          <w:lang w:val="en-US" w:eastAsia="zh-CN"/>
        </w:rPr>
        <w:t>后</w:t>
      </w:r>
      <w:r>
        <w:rPr>
          <w:rFonts w:hint="eastAsia" w:ascii="宋体" w:hAnsi="宋体" w:eastAsia="宋体" w:cs="宋体"/>
          <w:color w:val="auto"/>
          <w:spacing w:val="0"/>
          <w:sz w:val="24"/>
          <w:szCs w:val="24"/>
          <w:highlight w:val="none"/>
        </w:rPr>
        <w:t xml:space="preserve"> 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D88EBA6">
      <w:pPr>
        <w:keepNext w:val="0"/>
        <w:keepLines w:val="0"/>
        <w:pageBreakBefore w:val="0"/>
        <w:wordWrap w:val="0"/>
        <w:overflowPunct/>
        <w:topLinePunct w:val="0"/>
        <w:bidi w:val="0"/>
        <w:spacing w:before="78" w:line="221" w:lineRule="auto"/>
        <w:ind w:left="572"/>
        <w:outlineLvl w:val="2"/>
        <w:rPr>
          <w:rFonts w:hint="eastAsia" w:ascii="宋体" w:hAnsi="宋体" w:eastAsia="宋体" w:cs="宋体"/>
          <w:color w:val="auto"/>
          <w:spacing w:val="0"/>
          <w:sz w:val="24"/>
          <w:szCs w:val="24"/>
          <w:highlight w:val="none"/>
        </w:rPr>
      </w:pPr>
      <w:bookmarkStart w:id="151" w:name="_Toc12152"/>
      <w:r>
        <w:rPr>
          <w:rFonts w:hint="eastAsia" w:ascii="宋体" w:hAnsi="宋体" w:eastAsia="宋体" w:cs="宋体"/>
          <w:b/>
          <w:bCs/>
          <w:color w:val="auto"/>
          <w:spacing w:val="0"/>
          <w:sz w:val="24"/>
          <w:szCs w:val="24"/>
          <w:highlight w:val="none"/>
        </w:rPr>
        <w:t>2 ．中结果公示</w:t>
      </w:r>
      <w:bookmarkEnd w:id="151"/>
    </w:p>
    <w:p w14:paraId="1D49581A">
      <w:pPr>
        <w:keepNext w:val="0"/>
        <w:keepLines w:val="0"/>
        <w:pageBreakBefore w:val="0"/>
        <w:wordWrap w:val="0"/>
        <w:overflowPunct/>
        <w:topLinePunct w:val="0"/>
        <w:bidi w:val="0"/>
        <w:spacing w:before="115" w:line="316" w:lineRule="auto"/>
        <w:ind w:left="2" w:right="203" w:firstLine="595"/>
        <w:jc w:val="both"/>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中标通知书发出后 15</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日内，招标人应将中标结果在广东省招标投标监管网（http://zbtb.gd.gov.cn）、全国公共资源交易平台（广东省 ·韶关市）（https://ygp.gdzwfw.gov.cn/ggzy-portal/#/440200/index）进行公示。</w:t>
      </w:r>
    </w:p>
    <w:p w14:paraId="49003951">
      <w:pPr>
        <w:keepNext w:val="0"/>
        <w:keepLines w:val="0"/>
        <w:pageBreakBefore w:val="0"/>
        <w:wordWrap w:val="0"/>
        <w:overflowPunct/>
        <w:topLinePunct w:val="0"/>
        <w:bidi w:val="0"/>
        <w:spacing w:before="79" w:line="221" w:lineRule="auto"/>
        <w:ind w:left="570"/>
        <w:outlineLvl w:val="2"/>
        <w:rPr>
          <w:rFonts w:hint="eastAsia" w:ascii="宋体" w:hAnsi="宋体" w:eastAsia="宋体" w:cs="宋体"/>
          <w:color w:val="auto"/>
          <w:spacing w:val="0"/>
          <w:sz w:val="24"/>
          <w:szCs w:val="24"/>
          <w:highlight w:val="none"/>
        </w:rPr>
      </w:pPr>
      <w:bookmarkStart w:id="152" w:name="_Toc26389"/>
      <w:r>
        <w:rPr>
          <w:rFonts w:hint="eastAsia" w:ascii="宋体" w:hAnsi="宋体" w:eastAsia="宋体" w:cs="宋体"/>
          <w:b/>
          <w:bCs/>
          <w:color w:val="auto"/>
          <w:spacing w:val="0"/>
          <w:sz w:val="24"/>
          <w:szCs w:val="24"/>
          <w:highlight w:val="none"/>
        </w:rPr>
        <w:t>3 ．履约保证</w:t>
      </w:r>
      <w:bookmarkEnd w:id="152"/>
    </w:p>
    <w:p w14:paraId="7A78E0ED">
      <w:pPr>
        <w:keepNext w:val="0"/>
        <w:keepLines w:val="0"/>
        <w:pageBreakBefore w:val="0"/>
        <w:widowControl/>
        <w:kinsoku w:val="0"/>
        <w:wordWrap w:val="0"/>
        <w:overflowPunct/>
        <w:topLinePunct w:val="0"/>
        <w:autoSpaceDE w:val="0"/>
        <w:autoSpaceDN w:val="0"/>
        <w:bidi w:val="0"/>
        <w:adjustRightInd w:val="0"/>
        <w:snapToGrid w:val="0"/>
        <w:spacing w:before="153" w:line="312" w:lineRule="auto"/>
        <w:ind w:firstLine="482"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3.1  </w:t>
      </w:r>
      <w:r>
        <w:rPr>
          <w:rFonts w:hint="eastAsia" w:ascii="宋体" w:hAnsi="宋体" w:eastAsia="宋体" w:cs="宋体"/>
          <w:color w:val="auto"/>
          <w:spacing w:val="0"/>
          <w:sz w:val="24"/>
          <w:szCs w:val="24"/>
          <w:highlight w:val="none"/>
        </w:rPr>
        <w:t>中标人须在领取中标通知书之日起</w:t>
      </w:r>
      <w:r>
        <w:rPr>
          <w:rFonts w:hint="eastAsia" w:ascii="宋体" w:hAnsi="宋体" w:eastAsia="宋体" w:cs="宋体"/>
          <w:color w:val="auto"/>
          <w:spacing w:val="0"/>
          <w:sz w:val="24"/>
          <w:szCs w:val="24"/>
          <w:highlight w:val="none"/>
          <w:u w:val="single"/>
          <w:lang w:val="en-US" w:eastAsia="zh-CN"/>
        </w:rPr>
        <w:t xml:space="preserve"> 10 </w:t>
      </w:r>
      <w:r>
        <w:rPr>
          <w:rFonts w:hint="eastAsia" w:ascii="宋体" w:hAnsi="宋体" w:eastAsia="宋体" w:cs="宋体"/>
          <w:color w:val="auto"/>
          <w:spacing w:val="0"/>
          <w:sz w:val="24"/>
          <w:szCs w:val="24"/>
          <w:highlight w:val="none"/>
        </w:rPr>
        <w:t>个工作日内、签订合同前向招标人提交金额</w:t>
      </w:r>
      <w:r>
        <w:rPr>
          <w:rFonts w:hint="eastAsia" w:ascii="宋体" w:hAnsi="宋体" w:eastAsia="宋体" w:cs="宋体"/>
          <w:color w:val="auto"/>
          <w:spacing w:val="0"/>
          <w:position w:val="2"/>
          <w:sz w:val="24"/>
          <w:szCs w:val="24"/>
          <w:highlight w:val="none"/>
        </w:rPr>
        <w:t>为中标价</w:t>
      </w:r>
      <w:r>
        <w:rPr>
          <w:rFonts w:hint="eastAsia" w:ascii="宋体" w:hAnsi="宋体" w:eastAsia="宋体" w:cs="宋体"/>
          <w:color w:val="auto"/>
          <w:spacing w:val="0"/>
          <w:position w:val="2"/>
          <w:sz w:val="24"/>
          <w:szCs w:val="24"/>
          <w:highlight w:val="none"/>
          <w:u w:val="single"/>
          <w:lang w:val="en-US" w:eastAsia="zh-CN"/>
        </w:rPr>
        <w:t xml:space="preserve"> 5</w:t>
      </w:r>
      <w:r>
        <w:rPr>
          <w:rFonts w:hint="eastAsia" w:ascii="宋体" w:hAnsi="宋体" w:eastAsia="宋体" w:cs="宋体"/>
          <w:color w:val="auto"/>
          <w:spacing w:val="0"/>
          <w:position w:val="2"/>
          <w:sz w:val="24"/>
          <w:szCs w:val="24"/>
          <w:highlight w:val="none"/>
          <w:u w:val="single"/>
        </w:rPr>
        <w:t xml:space="preserve">%  </w:t>
      </w:r>
      <w:r>
        <w:rPr>
          <w:rFonts w:hint="eastAsia" w:ascii="宋体" w:hAnsi="宋体" w:eastAsia="宋体" w:cs="宋体"/>
          <w:color w:val="auto"/>
          <w:spacing w:val="0"/>
          <w:position w:val="2"/>
          <w:sz w:val="24"/>
          <w:szCs w:val="24"/>
          <w:highlight w:val="none"/>
        </w:rPr>
        <w:t>的履约保证。联合体中标的，由联合体牵头人提交。</w:t>
      </w:r>
    </w:p>
    <w:p w14:paraId="0BF7859C">
      <w:pPr>
        <w:keepNext w:val="0"/>
        <w:keepLines w:val="0"/>
        <w:pageBreakBefore w:val="0"/>
        <w:wordWrap w:val="0"/>
        <w:overflowPunct/>
        <w:topLinePunct w:val="0"/>
        <w:bidi w:val="0"/>
        <w:spacing w:before="89" w:line="286"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3.2</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0"/>
          <w:sz w:val="24"/>
          <w:szCs w:val="24"/>
          <w:highlight w:val="none"/>
        </w:rPr>
        <w:t>。商业保函、银行保函或保险合同（或保险单）的有效期应当自合同生效之日起至项目通过竣工验收之日后 28 天止。</w:t>
      </w:r>
    </w:p>
    <w:p w14:paraId="30ED910B">
      <w:pPr>
        <w:keepNext w:val="0"/>
        <w:keepLines w:val="0"/>
        <w:pageBreakBefore w:val="0"/>
        <w:wordWrap w:val="0"/>
        <w:overflowPunct/>
        <w:topLinePunct w:val="0"/>
        <w:bidi w:val="0"/>
        <w:spacing w:line="440" w:lineRule="exact"/>
        <w:ind w:firstLine="562"/>
        <w:rPr>
          <w:rFonts w:hint="eastAsia" w:ascii="宋体" w:hAnsi="宋体" w:eastAsia="宋体" w:cs="宋体"/>
          <w:color w:val="auto"/>
          <w:spacing w:val="0"/>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4BE9E304">
      <w:pPr>
        <w:keepNext w:val="0"/>
        <w:keepLines w:val="0"/>
        <w:pageBreakBefore w:val="0"/>
        <w:wordWrap w:val="0"/>
        <w:overflowPunct/>
        <w:topLinePunct w:val="0"/>
        <w:bidi w:val="0"/>
        <w:spacing w:before="145" w:line="319" w:lineRule="auto"/>
        <w:ind w:left="12" w:right="108"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3.3  </w:t>
      </w:r>
      <w:r>
        <w:rPr>
          <w:rFonts w:hint="eastAsia" w:ascii="宋体" w:hAnsi="宋体" w:eastAsia="宋体" w:cs="宋体"/>
          <w:color w:val="auto"/>
          <w:spacing w:val="0"/>
          <w:sz w:val="24"/>
          <w:szCs w:val="24"/>
          <w:highlight w:val="none"/>
        </w:rPr>
        <w:t>中标人在领取中标通知书之日起 10 个工作日内仍未提交履约保证的，招标人发出第一次提醒函；在领取中标通知书之日起 15 个工作日内仍未提交的，招标人发出第二次提醒函；在领取中标通知书之日起 20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14:paraId="39B39D75">
      <w:pPr>
        <w:keepNext w:val="0"/>
        <w:keepLines w:val="0"/>
        <w:pageBreakBefore w:val="0"/>
        <w:wordWrap w:val="0"/>
        <w:overflowPunct/>
        <w:topLinePunct w:val="0"/>
        <w:bidi w:val="0"/>
        <w:spacing w:before="152" w:line="299" w:lineRule="auto"/>
        <w:ind w:left="12" w:right="108"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3.4  </w:t>
      </w:r>
      <w:r>
        <w:rPr>
          <w:rFonts w:hint="eastAsia" w:ascii="宋体" w:hAnsi="宋体" w:eastAsia="宋体" w:cs="宋体"/>
          <w:color w:val="auto"/>
          <w:spacing w:val="0"/>
          <w:sz w:val="24"/>
          <w:szCs w:val="24"/>
          <w:highlight w:val="none"/>
        </w:rPr>
        <w:t>在工程实施过程中，如果承包人（即招标阶段的中标人，下同）由于自身的资金、技术、质量、非不可抗力等原因给发包人（即招标阶段的招标人，下同）造成经济损失，发包人有权扣划相应金额的履约保证。</w:t>
      </w:r>
    </w:p>
    <w:p w14:paraId="4B781F83">
      <w:pPr>
        <w:keepNext w:val="0"/>
        <w:keepLines w:val="0"/>
        <w:pageBreakBefore w:val="0"/>
        <w:wordWrap w:val="0"/>
        <w:overflowPunct/>
        <w:topLinePunct w:val="0"/>
        <w:bidi w:val="0"/>
        <w:spacing w:before="154" w:line="220" w:lineRule="auto"/>
        <w:ind w:left="486"/>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 xml:space="preserve">3.5  </w:t>
      </w:r>
      <w:r>
        <w:rPr>
          <w:rFonts w:hint="eastAsia" w:ascii="宋体" w:hAnsi="宋体" w:eastAsia="宋体" w:cs="宋体"/>
          <w:color w:val="auto"/>
          <w:spacing w:val="0"/>
          <w:sz w:val="24"/>
          <w:szCs w:val="24"/>
          <w:highlight w:val="none"/>
        </w:rPr>
        <w:t>项目通过竣工验收之日后 28 天内，发包人将履约保证退还给承包人。</w:t>
      </w:r>
    </w:p>
    <w:p w14:paraId="1C3E0C01">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701BAE5">
      <w:pPr>
        <w:keepNext w:val="0"/>
        <w:keepLines w:val="0"/>
        <w:pageBreakBefore w:val="0"/>
        <w:wordWrap w:val="0"/>
        <w:overflowPunct/>
        <w:topLinePunct w:val="0"/>
        <w:bidi w:val="0"/>
        <w:spacing w:before="78" w:line="222" w:lineRule="auto"/>
        <w:ind w:left="488"/>
        <w:outlineLvl w:val="2"/>
        <w:rPr>
          <w:rFonts w:hint="eastAsia" w:ascii="宋体" w:hAnsi="宋体" w:eastAsia="宋体" w:cs="宋体"/>
          <w:color w:val="auto"/>
          <w:spacing w:val="0"/>
          <w:sz w:val="24"/>
          <w:szCs w:val="24"/>
          <w:highlight w:val="none"/>
        </w:rPr>
      </w:pPr>
      <w:bookmarkStart w:id="153" w:name="_Toc27619"/>
      <w:r>
        <w:rPr>
          <w:rFonts w:hint="eastAsia" w:ascii="宋体" w:hAnsi="宋体" w:eastAsia="宋体" w:cs="宋体"/>
          <w:b/>
          <w:bCs/>
          <w:color w:val="auto"/>
          <w:spacing w:val="0"/>
          <w:sz w:val="24"/>
          <w:szCs w:val="24"/>
          <w:highlight w:val="none"/>
        </w:rPr>
        <w:t>4 ．合同订立</w:t>
      </w:r>
      <w:bookmarkEnd w:id="153"/>
    </w:p>
    <w:p w14:paraId="066A10F5">
      <w:pPr>
        <w:keepNext w:val="0"/>
        <w:keepLines w:val="0"/>
        <w:pageBreakBefore w:val="0"/>
        <w:widowControl/>
        <w:kinsoku w:val="0"/>
        <w:wordWrap w:val="0"/>
        <w:overflowPunct/>
        <w:topLinePunct w:val="0"/>
        <w:autoSpaceDE w:val="0"/>
        <w:autoSpaceDN w:val="0"/>
        <w:bidi w:val="0"/>
        <w:adjustRightInd w:val="0"/>
        <w:snapToGrid w:val="0"/>
        <w:spacing w:before="150" w:line="300" w:lineRule="auto"/>
        <w:ind w:left="11" w:right="108"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4.1  </w:t>
      </w:r>
      <w:r>
        <w:rPr>
          <w:rFonts w:hint="eastAsia" w:ascii="宋体" w:hAnsi="宋体" w:eastAsia="宋体" w:cs="宋体"/>
          <w:color w:val="auto"/>
          <w:spacing w:val="0"/>
          <w:sz w:val="24"/>
          <w:szCs w:val="24"/>
          <w:highlight w:val="none"/>
        </w:rPr>
        <w:t>招标人应当自中标通知书发出之日起</w:t>
      </w:r>
      <w:r>
        <w:rPr>
          <w:rFonts w:hint="eastAsia" w:ascii="宋体" w:hAnsi="宋体" w:eastAsia="宋体" w:cs="宋体"/>
          <w:color w:val="auto"/>
          <w:spacing w:val="0"/>
          <w:sz w:val="24"/>
          <w:szCs w:val="24"/>
          <w:highlight w:val="none"/>
          <w:u w:val="single"/>
          <w:lang w:val="en-US" w:eastAsia="zh-CN"/>
        </w:rPr>
        <w:t xml:space="preserve"> 三十 </w:t>
      </w:r>
      <w:r>
        <w:rPr>
          <w:rFonts w:hint="eastAsia" w:ascii="宋体" w:hAnsi="宋体" w:eastAsia="宋体" w:cs="宋体"/>
          <w:color w:val="auto"/>
          <w:spacing w:val="0"/>
          <w:sz w:val="24"/>
          <w:szCs w:val="24"/>
          <w:highlight w:val="none"/>
        </w:rPr>
        <w:t>日内，按照招标文件、中标人的投标文件与中标人订立书面合同。</w:t>
      </w:r>
    </w:p>
    <w:p w14:paraId="4E36450D">
      <w:pPr>
        <w:keepNext w:val="0"/>
        <w:keepLines w:val="0"/>
        <w:pageBreakBefore w:val="0"/>
        <w:wordWrap w:val="0"/>
        <w:overflowPunct/>
        <w:topLinePunct w:val="0"/>
        <w:bidi w:val="0"/>
        <w:spacing w:before="156"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  </w:t>
      </w:r>
      <w:r>
        <w:rPr>
          <w:rFonts w:hint="eastAsia" w:ascii="宋体" w:hAnsi="宋体" w:eastAsia="宋体" w:cs="宋体"/>
          <w:color w:val="auto"/>
          <w:spacing w:val="0"/>
          <w:sz w:val="24"/>
          <w:szCs w:val="24"/>
          <w:highlight w:val="none"/>
        </w:rPr>
        <w:t>不正常报价的梳理和确认</w:t>
      </w:r>
    </w:p>
    <w:p w14:paraId="3CC76246">
      <w:pPr>
        <w:keepNext w:val="0"/>
        <w:keepLines w:val="0"/>
        <w:pageBreakBefore w:val="0"/>
        <w:wordWrap w:val="0"/>
        <w:overflowPunct/>
        <w:topLinePunct w:val="0"/>
        <w:bidi w:val="0"/>
        <w:spacing w:before="154" w:line="299" w:lineRule="auto"/>
        <w:ind w:left="14" w:right="64"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4.2.1 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0"/>
          <w:sz w:val="24"/>
          <w:szCs w:val="24"/>
          <w:highlight w:val="none"/>
        </w:rPr>
        <w:t>招标人不具备以上能力的，可授权编制本项目</w:t>
      </w:r>
      <w:r>
        <w:rPr>
          <w:rFonts w:hint="eastAsia" w:ascii="宋体" w:hAnsi="宋体" w:eastAsia="宋体" w:cs="宋体"/>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的造价咨询单位实施。</w:t>
      </w:r>
    </w:p>
    <w:p w14:paraId="2AA70AFF">
      <w:pPr>
        <w:keepNext w:val="0"/>
        <w:keepLines w:val="0"/>
        <w:pageBreakBefore w:val="0"/>
        <w:wordWrap w:val="0"/>
        <w:overflowPunct/>
        <w:topLinePunct w:val="0"/>
        <w:bidi w:val="0"/>
        <w:spacing w:before="121" w:line="309" w:lineRule="auto"/>
        <w:ind w:left="14" w:right="65" w:firstLine="47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4.2.2  </w:t>
      </w:r>
      <w:r>
        <w:rPr>
          <w:rFonts w:hint="eastAsia" w:ascii="宋体" w:hAnsi="宋体" w:eastAsia="宋体" w:cs="宋体"/>
          <w:color w:val="auto"/>
          <w:spacing w:val="0"/>
          <w:sz w:val="24"/>
          <w:szCs w:val="24"/>
          <w:highlight w:val="none"/>
        </w:rPr>
        <w:t>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14:paraId="68A939CE">
      <w:pPr>
        <w:keepNext w:val="0"/>
        <w:keepLines w:val="0"/>
        <w:pageBreakBefore w:val="0"/>
        <w:wordWrap w:val="0"/>
        <w:overflowPunct/>
        <w:topLinePunct w:val="0"/>
        <w:bidi w:val="0"/>
        <w:spacing w:before="157" w:line="279" w:lineRule="auto"/>
        <w:ind w:left="12" w:right="66"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4.2.3  </w:t>
      </w:r>
      <w:r>
        <w:rPr>
          <w:rFonts w:hint="eastAsia" w:ascii="宋体" w:hAnsi="宋体" w:eastAsia="宋体" w:cs="宋体"/>
          <w:color w:val="auto"/>
          <w:spacing w:val="0"/>
          <w:sz w:val="24"/>
          <w:szCs w:val="24"/>
          <w:highlight w:val="none"/>
        </w:rPr>
        <w:t>错漏项的认定。中标人已标价工程量清单中，任一清单项目未填报价格或价格为零的，视为错漏项。</w:t>
      </w:r>
    </w:p>
    <w:p w14:paraId="228C9178">
      <w:pPr>
        <w:keepNext w:val="0"/>
        <w:keepLines w:val="0"/>
        <w:pageBreakBefore w:val="0"/>
        <w:wordWrap w:val="0"/>
        <w:overflowPunct/>
        <w:topLinePunct w:val="0"/>
        <w:bidi w:val="0"/>
        <w:spacing w:before="121" w:line="360" w:lineRule="auto"/>
        <w:ind w:firstLine="482" w:firstLineChars="2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4.2.4  </w:t>
      </w:r>
      <w:r>
        <w:rPr>
          <w:rFonts w:hint="eastAsia" w:ascii="宋体" w:hAnsi="宋体" w:eastAsia="宋体" w:cs="宋体"/>
          <w:color w:val="auto"/>
          <w:spacing w:val="0"/>
          <w:sz w:val="24"/>
          <w:szCs w:val="24"/>
          <w:highlight w:val="none"/>
        </w:rPr>
        <w:t>不平衡报价的认定。经修正算术性错误后的中标人已标价工程量清单中，</w:t>
      </w:r>
      <w:r>
        <w:rPr>
          <w:rFonts w:hint="eastAsia" w:ascii="宋体" w:hAnsi="宋体" w:eastAsia="宋体" w:cs="宋体"/>
          <w:color w:val="auto"/>
          <w:spacing w:val="0"/>
          <w:sz w:val="24"/>
          <w:szCs w:val="24"/>
          <w:highlight w:val="none"/>
          <w:u w:val="single"/>
        </w:rPr>
        <w:t>对于投标报价中综合单价相对</w:t>
      </w:r>
      <w:r>
        <w:rPr>
          <w:rFonts w:hint="eastAsia" w:ascii="宋体" w:hAnsi="宋体" w:eastAsia="宋体" w:cs="宋体"/>
          <w:color w:val="auto"/>
          <w:spacing w:val="0"/>
          <w:sz w:val="24"/>
          <w:szCs w:val="24"/>
          <w:highlight w:val="none"/>
          <w:u w:val="single"/>
          <w:lang w:val="en-US" w:eastAsia="zh-CN"/>
        </w:rPr>
        <w:t>最高投标限价</w:t>
      </w:r>
      <w:r>
        <w:rPr>
          <w:rFonts w:hint="eastAsia" w:ascii="宋体" w:hAnsi="宋体" w:eastAsia="宋体" w:cs="宋体"/>
          <w:color w:val="auto"/>
          <w:spacing w:val="0"/>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0"/>
          <w:sz w:val="24"/>
          <w:szCs w:val="24"/>
          <w:highlight w:val="none"/>
          <w:u w:val="none"/>
        </w:rPr>
        <w:t>的清单项目</w:t>
      </w:r>
      <w:r>
        <w:rPr>
          <w:rFonts w:hint="eastAsia" w:ascii="宋体" w:hAnsi="宋体" w:eastAsia="宋体" w:cs="宋体"/>
          <w:color w:val="auto"/>
          <w:spacing w:val="0"/>
          <w:sz w:val="24"/>
          <w:szCs w:val="24"/>
          <w:highlight w:val="none"/>
        </w:rPr>
        <w:t>，视为不平衡报价项目。</w:t>
      </w:r>
    </w:p>
    <w:p w14:paraId="397153A5">
      <w:pPr>
        <w:keepNext w:val="0"/>
        <w:keepLines w:val="0"/>
        <w:pageBreakBefore w:val="0"/>
        <w:wordWrap w:val="0"/>
        <w:overflowPunct/>
        <w:topLinePunct w:val="0"/>
        <w:bidi w:val="0"/>
        <w:spacing w:before="146" w:line="330" w:lineRule="auto"/>
        <w:ind w:left="10" w:right="65" w:firstLine="478"/>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4.2.5 </w:t>
      </w:r>
      <w:r>
        <w:rPr>
          <w:rFonts w:hint="eastAsia" w:ascii="宋体" w:hAnsi="宋体" w:eastAsia="宋体" w:cs="宋体"/>
          <w:color w:val="auto"/>
          <w:spacing w:val="0"/>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003647C7">
      <w:pPr>
        <w:keepNext w:val="0"/>
        <w:keepLines w:val="0"/>
        <w:pageBreakBefore w:val="0"/>
        <w:wordWrap w:val="0"/>
        <w:overflowPunct/>
        <w:topLinePunct w:val="0"/>
        <w:bidi w:val="0"/>
        <w:spacing w:before="34" w:line="326" w:lineRule="auto"/>
        <w:ind w:left="12" w:right="65" w:firstLine="47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4.2.6 合同履行过程中，被认定为错漏项的清单项目，结算时按照第三章“拟签订合同的主要条款</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”规定处理。</w:t>
      </w:r>
    </w:p>
    <w:p w14:paraId="64553FF5">
      <w:pPr>
        <w:keepNext w:val="0"/>
        <w:keepLines w:val="0"/>
        <w:pageBreakBefore w:val="0"/>
        <w:wordWrap w:val="0"/>
        <w:overflowPunct/>
        <w:topLinePunct w:val="0"/>
        <w:bidi w:val="0"/>
        <w:spacing w:before="33" w:line="317" w:lineRule="auto"/>
        <w:ind w:left="12" w:right="38" w:firstLine="476"/>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4.2.7  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按照第三章“拟签订合同的主要条款</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”有关规定调整合同价款。</w:t>
      </w:r>
    </w:p>
    <w:p w14:paraId="1C99C0D5">
      <w:pPr>
        <w:keepNext w:val="0"/>
        <w:keepLines w:val="0"/>
        <w:pageBreakBefore w:val="0"/>
        <w:wordWrap w:val="0"/>
        <w:overflowPunct/>
        <w:topLinePunct w:val="0"/>
        <w:bidi w:val="0"/>
        <w:spacing w:before="87" w:line="276"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4.3  </w:t>
      </w:r>
      <w:r>
        <w:rPr>
          <w:rFonts w:hint="eastAsia" w:ascii="宋体" w:hAnsi="宋体" w:eastAsia="宋体" w:cs="宋体"/>
          <w:color w:val="auto"/>
          <w:spacing w:val="0"/>
          <w:sz w:val="24"/>
          <w:szCs w:val="24"/>
          <w:highlight w:val="none"/>
        </w:rPr>
        <w:t>本招标项目合同计价方式为：</w:t>
      </w:r>
      <w:r>
        <w:rPr>
          <w:rFonts w:hint="eastAsia" w:ascii="宋体" w:hAnsi="宋体" w:eastAsia="宋体" w:cs="宋体"/>
          <w:color w:val="auto"/>
          <w:spacing w:val="0"/>
          <w:sz w:val="24"/>
          <w:szCs w:val="24"/>
          <w:highlight w:val="none"/>
          <w:u w:val="single"/>
        </w:rPr>
        <w:t xml:space="preserve"> 单价 </w:t>
      </w:r>
      <w:r>
        <w:rPr>
          <w:rFonts w:hint="eastAsia" w:ascii="宋体" w:hAnsi="宋体" w:eastAsia="宋体" w:cs="宋体"/>
          <w:color w:val="auto"/>
          <w:spacing w:val="0"/>
          <w:sz w:val="24"/>
          <w:szCs w:val="24"/>
          <w:highlight w:val="none"/>
        </w:rPr>
        <w:t>合同。</w:t>
      </w:r>
    </w:p>
    <w:p w14:paraId="5130E839">
      <w:pPr>
        <w:keepNext w:val="0"/>
        <w:keepLines w:val="0"/>
        <w:pageBreakBefore w:val="0"/>
        <w:wordWrap w:val="0"/>
        <w:overflowPunct/>
        <w:topLinePunct w:val="0"/>
        <w:bidi w:val="0"/>
        <w:spacing w:before="120" w:line="298" w:lineRule="auto"/>
        <w:ind w:left="11" w:right="28"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4.4  </w:t>
      </w:r>
      <w:r>
        <w:rPr>
          <w:rFonts w:hint="eastAsia" w:ascii="宋体" w:hAnsi="宋体" w:eastAsia="宋体" w:cs="宋体"/>
          <w:color w:val="auto"/>
          <w:spacing w:val="0"/>
          <w:sz w:val="24"/>
          <w:szCs w:val="24"/>
          <w:highlight w:val="none"/>
        </w:rPr>
        <w:t>合同的标的、质量、履行期限条款和合同的价款、单价、比例条款等主要条款，应当与招标文件、中标人的投标文件的内容一致。中标人在签订合同时不得向招标人提出附加条件。</w:t>
      </w:r>
    </w:p>
    <w:p w14:paraId="5D9A84DD">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4.5  若中标人在领取中标通知书之日起 30 天内仍未签订合同，招标人发出第一次提醒函；在领取中标通知书之日起 40 天内仍未签订，招标人发出第二次提醒函；在领取中标通知书之日起 45 天内仍未签订，视其放弃中标。</w:t>
      </w:r>
    </w:p>
    <w:p w14:paraId="3485D7BF">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4.6  在书面合同订立之日起 2 个工作日内，由中标人或招标代理机构将合同上传至建设工程交易系统，并发起退还投标保证的申请。韶关市公共资源交易中心在收到申请之日起 3 个工作日内，将投标保证金（或银行保函）退还给中标人和其他中标候选人。</w:t>
      </w:r>
    </w:p>
    <w:p w14:paraId="7E7A8470">
      <w:pPr>
        <w:keepNext w:val="0"/>
        <w:keepLines w:val="0"/>
        <w:pageBreakBefore w:val="0"/>
        <w:wordWrap w:val="0"/>
        <w:overflowPunct/>
        <w:topLinePunct w:val="0"/>
        <w:bidi w:val="0"/>
        <w:spacing w:before="78" w:line="220" w:lineRule="auto"/>
        <w:ind w:left="489"/>
        <w:outlineLvl w:val="2"/>
        <w:rPr>
          <w:rFonts w:hint="eastAsia" w:ascii="宋体" w:hAnsi="宋体" w:eastAsia="宋体" w:cs="宋体"/>
          <w:color w:val="auto"/>
          <w:spacing w:val="0"/>
          <w:sz w:val="24"/>
          <w:szCs w:val="24"/>
          <w:highlight w:val="none"/>
        </w:rPr>
      </w:pPr>
      <w:bookmarkStart w:id="154" w:name="_Toc31349"/>
      <w:r>
        <w:rPr>
          <w:rFonts w:hint="eastAsia" w:ascii="宋体" w:hAnsi="宋体" w:eastAsia="宋体" w:cs="宋体"/>
          <w:b/>
          <w:bCs/>
          <w:color w:val="auto"/>
          <w:spacing w:val="0"/>
          <w:sz w:val="24"/>
          <w:szCs w:val="24"/>
          <w:highlight w:val="none"/>
        </w:rPr>
        <w:t>5 ．放弃中标的处理</w:t>
      </w:r>
      <w:bookmarkEnd w:id="154"/>
    </w:p>
    <w:p w14:paraId="259F574B">
      <w:pPr>
        <w:keepNext w:val="0"/>
        <w:keepLines w:val="0"/>
        <w:pageBreakBefore w:val="0"/>
        <w:wordWrap w:val="0"/>
        <w:overflowPunct/>
        <w:topLinePunct w:val="0"/>
        <w:bidi w:val="0"/>
        <w:spacing w:before="150" w:line="319" w:lineRule="auto"/>
        <w:ind w:left="12" w:right="91" w:firstLine="477"/>
        <w:rPr>
          <w:rFonts w:hint="eastAsia" w:ascii="宋体" w:hAnsi="宋体" w:eastAsia="宋体" w:cs="宋体"/>
          <w:color w:val="auto"/>
          <w:spacing w:val="0"/>
          <w:highlight w:val="none"/>
        </w:rPr>
      </w:pPr>
      <w:r>
        <w:rPr>
          <w:rFonts w:hint="eastAsia" w:ascii="宋体" w:hAnsi="宋体" w:eastAsia="宋体" w:cs="宋体"/>
          <w:b/>
          <w:bCs/>
          <w:color w:val="auto"/>
          <w:spacing w:val="0"/>
          <w:sz w:val="24"/>
          <w:szCs w:val="24"/>
          <w:highlight w:val="none"/>
        </w:rPr>
        <w:t>5.1</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 招标人重新招标的，招标人可不接受该弃标人再次投标。同时，</w:t>
      </w:r>
      <w:r>
        <w:rPr>
          <w:rFonts w:hint="eastAsia" w:ascii="宋体" w:hAnsi="宋体" w:eastAsia="宋体" w:cs="宋体"/>
          <w:b/>
          <w:bCs/>
          <w:color w:val="auto"/>
          <w:spacing w:val="0"/>
          <w:sz w:val="24"/>
          <w:szCs w:val="24"/>
          <w:highlight w:val="none"/>
        </w:rPr>
        <w:t>招标人应将该弃标人的失信行为向行政监督部门报告。</w:t>
      </w:r>
    </w:p>
    <w:p w14:paraId="0A8871C7">
      <w:pPr>
        <w:keepNext w:val="0"/>
        <w:keepLines w:val="0"/>
        <w:pageBreakBefore w:val="0"/>
        <w:wordWrap w:val="0"/>
        <w:overflowPunct/>
        <w:topLinePunct w:val="0"/>
        <w:bidi w:val="0"/>
        <w:spacing w:before="79" w:line="298" w:lineRule="auto"/>
        <w:ind w:left="10" w:right="91" w:firstLine="47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5.2  </w:t>
      </w:r>
      <w:r>
        <w:rPr>
          <w:rFonts w:hint="eastAsia" w:ascii="宋体" w:hAnsi="宋体" w:eastAsia="宋体" w:cs="宋体"/>
          <w:color w:val="auto"/>
          <w:spacing w:val="0"/>
          <w:sz w:val="24"/>
          <w:szCs w:val="24"/>
          <w:highlight w:val="none"/>
        </w:rPr>
        <w:t>中标人因不可抗力提出不能履行合同的，须在领取中标通知书之日起 10 天内提供有关证明文件或资料，其投标保证予以退还，招标人可按照评标委员会提出的中标候选人名单排序依次确定其他中标候选人为中标人。如果招标人认为其他中标候选人的条</w:t>
      </w:r>
      <w:bookmarkStart w:id="155" w:name="bookmark84"/>
      <w:bookmarkEnd w:id="155"/>
      <w:r>
        <w:rPr>
          <w:rFonts w:hint="eastAsia" w:ascii="宋体" w:hAnsi="宋体" w:eastAsia="宋体" w:cs="宋体"/>
          <w:color w:val="auto"/>
          <w:spacing w:val="0"/>
          <w:sz w:val="24"/>
          <w:szCs w:val="24"/>
          <w:highlight w:val="none"/>
        </w:rPr>
        <w:t>件明显不利于招标人的，也可以重新招标。</w:t>
      </w:r>
    </w:p>
    <w:p w14:paraId="51CCF276">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519218EC">
      <w:pPr>
        <w:pStyle w:val="14"/>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4044D15A">
      <w:pPr>
        <w:keepNext w:val="0"/>
        <w:keepLines w:val="0"/>
        <w:pageBreakBefore w:val="0"/>
        <w:wordWrap w:val="0"/>
        <w:overflowPunct/>
        <w:topLinePunct w:val="0"/>
        <w:bidi w:val="0"/>
        <w:spacing w:before="78" w:line="219" w:lineRule="auto"/>
        <w:ind w:left="2923"/>
        <w:outlineLvl w:val="0"/>
        <w:rPr>
          <w:rFonts w:hint="eastAsia" w:ascii="宋体" w:hAnsi="宋体" w:eastAsia="宋体" w:cs="宋体"/>
          <w:color w:val="auto"/>
          <w:spacing w:val="0"/>
          <w:sz w:val="24"/>
          <w:szCs w:val="24"/>
          <w:highlight w:val="none"/>
        </w:rPr>
      </w:pPr>
      <w:bookmarkStart w:id="156" w:name="bookmark86"/>
      <w:bookmarkEnd w:id="156"/>
      <w:bookmarkStart w:id="157" w:name="_Toc22529"/>
      <w:r>
        <w:rPr>
          <w:rFonts w:hint="eastAsia" w:ascii="宋体" w:hAnsi="宋体" w:eastAsia="宋体" w:cs="宋体"/>
          <w:b/>
          <w:bCs/>
          <w:color w:val="auto"/>
          <w:spacing w:val="0"/>
          <w:sz w:val="24"/>
          <w:szCs w:val="24"/>
          <w:highlight w:val="none"/>
        </w:rPr>
        <w:t>第三章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拟签订合同的主要条款</w:t>
      </w:r>
      <w:bookmarkEnd w:id="157"/>
    </w:p>
    <w:p w14:paraId="59E2DAE6">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0D630A56">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F6EDEB0">
      <w:pPr>
        <w:keepNext w:val="0"/>
        <w:keepLines w:val="0"/>
        <w:pageBreakBefore w:val="0"/>
        <w:wordWrap w:val="0"/>
        <w:overflowPunct/>
        <w:topLinePunct w:val="0"/>
        <w:bidi w:val="0"/>
        <w:spacing w:before="78" w:line="220" w:lineRule="auto"/>
        <w:ind w:left="498"/>
        <w:outlineLvl w:val="2"/>
        <w:rPr>
          <w:rFonts w:hint="eastAsia" w:ascii="宋体" w:hAnsi="宋体" w:eastAsia="宋体" w:cs="宋体"/>
          <w:color w:val="auto"/>
          <w:spacing w:val="0"/>
          <w:sz w:val="24"/>
          <w:szCs w:val="24"/>
          <w:highlight w:val="none"/>
        </w:rPr>
      </w:pPr>
      <w:bookmarkStart w:id="158" w:name="_Toc17162"/>
      <w:r>
        <w:rPr>
          <w:rFonts w:hint="eastAsia" w:ascii="宋体" w:hAnsi="宋体" w:eastAsia="宋体" w:cs="宋体"/>
          <w:b/>
          <w:bCs/>
          <w:color w:val="auto"/>
          <w:spacing w:val="0"/>
          <w:sz w:val="24"/>
          <w:szCs w:val="24"/>
          <w:highlight w:val="none"/>
        </w:rPr>
        <w:t>1 ．工程承包方式</w:t>
      </w:r>
      <w:bookmarkEnd w:id="158"/>
    </w:p>
    <w:p w14:paraId="7B803B79">
      <w:pPr>
        <w:keepNext w:val="0"/>
        <w:keepLines w:val="0"/>
        <w:pageBreakBefore w:val="0"/>
        <w:wordWrap w:val="0"/>
        <w:overflowPunct/>
        <w:topLinePunct w:val="0"/>
        <w:bidi w:val="0"/>
        <w:spacing w:before="153" w:line="299" w:lineRule="auto"/>
        <w:ind w:left="11" w:right="295" w:firstLine="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  </w:t>
      </w:r>
      <w:r>
        <w:rPr>
          <w:rFonts w:hint="eastAsia" w:ascii="宋体" w:hAnsi="宋体" w:eastAsia="宋体" w:cs="宋体"/>
          <w:color w:val="auto"/>
          <w:spacing w:val="0"/>
          <w:sz w:val="24"/>
          <w:szCs w:val="24"/>
          <w:highlight w:val="none"/>
        </w:rPr>
        <w:t>承包人以中标价按包工包料、包质量、包安全包文明施工、包工期方式总承包施工，不允许转包和违法分包，如果承包人将建设工程转包或违法分包，发包人可以解除合同。如果确需分包须与发包人协商，在得到发包人和监理单位同意后报建设行政主管部门备案。</w:t>
      </w:r>
    </w:p>
    <w:p w14:paraId="1E016E5C">
      <w:pPr>
        <w:keepNext w:val="0"/>
        <w:keepLines w:val="0"/>
        <w:pageBreakBefore w:val="0"/>
        <w:wordWrap w:val="0"/>
        <w:overflowPunct/>
        <w:topLinePunct w:val="0"/>
        <w:bidi w:val="0"/>
        <w:spacing w:before="153" w:line="219"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1.1.1  </w:t>
      </w:r>
      <w:r>
        <w:rPr>
          <w:rFonts w:hint="eastAsia" w:ascii="宋体" w:hAnsi="宋体" w:eastAsia="宋体" w:cs="宋体"/>
          <w:color w:val="auto"/>
          <w:spacing w:val="0"/>
          <w:sz w:val="24"/>
          <w:szCs w:val="24"/>
          <w:highlight w:val="none"/>
        </w:rPr>
        <w:t>包工包料：材料符合招标文件要求并报验使用；办理用工保险。</w:t>
      </w:r>
    </w:p>
    <w:p w14:paraId="2E82E422">
      <w:pPr>
        <w:keepNext w:val="0"/>
        <w:keepLines w:val="0"/>
        <w:pageBreakBefore w:val="0"/>
        <w:wordWrap w:val="0"/>
        <w:overflowPunct/>
        <w:topLinePunct w:val="0"/>
        <w:bidi w:val="0"/>
        <w:spacing w:before="156"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1.1.2  </w:t>
      </w:r>
      <w:r>
        <w:rPr>
          <w:rFonts w:hint="eastAsia" w:ascii="宋体" w:hAnsi="宋体" w:eastAsia="宋体" w:cs="宋体"/>
          <w:color w:val="auto"/>
          <w:spacing w:val="0"/>
          <w:sz w:val="24"/>
          <w:szCs w:val="24"/>
          <w:highlight w:val="none"/>
        </w:rPr>
        <w:t>包质量：符合招标文件要求。</w:t>
      </w:r>
    </w:p>
    <w:p w14:paraId="68F44A5D">
      <w:pPr>
        <w:keepNext w:val="0"/>
        <w:keepLines w:val="0"/>
        <w:pageBreakBefore w:val="0"/>
        <w:wordWrap w:val="0"/>
        <w:overflowPunct/>
        <w:topLinePunct w:val="0"/>
        <w:bidi w:val="0"/>
        <w:spacing w:before="153" w:line="220"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1.1.3  </w:t>
      </w:r>
      <w:r>
        <w:rPr>
          <w:rFonts w:hint="eastAsia" w:ascii="宋体" w:hAnsi="宋体" w:eastAsia="宋体" w:cs="宋体"/>
          <w:color w:val="auto"/>
          <w:spacing w:val="0"/>
          <w:sz w:val="24"/>
          <w:szCs w:val="24"/>
          <w:highlight w:val="none"/>
        </w:rPr>
        <w:t>包安全包文明施工：符合招标文件要求。</w:t>
      </w:r>
    </w:p>
    <w:p w14:paraId="1E6C4165">
      <w:pPr>
        <w:keepNext w:val="0"/>
        <w:keepLines w:val="0"/>
        <w:pageBreakBefore w:val="0"/>
        <w:wordWrap w:val="0"/>
        <w:overflowPunct/>
        <w:topLinePunct w:val="0"/>
        <w:bidi w:val="0"/>
        <w:spacing w:before="154" w:line="219" w:lineRule="auto"/>
        <w:ind w:left="58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1.1.4  </w:t>
      </w:r>
      <w:r>
        <w:rPr>
          <w:rFonts w:hint="eastAsia" w:ascii="宋体" w:hAnsi="宋体" w:eastAsia="宋体" w:cs="宋体"/>
          <w:color w:val="auto"/>
          <w:spacing w:val="0"/>
          <w:sz w:val="24"/>
          <w:szCs w:val="24"/>
          <w:highlight w:val="none"/>
        </w:rPr>
        <w:t>包工期：本招标项目施工必须在招标工期内完成。</w:t>
      </w:r>
    </w:p>
    <w:p w14:paraId="720C0199">
      <w:pPr>
        <w:keepNext w:val="0"/>
        <w:keepLines w:val="0"/>
        <w:pageBreakBefore w:val="0"/>
        <w:wordWrap w:val="0"/>
        <w:overflowPunct/>
        <w:topLinePunct w:val="0"/>
        <w:bidi w:val="0"/>
        <w:spacing w:before="78" w:line="220" w:lineRule="auto"/>
        <w:ind w:left="488"/>
        <w:outlineLvl w:val="2"/>
        <w:rPr>
          <w:rFonts w:hint="eastAsia" w:ascii="宋体" w:hAnsi="宋体" w:eastAsia="宋体" w:cs="宋体"/>
          <w:color w:val="auto"/>
          <w:spacing w:val="0"/>
          <w:sz w:val="24"/>
          <w:szCs w:val="24"/>
          <w:highlight w:val="none"/>
        </w:rPr>
      </w:pPr>
      <w:bookmarkStart w:id="159" w:name="bookmark88"/>
      <w:bookmarkEnd w:id="159"/>
      <w:bookmarkStart w:id="160" w:name="_Toc22680"/>
      <w:r>
        <w:rPr>
          <w:rFonts w:hint="eastAsia" w:ascii="宋体" w:hAnsi="宋体" w:eastAsia="宋体" w:cs="宋体"/>
          <w:b/>
          <w:bCs/>
          <w:color w:val="auto"/>
          <w:spacing w:val="0"/>
          <w:sz w:val="24"/>
          <w:szCs w:val="24"/>
          <w:highlight w:val="none"/>
        </w:rPr>
        <w:t>2 ．工程结算原则</w:t>
      </w:r>
      <w:bookmarkEnd w:id="160"/>
    </w:p>
    <w:p w14:paraId="2E4F51C6">
      <w:pPr>
        <w:keepNext w:val="0"/>
        <w:keepLines w:val="0"/>
        <w:pageBreakBefore w:val="0"/>
        <w:wordWrap w:val="0"/>
        <w:overflowPunct/>
        <w:topLinePunct w:val="0"/>
        <w:bidi w:val="0"/>
        <w:spacing w:before="153" w:line="219"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承包人的投标总价为中标价，即为签约合同价。</w:t>
      </w:r>
    </w:p>
    <w:p w14:paraId="1F70A738">
      <w:pPr>
        <w:keepNext w:val="0"/>
        <w:keepLines w:val="0"/>
        <w:pageBreakBefore w:val="0"/>
        <w:wordWrap w:val="0"/>
        <w:overflowPunct/>
        <w:topLinePunct w:val="0"/>
        <w:bidi w:val="0"/>
        <w:spacing w:before="155" w:line="319" w:lineRule="auto"/>
        <w:ind w:left="12" w:right="231"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招标工程量清单标明的工程量是投标人投标报价的共同基础，竣工结算的工程量按</w:t>
      </w:r>
      <w:bookmarkStart w:id="161" w:name="OLE_LINK28"/>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）对工程计量的规定进行计量，必须以承包人完成合同工程应予计量的工程量确定。施</w:t>
      </w:r>
      <w:bookmarkEnd w:id="161"/>
      <w:r>
        <w:rPr>
          <w:rFonts w:hint="eastAsia" w:ascii="宋体" w:hAnsi="宋体" w:eastAsia="宋体" w:cs="宋体"/>
          <w:color w:val="auto"/>
          <w:spacing w:val="0"/>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14:paraId="6D5371D4">
      <w:pPr>
        <w:keepNext w:val="0"/>
        <w:keepLines w:val="0"/>
        <w:pageBreakBefore w:val="0"/>
        <w:wordWrap w:val="0"/>
        <w:overflowPunct/>
        <w:topLinePunct w:val="0"/>
        <w:bidi w:val="0"/>
        <w:spacing w:before="38" w:line="299" w:lineRule="auto"/>
        <w:ind w:left="12" w:right="183" w:firstLine="47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  </w:t>
      </w:r>
      <w:r>
        <w:rPr>
          <w:rFonts w:hint="eastAsia" w:ascii="宋体" w:hAnsi="宋体" w:eastAsia="宋体" w:cs="宋体"/>
          <w:color w:val="auto"/>
          <w:spacing w:val="0"/>
          <w:sz w:val="24"/>
          <w:szCs w:val="24"/>
          <w:highlight w:val="none"/>
        </w:rPr>
        <w:t>施工合同履行期间，若出现下列情形的，发、承包双方应当按照以下规定调整合同价款：</w:t>
      </w:r>
    </w:p>
    <w:p w14:paraId="737389B5">
      <w:pPr>
        <w:keepNext w:val="0"/>
        <w:keepLines w:val="0"/>
        <w:pageBreakBefore w:val="0"/>
        <w:wordWrap w:val="0"/>
        <w:overflowPunct/>
        <w:topLinePunct w:val="0"/>
        <w:bidi w:val="0"/>
        <w:spacing w:before="227" w:line="220"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2.3.1  </w:t>
      </w:r>
      <w:r>
        <w:rPr>
          <w:rFonts w:hint="eastAsia" w:ascii="宋体" w:hAnsi="宋体" w:eastAsia="宋体" w:cs="宋体"/>
          <w:color w:val="auto"/>
          <w:spacing w:val="0"/>
          <w:sz w:val="24"/>
          <w:szCs w:val="24"/>
          <w:highlight w:val="none"/>
        </w:rPr>
        <w:t>法律法规变化</w:t>
      </w:r>
    </w:p>
    <w:p w14:paraId="688D1A4F">
      <w:pPr>
        <w:keepNext w:val="0"/>
        <w:keepLines w:val="0"/>
        <w:pageBreakBefore w:val="0"/>
        <w:wordWrap w:val="0"/>
        <w:overflowPunct/>
        <w:topLinePunct w:val="0"/>
        <w:bidi w:val="0"/>
        <w:spacing w:before="156" w:line="298" w:lineRule="auto"/>
        <w:ind w:left="10" w:right="183"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fldChar w:fldCharType="begin"/>
      </w:r>
      <w:r>
        <w:rPr>
          <w:rFonts w:hint="eastAsia" w:ascii="宋体" w:hAnsi="宋体" w:eastAsia="宋体" w:cs="宋体"/>
          <w:b/>
          <w:bCs/>
          <w:color w:val="auto"/>
          <w:spacing w:val="0"/>
          <w:sz w:val="24"/>
          <w:szCs w:val="24"/>
          <w:highlight w:val="none"/>
        </w:rPr>
        <w:instrText xml:space="preserve"> HYPERLINK "2.3.1.1" </w:instrText>
      </w:r>
      <w:r>
        <w:rPr>
          <w:rFonts w:hint="eastAsia" w:ascii="宋体" w:hAnsi="宋体" w:eastAsia="宋体" w:cs="宋体"/>
          <w:b/>
          <w:bCs/>
          <w:color w:val="auto"/>
          <w:spacing w:val="0"/>
          <w:sz w:val="24"/>
          <w:szCs w:val="24"/>
          <w:highlight w:val="none"/>
        </w:rPr>
        <w:fldChar w:fldCharType="separate"/>
      </w:r>
      <w:r>
        <w:rPr>
          <w:rFonts w:hint="eastAsia" w:ascii="宋体" w:hAnsi="宋体" w:eastAsia="宋体" w:cs="宋体"/>
          <w:b/>
          <w:bCs/>
          <w:color w:val="auto"/>
          <w:spacing w:val="0"/>
          <w:sz w:val="24"/>
          <w:szCs w:val="24"/>
          <w:highlight w:val="none"/>
        </w:rPr>
        <w:t>2.3.1.1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color w:val="auto"/>
          <w:spacing w:val="0"/>
          <w:sz w:val="24"/>
          <w:szCs w:val="24"/>
          <w:highlight w:val="none"/>
        </w:rPr>
        <w:t xml:space="preserve">  基准日之后，因国家法律、法规、规章和政策发生变化引起工程造价增减变化时，发、承包双方应按照省级建设主管部门（或省级行业主管部门）或其授权的工程造价管理机构据此发布的最新规定调整合同价款。</w:t>
      </w:r>
    </w:p>
    <w:p w14:paraId="67BA5830">
      <w:pPr>
        <w:keepNext w:val="0"/>
        <w:keepLines w:val="0"/>
        <w:pageBreakBefore w:val="0"/>
        <w:wordWrap w:val="0"/>
        <w:overflowPunct/>
        <w:topLinePunct w:val="0"/>
        <w:bidi w:val="0"/>
        <w:spacing w:before="157" w:line="325" w:lineRule="auto"/>
        <w:ind w:left="12" w:right="183" w:firstLine="479"/>
        <w:rPr>
          <w:rFonts w:hint="default" w:ascii="宋体" w:hAnsi="宋体" w:eastAsia="宋体" w:cs="宋体"/>
          <w:color w:val="auto"/>
          <w:spacing w:val="0"/>
          <w:sz w:val="24"/>
          <w:szCs w:val="24"/>
          <w:highlight w:val="none"/>
          <w:lang w:val="en-US" w:eastAsia="zh-CN"/>
        </w:rPr>
      </w:pPr>
      <w:r>
        <w:rPr>
          <w:rFonts w:hint="eastAsia" w:ascii="宋体" w:hAnsi="宋体" w:eastAsia="宋体" w:cs="宋体"/>
          <w:b/>
          <w:bCs/>
          <w:color w:val="auto"/>
          <w:spacing w:val="0"/>
          <w:sz w:val="24"/>
          <w:szCs w:val="24"/>
          <w:highlight w:val="none"/>
        </w:rPr>
        <w:t>注：本招标文件所称“基准日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”，均指投标文件递交截止时间（见第一章第二节“重要事项时间地点一览表</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”）前</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28 天</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u w:val="single"/>
          <w:lang w:val="en-US" w:eastAsia="zh-CN"/>
        </w:rPr>
        <w:t>本项目结算材料价格计取基期按照2026年2月执行。</w:t>
      </w:r>
    </w:p>
    <w:p w14:paraId="053FF694">
      <w:pPr>
        <w:keepNext w:val="0"/>
        <w:keepLines w:val="0"/>
        <w:pageBreakBefore w:val="0"/>
        <w:wordWrap w:val="0"/>
        <w:overflowPunct/>
        <w:topLinePunct w:val="0"/>
        <w:bidi w:val="0"/>
        <w:spacing w:before="33" w:line="299" w:lineRule="auto"/>
        <w:ind w:left="11"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"2.3.1.2"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2.3.1.2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因承包人原因导致工程延误，本章第 </w:t>
      </w:r>
      <w:r>
        <w:rPr>
          <w:rFonts w:hint="eastAsia" w:ascii="宋体" w:hAnsi="宋体" w:eastAsia="宋体" w:cs="宋体"/>
          <w:b/>
          <w:bCs/>
          <w:color w:val="auto"/>
          <w:spacing w:val="0"/>
          <w:sz w:val="24"/>
          <w:szCs w:val="24"/>
          <w:highlight w:val="none"/>
        </w:rPr>
        <w:t xml:space="preserve">2.3.1.1 </w:t>
      </w:r>
      <w:r>
        <w:rPr>
          <w:rFonts w:hint="eastAsia" w:ascii="宋体" w:hAnsi="宋体" w:eastAsia="宋体" w:cs="宋体"/>
          <w:color w:val="auto"/>
          <w:spacing w:val="0"/>
          <w:sz w:val="24"/>
          <w:szCs w:val="24"/>
          <w:highlight w:val="none"/>
        </w:rPr>
        <w:t>子目中的法定机构根据国家法律法规变化发布新规的时间在合同工程原定竣工时间之后的，合同价款调增的不予调整，合同价款调减的予以调整。</w:t>
      </w:r>
    </w:p>
    <w:p w14:paraId="5C60A89E">
      <w:pPr>
        <w:keepNext w:val="0"/>
        <w:keepLines w:val="0"/>
        <w:pageBreakBefore w:val="0"/>
        <w:wordWrap w:val="0"/>
        <w:overflowPunct/>
        <w:topLinePunct w:val="0"/>
        <w:bidi w:val="0"/>
        <w:spacing w:before="155" w:line="220" w:lineRule="auto"/>
        <w:ind w:left="48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2.3.2  </w:t>
      </w:r>
      <w:r>
        <w:rPr>
          <w:rFonts w:hint="eastAsia" w:ascii="宋体" w:hAnsi="宋体" w:eastAsia="宋体" w:cs="宋体"/>
          <w:color w:val="auto"/>
          <w:spacing w:val="0"/>
          <w:sz w:val="24"/>
          <w:szCs w:val="24"/>
          <w:highlight w:val="none"/>
        </w:rPr>
        <w:t>工程量偏差或变化</w:t>
      </w:r>
    </w:p>
    <w:p w14:paraId="3DDC3C91">
      <w:pPr>
        <w:keepNext w:val="0"/>
        <w:keepLines w:val="0"/>
        <w:pageBreakBefore w:val="0"/>
        <w:wordWrap w:val="0"/>
        <w:overflowPunct/>
        <w:topLinePunct w:val="0"/>
        <w:bidi w:val="0"/>
        <w:spacing w:before="158" w:line="309" w:lineRule="auto"/>
        <w:ind w:left="10" w:right="183" w:firstLine="477"/>
        <w:rPr>
          <w:rFonts w:hint="eastAsia" w:ascii="宋体" w:hAnsi="宋体" w:eastAsia="宋体" w:cs="宋体"/>
          <w:color w:val="auto"/>
          <w:spacing w:val="0"/>
          <w:highlight w:val="none"/>
        </w:rPr>
        <w:sectPr>
          <w:footerReference r:id="rId12" w:type="default"/>
          <w:pgSz w:w="11906" w:h="16839"/>
          <w:pgMar w:top="400" w:right="1054" w:bottom="1049" w:left="1141" w:header="0" w:footer="847" w:gutter="0"/>
          <w:pgNumType w:fmt="decimal" w:start="45"/>
          <w:cols w:space="720" w:num="1"/>
        </w:sectPr>
      </w:pPr>
    </w:p>
    <w:p w14:paraId="3687028B">
      <w:pPr>
        <w:keepNext w:val="0"/>
        <w:keepLines w:val="0"/>
        <w:pageBreakBefore w:val="0"/>
        <w:wordWrap w:val="0"/>
        <w:overflowPunct/>
        <w:topLinePunct w:val="0"/>
        <w:bidi w:val="0"/>
        <w:spacing w:before="158" w:line="309" w:lineRule="auto"/>
        <w:ind w:left="10" w:right="183"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"2.3.2.1"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2.3.2.1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合同履行期间，当应予计算的实际工程量与招标工程量清单出现偏差或因工程变更引起已标价工程量清单项目的工程数量发生变化时，工程量偏差或变化在 15%以内（含 15%）的，其综合单价不予调整；工程量偏差或变化超过 15%的，按照以下规定调整：</w:t>
      </w:r>
    </w:p>
    <w:p w14:paraId="2EB6DA68">
      <w:pPr>
        <w:keepNext w:val="0"/>
        <w:keepLines w:val="0"/>
        <w:pageBreakBefore w:val="0"/>
        <w:wordWrap w:val="0"/>
        <w:overflowPunct/>
        <w:topLinePunct w:val="0"/>
        <w:bidi w:val="0"/>
        <w:spacing w:before="78" w:line="327" w:lineRule="auto"/>
        <w:ind w:left="12" w:firstLine="478"/>
        <w:jc w:val="both"/>
        <w:rPr>
          <w:rFonts w:hint="eastAsia" w:ascii="宋体" w:hAnsi="宋体" w:eastAsia="宋体" w:cs="宋体"/>
          <w:color w:val="auto"/>
          <w:spacing w:val="0"/>
          <w:sz w:val="24"/>
          <w:szCs w:val="24"/>
          <w:highlight w:val="none"/>
        </w:rPr>
      </w:pPr>
      <w:bookmarkStart w:id="162" w:name="bookmark142"/>
      <w:bookmarkEnd w:id="162"/>
      <w:r>
        <w:rPr>
          <w:rFonts w:hint="eastAsia" w:ascii="宋体" w:hAnsi="宋体" w:eastAsia="宋体" w:cs="宋体"/>
          <w:color w:val="auto"/>
          <w:spacing w:val="0"/>
          <w:sz w:val="24"/>
          <w:szCs w:val="24"/>
          <w:highlight w:val="none"/>
        </w:rPr>
        <w:t>对于合理报价的清单项目，当工程量增加超过 15%时，增加部分的工程量的综合单价以投标报价《分部分项工程和单价措施项目清单与计价表》中综合单价为基价调低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p>
    <w:p w14:paraId="0AD007B6">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对于按照第二章“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 条被认定为不平衡报价的清单项目，其综合单价按照以下方法调整：</w:t>
      </w:r>
    </w:p>
    <w:p w14:paraId="576F6A3A">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以</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中《分部分项工程和单价措施项目清单与计价表》子目相对应综合单价×（1-中标下浮率）。</w:t>
      </w:r>
    </w:p>
    <w:p w14:paraId="73E7C2AC">
      <w:pPr>
        <w:keepNext w:val="0"/>
        <w:keepLines w:val="0"/>
        <w:pageBreakBefore w:val="0"/>
        <w:wordWrap w:val="0"/>
        <w:overflowPunct/>
        <w:topLinePunct w:val="0"/>
        <w:bidi w:val="0"/>
        <w:spacing w:before="97" w:line="324" w:lineRule="auto"/>
        <w:ind w:left="13" w:right="179" w:firstLine="477"/>
        <w:rPr>
          <w:rFonts w:hint="eastAsia" w:ascii="宋体" w:hAnsi="宋体" w:eastAsia="宋体" w:cs="宋体"/>
          <w:b/>
          <w:bCs/>
          <w:color w:val="auto"/>
          <w:spacing w:val="0"/>
          <w:sz w:val="24"/>
          <w:szCs w:val="24"/>
          <w:highlight w:val="none"/>
        </w:rPr>
      </w:pPr>
      <w:bookmarkStart w:id="163" w:name="_Toc18478"/>
      <w:bookmarkStart w:id="164" w:name="_Toc12035"/>
      <w:bookmarkStart w:id="165" w:name="_Toc30068"/>
      <w:r>
        <w:rPr>
          <w:rFonts w:hint="eastAsia" w:ascii="宋体" w:hAnsi="宋体" w:eastAsia="宋体" w:cs="宋体"/>
          <w:b/>
          <w:bCs/>
          <w:color w:val="auto"/>
          <w:spacing w:val="0"/>
          <w:sz w:val="24"/>
          <w:szCs w:val="24"/>
          <w:highlight w:val="none"/>
        </w:rPr>
        <w:t>中标下浮率=[1-（中标价-中标</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-暂列金额-暂估价）/（</w:t>
      </w:r>
      <w:bookmarkEnd w:id="163"/>
      <w:bookmarkEnd w:id="164"/>
      <w:bookmarkStart w:id="166" w:name="_Toc13602"/>
      <w:bookmarkStart w:id="167" w:name="_Toc15512"/>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-暂列金额-暂估价）] ×100%</w:t>
      </w:r>
      <w:bookmarkEnd w:id="165"/>
      <w:bookmarkEnd w:id="166"/>
      <w:bookmarkEnd w:id="167"/>
    </w:p>
    <w:p w14:paraId="07229828">
      <w:pPr>
        <w:keepNext w:val="0"/>
        <w:keepLines w:val="0"/>
        <w:pageBreakBefore w:val="0"/>
        <w:wordWrap w:val="0"/>
        <w:overflowPunct/>
        <w:topLinePunct w:val="0"/>
        <w:bidi w:val="0"/>
        <w:spacing w:before="123" w:line="301" w:lineRule="auto"/>
        <w:ind w:left="10" w:right="116" w:firstLine="48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若修正后的该部分《分部分项工程和单价措施项目清单与计价表》总金额大于原投标报价中的该部分总金额，则从投标报价需调高的综合单价中选择偏离最大的清单开始调整，调整幅度逐步减少，直至修正后的该部分《分部分项工程和单价措施项目清单与计价表》总金额与原投标报价中的该部分总金额一致；若修正后的该部分《分部分项工程和单价措施项目清单与计价表》总金额小于原投标报价中的该部分总金额，则从投标报价需调低的综合单价中选择偏离最大的清单开始调整，调整幅度逐步减少，直至修正后的该部分《分部分项工程和单价措施项目清单与计价表》总金额与原投标报价中的该部分总金额一致。修正后的总造价应与总中标价保持一致，形成《不平衡报价修正报告》，并由招标人和中标人共同签章确认。</w:t>
      </w:r>
    </w:p>
    <w:p w14:paraId="64BBDB8E">
      <w:pPr>
        <w:keepNext w:val="0"/>
        <w:keepLines w:val="0"/>
        <w:pageBreakBefore w:val="0"/>
        <w:wordWrap w:val="0"/>
        <w:overflowPunct/>
        <w:topLinePunct w:val="0"/>
        <w:bidi w:val="0"/>
        <w:spacing w:before="129" w:line="299" w:lineRule="auto"/>
        <w:ind w:left="12" w:right="179"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"2.3.2.2"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2.3.2.2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如果工程量出现本章第 </w:t>
      </w:r>
      <w:r>
        <w:rPr>
          <w:rFonts w:hint="eastAsia" w:ascii="宋体" w:hAnsi="宋体" w:eastAsia="宋体" w:cs="宋体"/>
          <w:b/>
          <w:bCs/>
          <w:color w:val="auto"/>
          <w:spacing w:val="0"/>
          <w:sz w:val="24"/>
          <w:szCs w:val="24"/>
          <w:highlight w:val="none"/>
        </w:rPr>
        <w:t xml:space="preserve">2.3.2.1 </w:t>
      </w:r>
      <w:r>
        <w:rPr>
          <w:rFonts w:hint="eastAsia" w:ascii="宋体" w:hAnsi="宋体" w:eastAsia="宋体" w:cs="宋体"/>
          <w:color w:val="auto"/>
          <w:spacing w:val="0"/>
          <w:sz w:val="24"/>
          <w:szCs w:val="24"/>
          <w:highlight w:val="none"/>
        </w:rPr>
        <w:t>子目的变化，且该变化引起相关措施项目相应发生变化时，按系数或单一总价方式计价的，工程量增加的措施项目费调增，工程量减少的措施项目费调减。</w:t>
      </w:r>
    </w:p>
    <w:p w14:paraId="6B7F5476">
      <w:pPr>
        <w:keepNext w:val="0"/>
        <w:keepLines w:val="0"/>
        <w:pageBreakBefore w:val="0"/>
        <w:wordWrap w:val="0"/>
        <w:overflowPunct/>
        <w:topLinePunct w:val="0"/>
        <w:bidi w:val="0"/>
        <w:spacing w:before="154" w:line="221" w:lineRule="auto"/>
        <w:ind w:left="488"/>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2.3.3  </w:t>
      </w:r>
      <w:r>
        <w:rPr>
          <w:rFonts w:hint="eastAsia" w:ascii="宋体" w:hAnsi="宋体" w:eastAsia="宋体" w:cs="宋体"/>
          <w:color w:val="auto"/>
          <w:spacing w:val="0"/>
          <w:sz w:val="24"/>
          <w:szCs w:val="24"/>
          <w:highlight w:val="none"/>
        </w:rPr>
        <w:t>工程变更</w:t>
      </w:r>
    </w:p>
    <w:p w14:paraId="31D7D62C">
      <w:pPr>
        <w:keepNext w:val="0"/>
        <w:keepLines w:val="0"/>
        <w:pageBreakBefore w:val="0"/>
        <w:wordWrap w:val="0"/>
        <w:overflowPunct/>
        <w:topLinePunct w:val="0"/>
        <w:bidi w:val="0"/>
        <w:spacing w:before="153" w:line="279" w:lineRule="auto"/>
        <w:ind w:left="19" w:right="179" w:firstLine="4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合同履行期间，因工程变更引起已标价工程量清单项目发生变化时，按照以下规定调整：</w:t>
      </w:r>
    </w:p>
    <w:p w14:paraId="60C9BDCF">
      <w:pPr>
        <w:keepNext w:val="0"/>
        <w:keepLines w:val="0"/>
        <w:pageBreakBefore w:val="0"/>
        <w:numPr>
          <w:ilvl w:val="0"/>
          <w:numId w:val="1"/>
        </w:numPr>
        <w:wordWrap w:val="0"/>
        <w:overflowPunct/>
        <w:topLinePunct w:val="0"/>
        <w:bidi w:val="0"/>
        <w:spacing w:before="78" w:line="360" w:lineRule="auto"/>
        <w:ind w:firstLine="240" w:firstLineChars="100"/>
        <w:rPr>
          <w:rFonts w:hint="eastAsia" w:ascii="宋体" w:hAnsi="宋体" w:eastAsia="宋体" w:cs="宋体"/>
          <w:b/>
          <w:bCs/>
          <w:color w:val="auto"/>
          <w:spacing w:val="0"/>
          <w:sz w:val="24"/>
          <w:szCs w:val="24"/>
          <w:highlight w:val="none"/>
        </w:rPr>
      </w:pPr>
      <w:r>
        <w:rPr>
          <w:rFonts w:hint="eastAsia" w:ascii="宋体" w:hAnsi="宋体" w:eastAsia="宋体" w:cs="宋体"/>
          <w:color w:val="auto"/>
          <w:spacing w:val="0"/>
          <w:sz w:val="24"/>
          <w:szCs w:val="24"/>
          <w:highlight w:val="none"/>
        </w:rPr>
        <w:t>已标价工程量清单中有适用于变更工程项目的，采用该项目的单价。</w:t>
      </w:r>
      <w:r>
        <w:rPr>
          <w:rFonts w:hint="eastAsia" w:ascii="宋体" w:hAnsi="宋体" w:eastAsia="宋体" w:cs="宋体"/>
          <w:b/>
          <w:bCs/>
          <w:color w:val="auto"/>
          <w:spacing w:val="0"/>
          <w:sz w:val="24"/>
          <w:szCs w:val="24"/>
          <w:highlight w:val="none"/>
        </w:rPr>
        <w:t>但如果</w:t>
      </w:r>
      <w:bookmarkStart w:id="168" w:name="bookmark143"/>
      <w:bookmarkEnd w:id="168"/>
      <w:r>
        <w:rPr>
          <w:rFonts w:hint="eastAsia" w:ascii="宋体" w:hAnsi="宋体" w:eastAsia="宋体" w:cs="宋体"/>
          <w:b/>
          <w:bCs/>
          <w:color w:val="auto"/>
          <w:spacing w:val="0"/>
          <w:sz w:val="24"/>
          <w:szCs w:val="24"/>
          <w:highlight w:val="none"/>
        </w:rPr>
        <w:t>被采用的项目属于按照第二章“中标人须知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 条被认定为不平衡报价的清单项目，变更工程项目的单价按照本章 2.3.2.1 的方法调整。】</w:t>
      </w:r>
    </w:p>
    <w:p w14:paraId="664F3744">
      <w:pPr>
        <w:keepNext w:val="0"/>
        <w:keepLines w:val="0"/>
        <w:pageBreakBefore w:val="0"/>
        <w:numPr>
          <w:ilvl w:val="0"/>
          <w:numId w:val="0"/>
        </w:numPr>
        <w:wordWrap w:val="0"/>
        <w:overflowPunct/>
        <w:topLinePunct w:val="0"/>
        <w:bidi w:val="0"/>
        <w:spacing w:before="78" w:line="360" w:lineRule="auto"/>
        <w:ind w:firstLine="241" w:firstLineChars="1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2</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color w:val="auto"/>
          <w:spacing w:val="0"/>
          <w:sz w:val="24"/>
          <w:szCs w:val="24"/>
          <w:highlight w:val="none"/>
        </w:rPr>
        <w:t>已标价工程量清单中没有适用但有类似于变更工程项目的，可在合理范围内参照类似项目的单价。</w:t>
      </w:r>
      <w:r>
        <w:rPr>
          <w:rFonts w:hint="eastAsia" w:ascii="宋体" w:hAnsi="宋体" w:eastAsia="宋体" w:cs="宋体"/>
          <w:b/>
          <w:bCs/>
          <w:color w:val="auto"/>
          <w:spacing w:val="0"/>
          <w:sz w:val="24"/>
          <w:szCs w:val="24"/>
          <w:highlight w:val="none"/>
        </w:rPr>
        <w:t>但如果被参考的类似项目属于按照第二章“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中标人须知</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”第</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4.2条被认定为不平衡报价的清单项目，变更工程项目的单价按照本章2.3.2.1 的方法调整。</w:t>
      </w:r>
    </w:p>
    <w:p w14:paraId="57D2B99E">
      <w:pPr>
        <w:keepNext w:val="0"/>
        <w:keepLines w:val="0"/>
        <w:pageBreakBefore w:val="0"/>
        <w:numPr>
          <w:ilvl w:val="0"/>
          <w:numId w:val="0"/>
        </w:numPr>
        <w:wordWrap w:val="0"/>
        <w:overflowPunct/>
        <w:topLinePunct w:val="0"/>
        <w:bidi w:val="0"/>
        <w:spacing w:before="38" w:line="310" w:lineRule="auto"/>
        <w:ind w:right="81" w:rightChars="0" w:firstLine="240" w:firstLineChars="1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14:paraId="1C971971">
      <w:pPr>
        <w:keepNext w:val="0"/>
        <w:keepLines w:val="0"/>
        <w:pageBreakBefore w:val="0"/>
        <w:wordWrap w:val="0"/>
        <w:overflowPunct/>
        <w:topLinePunct w:val="0"/>
        <w:bidi w:val="0"/>
        <w:spacing w:before="126" w:line="314" w:lineRule="auto"/>
        <w:ind w:left="29" w:right="21" w:firstLine="50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中标下浮率=[1-（中标价-中标</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rPr>
        <w:t>-</w:t>
      </w:r>
      <w:r>
        <w:rPr>
          <w:rFonts w:hint="eastAsia" w:ascii="宋体" w:hAnsi="宋体" w:eastAsia="宋体" w:cs="宋体"/>
          <w:b/>
          <w:bCs/>
          <w:color w:val="auto"/>
          <w:spacing w:val="0"/>
          <w:sz w:val="24"/>
          <w:szCs w:val="24"/>
          <w:highlight w:val="none"/>
          <w:lang w:val="en-US" w:eastAsia="zh-CN"/>
        </w:rPr>
        <w:t>最高投标限价</w:t>
      </w:r>
      <w:r>
        <w:rPr>
          <w:rFonts w:hint="eastAsia" w:ascii="宋体" w:hAnsi="宋体" w:eastAsia="宋体" w:cs="宋体"/>
          <w:b/>
          <w:bCs/>
          <w:color w:val="auto"/>
          <w:spacing w:val="0"/>
          <w:sz w:val="24"/>
          <w:szCs w:val="24"/>
          <w:highlight w:val="none"/>
          <w:lang w:eastAsia="zh-CN"/>
        </w:rPr>
        <w:t>安全生产措施费</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×100%</w:t>
      </w:r>
    </w:p>
    <w:p w14:paraId="7171E41D">
      <w:pPr>
        <w:keepNext w:val="0"/>
        <w:keepLines w:val="0"/>
        <w:pageBreakBefore w:val="0"/>
        <w:wordWrap w:val="0"/>
        <w:overflowPunct/>
        <w:topLinePunct w:val="0"/>
        <w:bidi w:val="0"/>
        <w:spacing w:before="145" w:line="309" w:lineRule="auto"/>
        <w:ind w:right="81" w:firstLine="240" w:firstLineChars="100"/>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4</w:t>
      </w:r>
      <w:r>
        <w:rPr>
          <w:rFonts w:hint="eastAsia" w:ascii="宋体" w:hAnsi="宋体" w:eastAsia="宋体" w:cs="宋体"/>
          <w:color w:val="auto"/>
          <w:spacing w:val="0"/>
          <w:sz w:val="24"/>
          <w:szCs w:val="24"/>
          <w:highlight w:val="none"/>
          <w:lang w:eastAsia="zh-CN"/>
        </w:rPr>
        <w:t>）</w:t>
      </w:r>
      <w:r>
        <w:rPr>
          <w:rFonts w:hint="eastAsia" w:ascii="宋体" w:hAnsi="宋体" w:eastAsia="宋体" w:cs="宋体"/>
          <w:snapToGrid w:val="0"/>
          <w:color w:val="auto"/>
          <w:spacing w:val="0"/>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1BD406E0">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14:paraId="771BD006">
      <w:pPr>
        <w:keepNext w:val="0"/>
        <w:keepLines w:val="0"/>
        <w:pageBreakBefore w:val="0"/>
        <w:wordWrap w:val="0"/>
        <w:overflowPunct/>
        <w:topLinePunct w:val="0"/>
        <w:bidi w:val="0"/>
        <w:spacing w:before="152" w:line="220" w:lineRule="auto"/>
        <w:ind w:left="4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安全生产措施费</w:t>
      </w:r>
      <w:r>
        <w:rPr>
          <w:rFonts w:hint="eastAsia" w:ascii="宋体" w:hAnsi="宋体" w:eastAsia="宋体" w:cs="宋体"/>
          <w:color w:val="auto"/>
          <w:spacing w:val="0"/>
          <w:sz w:val="24"/>
          <w:szCs w:val="24"/>
          <w:highlight w:val="none"/>
        </w:rPr>
        <w:t>应按照实际发生变化的措施项目计算。</w:t>
      </w:r>
    </w:p>
    <w:p w14:paraId="74785144">
      <w:pPr>
        <w:keepNext w:val="0"/>
        <w:keepLines w:val="0"/>
        <w:pageBreakBefore w:val="0"/>
        <w:wordWrap w:val="0"/>
        <w:overflowPunct/>
        <w:topLinePunct w:val="0"/>
        <w:bidi w:val="0"/>
        <w:spacing w:before="156" w:line="309" w:lineRule="auto"/>
        <w:ind w:left="7" w:right="81"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（2）采用单价计算的措施项目费，应按照实际发生变化的措施项目，按本章第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子目的规定确定单价。</w:t>
      </w:r>
    </w:p>
    <w:p w14:paraId="2C4A701D">
      <w:pPr>
        <w:keepNext w:val="0"/>
        <w:keepLines w:val="0"/>
        <w:pageBreakBefore w:val="0"/>
        <w:wordWrap w:val="0"/>
        <w:overflowPunct/>
        <w:topLinePunct w:val="0"/>
        <w:bidi w:val="0"/>
        <w:spacing w:before="154" w:line="360" w:lineRule="auto"/>
        <w:ind w:left="8" w:right="81" w:firstLine="49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（3）按总价或系数计算的措施项目费，应按照实际发生变化的措施项目费调整并考虑中标下浮率因素，即调整金额＝按照实际变化调整后的金额×（1-中标下浮率）。</w:t>
      </w:r>
    </w:p>
    <w:p w14:paraId="075390AA">
      <w:pPr>
        <w:keepNext w:val="0"/>
        <w:keepLines w:val="0"/>
        <w:pageBreakBefore w:val="0"/>
        <w:wordWrap w:val="0"/>
        <w:overflowPunct/>
        <w:topLinePunct w:val="0"/>
        <w:bidi w:val="0"/>
        <w:spacing w:before="157" w:line="324" w:lineRule="auto"/>
        <w:ind w:left="21" w:right="81" w:firstLine="47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如果承包人未事先将拟实施的方案提交发包人确认，视为工程变更不引起措施项目费的调整或承包人放弃调整措施项目费的权利。</w:t>
      </w:r>
    </w:p>
    <w:p w14:paraId="17AF385B">
      <w:pPr>
        <w:keepNext w:val="0"/>
        <w:keepLines w:val="0"/>
        <w:pageBreakBefore w:val="0"/>
        <w:wordWrap w:val="0"/>
        <w:overflowPunct/>
        <w:topLinePunct w:val="0"/>
        <w:bidi w:val="0"/>
        <w:spacing w:before="35" w:line="309" w:lineRule="auto"/>
        <w:ind w:right="81" w:firstLine="42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"2.3.3.3"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2.3.3.3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14:paraId="61C67428">
      <w:pPr>
        <w:keepNext w:val="0"/>
        <w:keepLines w:val="0"/>
        <w:pageBreakBefore w:val="0"/>
        <w:wordWrap w:val="0"/>
        <w:overflowPunct/>
        <w:topLinePunct w:val="0"/>
        <w:bidi w:val="0"/>
        <w:spacing w:before="155" w:line="220"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2.3.4  </w:t>
      </w:r>
      <w:r>
        <w:rPr>
          <w:rFonts w:hint="eastAsia" w:ascii="宋体" w:hAnsi="宋体" w:eastAsia="宋体" w:cs="宋体"/>
          <w:color w:val="auto"/>
          <w:spacing w:val="0"/>
          <w:sz w:val="24"/>
          <w:szCs w:val="24"/>
          <w:highlight w:val="none"/>
        </w:rPr>
        <w:t>项目特征不符</w:t>
      </w:r>
    </w:p>
    <w:p w14:paraId="02358453">
      <w:pPr>
        <w:keepNext w:val="0"/>
        <w:keepLines w:val="0"/>
        <w:pageBreakBefore w:val="0"/>
        <w:wordWrap w:val="0"/>
        <w:overflowPunct/>
        <w:topLinePunct w:val="0"/>
        <w:bidi w:val="0"/>
        <w:spacing w:before="78" w:line="331" w:lineRule="auto"/>
        <w:ind w:left="8" w:right="108" w:firstLine="480"/>
        <w:jc w:val="both"/>
        <w:rPr>
          <w:rFonts w:hint="eastAsia" w:ascii="宋体" w:hAnsi="宋体" w:eastAsia="宋体" w:cs="宋体"/>
          <w:color w:val="auto"/>
          <w:spacing w:val="0"/>
          <w:sz w:val="24"/>
          <w:szCs w:val="24"/>
          <w:highlight w:val="none"/>
        </w:rPr>
      </w:pPr>
      <w:bookmarkStart w:id="169" w:name="bookmark144"/>
      <w:bookmarkEnd w:id="169"/>
      <w:r>
        <w:rPr>
          <w:rFonts w:hint="eastAsia" w:ascii="宋体" w:hAnsi="宋体" w:eastAsia="宋体" w:cs="宋体"/>
          <w:color w:val="auto"/>
          <w:spacing w:val="0"/>
          <w:sz w:val="24"/>
          <w:szCs w:val="24"/>
          <w:highlight w:val="none"/>
        </w:rPr>
        <w:t xml:space="preserve">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 </w:t>
      </w:r>
      <w:r>
        <w:rPr>
          <w:rFonts w:hint="eastAsia" w:ascii="宋体" w:hAnsi="宋体" w:eastAsia="宋体" w:cs="宋体"/>
          <w:b/>
          <w:bCs/>
          <w:color w:val="auto"/>
          <w:spacing w:val="0"/>
          <w:sz w:val="24"/>
          <w:szCs w:val="24"/>
          <w:highlight w:val="none"/>
        </w:rPr>
        <w:t xml:space="preserve">2.3.3 </w:t>
      </w:r>
      <w:r>
        <w:rPr>
          <w:rFonts w:hint="eastAsia" w:ascii="宋体" w:hAnsi="宋体" w:eastAsia="宋体" w:cs="宋体"/>
          <w:color w:val="auto"/>
          <w:spacing w:val="0"/>
          <w:sz w:val="24"/>
          <w:szCs w:val="24"/>
          <w:highlight w:val="none"/>
        </w:rPr>
        <w:t>目相关条款的规定重新确定相应工程量清单项目的综合单价，并调整合同价款。</w:t>
      </w:r>
    </w:p>
    <w:p w14:paraId="6DF45F55">
      <w:pPr>
        <w:keepNext w:val="0"/>
        <w:keepLines w:val="0"/>
        <w:pageBreakBefore w:val="0"/>
        <w:wordWrap w:val="0"/>
        <w:overflowPunct/>
        <w:topLinePunct w:val="0"/>
        <w:bidi w:val="0"/>
        <w:spacing w:before="38" w:line="221" w:lineRule="auto"/>
        <w:ind w:left="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2.3.5  </w:t>
      </w:r>
      <w:r>
        <w:rPr>
          <w:rFonts w:hint="eastAsia" w:ascii="宋体" w:hAnsi="宋体" w:eastAsia="宋体" w:cs="宋体"/>
          <w:color w:val="auto"/>
          <w:spacing w:val="0"/>
          <w:sz w:val="24"/>
          <w:szCs w:val="24"/>
          <w:highlight w:val="none"/>
        </w:rPr>
        <w:t>招标工程量清单缺项</w:t>
      </w:r>
    </w:p>
    <w:p w14:paraId="7015B0C3">
      <w:pPr>
        <w:keepNext w:val="0"/>
        <w:keepLines w:val="0"/>
        <w:pageBreakBefore w:val="0"/>
        <w:widowControl/>
        <w:kinsoku w:val="0"/>
        <w:wordWrap w:val="0"/>
        <w:overflowPunct/>
        <w:topLinePunct w:val="0"/>
        <w:autoSpaceDE w:val="0"/>
        <w:autoSpaceDN w:val="0"/>
        <w:bidi w:val="0"/>
        <w:adjustRightInd w:val="0"/>
        <w:snapToGrid w:val="0"/>
        <w:spacing w:before="152" w:line="25" w:lineRule="atLeast"/>
        <w:ind w:left="9" w:right="56" w:firstLine="47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合同履行期间，由于招标工程量清单中缺项，新增分部分项工程清单项目，应按照本章第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子目的规定确定单价，并调整合同价款。</w:t>
      </w:r>
    </w:p>
    <w:p w14:paraId="2C6922D1">
      <w:pPr>
        <w:keepNext w:val="0"/>
        <w:keepLines w:val="0"/>
        <w:pageBreakBefore w:val="0"/>
        <w:widowControl/>
        <w:kinsoku w:val="0"/>
        <w:wordWrap w:val="0"/>
        <w:overflowPunct/>
        <w:topLinePunct w:val="0"/>
        <w:autoSpaceDE w:val="0"/>
        <w:autoSpaceDN w:val="0"/>
        <w:bidi w:val="0"/>
        <w:adjustRightInd w:val="0"/>
        <w:snapToGrid w:val="0"/>
        <w:spacing w:before="157" w:line="25" w:lineRule="atLeast"/>
        <w:ind w:firstLine="42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新增分部分项工程清单项目后，引起措施项目发生变化的，应按照本章第 </w:t>
      </w:r>
      <w:r>
        <w:rPr>
          <w:rFonts w:hint="eastAsia" w:ascii="宋体" w:hAnsi="宋体" w:eastAsia="宋体" w:cs="宋体"/>
          <w:b/>
          <w:bCs/>
          <w:color w:val="auto"/>
          <w:spacing w:val="0"/>
          <w:sz w:val="24"/>
          <w:szCs w:val="24"/>
          <w:highlight w:val="none"/>
        </w:rPr>
        <w:t xml:space="preserve">2.3.3.2 </w:t>
      </w:r>
      <w:r>
        <w:rPr>
          <w:rFonts w:hint="eastAsia" w:ascii="宋体" w:hAnsi="宋体" w:eastAsia="宋体" w:cs="宋体"/>
          <w:color w:val="auto"/>
          <w:spacing w:val="0"/>
          <w:sz w:val="24"/>
          <w:szCs w:val="24"/>
          <w:highlight w:val="none"/>
        </w:rPr>
        <w:t>子目的规定，在承包人提交的实施方案被发包人批准后调整合同价款。</w:t>
      </w:r>
    </w:p>
    <w:p w14:paraId="6B9F0D9A">
      <w:pPr>
        <w:keepNext w:val="0"/>
        <w:keepLines w:val="0"/>
        <w:pageBreakBefore w:val="0"/>
        <w:widowControl/>
        <w:kinsoku w:val="0"/>
        <w:wordWrap w:val="0"/>
        <w:overflowPunct/>
        <w:topLinePunct w:val="0"/>
        <w:autoSpaceDE w:val="0"/>
        <w:autoSpaceDN w:val="0"/>
        <w:bidi w:val="0"/>
        <w:adjustRightInd w:val="0"/>
        <w:snapToGrid w:val="0"/>
        <w:spacing w:before="156" w:line="300" w:lineRule="auto"/>
        <w:ind w:left="11" w:right="108" w:firstLine="471"/>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"2.3.5.3"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2.3.5.3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 xml:space="preserve">由于招标工程量清单中措施项目缺项，承包人应将新增措施项目实施方案提交发包人批准后，按照本章第 </w:t>
      </w:r>
      <w:r>
        <w:rPr>
          <w:rFonts w:hint="eastAsia" w:ascii="宋体" w:hAnsi="宋体" w:eastAsia="宋体" w:cs="宋体"/>
          <w:b/>
          <w:bCs/>
          <w:color w:val="auto"/>
          <w:spacing w:val="0"/>
          <w:sz w:val="24"/>
          <w:szCs w:val="24"/>
          <w:highlight w:val="none"/>
        </w:rPr>
        <w:t xml:space="preserve">2.3.3.1 </w:t>
      </w:r>
      <w:r>
        <w:rPr>
          <w:rFonts w:hint="eastAsia" w:ascii="宋体" w:hAnsi="宋体" w:eastAsia="宋体" w:cs="宋体"/>
          <w:color w:val="auto"/>
          <w:spacing w:val="0"/>
          <w:sz w:val="24"/>
          <w:szCs w:val="24"/>
          <w:highlight w:val="none"/>
        </w:rPr>
        <w:t xml:space="preserve">子目、第 </w:t>
      </w:r>
      <w:r>
        <w:rPr>
          <w:rFonts w:hint="eastAsia" w:ascii="宋体" w:hAnsi="宋体" w:eastAsia="宋体" w:cs="宋体"/>
          <w:b/>
          <w:bCs/>
          <w:color w:val="auto"/>
          <w:spacing w:val="0"/>
          <w:sz w:val="24"/>
          <w:szCs w:val="24"/>
          <w:highlight w:val="none"/>
        </w:rPr>
        <w:t xml:space="preserve">2.3.3.2 </w:t>
      </w:r>
      <w:r>
        <w:rPr>
          <w:rFonts w:hint="eastAsia" w:ascii="宋体" w:hAnsi="宋体" w:eastAsia="宋体" w:cs="宋体"/>
          <w:color w:val="auto"/>
          <w:spacing w:val="0"/>
          <w:sz w:val="24"/>
          <w:szCs w:val="24"/>
          <w:highlight w:val="none"/>
        </w:rPr>
        <w:t>子目的规定调整合同价款。</w:t>
      </w:r>
    </w:p>
    <w:p w14:paraId="4E1C09D9">
      <w:pPr>
        <w:keepNext w:val="0"/>
        <w:keepLines w:val="0"/>
        <w:pageBreakBefore w:val="0"/>
        <w:wordWrap w:val="0"/>
        <w:overflowPunct/>
        <w:topLinePunct w:val="0"/>
        <w:bidi w:val="0"/>
        <w:spacing w:before="154" w:line="219" w:lineRule="auto"/>
        <w:ind w:left="48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2.3.6  </w:t>
      </w:r>
      <w:r>
        <w:rPr>
          <w:rFonts w:hint="eastAsia" w:ascii="宋体" w:hAnsi="宋体" w:eastAsia="宋体" w:cs="宋体"/>
          <w:color w:val="auto"/>
          <w:spacing w:val="0"/>
          <w:sz w:val="24"/>
          <w:szCs w:val="24"/>
          <w:highlight w:val="none"/>
        </w:rPr>
        <w:t>物价变化</w:t>
      </w:r>
    </w:p>
    <w:p w14:paraId="4ED65B39">
      <w:pPr>
        <w:keepNext w:val="0"/>
        <w:keepLines w:val="0"/>
        <w:pageBreakBefore w:val="0"/>
        <w:wordWrap w:val="0"/>
        <w:overflowPunct/>
        <w:topLinePunct w:val="0"/>
        <w:bidi w:val="0"/>
        <w:spacing w:before="156" w:line="315" w:lineRule="auto"/>
        <w:ind w:left="8" w:right="108"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合同履行期间，项目所在地工程造价管理机构发布的动态人工调整系数发生变化时，如果承包人投标报价中人工费（以下简称“ 中标人工费 ”）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14:paraId="716C330C">
      <w:pPr>
        <w:keepNext w:val="0"/>
        <w:keepLines w:val="0"/>
        <w:pageBreakBefore w:val="0"/>
        <w:wordWrap w:val="0"/>
        <w:overflowPunct/>
        <w:topLinePunct w:val="0"/>
        <w:bidi w:val="0"/>
        <w:spacing w:before="153" w:line="220" w:lineRule="auto"/>
        <w:ind w:left="494"/>
        <w:rPr>
          <w:rFonts w:hint="eastAsia" w:ascii="宋体" w:hAnsi="宋体" w:eastAsia="宋体" w:cs="宋体"/>
          <w:color w:val="auto"/>
          <w:spacing w:val="0"/>
          <w:sz w:val="15"/>
          <w:szCs w:val="15"/>
          <w:highlight w:val="none"/>
        </w:rPr>
      </w:pPr>
      <w:r>
        <w:rPr>
          <w:rFonts w:hint="eastAsia" w:ascii="宋体" w:hAnsi="宋体" w:eastAsia="宋体" w:cs="宋体"/>
          <w:color w:val="auto"/>
          <w:spacing w:val="0"/>
          <w:sz w:val="24"/>
          <w:szCs w:val="24"/>
          <w:highlight w:val="none"/>
        </w:rPr>
        <w:t>结算人工费＝中标人工费×F</w:t>
      </w:r>
      <w:r>
        <w:rPr>
          <w:rFonts w:hint="eastAsia" w:ascii="宋体" w:hAnsi="宋体" w:eastAsia="宋体" w:cs="宋体"/>
          <w:color w:val="auto"/>
          <w:spacing w:val="0"/>
          <w:position w:val="-1"/>
          <w:sz w:val="15"/>
          <w:szCs w:val="15"/>
          <w:highlight w:val="none"/>
        </w:rPr>
        <w:t>1</w:t>
      </w:r>
    </w:p>
    <w:p w14:paraId="5870ADA2">
      <w:pPr>
        <w:keepNext w:val="0"/>
        <w:keepLines w:val="0"/>
        <w:pageBreakBefore w:val="0"/>
        <w:wordWrap w:val="0"/>
        <w:overflowPunct/>
        <w:topLinePunct w:val="0"/>
        <w:bidi w:val="0"/>
        <w:spacing w:before="152"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式中，F</w:t>
      </w:r>
      <w:r>
        <w:rPr>
          <w:rFonts w:hint="eastAsia" w:ascii="宋体" w:hAnsi="宋体" w:eastAsia="宋体" w:cs="宋体"/>
          <w:color w:val="auto"/>
          <w:spacing w:val="0"/>
          <w:position w:val="-1"/>
          <w:sz w:val="15"/>
          <w:szCs w:val="15"/>
          <w:highlight w:val="none"/>
        </w:rPr>
        <w:t>1</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为施工当月项目所在地工程造价管理机构发布的动态人工调整系数。</w:t>
      </w:r>
    </w:p>
    <w:p w14:paraId="622D226D">
      <w:pPr>
        <w:keepNext w:val="0"/>
        <w:keepLines w:val="0"/>
        <w:pageBreakBefore w:val="0"/>
        <w:wordWrap w:val="0"/>
        <w:overflowPunct/>
        <w:topLinePunct w:val="0"/>
        <w:bidi w:val="0"/>
        <w:spacing w:before="119" w:line="324" w:lineRule="auto"/>
        <w:ind w:left="1" w:right="108" w:firstLine="483"/>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fldChar w:fldCharType="begin"/>
      </w:r>
      <w:r>
        <w:rPr>
          <w:rFonts w:hint="eastAsia" w:ascii="宋体" w:hAnsi="宋体" w:eastAsia="宋体" w:cs="宋体"/>
          <w:b/>
          <w:bCs/>
          <w:color w:val="auto"/>
          <w:spacing w:val="0"/>
          <w:sz w:val="24"/>
          <w:szCs w:val="24"/>
          <w:highlight w:val="none"/>
        </w:rPr>
        <w:instrText xml:space="preserve"> HYPERLINK "2.3.6.2" </w:instrText>
      </w:r>
      <w:r>
        <w:rPr>
          <w:rFonts w:hint="eastAsia" w:ascii="宋体" w:hAnsi="宋体" w:eastAsia="宋体" w:cs="宋体"/>
          <w:b/>
          <w:bCs/>
          <w:color w:val="auto"/>
          <w:spacing w:val="0"/>
          <w:sz w:val="24"/>
          <w:szCs w:val="24"/>
          <w:highlight w:val="none"/>
        </w:rPr>
        <w:fldChar w:fldCharType="separate"/>
      </w:r>
      <w:r>
        <w:rPr>
          <w:rFonts w:hint="eastAsia" w:ascii="宋体" w:hAnsi="宋体" w:eastAsia="宋体" w:cs="宋体"/>
          <w:b/>
          <w:bCs/>
          <w:color w:val="auto"/>
          <w:spacing w:val="0"/>
          <w:sz w:val="24"/>
          <w:szCs w:val="24"/>
          <w:highlight w:val="none"/>
        </w:rPr>
        <w:t>2.3.6.2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本招标项目约定，材料、工程设备单价涨跌风险幅度值 A 为</w:t>
      </w:r>
      <w:r>
        <w:rPr>
          <w:rFonts w:hint="eastAsia" w:ascii="宋体" w:hAnsi="宋体" w:eastAsia="宋体" w:cs="宋体"/>
          <w:color w:val="auto"/>
          <w:spacing w:val="0"/>
          <w:sz w:val="24"/>
          <w:szCs w:val="24"/>
          <w:highlight w:val="none"/>
          <w:u w:val="single"/>
        </w:rPr>
        <w:t xml:space="preserve">  5%   </w:t>
      </w:r>
      <w:r>
        <w:rPr>
          <w:rFonts w:hint="eastAsia" w:ascii="宋体" w:hAnsi="宋体" w:eastAsia="宋体" w:cs="宋体"/>
          <w:color w:val="auto"/>
          <w:spacing w:val="0"/>
          <w:sz w:val="24"/>
          <w:szCs w:val="24"/>
          <w:highlight w:val="none"/>
        </w:rPr>
        <w:t>。合同履行期间，当《承包人提供主要材料和工程设备一览表》（详见招标工程量清单）中的材料、工程设备单价涨跌幅度等于或低于 A 值时，该材料、工程设备单价不予调整；超过A 值时，其超过部分可以调整。相关费用按有关规定进行相应调整。</w:t>
      </w:r>
    </w:p>
    <w:p w14:paraId="0F9BF3EA">
      <w:pPr>
        <w:keepNext w:val="0"/>
        <w:keepLines w:val="0"/>
        <w:pageBreakBefore w:val="0"/>
        <w:wordWrap w:val="0"/>
        <w:overflowPunct/>
        <w:topLinePunct w:val="0"/>
        <w:bidi w:val="0"/>
        <w:spacing w:before="126" w:line="295" w:lineRule="auto"/>
        <w:ind w:left="11" w:right="108" w:firstLine="477"/>
        <w:jc w:val="both"/>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35C9FFA5">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a．涨价时，</w:t>
      </w:r>
      <w:r>
        <w:rPr>
          <w:rFonts w:hint="eastAsia" w:ascii="宋体" w:hAnsi="宋体" w:eastAsia="宋体" w:cs="宋体"/>
          <w:snapToGrid w:val="0"/>
          <w:color w:val="auto"/>
          <w:spacing w:val="0"/>
          <w:kern w:val="0"/>
          <w:position w:val="-30"/>
          <w:sz w:val="24"/>
          <w:szCs w:val="24"/>
          <w:highlight w:val="none"/>
        </w:rPr>
        <w:object>
          <v:shape id="_x0000_i1025" o:spt="75" type="#_x0000_t75" style="height:33.95pt;width:200.95pt;" o:ole="t" filled="f" o:preferrelative="t" stroked="f" coordsize="21600,21600">
            <v:path/>
            <v:fill on="f" focussize="0,0"/>
            <v:stroke on="f"/>
            <v:imagedata r:id="rId34" embosscolor="#FFFFFF" o:title=""/>
            <o:lock v:ext="edit" grouping="f" rotation="f" text="f" aspectratio="t"/>
            <w10:wrap type="none"/>
            <w10:anchorlock/>
          </v:shape>
          <o:OLEObject Type="Embed" ProgID="Equation.KSEE3" ShapeID="_x0000_i1025" DrawAspect="Content" ObjectID="_1468075725" r:id="rId33">
            <o:LockedField>false</o:LockedField>
          </o:OLEObject>
        </w:object>
      </w:r>
    </w:p>
    <w:p w14:paraId="26C54F35">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6" o:spt="75" type="#_x0000_t75" style="height:33.95pt;width:198.95pt;" o:ole="t" filled="f" o:preferrelative="t" stroked="f" coordsize="21600,21600">
            <v:path/>
            <v:fill on="f" focussize="0,0"/>
            <v:stroke on="f"/>
            <v:imagedata r:id="rId36" embosscolor="#FFFFFF" o:title=""/>
            <o:lock v:ext="edit" grouping="f" rotation="f" text="f" aspectratio="t"/>
            <w10:wrap type="none"/>
            <w10:anchorlock/>
          </v:shape>
          <o:OLEObject Type="Embed" ProgID="Equation.KSEE3" ShapeID="_x0000_i1026" DrawAspect="Content" ObjectID="_1468075726" r:id="rId35">
            <o:LockedField>false</o:LockedField>
          </o:OLEObject>
        </w:object>
      </w:r>
    </w:p>
    <w:p w14:paraId="4D78A4F2">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b．涨价时，</w:t>
      </w:r>
      <w:r>
        <w:rPr>
          <w:rFonts w:hint="eastAsia" w:ascii="宋体" w:hAnsi="宋体" w:eastAsia="宋体" w:cs="宋体"/>
          <w:snapToGrid w:val="0"/>
          <w:color w:val="auto"/>
          <w:spacing w:val="0"/>
          <w:kern w:val="0"/>
          <w:position w:val="-30"/>
          <w:sz w:val="24"/>
          <w:szCs w:val="24"/>
          <w:highlight w:val="none"/>
        </w:rPr>
        <w:object>
          <v:shape id="_x0000_i1027" o:spt="75" type="#_x0000_t75" style="height:33.95pt;width:198.95pt;" o:ole="t" filled="f" o:preferrelative="t" stroked="f" coordsize="21600,21600">
            <v:path/>
            <v:fill on="f" focussize="0,0"/>
            <v:stroke on="f"/>
            <v:imagedata r:id="rId38" embosscolor="#FFFFFF" o:title=""/>
            <o:lock v:ext="edit" grouping="f" rotation="f" text="f" aspectratio="t"/>
            <w10:wrap type="none"/>
            <w10:anchorlock/>
          </v:shape>
          <o:OLEObject Type="Embed" ProgID="Equation.KSEE3" ShapeID="_x0000_i1027" DrawAspect="Content" ObjectID="_1468075727" r:id="rId37">
            <o:LockedField>false</o:LockedField>
          </o:OLEObject>
        </w:object>
      </w:r>
    </w:p>
    <w:p w14:paraId="27D0DEAA">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28" o:spt="75" type="#_x0000_t75" style="height:33.95pt;width:200.95pt;" o:ole="t" filled="f" o:preferrelative="t" stroked="f" coordsize="21600,21600">
            <v:path/>
            <v:fill on="f" focussize="0,0"/>
            <v:stroke on="f"/>
            <v:imagedata r:id="rId40" embosscolor="#FFFFFF" o:title=""/>
            <o:lock v:ext="edit" grouping="f" rotation="f" text="f" aspectratio="t"/>
            <w10:wrap type="none"/>
            <w10:anchorlock/>
          </v:shape>
          <o:OLEObject Type="Embed" ProgID="Equation.KSEE3" ShapeID="_x0000_i1028" DrawAspect="Content" ObjectID="_1468075728" r:id="rId39">
            <o:LockedField>false</o:LockedField>
          </o:OLEObject>
        </w:object>
      </w:r>
    </w:p>
    <w:p w14:paraId="6CFE05C9">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c．涨价时，</w:t>
      </w:r>
      <w:r>
        <w:rPr>
          <w:rFonts w:hint="eastAsia" w:ascii="宋体" w:hAnsi="宋体" w:eastAsia="宋体" w:cs="宋体"/>
          <w:snapToGrid w:val="0"/>
          <w:color w:val="auto"/>
          <w:spacing w:val="0"/>
          <w:kern w:val="0"/>
          <w:position w:val="-30"/>
          <w:sz w:val="24"/>
          <w:szCs w:val="24"/>
          <w:highlight w:val="none"/>
        </w:rPr>
        <w:object>
          <v:shape id="_x0000_i1029" o:spt="75" type="#_x0000_t75" style="height:33.95pt;width:200.95pt;" o:ole="t" filled="f" o:preferrelative="t" stroked="f" coordsize="21600,21600">
            <v:path/>
            <v:fill on="f" focussize="0,0"/>
            <v:stroke on="f"/>
            <v:imagedata r:id="rId42" embosscolor="#FFFFFF" o:title=""/>
            <o:lock v:ext="edit" grouping="f" rotation="f" text="f" aspectratio="t"/>
            <w10:wrap type="none"/>
            <w10:anchorlock/>
          </v:shape>
          <o:OLEObject Type="Embed" ProgID="Equation.KSEE3" ShapeID="_x0000_i1029" DrawAspect="Content" ObjectID="_1468075729" r:id="rId41">
            <o:LockedField>false</o:LockedField>
          </o:OLEObject>
        </w:object>
      </w:r>
    </w:p>
    <w:p w14:paraId="645F2D5B">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0" o:spt="75" type="#_x0000_t75" style="height:33.95pt;width:200.95pt;" o:ole="t" filled="f" o:preferrelative="t" stroked="f" coordsize="21600,21600">
            <v:path/>
            <v:fill on="f" focussize="0,0"/>
            <v:stroke on="f"/>
            <v:imagedata r:id="rId44" embosscolor="#FFFFFF" o:title=""/>
            <o:lock v:ext="edit" grouping="f" rotation="f" text="f" aspectratio="t"/>
            <w10:wrap type="none"/>
            <w10:anchorlock/>
          </v:shape>
          <o:OLEObject Type="Embed" ProgID="Equation.KSEE3" ShapeID="_x0000_i1030" DrawAspect="Content" ObjectID="_1468075730" r:id="rId43">
            <o:LockedField>false</o:LockedField>
          </o:OLEObject>
        </w:object>
      </w:r>
    </w:p>
    <w:p w14:paraId="31A0E3C7">
      <w:pPr>
        <w:keepNext w:val="0"/>
        <w:keepLines w:val="0"/>
        <w:pageBreakBefore w:val="0"/>
        <w:wordWrap w:val="0"/>
        <w:overflowPunct/>
        <w:topLinePunct w:val="0"/>
        <w:bidi w:val="0"/>
        <w:spacing w:before="78"/>
        <w:ind w:left="330"/>
        <w:rPr>
          <w:rFonts w:hint="eastAsia" w:ascii="宋体" w:hAnsi="宋体" w:eastAsia="宋体" w:cs="宋体"/>
          <w:color w:val="auto"/>
          <w:spacing w:val="0"/>
          <w:sz w:val="24"/>
          <w:szCs w:val="24"/>
          <w:highlight w:val="none"/>
        </w:rPr>
      </w:pPr>
    </w:p>
    <w:p w14:paraId="475CDE5B">
      <w:pPr>
        <w:keepNext w:val="0"/>
        <w:keepLines w:val="0"/>
        <w:pageBreakBefore w:val="0"/>
        <w:wordWrap w:val="0"/>
        <w:overflowPunct/>
        <w:topLinePunct w:val="0"/>
        <w:bidi w:val="0"/>
        <w:spacing w:before="78" w:line="330" w:lineRule="auto"/>
        <w:ind w:right="59" w:firstLine="50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以上公式中，F</w:t>
      </w:r>
      <w:r>
        <w:rPr>
          <w:rFonts w:hint="eastAsia" w:ascii="宋体" w:hAnsi="宋体" w:eastAsia="宋体" w:cs="宋体"/>
          <w:color w:val="auto"/>
          <w:spacing w:val="0"/>
          <w:position w:val="-1"/>
          <w:sz w:val="15"/>
          <w:szCs w:val="15"/>
          <w:highlight w:val="none"/>
        </w:rPr>
        <w:t xml:space="preserve">1 </w:t>
      </w:r>
      <w:r>
        <w:rPr>
          <w:rFonts w:hint="eastAsia" w:ascii="宋体" w:hAnsi="宋体" w:eastAsia="宋体" w:cs="宋体"/>
          <w:color w:val="auto"/>
          <w:spacing w:val="0"/>
          <w:sz w:val="24"/>
          <w:szCs w:val="24"/>
          <w:highlight w:val="none"/>
        </w:rPr>
        <w:t>为中标单价；F</w:t>
      </w:r>
      <w:r>
        <w:rPr>
          <w:rFonts w:hint="eastAsia" w:ascii="宋体" w:hAnsi="宋体" w:eastAsia="宋体" w:cs="宋体"/>
          <w:color w:val="auto"/>
          <w:spacing w:val="0"/>
          <w:position w:val="-1"/>
          <w:sz w:val="15"/>
          <w:szCs w:val="15"/>
          <w:highlight w:val="none"/>
        </w:rPr>
        <w:t>0</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为基准单价；F</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为施工当月项目所在地工程造价管理机构发布的材料、工程设备单价；A 为合同约定的材料、工程设备单价涨跌风险幅度值。</w:t>
      </w:r>
    </w:p>
    <w:p w14:paraId="2BE92233">
      <w:pPr>
        <w:keepNext w:val="0"/>
        <w:keepLines w:val="0"/>
        <w:pageBreakBefore w:val="0"/>
        <w:wordWrap w:val="0"/>
        <w:overflowPunct/>
        <w:topLinePunct w:val="0"/>
        <w:bidi w:val="0"/>
        <w:spacing w:before="33" w:line="299" w:lineRule="auto"/>
        <w:ind w:right="59"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"2.3.6.3"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2.3.6.3</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合同履行期间，当《发包人提供材料和工程设备一览表》（详见招标工程量清单）中的材料、工程设备单价发生变化时，由发包人按照实际变化调整，并列入合同价款。</w:t>
      </w:r>
    </w:p>
    <w:p w14:paraId="102173F6">
      <w:pPr>
        <w:keepNext w:val="0"/>
        <w:keepLines w:val="0"/>
        <w:pageBreakBefore w:val="0"/>
        <w:wordWrap w:val="0"/>
        <w:overflowPunct/>
        <w:topLinePunct w:val="0"/>
        <w:bidi w:val="0"/>
        <w:spacing w:before="121" w:line="308" w:lineRule="auto"/>
        <w:ind w:firstLine="47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"2.3.6.4"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2.3.6.4</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本招标项目约定，施工机具台班单价涨跌风险幅度值 B 为</w:t>
      </w:r>
      <w:r>
        <w:rPr>
          <w:rFonts w:hint="eastAsia" w:ascii="宋体" w:hAnsi="宋体" w:eastAsia="宋体" w:cs="宋体"/>
          <w:color w:val="auto"/>
          <w:spacing w:val="0"/>
          <w:sz w:val="24"/>
          <w:szCs w:val="24"/>
          <w:highlight w:val="none"/>
          <w:u w:val="single"/>
        </w:rPr>
        <w:t xml:space="preserve">  10%  </w:t>
      </w:r>
      <w:r>
        <w:rPr>
          <w:rFonts w:hint="eastAsia" w:ascii="宋体" w:hAnsi="宋体" w:eastAsia="宋体" w:cs="宋体"/>
          <w:color w:val="auto"/>
          <w:spacing w:val="0"/>
          <w:sz w:val="24"/>
          <w:szCs w:val="24"/>
          <w:highlight w:val="none"/>
        </w:rPr>
        <w:t>。合同履行期间，当施工机具台班单价涨跌幅度等于或低于 B 值时，该施工机具台班单价不予调整；超过 B 值时，其超过部分可以调整。相关费用按有关规定进行相应调整。</w:t>
      </w:r>
    </w:p>
    <w:p w14:paraId="5D08018A">
      <w:pPr>
        <w:keepNext w:val="0"/>
        <w:keepLines w:val="0"/>
        <w:pageBreakBefore w:val="0"/>
        <w:wordWrap w:val="0"/>
        <w:overflowPunct/>
        <w:topLinePunct w:val="0"/>
        <w:bidi w:val="0"/>
        <w:spacing w:before="153" w:line="278" w:lineRule="auto"/>
        <w:ind w:left="42" w:right="59" w:firstLine="44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a </w:t>
      </w:r>
      <w:r>
        <w:rPr>
          <w:rFonts w:hint="eastAsia" w:ascii="宋体" w:hAnsi="宋体" w:eastAsia="宋体" w:cs="宋体"/>
          <w:color w:val="auto"/>
          <w:spacing w:val="0"/>
          <w:sz w:val="24"/>
          <w:szCs w:val="24"/>
          <w:highlight w:val="none"/>
        </w:rPr>
        <w:t>．如果承包人投标报价中施工机具台班单价（以下简称“ 中标单价 ”）低于基准日当月项目所在地工程造价管理机构发布的对应施工机具台班单价（以下简称“基准单价 ”），该施工机具台班的结算单价调整公式为：</w:t>
      </w:r>
    </w:p>
    <w:p w14:paraId="42678EBF">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1" o:spt="75" type="#_x0000_t75" style="height:33.95pt;width:200.95pt;" o:ole="t" filled="f" o:preferrelative="t" stroked="f" coordsize="21600,21600">
            <v:path/>
            <v:fill on="f" focussize="0,0"/>
            <v:stroke on="f"/>
            <v:imagedata r:id="rId46" embosscolor="#FFFFFF" o:title=""/>
            <o:lock v:ext="edit" grouping="f" rotation="f" text="f" aspectratio="t"/>
            <w10:wrap type="none"/>
            <w10:anchorlock/>
          </v:shape>
          <o:OLEObject Type="Embed" ProgID="Equation.KSEE3" ShapeID="_x0000_i1031" DrawAspect="Content" ObjectID="_1468075731" r:id="rId45">
            <o:LockedField>false</o:LockedField>
          </o:OLEObject>
        </w:object>
      </w:r>
    </w:p>
    <w:p w14:paraId="47E81A48">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2" o:spt="75" type="#_x0000_t75" style="height:33.95pt;width:198pt;" o:ole="t" filled="f" o:preferrelative="t" stroked="f" coordsize="21600,21600">
            <v:path/>
            <v:fill on="f" focussize="0,0"/>
            <v:stroke on="f"/>
            <v:imagedata r:id="rId48" embosscolor="#FFFFFF" o:title=""/>
            <o:lock v:ext="edit" grouping="f" rotation="f" text="f" aspectratio="t"/>
            <w10:wrap type="none"/>
            <w10:anchorlock/>
          </v:shape>
          <o:OLEObject Type="Embed" ProgID="Equation.KSEE3" ShapeID="_x0000_i1032" DrawAspect="Content" ObjectID="_1468075732" r:id="rId47">
            <o:LockedField>false</o:LockedField>
          </o:OLEObject>
        </w:object>
      </w:r>
    </w:p>
    <w:p w14:paraId="10BA823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b</w:t>
      </w:r>
      <w:r>
        <w:rPr>
          <w:rFonts w:hint="eastAsia" w:ascii="宋体" w:hAnsi="宋体" w:eastAsia="宋体" w:cs="宋体"/>
          <w:snapToGrid w:val="0"/>
          <w:color w:val="auto"/>
          <w:spacing w:val="0"/>
          <w:kern w:val="0"/>
          <w:sz w:val="24"/>
          <w:szCs w:val="24"/>
          <w:highlight w:val="none"/>
        </w:rPr>
        <w:t>．如果中标单价高于基准单价，该施工机具台班的结算单价调整公式为：</w:t>
      </w:r>
    </w:p>
    <w:p w14:paraId="3AB34B1A">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3" o:spt="75" type="#_x0000_t75" style="height:33.95pt;width:198pt;" o:ole="t" filled="f" o:preferrelative="t" stroked="f" coordsize="21600,21600">
            <v:path/>
            <v:fill on="f" focussize="0,0"/>
            <v:stroke on="f"/>
            <v:imagedata r:id="rId50" embosscolor="#FFFFFF" o:title=""/>
            <o:lock v:ext="edit" grouping="f" rotation="f" text="f" aspectratio="t"/>
            <w10:wrap type="none"/>
            <w10:anchorlock/>
          </v:shape>
          <o:OLEObject Type="Embed" ProgID="Equation.KSEE3" ShapeID="_x0000_i1033" DrawAspect="Content" ObjectID="_1468075733" r:id="rId49">
            <o:LockedField>false</o:LockedField>
          </o:OLEObject>
        </w:object>
      </w:r>
    </w:p>
    <w:p w14:paraId="017A64AA">
      <w:pPr>
        <w:keepNext w:val="0"/>
        <w:keepLines w:val="0"/>
        <w:pageBreakBefore w:val="0"/>
        <w:wordWrap w:val="0"/>
        <w:overflowPunct/>
        <w:topLinePunct w:val="0"/>
        <w:bidi w:val="0"/>
        <w:adjustRightIn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4" o:spt="75" type="#_x0000_t75" style="height:33.95pt;width:200.95pt;" o:ole="t" filled="f" o:preferrelative="t" stroked="f" coordsize="21600,21600">
            <v:path/>
            <v:fill on="f" focussize="0,0"/>
            <v:stroke on="f"/>
            <v:imagedata r:id="rId52" embosscolor="#FFFFFF" o:title=""/>
            <o:lock v:ext="edit" grouping="f" rotation="f" text="f" aspectratio="t"/>
            <w10:wrap type="none"/>
            <w10:anchorlock/>
          </v:shape>
          <o:OLEObject Type="Embed" ProgID="Equation.KSEE3" ShapeID="_x0000_i1034" DrawAspect="Content" ObjectID="_1468075734" r:id="rId51">
            <o:LockedField>false</o:LockedField>
          </o:OLEObject>
        </w:object>
      </w:r>
    </w:p>
    <w:p w14:paraId="079B094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b/>
          <w:bCs/>
          <w:snapToGrid w:val="0"/>
          <w:color w:val="auto"/>
          <w:spacing w:val="0"/>
          <w:kern w:val="0"/>
          <w:sz w:val="24"/>
          <w:szCs w:val="24"/>
          <w:highlight w:val="none"/>
        </w:rPr>
        <w:t>c</w:t>
      </w:r>
      <w:r>
        <w:rPr>
          <w:rFonts w:hint="eastAsia" w:ascii="宋体" w:hAnsi="宋体" w:eastAsia="宋体" w:cs="宋体"/>
          <w:snapToGrid w:val="0"/>
          <w:color w:val="auto"/>
          <w:spacing w:val="0"/>
          <w:kern w:val="0"/>
          <w:sz w:val="24"/>
          <w:szCs w:val="24"/>
          <w:highlight w:val="none"/>
        </w:rPr>
        <w:t>．如果中标单价等于基准单价，该施工机具台班的结算单价调整公式为：</w:t>
      </w:r>
    </w:p>
    <w:p w14:paraId="7A680CB2">
      <w:pPr>
        <w:keepNext w:val="0"/>
        <w:keepLines w:val="0"/>
        <w:pageBreakBefore w:val="0"/>
        <w:wordWrap w:val="0"/>
        <w:overflowPunct/>
        <w:topLinePunct w:val="0"/>
        <w:bidi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涨价时，</w:t>
      </w:r>
      <w:r>
        <w:rPr>
          <w:rFonts w:hint="eastAsia" w:ascii="宋体" w:hAnsi="宋体" w:eastAsia="宋体" w:cs="宋体"/>
          <w:snapToGrid w:val="0"/>
          <w:color w:val="auto"/>
          <w:spacing w:val="0"/>
          <w:kern w:val="0"/>
          <w:position w:val="-30"/>
          <w:sz w:val="24"/>
          <w:szCs w:val="24"/>
          <w:highlight w:val="none"/>
        </w:rPr>
        <w:object>
          <v:shape id="_x0000_i1035" o:spt="75" type="#_x0000_t75" style="height:33.95pt;width:200.95pt;" o:ole="t" filled="f" o:preferrelative="t" stroked="f" coordsize="21600,21600">
            <v:path/>
            <v:fill on="f" focussize="0,0"/>
            <v:stroke on="f"/>
            <v:imagedata r:id="rId54" embosscolor="#FFFFFF" o:title=""/>
            <o:lock v:ext="edit" grouping="f" rotation="f" text="f" aspectratio="t"/>
            <w10:wrap type="none"/>
            <w10:anchorlock/>
          </v:shape>
          <o:OLEObject Type="Embed" ProgID="Equation.KSEE3" ShapeID="_x0000_i1035" DrawAspect="Content" ObjectID="_1468075735" r:id="rId53">
            <o:LockedField>false</o:LockedField>
          </o:OLEObject>
        </w:object>
      </w:r>
    </w:p>
    <w:p w14:paraId="28E4546C">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跌价时，</w:t>
      </w:r>
      <w:r>
        <w:rPr>
          <w:rFonts w:hint="eastAsia" w:ascii="宋体" w:hAnsi="宋体" w:eastAsia="宋体" w:cs="宋体"/>
          <w:snapToGrid w:val="0"/>
          <w:color w:val="auto"/>
          <w:spacing w:val="0"/>
          <w:kern w:val="0"/>
          <w:position w:val="-30"/>
          <w:sz w:val="24"/>
          <w:szCs w:val="24"/>
          <w:highlight w:val="none"/>
        </w:rPr>
        <w:object>
          <v:shape id="_x0000_i1036" o:spt="75" type="#_x0000_t75" style="height:33.95pt;width:200.95pt;" o:ole="t" filled="f" o:preferrelative="t" stroked="f" coordsize="21600,21600">
            <v:path/>
            <v:fill on="f" focussize="0,0"/>
            <v:stroke on="f"/>
            <v:imagedata r:id="rId56" embosscolor="#FFFFFF" o:title=""/>
            <o:lock v:ext="edit" grouping="f" rotation="f" text="f" aspectratio="t"/>
            <w10:wrap type="none"/>
            <w10:anchorlock/>
          </v:shape>
          <o:OLEObject Type="Embed" ProgID="Equation.KSEE3" ShapeID="_x0000_i1036" DrawAspect="Content" ObjectID="_1468075736" r:id="rId55">
            <o:LockedField>false</o:LockedField>
          </o:OLEObject>
        </w:object>
      </w:r>
    </w:p>
    <w:p w14:paraId="3F7163AA">
      <w:pPr>
        <w:keepNext w:val="0"/>
        <w:keepLines w:val="0"/>
        <w:pageBreakBefore w:val="0"/>
        <w:wordWrap w:val="0"/>
        <w:overflowPunct/>
        <w:topLinePunct w:val="0"/>
        <w:bidi w:val="0"/>
        <w:spacing w:before="79" w:line="324" w:lineRule="auto"/>
        <w:ind w:left="11" w:right="65" w:firstLine="5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以上公式中，F</w:t>
      </w:r>
      <w:r>
        <w:rPr>
          <w:rFonts w:hint="eastAsia" w:ascii="宋体" w:hAnsi="宋体" w:eastAsia="宋体" w:cs="宋体"/>
          <w:color w:val="auto"/>
          <w:spacing w:val="0"/>
          <w:position w:val="-1"/>
          <w:sz w:val="15"/>
          <w:szCs w:val="15"/>
          <w:highlight w:val="none"/>
        </w:rPr>
        <w:t xml:space="preserve">1 </w:t>
      </w:r>
      <w:r>
        <w:rPr>
          <w:rFonts w:hint="eastAsia" w:ascii="宋体" w:hAnsi="宋体" w:eastAsia="宋体" w:cs="宋体"/>
          <w:color w:val="auto"/>
          <w:spacing w:val="0"/>
          <w:sz w:val="24"/>
          <w:szCs w:val="24"/>
          <w:highlight w:val="none"/>
        </w:rPr>
        <w:t>为中标单价；F</w:t>
      </w:r>
      <w:r>
        <w:rPr>
          <w:rFonts w:hint="eastAsia" w:ascii="宋体" w:hAnsi="宋体" w:eastAsia="宋体" w:cs="宋体"/>
          <w:color w:val="auto"/>
          <w:spacing w:val="0"/>
          <w:position w:val="-1"/>
          <w:sz w:val="15"/>
          <w:szCs w:val="15"/>
          <w:highlight w:val="none"/>
        </w:rPr>
        <w:t>0</w:t>
      </w:r>
      <w:r>
        <w:rPr>
          <w:rFonts w:hint="eastAsia" w:ascii="宋体" w:hAnsi="宋体" w:eastAsia="宋体" w:cs="宋体"/>
          <w:color w:val="auto"/>
          <w:spacing w:val="0"/>
          <w:w w:val="101"/>
          <w:position w:val="-1"/>
          <w:sz w:val="15"/>
          <w:szCs w:val="15"/>
          <w:highlight w:val="none"/>
        </w:rPr>
        <w:t xml:space="preserve"> </w:t>
      </w:r>
      <w:r>
        <w:rPr>
          <w:rFonts w:hint="eastAsia" w:ascii="宋体" w:hAnsi="宋体" w:eastAsia="宋体" w:cs="宋体"/>
          <w:color w:val="auto"/>
          <w:spacing w:val="0"/>
          <w:sz w:val="24"/>
          <w:szCs w:val="24"/>
          <w:highlight w:val="none"/>
        </w:rPr>
        <w:t>为基准单价；F</w:t>
      </w:r>
      <w:r>
        <w:rPr>
          <w:rFonts w:hint="eastAsia" w:ascii="宋体" w:hAnsi="宋体" w:eastAsia="宋体" w:cs="宋体"/>
          <w:color w:val="auto"/>
          <w:spacing w:val="0"/>
          <w:position w:val="-1"/>
          <w:sz w:val="15"/>
          <w:szCs w:val="15"/>
          <w:highlight w:val="none"/>
        </w:rPr>
        <w:t xml:space="preserve">2 </w:t>
      </w:r>
      <w:r>
        <w:rPr>
          <w:rFonts w:hint="eastAsia" w:ascii="宋体" w:hAnsi="宋体" w:eastAsia="宋体" w:cs="宋体"/>
          <w:color w:val="auto"/>
          <w:spacing w:val="0"/>
          <w:sz w:val="24"/>
          <w:szCs w:val="24"/>
          <w:highlight w:val="none"/>
        </w:rPr>
        <w:t>为施工当月项目所在地工程造价管理机构发布的施工机具台班单价；B 为合同约定的施工机具台班单价涨跌风险幅度值。</w:t>
      </w:r>
    </w:p>
    <w:p w14:paraId="308ADC6A">
      <w:pPr>
        <w:keepNext w:val="0"/>
        <w:keepLines w:val="0"/>
        <w:pageBreakBefore w:val="0"/>
        <w:wordWrap w:val="0"/>
        <w:overflowPunct/>
        <w:topLinePunct w:val="0"/>
        <w:bidi w:val="0"/>
        <w:spacing w:before="39" w:line="219" w:lineRule="auto"/>
        <w:ind w:left="48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2.3.7  </w:t>
      </w:r>
      <w:r>
        <w:rPr>
          <w:rFonts w:hint="eastAsia" w:ascii="宋体" w:hAnsi="宋体" w:eastAsia="宋体" w:cs="宋体"/>
          <w:color w:val="auto"/>
          <w:spacing w:val="0"/>
          <w:sz w:val="24"/>
          <w:szCs w:val="24"/>
          <w:highlight w:val="none"/>
        </w:rPr>
        <w:t>暂估价和暂列金额</w:t>
      </w:r>
    </w:p>
    <w:p w14:paraId="000ED670">
      <w:pPr>
        <w:keepNext w:val="0"/>
        <w:keepLines w:val="0"/>
        <w:pageBreakBefore w:val="0"/>
        <w:wordWrap w:val="0"/>
        <w:overflowPunct/>
        <w:topLinePunct w:val="0"/>
        <w:bidi w:val="0"/>
        <w:spacing w:before="154" w:line="299" w:lineRule="auto"/>
        <w:ind w:left="7" w:right="57" w:firstLine="477"/>
        <w:rPr>
          <w:rFonts w:hint="eastAsia" w:ascii="宋体" w:hAnsi="宋体" w:eastAsia="宋体" w:cs="宋体"/>
          <w:snapToGrid w:val="0"/>
          <w:color w:val="auto"/>
          <w:spacing w:val="0"/>
          <w:kern w:val="0"/>
          <w:sz w:val="24"/>
          <w:szCs w:val="24"/>
          <w:highlight w:val="none"/>
          <w:lang w:eastAsia="zh-CN"/>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"2.3.7.1"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2.3.7.1</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snapToGrid w:val="0"/>
          <w:color w:val="auto"/>
          <w:spacing w:val="0"/>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spacing w:val="0"/>
          <w:kern w:val="0"/>
          <w:sz w:val="24"/>
          <w:szCs w:val="24"/>
          <w:highlight w:val="none"/>
          <w:lang w:eastAsia="zh-CN"/>
        </w:rPr>
        <w:t>8.5</w:t>
      </w:r>
      <w:r>
        <w:rPr>
          <w:rFonts w:hint="eastAsia" w:ascii="宋体" w:hAnsi="宋体" w:eastAsia="宋体" w:cs="宋体"/>
          <w:snapToGrid w:val="0"/>
          <w:color w:val="auto"/>
          <w:spacing w:val="0"/>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14B20852">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highlight w:val="none"/>
        </w:rPr>
        <w:fldChar w:fldCharType="begin"/>
      </w:r>
      <w:r>
        <w:rPr>
          <w:rFonts w:hint="eastAsia" w:ascii="宋体" w:hAnsi="宋体" w:eastAsia="宋体" w:cs="宋体"/>
          <w:color w:val="auto"/>
          <w:spacing w:val="0"/>
          <w:highlight w:val="none"/>
        </w:rPr>
        <w:instrText xml:space="preserve"> HYPERLINK "2.3.7.2" </w:instrText>
      </w:r>
      <w:r>
        <w:rPr>
          <w:rFonts w:hint="eastAsia" w:ascii="宋体" w:hAnsi="宋体" w:eastAsia="宋体" w:cs="宋体"/>
          <w:color w:val="auto"/>
          <w:spacing w:val="0"/>
          <w:highlight w:val="none"/>
        </w:rPr>
        <w:fldChar w:fldCharType="separate"/>
      </w:r>
      <w:r>
        <w:rPr>
          <w:rFonts w:hint="eastAsia" w:ascii="宋体" w:hAnsi="宋体" w:eastAsia="宋体" w:cs="宋体"/>
          <w:b/>
          <w:bCs/>
          <w:color w:val="auto"/>
          <w:spacing w:val="0"/>
          <w:sz w:val="24"/>
          <w:szCs w:val="24"/>
          <w:highlight w:val="none"/>
        </w:rPr>
        <w:t>2.3.7.2</w:t>
      </w:r>
      <w:r>
        <w:rPr>
          <w:rFonts w:hint="eastAsia" w:ascii="宋体" w:hAnsi="宋体" w:eastAsia="宋体" w:cs="宋体"/>
          <w:b/>
          <w:bCs/>
          <w:color w:val="auto"/>
          <w:spacing w:val="0"/>
          <w:sz w:val="24"/>
          <w:szCs w:val="24"/>
          <w:highlight w:val="none"/>
        </w:rPr>
        <w:fldChar w:fldCharType="end"/>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 xml:space="preserve">暂列金额由发包人掌握和使用。暂列金额项目若有发生，按第一章第三节“投标人须知正文 ”第 </w:t>
      </w:r>
      <w:r>
        <w:rPr>
          <w:rFonts w:hint="eastAsia" w:ascii="宋体" w:hAnsi="宋体" w:eastAsia="宋体" w:cs="宋体"/>
          <w:b/>
          <w:bCs/>
          <w:color w:val="auto"/>
          <w:spacing w:val="0"/>
          <w:sz w:val="24"/>
          <w:szCs w:val="24"/>
          <w:highlight w:val="none"/>
        </w:rPr>
        <w:t xml:space="preserve">8.6 </w:t>
      </w:r>
      <w:r>
        <w:rPr>
          <w:rFonts w:hint="eastAsia" w:ascii="宋体" w:hAnsi="宋体" w:eastAsia="宋体" w:cs="宋体"/>
          <w:color w:val="auto"/>
          <w:spacing w:val="0"/>
          <w:sz w:val="24"/>
          <w:szCs w:val="24"/>
          <w:highlight w:val="none"/>
        </w:rPr>
        <w:t>条的规定确定材料供应商（或工程设备供应商、服务供应商）后，材料（或工程设备、服务）的合同价款从暂列金额中支付。暂列金额扣除已发生的暂列 金额项目合同价款、已发生的合同约定调整因素出现时的调整价款、已发生的索赔以及现场签证确认等的费用后，余额（若有）归发包人所有。</w:t>
      </w:r>
    </w:p>
    <w:p w14:paraId="6786BA18">
      <w:pPr>
        <w:pStyle w:val="6"/>
        <w:spacing w:before="1" w:line="218" w:lineRule="auto"/>
        <w:ind w:left="477"/>
        <w:rPr>
          <w:rFonts w:hint="eastAsia" w:ascii="宋体" w:hAnsi="宋体" w:eastAsia="宋体" w:cs="宋体"/>
          <w:sz w:val="24"/>
          <w:szCs w:val="24"/>
          <w:highlight w:val="none"/>
        </w:rPr>
      </w:pPr>
      <w:r>
        <w:rPr>
          <w:rFonts w:hint="eastAsia" w:ascii="宋体" w:hAnsi="宋体" w:eastAsia="宋体" w:cs="宋体"/>
          <w:b/>
          <w:bCs/>
          <w:color w:val="auto"/>
          <w:spacing w:val="0"/>
          <w:sz w:val="24"/>
          <w:szCs w:val="24"/>
          <w:highlight w:val="none"/>
        </w:rPr>
        <w:t>2.3.8</w:t>
      </w:r>
      <w:r>
        <w:rPr>
          <w:rFonts w:hint="eastAsia" w:ascii="宋体" w:hAnsi="宋体" w:eastAsia="宋体" w:cs="宋体"/>
          <w:color w:val="auto"/>
          <w:spacing w:val="0"/>
          <w:sz w:val="24"/>
          <w:szCs w:val="24"/>
          <w:highlight w:val="none"/>
        </w:rPr>
        <w:t xml:space="preserve"> </w:t>
      </w:r>
      <w:r>
        <w:rPr>
          <w:rFonts w:hint="eastAsia" w:ascii="宋体" w:hAnsi="宋体" w:eastAsia="宋体" w:cs="宋体"/>
          <w:sz w:val="24"/>
          <w:szCs w:val="24"/>
          <w:highlight w:val="none"/>
        </w:rPr>
        <w:t>预算包干费按相关规定计算，本招标项目的预算包</w:t>
      </w:r>
      <w:r>
        <w:rPr>
          <w:rFonts w:hint="eastAsia" w:ascii="宋体" w:hAnsi="宋体" w:eastAsia="宋体" w:cs="宋体"/>
          <w:spacing w:val="-1"/>
          <w:sz w:val="24"/>
          <w:szCs w:val="24"/>
          <w:highlight w:val="none"/>
        </w:rPr>
        <w:t>干费内容包括：</w:t>
      </w:r>
    </w:p>
    <w:p w14:paraId="0239C6DC">
      <w:pPr>
        <w:pStyle w:val="6"/>
        <w:tabs>
          <w:tab w:val="left" w:pos="607"/>
        </w:tabs>
        <w:spacing w:before="155" w:line="313" w:lineRule="auto"/>
        <w:ind w:right="18" w:firstLine="470"/>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8"/>
          <w:sz w:val="24"/>
          <w:szCs w:val="24"/>
          <w:highlight w:val="none"/>
          <w:u w:val="single" w:color="auto"/>
        </w:rPr>
        <w:t>（1）土建与装饰装修工程预算包干费按分部分项的人工费与施工机具费之和的</w:t>
      </w:r>
      <w:r>
        <w:rPr>
          <w:rFonts w:hint="eastAsia" w:ascii="宋体" w:hAnsi="宋体" w:eastAsia="宋体" w:cs="宋体"/>
          <w:spacing w:val="-37"/>
          <w:sz w:val="24"/>
          <w:szCs w:val="24"/>
          <w:highlight w:val="none"/>
          <w:u w:val="single" w:color="auto"/>
        </w:rPr>
        <w:t xml:space="preserve"> </w:t>
      </w:r>
      <w:r>
        <w:rPr>
          <w:rFonts w:hint="eastAsia" w:ascii="宋体" w:hAnsi="宋体" w:eastAsia="宋体" w:cs="宋体"/>
          <w:spacing w:val="-8"/>
          <w:sz w:val="24"/>
          <w:szCs w:val="24"/>
          <w:highlight w:val="none"/>
          <w:u w:val="single" w:color="auto"/>
        </w:rPr>
        <w:t>7%计算，</w:t>
      </w:r>
      <w:r>
        <w:rPr>
          <w:rFonts w:hint="eastAsia" w:ascii="宋体" w:hAnsi="宋体" w:eastAsia="宋体" w:cs="宋体"/>
          <w:spacing w:val="-1"/>
          <w:sz w:val="24"/>
          <w:szCs w:val="24"/>
          <w:highlight w:val="none"/>
          <w:u w:val="single" w:color="auto"/>
        </w:rPr>
        <w:t>施工雨水、污水的排除；因地形影响造成的场内料具二次运输；20 米高以下的工程用水加压</w:t>
      </w:r>
      <w:r>
        <w:rPr>
          <w:rFonts w:hint="eastAsia" w:ascii="宋体" w:hAnsi="宋体" w:eastAsia="宋体" w:cs="宋体"/>
          <w:sz w:val="24"/>
          <w:szCs w:val="24"/>
          <w:highlight w:val="none"/>
          <w:u w:val="single" w:color="auto"/>
        </w:rPr>
        <w:t>措施；施工材料堆放场地的整理；机电安装后的补洞(槽)工料费；工程</w:t>
      </w:r>
      <w:r>
        <w:rPr>
          <w:rFonts w:hint="eastAsia" w:ascii="宋体" w:hAnsi="宋体" w:eastAsia="宋体" w:cs="宋体"/>
          <w:spacing w:val="-1"/>
          <w:sz w:val="24"/>
          <w:szCs w:val="24"/>
          <w:highlight w:val="none"/>
          <w:u w:val="single" w:color="auto"/>
        </w:rPr>
        <w:t>成品保护费；施工中的临时停水停电；基础埋深</w:t>
      </w:r>
      <w:r>
        <w:rPr>
          <w:rFonts w:hint="eastAsia" w:ascii="宋体" w:hAnsi="宋体" w:eastAsia="宋体" w:cs="宋体"/>
          <w:spacing w:val="-55"/>
          <w:sz w:val="24"/>
          <w:szCs w:val="24"/>
          <w:highlight w:val="none"/>
          <w:u w:val="single" w:color="auto"/>
        </w:rPr>
        <w:t xml:space="preserve"> </w:t>
      </w:r>
      <w:r>
        <w:rPr>
          <w:rFonts w:hint="eastAsia" w:ascii="宋体" w:hAnsi="宋体" w:eastAsia="宋体" w:cs="宋体"/>
          <w:spacing w:val="-1"/>
          <w:sz w:val="24"/>
          <w:szCs w:val="24"/>
          <w:highlight w:val="none"/>
          <w:u w:val="single" w:color="auto"/>
        </w:rPr>
        <w:t>2 米以内挖土方的塌方；日间照明</w:t>
      </w:r>
      <w:r>
        <w:rPr>
          <w:rFonts w:hint="eastAsia" w:ascii="宋体" w:hAnsi="宋体" w:eastAsia="宋体" w:cs="宋体"/>
          <w:spacing w:val="-2"/>
          <w:sz w:val="24"/>
          <w:szCs w:val="24"/>
          <w:highlight w:val="none"/>
          <w:u w:val="single" w:color="auto"/>
        </w:rPr>
        <w:t>施工增加费(不包括地下室和特</w:t>
      </w:r>
      <w:r>
        <w:rPr>
          <w:rFonts w:hint="eastAsia" w:ascii="宋体" w:hAnsi="宋体" w:eastAsia="宋体" w:cs="宋体"/>
          <w:spacing w:val="1"/>
          <w:sz w:val="24"/>
          <w:szCs w:val="24"/>
          <w:highlight w:val="none"/>
          <w:u w:val="single" w:color="auto"/>
        </w:rPr>
        <w:t>殊工程)；完工清场后的垃圾外运等。</w:t>
      </w:r>
    </w:p>
    <w:p w14:paraId="758C5D5A">
      <w:pPr>
        <w:spacing w:line="313" w:lineRule="auto"/>
        <w:rPr>
          <w:rFonts w:hint="eastAsia" w:ascii="宋体" w:hAnsi="宋体" w:eastAsia="宋体" w:cs="宋体"/>
          <w:sz w:val="24"/>
          <w:szCs w:val="24"/>
          <w:highlight w:val="none"/>
        </w:rPr>
        <w:sectPr>
          <w:footerReference r:id="rId13" w:type="default"/>
          <w:pgSz w:w="11906" w:h="16839"/>
          <w:pgMar w:top="400" w:right="1054" w:bottom="1049" w:left="1141" w:header="0" w:footer="847" w:gutter="0"/>
          <w:pgNumType w:fmt="decimal"/>
          <w:cols w:space="720" w:num="1"/>
        </w:sectPr>
      </w:pPr>
    </w:p>
    <w:p w14:paraId="731E7F93">
      <w:pPr>
        <w:pStyle w:val="6"/>
        <w:tabs>
          <w:tab w:val="left" w:pos="607"/>
        </w:tabs>
        <w:spacing w:before="78" w:line="319" w:lineRule="auto"/>
        <w:ind w:right="92" w:firstLine="469"/>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2"/>
          <w:sz w:val="24"/>
          <w:szCs w:val="24"/>
          <w:highlight w:val="none"/>
          <w:u w:val="single" w:color="auto"/>
        </w:rPr>
        <w:t>（2）市政工程预算包干费按分部分项的人工费与施工机具费之和的6%计算，预算包干</w:t>
      </w:r>
      <w:r>
        <w:rPr>
          <w:rFonts w:hint="eastAsia" w:ascii="宋体" w:hAnsi="宋体" w:eastAsia="宋体" w:cs="宋体"/>
          <w:sz w:val="24"/>
          <w:szCs w:val="24"/>
          <w:highlight w:val="none"/>
          <w:u w:val="single" w:color="auto"/>
        </w:rPr>
        <w:t>包括：施工雨(污)水的排除、因地形影响造成的场内料具二次运输、</w:t>
      </w:r>
      <w:r>
        <w:rPr>
          <w:rFonts w:hint="eastAsia" w:ascii="宋体" w:hAnsi="宋体" w:eastAsia="宋体" w:cs="宋体"/>
          <w:spacing w:val="-1"/>
          <w:sz w:val="24"/>
          <w:szCs w:val="24"/>
          <w:highlight w:val="none"/>
          <w:u w:val="single" w:color="auto"/>
        </w:rPr>
        <w:t>施工材料堆放场地的整</w:t>
      </w:r>
      <w:r>
        <w:rPr>
          <w:rFonts w:hint="eastAsia" w:ascii="宋体" w:hAnsi="宋体" w:eastAsia="宋体" w:cs="宋体"/>
          <w:spacing w:val="-2"/>
          <w:sz w:val="24"/>
          <w:szCs w:val="24"/>
          <w:highlight w:val="none"/>
          <w:u w:val="single" w:color="auto"/>
        </w:rPr>
        <w:t>理、施工中的临时停水停电、基础埋深</w:t>
      </w:r>
      <w:r>
        <w:rPr>
          <w:rFonts w:hint="eastAsia" w:ascii="宋体" w:hAnsi="宋体" w:eastAsia="宋体" w:cs="宋体"/>
          <w:spacing w:val="-55"/>
          <w:sz w:val="24"/>
          <w:szCs w:val="24"/>
          <w:highlight w:val="none"/>
          <w:u w:val="single" w:color="auto"/>
        </w:rPr>
        <w:t xml:space="preserve"> </w:t>
      </w:r>
      <w:r>
        <w:rPr>
          <w:rFonts w:hint="eastAsia" w:ascii="宋体" w:hAnsi="宋体" w:eastAsia="宋体" w:cs="宋体"/>
          <w:spacing w:val="-2"/>
          <w:sz w:val="24"/>
          <w:szCs w:val="24"/>
          <w:highlight w:val="none"/>
          <w:u w:val="single" w:color="auto"/>
        </w:rPr>
        <w:t>2m</w:t>
      </w:r>
      <w:r>
        <w:rPr>
          <w:rFonts w:hint="eastAsia" w:ascii="宋体" w:hAnsi="宋体" w:eastAsia="宋体" w:cs="宋体"/>
          <w:spacing w:val="37"/>
          <w:w w:val="101"/>
          <w:sz w:val="24"/>
          <w:szCs w:val="24"/>
          <w:highlight w:val="none"/>
          <w:u w:val="single" w:color="auto"/>
        </w:rPr>
        <w:t xml:space="preserve"> </w:t>
      </w:r>
      <w:r>
        <w:rPr>
          <w:rFonts w:hint="eastAsia" w:ascii="宋体" w:hAnsi="宋体" w:eastAsia="宋体" w:cs="宋体"/>
          <w:spacing w:val="-3"/>
          <w:sz w:val="24"/>
          <w:szCs w:val="24"/>
          <w:highlight w:val="none"/>
          <w:u w:val="single" w:color="auto"/>
        </w:rPr>
        <w:t>以内挖土方的塌方、</w:t>
      </w:r>
      <w:r>
        <w:rPr>
          <w:rFonts w:hint="eastAsia" w:ascii="宋体" w:hAnsi="宋体" w:eastAsia="宋体" w:cs="宋体"/>
          <w:spacing w:val="-70"/>
          <w:sz w:val="24"/>
          <w:szCs w:val="24"/>
          <w:highlight w:val="none"/>
          <w:u w:val="single" w:color="auto"/>
        </w:rPr>
        <w:t xml:space="preserve"> </w:t>
      </w:r>
      <w:r>
        <w:rPr>
          <w:rFonts w:hint="eastAsia" w:ascii="宋体" w:hAnsi="宋体" w:eastAsia="宋体" w:cs="宋体"/>
          <w:spacing w:val="-3"/>
          <w:sz w:val="24"/>
          <w:szCs w:val="24"/>
          <w:highlight w:val="none"/>
          <w:u w:val="single" w:color="auto"/>
        </w:rPr>
        <w:t>日间照明施工增加费(不包括</w:t>
      </w:r>
      <w:r>
        <w:rPr>
          <w:rFonts w:hint="eastAsia" w:ascii="宋体" w:hAnsi="宋体" w:eastAsia="宋体" w:cs="宋体"/>
          <w:spacing w:val="-1"/>
          <w:sz w:val="24"/>
          <w:szCs w:val="24"/>
          <w:highlight w:val="none"/>
          <w:u w:val="single" w:color="auto"/>
        </w:rPr>
        <w:t>地下室和特殊工程)</w:t>
      </w:r>
      <w:r>
        <w:rPr>
          <w:rFonts w:hint="eastAsia" w:ascii="宋体" w:hAnsi="宋体" w:eastAsia="宋体" w:cs="宋体"/>
          <w:spacing w:val="-29"/>
          <w:sz w:val="24"/>
          <w:szCs w:val="24"/>
          <w:highlight w:val="none"/>
          <w:u w:val="single" w:color="auto"/>
        </w:rPr>
        <w:t xml:space="preserve"> </w:t>
      </w:r>
      <w:r>
        <w:rPr>
          <w:rFonts w:hint="eastAsia" w:ascii="宋体" w:hAnsi="宋体" w:eastAsia="宋体" w:cs="宋体"/>
          <w:spacing w:val="-1"/>
          <w:sz w:val="24"/>
          <w:szCs w:val="24"/>
          <w:highlight w:val="none"/>
          <w:u w:val="single" w:color="auto"/>
        </w:rPr>
        <w:t>、完工清场后的垃圾外运、地上(地下)设施，建筑物的临时保护设施费和</w:t>
      </w:r>
      <w:r>
        <w:rPr>
          <w:rFonts w:hint="eastAsia" w:ascii="宋体" w:hAnsi="宋体" w:eastAsia="宋体" w:cs="宋体"/>
          <w:sz w:val="24"/>
          <w:szCs w:val="24"/>
          <w:highlight w:val="none"/>
          <w:u w:val="single" w:color="auto"/>
        </w:rPr>
        <w:t>二次加工基地设施费、雨季施工增加费、己完工程及设备保护等，</w:t>
      </w:r>
      <w:r>
        <w:rPr>
          <w:rFonts w:hint="eastAsia" w:ascii="宋体" w:hAnsi="宋体" w:eastAsia="宋体" w:cs="宋体"/>
          <w:spacing w:val="-1"/>
          <w:sz w:val="24"/>
          <w:szCs w:val="24"/>
          <w:highlight w:val="none"/>
          <w:u w:val="single" w:color="auto"/>
        </w:rPr>
        <w:t>包干的内容不再依据方案</w:t>
      </w:r>
      <w:r>
        <w:rPr>
          <w:rFonts w:hint="eastAsia" w:ascii="宋体" w:hAnsi="宋体" w:eastAsia="宋体" w:cs="宋体"/>
          <w:spacing w:val="2"/>
          <w:sz w:val="24"/>
          <w:szCs w:val="24"/>
          <w:highlight w:val="none"/>
          <w:u w:val="single" w:color="auto"/>
        </w:rPr>
        <w:t>或签证计算费用。</w:t>
      </w:r>
    </w:p>
    <w:p w14:paraId="5D1DAC24">
      <w:pPr>
        <w:pStyle w:val="6"/>
        <w:tabs>
          <w:tab w:val="left" w:pos="607"/>
        </w:tabs>
        <w:spacing w:before="152" w:line="309" w:lineRule="auto"/>
        <w:ind w:right="99" w:firstLine="469"/>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2"/>
          <w:sz w:val="24"/>
          <w:szCs w:val="24"/>
          <w:highlight w:val="none"/>
          <w:u w:val="single" w:color="auto"/>
        </w:rPr>
        <w:t>（3）园林绿化工程预算包干费按分部分项的人工费与施工机具费之和的6%计算，预算</w:t>
      </w:r>
      <w:r>
        <w:rPr>
          <w:rFonts w:hint="eastAsia" w:ascii="宋体" w:hAnsi="宋体" w:eastAsia="宋体" w:cs="宋体"/>
          <w:sz w:val="24"/>
          <w:szCs w:val="24"/>
          <w:highlight w:val="none"/>
          <w:u w:val="single" w:color="auto"/>
        </w:rPr>
        <w:t>包干内容包括：施工雨(污)水的排除；场内料具二次运输；树穴内的</w:t>
      </w:r>
      <w:r>
        <w:rPr>
          <w:rFonts w:hint="eastAsia" w:ascii="宋体" w:hAnsi="宋体" w:eastAsia="宋体" w:cs="宋体"/>
          <w:spacing w:val="-1"/>
          <w:sz w:val="24"/>
          <w:szCs w:val="24"/>
          <w:highlight w:val="none"/>
          <w:u w:val="single" w:color="auto"/>
        </w:rPr>
        <w:t>泥浆清除；工程用水加</w:t>
      </w:r>
      <w:r>
        <w:rPr>
          <w:rFonts w:hint="eastAsia" w:ascii="宋体" w:hAnsi="宋体" w:eastAsia="宋体" w:cs="宋体"/>
          <w:spacing w:val="-2"/>
          <w:sz w:val="24"/>
          <w:szCs w:val="24"/>
          <w:highlight w:val="none"/>
          <w:u w:val="single" w:color="auto"/>
        </w:rPr>
        <w:t>压措施；施工材料堆放场地的整理；工程成品的保护；施工中的临时停水停电；</w:t>
      </w:r>
      <w:r>
        <w:rPr>
          <w:rFonts w:hint="eastAsia" w:ascii="宋体" w:hAnsi="宋体" w:eastAsia="宋体" w:cs="宋体"/>
          <w:spacing w:val="-51"/>
          <w:sz w:val="24"/>
          <w:szCs w:val="24"/>
          <w:highlight w:val="none"/>
          <w:u w:val="single" w:color="auto"/>
        </w:rPr>
        <w:t xml:space="preserve"> </w:t>
      </w:r>
      <w:r>
        <w:rPr>
          <w:rFonts w:hint="eastAsia" w:ascii="宋体" w:hAnsi="宋体" w:eastAsia="宋体" w:cs="宋体"/>
          <w:spacing w:val="-2"/>
          <w:sz w:val="24"/>
          <w:szCs w:val="24"/>
          <w:highlight w:val="none"/>
          <w:u w:val="single" w:color="auto"/>
        </w:rPr>
        <w:t>日间施工照</w:t>
      </w:r>
      <w:r>
        <w:rPr>
          <w:rFonts w:hint="eastAsia" w:ascii="宋体" w:hAnsi="宋体" w:eastAsia="宋体" w:cs="宋体"/>
          <w:spacing w:val="1"/>
          <w:sz w:val="24"/>
          <w:szCs w:val="24"/>
          <w:highlight w:val="none"/>
          <w:u w:val="single" w:color="auto"/>
        </w:rPr>
        <w:t>明增加费；完工后的场地清理。</w:t>
      </w:r>
    </w:p>
    <w:p w14:paraId="0C14C106">
      <w:pPr>
        <w:pStyle w:val="6"/>
        <w:tabs>
          <w:tab w:val="left" w:pos="607"/>
        </w:tabs>
        <w:spacing w:before="154" w:line="313" w:lineRule="auto"/>
        <w:ind w:firstLine="470"/>
        <w:rPr>
          <w:rFonts w:hint="eastAsia" w:ascii="宋体" w:hAnsi="宋体" w:eastAsia="宋体" w:cs="宋体"/>
          <w:sz w:val="24"/>
          <w:szCs w:val="24"/>
          <w:highlight w:val="none"/>
        </w:rPr>
      </w:pPr>
      <w:r>
        <w:rPr>
          <w:rFonts w:hint="eastAsia" w:ascii="宋体" w:hAnsi="宋体" w:eastAsia="宋体" w:cs="宋体"/>
          <w:sz w:val="24"/>
          <w:szCs w:val="24"/>
          <w:highlight w:val="none"/>
          <w:u w:val="single" w:color="auto"/>
        </w:rPr>
        <w:tab/>
      </w:r>
      <w:r>
        <w:rPr>
          <w:rFonts w:hint="eastAsia" w:ascii="宋体" w:hAnsi="宋体" w:eastAsia="宋体" w:cs="宋体"/>
          <w:spacing w:val="-7"/>
          <w:sz w:val="24"/>
          <w:szCs w:val="24"/>
          <w:highlight w:val="none"/>
          <w:u w:val="single" w:color="auto"/>
        </w:rPr>
        <w:t>（4）安装工程预算包干费按分部分项的人工费与施工机具费之和的</w:t>
      </w:r>
      <w:r>
        <w:rPr>
          <w:rFonts w:hint="eastAsia" w:ascii="宋体" w:hAnsi="宋体" w:eastAsia="宋体" w:cs="宋体"/>
          <w:spacing w:val="-18"/>
          <w:sz w:val="24"/>
          <w:szCs w:val="24"/>
          <w:highlight w:val="none"/>
          <w:u w:val="single" w:color="auto"/>
        </w:rPr>
        <w:t xml:space="preserve"> </w:t>
      </w:r>
      <w:r>
        <w:rPr>
          <w:rFonts w:hint="eastAsia" w:ascii="宋体" w:hAnsi="宋体" w:eastAsia="宋体" w:cs="宋体"/>
          <w:spacing w:val="-7"/>
          <w:sz w:val="24"/>
          <w:szCs w:val="24"/>
          <w:highlight w:val="none"/>
          <w:u w:val="single" w:color="auto"/>
        </w:rPr>
        <w:t>10%计算，预算包干</w:t>
      </w:r>
      <w:r>
        <w:rPr>
          <w:rFonts w:hint="eastAsia" w:ascii="宋体" w:hAnsi="宋体" w:eastAsia="宋体" w:cs="宋体"/>
          <w:spacing w:val="-1"/>
          <w:sz w:val="24"/>
          <w:szCs w:val="24"/>
          <w:highlight w:val="none"/>
          <w:u w:val="single" w:color="auto"/>
        </w:rPr>
        <w:t>内容包括：施工雨(污)水的排除、因地形影响造成的场内料具二次运输、20m</w:t>
      </w:r>
      <w:r>
        <w:rPr>
          <w:rFonts w:hint="eastAsia" w:ascii="宋体" w:hAnsi="宋体" w:eastAsia="宋体" w:cs="宋体"/>
          <w:spacing w:val="34"/>
          <w:sz w:val="24"/>
          <w:szCs w:val="24"/>
          <w:highlight w:val="none"/>
          <w:u w:val="single" w:color="auto"/>
        </w:rPr>
        <w:t xml:space="preserve"> </w:t>
      </w:r>
      <w:r>
        <w:rPr>
          <w:rFonts w:hint="eastAsia" w:ascii="宋体" w:hAnsi="宋体" w:eastAsia="宋体" w:cs="宋体"/>
          <w:spacing w:val="-1"/>
          <w:sz w:val="24"/>
          <w:szCs w:val="24"/>
          <w:highlight w:val="none"/>
          <w:u w:val="single" w:color="auto"/>
        </w:rPr>
        <w:t>高以下的工程用水加压措施、施工材料堆放场地的整理、机电安装后的补洞(槽)工料费</w:t>
      </w:r>
      <w:r>
        <w:rPr>
          <w:rFonts w:hint="eastAsia" w:ascii="宋体" w:hAnsi="宋体" w:eastAsia="宋体" w:cs="宋体"/>
          <w:spacing w:val="-2"/>
          <w:sz w:val="24"/>
          <w:szCs w:val="24"/>
          <w:highlight w:val="none"/>
          <w:u w:val="single" w:color="auto"/>
        </w:rPr>
        <w:t>、工程成品保护费、施工中的临时停水停电、基础埋深</w:t>
      </w:r>
      <w:r>
        <w:rPr>
          <w:rFonts w:hint="eastAsia" w:ascii="宋体" w:hAnsi="宋体" w:eastAsia="宋体" w:cs="宋体"/>
          <w:spacing w:val="-55"/>
          <w:sz w:val="24"/>
          <w:szCs w:val="24"/>
          <w:highlight w:val="none"/>
          <w:u w:val="single" w:color="auto"/>
        </w:rPr>
        <w:t xml:space="preserve"> </w:t>
      </w:r>
      <w:r>
        <w:rPr>
          <w:rFonts w:hint="eastAsia" w:ascii="宋体" w:hAnsi="宋体" w:eastAsia="宋体" w:cs="宋体"/>
          <w:spacing w:val="-2"/>
          <w:sz w:val="24"/>
          <w:szCs w:val="24"/>
          <w:highlight w:val="none"/>
          <w:u w:val="single" w:color="auto"/>
        </w:rPr>
        <w:t>2m</w:t>
      </w:r>
      <w:r>
        <w:rPr>
          <w:rFonts w:hint="eastAsia" w:ascii="宋体" w:hAnsi="宋体" w:eastAsia="宋体" w:cs="宋体"/>
          <w:spacing w:val="37"/>
          <w:w w:val="101"/>
          <w:sz w:val="24"/>
          <w:szCs w:val="24"/>
          <w:highlight w:val="none"/>
          <w:u w:val="single" w:color="auto"/>
        </w:rPr>
        <w:t xml:space="preserve"> </w:t>
      </w:r>
      <w:r>
        <w:rPr>
          <w:rFonts w:hint="eastAsia" w:ascii="宋体" w:hAnsi="宋体" w:eastAsia="宋体" w:cs="宋体"/>
          <w:spacing w:val="-2"/>
          <w:sz w:val="24"/>
          <w:szCs w:val="24"/>
          <w:highlight w:val="none"/>
          <w:u w:val="single" w:color="auto"/>
        </w:rPr>
        <w:t>以内挖</w:t>
      </w:r>
      <w:r>
        <w:rPr>
          <w:rFonts w:hint="eastAsia" w:ascii="宋体" w:hAnsi="宋体" w:eastAsia="宋体" w:cs="宋体"/>
          <w:spacing w:val="-3"/>
          <w:sz w:val="24"/>
          <w:szCs w:val="24"/>
          <w:highlight w:val="none"/>
          <w:u w:val="single" w:color="auto"/>
        </w:rPr>
        <w:t>土方的塌方、</w:t>
      </w:r>
      <w:r>
        <w:rPr>
          <w:rFonts w:hint="eastAsia" w:ascii="宋体" w:hAnsi="宋体" w:eastAsia="宋体" w:cs="宋体"/>
          <w:spacing w:val="-70"/>
          <w:sz w:val="24"/>
          <w:szCs w:val="24"/>
          <w:highlight w:val="none"/>
          <w:u w:val="single" w:color="auto"/>
        </w:rPr>
        <w:t xml:space="preserve"> </w:t>
      </w:r>
      <w:r>
        <w:rPr>
          <w:rFonts w:hint="eastAsia" w:ascii="宋体" w:hAnsi="宋体" w:eastAsia="宋体" w:cs="宋体"/>
          <w:spacing w:val="-3"/>
          <w:sz w:val="24"/>
          <w:szCs w:val="24"/>
          <w:highlight w:val="none"/>
          <w:u w:val="single" w:color="auto"/>
        </w:rPr>
        <w:t>日间照明施工增加费(不包括地下</w:t>
      </w:r>
      <w:r>
        <w:rPr>
          <w:rFonts w:hint="eastAsia" w:ascii="宋体" w:hAnsi="宋体" w:eastAsia="宋体" w:cs="宋体"/>
          <w:spacing w:val="-1"/>
          <w:sz w:val="24"/>
          <w:szCs w:val="24"/>
          <w:highlight w:val="none"/>
          <w:u w:val="single" w:color="auto"/>
        </w:rPr>
        <w:t>室和特殊工程)</w:t>
      </w:r>
      <w:r>
        <w:rPr>
          <w:rFonts w:hint="eastAsia" w:ascii="宋体" w:hAnsi="宋体" w:eastAsia="宋体" w:cs="宋体"/>
          <w:spacing w:val="-18"/>
          <w:sz w:val="24"/>
          <w:szCs w:val="24"/>
          <w:highlight w:val="none"/>
          <w:u w:val="single" w:color="auto"/>
        </w:rPr>
        <w:t xml:space="preserve"> </w:t>
      </w:r>
      <w:r>
        <w:rPr>
          <w:rFonts w:hint="eastAsia" w:ascii="宋体" w:hAnsi="宋体" w:eastAsia="宋体" w:cs="宋体"/>
          <w:spacing w:val="-1"/>
          <w:sz w:val="24"/>
          <w:szCs w:val="24"/>
          <w:highlight w:val="none"/>
          <w:u w:val="single" w:color="auto"/>
        </w:rPr>
        <w:t>、完工清场后的垃圾外运等。</w:t>
      </w:r>
    </w:p>
    <w:p w14:paraId="5547D7B0">
      <w:pPr>
        <w:keepNext w:val="0"/>
        <w:keepLines w:val="0"/>
        <w:pageBreakBefore w:val="0"/>
        <w:wordWrap w:val="0"/>
        <w:overflowPunct/>
        <w:topLinePunct w:val="0"/>
        <w:bidi w:val="0"/>
        <w:spacing w:before="153" w:line="315" w:lineRule="auto"/>
        <w:ind w:left="8" w:right="2"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2.3.</w:t>
      </w:r>
      <w:r>
        <w:rPr>
          <w:rFonts w:hint="eastAsia" w:ascii="宋体" w:hAnsi="宋体" w:eastAsia="宋体" w:cs="宋体"/>
          <w:b/>
          <w:bCs/>
          <w:color w:val="auto"/>
          <w:spacing w:val="0"/>
          <w:sz w:val="24"/>
          <w:szCs w:val="24"/>
          <w:highlight w:val="none"/>
          <w:lang w:val="en-US" w:eastAsia="zh-CN"/>
        </w:rPr>
        <w:t>9</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color w:val="auto"/>
          <w:spacing w:val="0"/>
          <w:sz w:val="24"/>
          <w:szCs w:val="24"/>
          <w:highlight w:val="none"/>
        </w:rPr>
        <w:t>其余事项（如不可抗力、索赔、现场签证等）的调整原则按照《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）有关规定执行。</w:t>
      </w:r>
    </w:p>
    <w:p w14:paraId="4E5BE637">
      <w:pPr>
        <w:keepNext w:val="0"/>
        <w:keepLines w:val="0"/>
        <w:pageBreakBefore w:val="0"/>
        <w:wordWrap w:val="0"/>
        <w:overflowPunct/>
        <w:topLinePunct w:val="0"/>
        <w:bidi w:val="0"/>
        <w:spacing w:before="156" w:line="299" w:lineRule="auto"/>
        <w:ind w:left="12" w:right="65" w:firstLine="55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2.4  </w:t>
      </w:r>
      <w:r>
        <w:rPr>
          <w:rFonts w:hint="eastAsia" w:ascii="宋体" w:hAnsi="宋体" w:eastAsia="宋体" w:cs="宋体"/>
          <w:color w:val="auto"/>
          <w:spacing w:val="0"/>
          <w:sz w:val="24"/>
          <w:szCs w:val="24"/>
          <w:highlight w:val="none"/>
        </w:rPr>
        <w:t>凡将引起合同价款调增的事项，承包人必须于拟实施 14 天前，将详细的报价书（含拟实施项目名称、变更部位、理由、预计造价等）报监理单位审核和发包人批准后方可实施。</w:t>
      </w:r>
    </w:p>
    <w:p w14:paraId="4AFBE28B">
      <w:pPr>
        <w:keepNext w:val="0"/>
        <w:keepLines w:val="0"/>
        <w:pageBreakBefore w:val="0"/>
        <w:wordWrap w:val="0"/>
        <w:overflowPunct/>
        <w:topLinePunct w:val="0"/>
        <w:bidi w:val="0"/>
        <w:spacing w:before="153" w:line="279" w:lineRule="auto"/>
        <w:ind w:left="9" w:right="102" w:firstLine="477"/>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2.5 </w:t>
      </w:r>
      <w:r>
        <w:rPr>
          <w:rFonts w:hint="eastAsia" w:ascii="宋体" w:hAnsi="宋体" w:eastAsia="宋体" w:cs="宋体"/>
          <w:color w:val="auto"/>
          <w:spacing w:val="0"/>
          <w:sz w:val="24"/>
          <w:szCs w:val="24"/>
          <w:highlight w:val="none"/>
        </w:rPr>
        <w:t>承包人不得以不完全了解现场情况为理由，提出额外付款或延长工期等要求。 对此类要求，发包人不作任何考虑及答复。</w:t>
      </w:r>
    </w:p>
    <w:p w14:paraId="5E16FF2B">
      <w:pPr>
        <w:keepNext w:val="0"/>
        <w:keepLines w:val="0"/>
        <w:pageBreakBefore w:val="0"/>
        <w:wordWrap w:val="0"/>
        <w:overflowPunct/>
        <w:topLinePunct w:val="0"/>
        <w:bidi w:val="0"/>
        <w:spacing w:before="154" w:line="279" w:lineRule="auto"/>
        <w:ind w:left="10" w:right="63" w:firstLine="476"/>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2.6 </w:t>
      </w:r>
      <w:r>
        <w:rPr>
          <w:rFonts w:hint="eastAsia" w:ascii="宋体" w:hAnsi="宋体" w:eastAsia="宋体" w:cs="宋体"/>
          <w:color w:val="auto"/>
          <w:spacing w:val="0"/>
          <w:sz w:val="24"/>
          <w:szCs w:val="24"/>
          <w:highlight w:val="none"/>
        </w:rPr>
        <w:t>承包人已标价工程量清单中漏报、错报或少报的清单项目，其价格均视为已经包含在其它清单项目中，竣工结算时不得重新组价和调整。</w:t>
      </w:r>
    </w:p>
    <w:p w14:paraId="226F0858">
      <w:pPr>
        <w:keepNext w:val="0"/>
        <w:keepLines w:val="0"/>
        <w:pageBreakBefore w:val="0"/>
        <w:wordWrap w:val="0"/>
        <w:overflowPunct/>
        <w:topLinePunct w:val="0"/>
        <w:bidi w:val="0"/>
        <w:spacing w:before="155" w:line="299" w:lineRule="auto"/>
        <w:ind w:left="12" w:right="65"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2.7  </w:t>
      </w:r>
      <w:r>
        <w:rPr>
          <w:rFonts w:hint="eastAsia" w:ascii="宋体" w:hAnsi="宋体" w:eastAsia="宋体" w:cs="宋体"/>
          <w:color w:val="auto"/>
          <w:spacing w:val="0"/>
          <w:sz w:val="24"/>
          <w:szCs w:val="24"/>
          <w:highlight w:val="none"/>
        </w:rPr>
        <w:t>项目完工后，发、承包双方和受其委托具备相应资质的工程造价咨询单位必须按照《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）和国家、省、市的有关规定办理竣工结算。</w:t>
      </w:r>
    </w:p>
    <w:p w14:paraId="28F8DB91">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2.8  </w:t>
      </w:r>
      <w:r>
        <w:rPr>
          <w:rFonts w:hint="eastAsia" w:ascii="宋体" w:hAnsi="宋体" w:eastAsia="宋体" w:cs="宋体"/>
          <w:color w:val="auto"/>
          <w:spacing w:val="0"/>
          <w:sz w:val="24"/>
          <w:szCs w:val="24"/>
          <w:highlight w:val="none"/>
        </w:rPr>
        <w:t>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 求承包人立即进行更换。更换后的材料（或工程设备）应再次进行检查和检验。由此增 加的费用和（或）工期延误由承包人承担。</w:t>
      </w:r>
    </w:p>
    <w:p w14:paraId="244335B8">
      <w:pPr>
        <w:keepNext w:val="0"/>
        <w:keepLines w:val="0"/>
        <w:pageBreakBefore w:val="0"/>
        <w:wordWrap w:val="0"/>
        <w:overflowPunct/>
        <w:topLinePunct w:val="0"/>
        <w:bidi w:val="0"/>
        <w:spacing w:before="152" w:line="319" w:lineRule="auto"/>
        <w:ind w:left="8" w:right="38" w:firstLine="55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2.9 </w:t>
      </w:r>
      <w:r>
        <w:rPr>
          <w:rFonts w:hint="eastAsia" w:ascii="宋体" w:hAnsi="宋体" w:eastAsia="宋体" w:cs="宋体"/>
          <w:color w:val="auto"/>
          <w:spacing w:val="0"/>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 的，则采用厂商报价或市场询价等方式取得有合法依据的市场价格，报发包人确认。</w:t>
      </w:r>
    </w:p>
    <w:p w14:paraId="54600EF9">
      <w:pPr>
        <w:pStyle w:val="36"/>
        <w:keepNext w:val="0"/>
        <w:keepLines w:val="0"/>
        <w:pageBreakBefore w:val="0"/>
        <w:wordWrap w:val="0"/>
        <w:overflowPunct/>
        <w:topLinePunct w:val="0"/>
        <w:bidi w:val="0"/>
        <w:snapToGrid w:val="0"/>
        <w:spacing w:line="440" w:lineRule="exact"/>
        <w:ind w:firstLine="480"/>
        <w:jc w:val="both"/>
        <w:outlineLvl w:val="2"/>
        <w:rPr>
          <w:rStyle w:val="27"/>
          <w:rFonts w:hint="eastAsia" w:ascii="宋体" w:hAnsi="宋体" w:eastAsia="宋体" w:cs="宋体"/>
          <w:b/>
          <w:bCs/>
          <w:color w:val="auto"/>
          <w:spacing w:val="0"/>
          <w:sz w:val="24"/>
          <w:szCs w:val="24"/>
          <w:highlight w:val="none"/>
        </w:rPr>
      </w:pPr>
      <w:bookmarkStart w:id="170" w:name="_Toc1816"/>
      <w:bookmarkStart w:id="171" w:name="_Toc12000"/>
      <w:r>
        <w:rPr>
          <w:rStyle w:val="27"/>
          <w:rFonts w:hint="eastAsia" w:ascii="宋体" w:hAnsi="宋体" w:eastAsia="宋体" w:cs="宋体"/>
          <w:b/>
          <w:bCs/>
          <w:color w:val="auto"/>
          <w:spacing w:val="0"/>
          <w:sz w:val="24"/>
          <w:szCs w:val="24"/>
          <w:highlight w:val="none"/>
        </w:rPr>
        <w:t>3. 工程付款办法</w:t>
      </w:r>
      <w:bookmarkEnd w:id="170"/>
      <w:bookmarkEnd w:id="171"/>
    </w:p>
    <w:p w14:paraId="375833E1">
      <w:pPr>
        <w:pStyle w:val="6"/>
        <w:spacing w:before="154" w:line="219" w:lineRule="auto"/>
        <w:ind w:left="475"/>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 xml:space="preserve">3.1  </w:t>
      </w:r>
      <w:r>
        <w:rPr>
          <w:rFonts w:hint="eastAsia" w:ascii="宋体" w:hAnsi="宋体" w:eastAsia="宋体" w:cs="宋体"/>
          <w:spacing w:val="-1"/>
          <w:sz w:val="24"/>
          <w:szCs w:val="24"/>
          <w:highlight w:val="none"/>
        </w:rPr>
        <w:t>本招标项目</w:t>
      </w:r>
      <w:r>
        <w:rPr>
          <w:rFonts w:hint="eastAsia" w:ascii="宋体" w:hAnsi="宋体" w:eastAsia="宋体" w:cs="宋体"/>
          <w:spacing w:val="-1"/>
          <w:sz w:val="24"/>
          <w:szCs w:val="24"/>
          <w:highlight w:val="none"/>
          <w:u w:val="single" w:color="auto"/>
        </w:rPr>
        <w:t xml:space="preserve"> 支付 </w:t>
      </w:r>
      <w:r>
        <w:rPr>
          <w:rFonts w:hint="eastAsia" w:ascii="宋体" w:hAnsi="宋体" w:eastAsia="宋体" w:cs="宋体"/>
          <w:spacing w:val="-1"/>
          <w:sz w:val="24"/>
          <w:szCs w:val="24"/>
          <w:highlight w:val="none"/>
        </w:rPr>
        <w:t>施工预付款。</w:t>
      </w:r>
    </w:p>
    <w:p w14:paraId="26DE32C0">
      <w:pPr>
        <w:pStyle w:val="6"/>
        <w:spacing w:before="155" w:line="219" w:lineRule="auto"/>
        <w:ind w:left="475"/>
        <w:rPr>
          <w:rFonts w:hint="eastAsia" w:ascii="宋体" w:hAnsi="宋体" w:eastAsia="宋体" w:cs="宋体"/>
          <w:sz w:val="24"/>
          <w:szCs w:val="24"/>
          <w:highlight w:val="none"/>
        </w:rPr>
      </w:pPr>
      <w:r>
        <w:rPr>
          <w:rFonts w:hint="eastAsia" w:ascii="宋体" w:hAnsi="宋体" w:eastAsia="宋体" w:cs="宋体"/>
          <w:b/>
          <w:bCs/>
          <w:sz w:val="24"/>
          <w:szCs w:val="24"/>
          <w:highlight w:val="none"/>
        </w:rPr>
        <w:t xml:space="preserve">3.2  </w:t>
      </w:r>
      <w:r>
        <w:rPr>
          <w:rFonts w:hint="eastAsia" w:ascii="宋体" w:hAnsi="宋体" w:eastAsia="宋体" w:cs="宋体"/>
          <w:sz w:val="24"/>
          <w:szCs w:val="24"/>
          <w:highlight w:val="none"/>
        </w:rPr>
        <w:t>施工预付款必须专</w:t>
      </w:r>
      <w:r>
        <w:rPr>
          <w:rFonts w:hint="eastAsia" w:ascii="宋体" w:hAnsi="宋体" w:eastAsia="宋体" w:cs="宋体"/>
          <w:sz w:val="24"/>
          <w:szCs w:val="24"/>
          <w:highlight w:val="none"/>
          <w:u w:val="none"/>
        </w:rPr>
        <w:t>用于合同</w:t>
      </w:r>
      <w:r>
        <w:rPr>
          <w:rFonts w:hint="eastAsia" w:ascii="宋体" w:hAnsi="宋体" w:eastAsia="宋体" w:cs="宋体"/>
          <w:sz w:val="24"/>
          <w:szCs w:val="24"/>
          <w:highlight w:val="none"/>
        </w:rPr>
        <w:t>工程，并按以下原则支</w:t>
      </w:r>
      <w:r>
        <w:rPr>
          <w:rFonts w:hint="eastAsia" w:ascii="宋体" w:hAnsi="宋体" w:eastAsia="宋体" w:cs="宋体"/>
          <w:spacing w:val="-1"/>
          <w:sz w:val="24"/>
          <w:szCs w:val="24"/>
          <w:highlight w:val="none"/>
        </w:rPr>
        <w:t>付和抵扣：</w:t>
      </w:r>
    </w:p>
    <w:p w14:paraId="32C6F0FC">
      <w:pPr>
        <w:pStyle w:val="6"/>
        <w:spacing w:before="156" w:line="338" w:lineRule="auto"/>
        <w:ind w:right="115" w:firstLine="475"/>
        <w:rPr>
          <w:rFonts w:hint="eastAsia" w:ascii="宋体" w:hAnsi="宋体" w:eastAsia="宋体" w:cs="宋体"/>
          <w:spacing w:val="-4"/>
          <w:sz w:val="24"/>
          <w:szCs w:val="24"/>
          <w:highlight w:val="none"/>
        </w:rPr>
      </w:pPr>
      <w:r>
        <w:rPr>
          <w:rFonts w:hint="eastAsia" w:ascii="宋体" w:hAnsi="宋体" w:eastAsia="宋体" w:cs="宋体"/>
          <w:b/>
          <w:bCs/>
          <w:spacing w:val="-2"/>
          <w:sz w:val="24"/>
          <w:szCs w:val="24"/>
          <w:highlight w:val="none"/>
        </w:rPr>
        <w:t xml:space="preserve">3.2.1  </w:t>
      </w:r>
      <w:r>
        <w:rPr>
          <w:rFonts w:hint="eastAsia" w:ascii="宋体" w:hAnsi="宋体" w:eastAsia="宋体" w:cs="宋体"/>
          <w:spacing w:val="-2"/>
          <w:sz w:val="24"/>
          <w:szCs w:val="24"/>
          <w:highlight w:val="none"/>
        </w:rPr>
        <w:t>施工预付款支付比例为：按施工合同价（暂列金额、专业工程暂估价、安全生产措</w:t>
      </w:r>
      <w:r>
        <w:rPr>
          <w:rFonts w:hint="eastAsia" w:ascii="宋体" w:hAnsi="宋体" w:eastAsia="宋体" w:cs="宋体"/>
          <w:spacing w:val="-4"/>
          <w:sz w:val="24"/>
          <w:szCs w:val="24"/>
          <w:highlight w:val="none"/>
        </w:rPr>
        <w:t>施费除外）的</w:t>
      </w:r>
      <w:r>
        <w:rPr>
          <w:rFonts w:hint="eastAsia" w:ascii="宋体" w:hAnsi="宋体" w:eastAsia="宋体" w:cs="宋体"/>
          <w:spacing w:val="-4"/>
          <w:sz w:val="24"/>
          <w:szCs w:val="24"/>
          <w:highlight w:val="none"/>
          <w:u w:val="single" w:color="auto"/>
          <w:lang w:val="en-US" w:eastAsia="zh-CN"/>
        </w:rPr>
        <w:t xml:space="preserve"> 3</w:t>
      </w:r>
      <w:r>
        <w:rPr>
          <w:rFonts w:hint="eastAsia" w:ascii="宋体" w:hAnsi="宋体" w:eastAsia="宋体" w:cs="宋体"/>
          <w:spacing w:val="-4"/>
          <w:sz w:val="24"/>
          <w:szCs w:val="24"/>
          <w:highlight w:val="none"/>
          <w:u w:val="single" w:color="auto"/>
        </w:rPr>
        <w:t>0%</w:t>
      </w:r>
      <w:r>
        <w:rPr>
          <w:rFonts w:hint="eastAsia" w:ascii="宋体" w:hAnsi="宋体" w:eastAsia="宋体" w:cs="宋体"/>
          <w:spacing w:val="-4"/>
          <w:sz w:val="24"/>
          <w:szCs w:val="24"/>
          <w:highlight w:val="none"/>
          <w:u w:val="single" w:color="auto"/>
          <w:lang w:val="en-US" w:eastAsia="zh-CN"/>
        </w:rPr>
        <w:t xml:space="preserve"> </w:t>
      </w:r>
      <w:r>
        <w:rPr>
          <w:rFonts w:hint="eastAsia" w:ascii="宋体" w:hAnsi="宋体" w:eastAsia="宋体" w:cs="宋体"/>
          <w:spacing w:val="-4"/>
          <w:sz w:val="24"/>
          <w:szCs w:val="24"/>
          <w:highlight w:val="none"/>
        </w:rPr>
        <w:t>支付。</w:t>
      </w:r>
    </w:p>
    <w:p w14:paraId="3073C067">
      <w:pPr>
        <w:keepNext w:val="0"/>
        <w:keepLines w:val="0"/>
        <w:widowControl/>
        <w:suppressLineNumbers w:val="0"/>
        <w:spacing w:line="360" w:lineRule="auto"/>
        <w:ind w:firstLine="482" w:firstLineChars="200"/>
        <w:jc w:val="left"/>
        <w:rPr>
          <w:rFonts w:hint="eastAsia" w:ascii="宋体" w:hAnsi="宋体" w:eastAsia="宋体" w:cs="宋体"/>
          <w:spacing w:val="-4"/>
          <w:sz w:val="24"/>
          <w:szCs w:val="24"/>
          <w:highlight w:val="none"/>
        </w:rPr>
      </w:pPr>
      <w:r>
        <w:rPr>
          <w:rFonts w:hint="eastAsia" w:ascii="宋体" w:hAnsi="宋体" w:eastAsia="宋体" w:cs="宋体"/>
          <w:b/>
          <w:bCs/>
          <w:snapToGrid w:val="0"/>
          <w:color w:val="000000"/>
          <w:kern w:val="0"/>
          <w:sz w:val="24"/>
          <w:szCs w:val="24"/>
          <w:highlight w:val="none"/>
          <w:lang w:val="en-US" w:eastAsia="zh-CN" w:bidi="ar"/>
        </w:rPr>
        <w:t xml:space="preserve">3.2.2 </w:t>
      </w:r>
      <w:r>
        <w:rPr>
          <w:rFonts w:hint="eastAsia" w:ascii="宋体" w:hAnsi="宋体" w:eastAsia="宋体" w:cs="宋体"/>
          <w:snapToGrid w:val="0"/>
          <w:color w:val="000000"/>
          <w:kern w:val="0"/>
          <w:sz w:val="24"/>
          <w:szCs w:val="24"/>
          <w:highlight w:val="none"/>
          <w:lang w:val="en-US" w:eastAsia="zh-CN" w:bidi="ar"/>
        </w:rPr>
        <w:t>本招标项目</w:t>
      </w:r>
      <w:r>
        <w:rPr>
          <w:rFonts w:hint="eastAsia" w:ascii="宋体" w:hAnsi="宋体" w:eastAsia="宋体" w:cs="宋体"/>
          <w:snapToGrid w:val="0"/>
          <w:color w:val="000000"/>
          <w:kern w:val="0"/>
          <w:sz w:val="24"/>
          <w:szCs w:val="24"/>
          <w:highlight w:val="none"/>
          <w:u w:val="single"/>
          <w:lang w:val="en-US" w:eastAsia="zh-CN" w:bidi="ar"/>
        </w:rPr>
        <w:t xml:space="preserve"> 要求 </w:t>
      </w:r>
      <w:r>
        <w:rPr>
          <w:rFonts w:hint="eastAsia" w:ascii="宋体" w:hAnsi="宋体" w:eastAsia="宋体" w:cs="宋体"/>
          <w:snapToGrid w:val="0"/>
          <w:color w:val="000000"/>
          <w:kern w:val="0"/>
          <w:sz w:val="24"/>
          <w:szCs w:val="24"/>
          <w:highlight w:val="none"/>
          <w:lang w:val="en-US" w:eastAsia="zh-CN" w:bidi="ar"/>
        </w:rPr>
        <w:t>承包人提供与预付款等额的预付款保函。</w:t>
      </w:r>
    </w:p>
    <w:p w14:paraId="4765312C">
      <w:pPr>
        <w:keepNext w:val="0"/>
        <w:keepLines w:val="0"/>
        <w:widowControl/>
        <w:suppressLineNumbers w:val="0"/>
        <w:spacing w:line="360" w:lineRule="auto"/>
        <w:ind w:firstLine="478" w:firstLineChars="200"/>
        <w:jc w:val="left"/>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 xml:space="preserve">3.2.3  </w:t>
      </w:r>
      <w:r>
        <w:rPr>
          <w:rFonts w:hint="eastAsia" w:ascii="宋体" w:hAnsi="宋体" w:eastAsia="宋体" w:cs="宋体"/>
          <w:snapToGrid w:val="0"/>
          <w:color w:val="000000"/>
          <w:kern w:val="0"/>
          <w:sz w:val="24"/>
          <w:szCs w:val="24"/>
          <w:highlight w:val="none"/>
          <w:lang w:val="en-US" w:eastAsia="zh-CN" w:bidi="ar"/>
        </w:rPr>
        <w:t>承包人应在签订合同后，</w:t>
      </w:r>
      <w:r>
        <w:rPr>
          <w:rFonts w:hint="eastAsia" w:ascii="宋体" w:hAnsi="宋体" w:eastAsia="宋体" w:cs="宋体"/>
          <w:b/>
          <w:bCs/>
          <w:snapToGrid w:val="0"/>
          <w:color w:val="000000"/>
          <w:kern w:val="0"/>
          <w:sz w:val="24"/>
          <w:szCs w:val="24"/>
          <w:highlight w:val="none"/>
          <w:lang w:val="en-US" w:eastAsia="zh-CN" w:bidi="ar"/>
        </w:rPr>
        <w:t>在提供符合要求的预付款保函或预付款保险及</w:t>
      </w:r>
      <w:r>
        <w:rPr>
          <w:rFonts w:hint="eastAsia" w:ascii="宋体" w:hAnsi="宋体" w:eastAsia="宋体" w:cs="宋体"/>
          <w:snapToGrid w:val="0"/>
          <w:color w:val="000000"/>
          <w:kern w:val="0"/>
          <w:sz w:val="24"/>
          <w:szCs w:val="24"/>
          <w:highlight w:val="none"/>
          <w:lang w:val="en-US" w:eastAsia="zh-CN" w:bidi="ar"/>
        </w:rPr>
        <w:t xml:space="preserve">在具 </w:t>
      </w:r>
    </w:p>
    <w:p w14:paraId="51830387">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 xml:space="preserve">备施工条件的前提下，向发包人提交预付款支付申请。发包人应对在收到支付申请的 7 </w:t>
      </w:r>
    </w:p>
    <w:p w14:paraId="02841E31">
      <w:pPr>
        <w:keepNext w:val="0"/>
        <w:keepLines w:val="0"/>
        <w:widowControl/>
        <w:suppressLineNumbers w:val="0"/>
        <w:spacing w:line="360" w:lineRule="auto"/>
        <w:jc w:val="left"/>
        <w:rPr>
          <w:rFonts w:hint="eastAsia" w:ascii="宋体" w:hAnsi="宋体" w:eastAsia="宋体" w:cs="宋体"/>
          <w:sz w:val="24"/>
          <w:szCs w:val="24"/>
          <w:highlight w:val="none"/>
        </w:rPr>
      </w:pPr>
      <w:r>
        <w:rPr>
          <w:rFonts w:hint="eastAsia" w:ascii="宋体" w:hAnsi="宋体" w:eastAsia="宋体" w:cs="宋体"/>
          <w:snapToGrid w:val="0"/>
          <w:color w:val="000000"/>
          <w:kern w:val="0"/>
          <w:sz w:val="24"/>
          <w:szCs w:val="24"/>
          <w:highlight w:val="none"/>
          <w:lang w:val="en-US" w:eastAsia="zh-CN" w:bidi="ar"/>
        </w:rPr>
        <w:t xml:space="preserve">天内进行核实后向承包人发出预付款支付证书，并在签发支付证书后的 7 天内向承包人 </w:t>
      </w:r>
    </w:p>
    <w:p w14:paraId="086BDBF5">
      <w:pPr>
        <w:keepNext w:val="0"/>
        <w:keepLines w:val="0"/>
        <w:widowControl/>
        <w:suppressLineNumbers w:val="0"/>
        <w:spacing w:line="360" w:lineRule="auto"/>
        <w:jc w:val="left"/>
        <w:rPr>
          <w:rFonts w:hint="eastAsia" w:ascii="宋体" w:hAnsi="宋体" w:eastAsia="宋体" w:cs="宋体"/>
          <w:b/>
          <w:bCs/>
          <w:spacing w:val="-1"/>
          <w:sz w:val="24"/>
          <w:szCs w:val="24"/>
          <w:highlight w:val="none"/>
        </w:rPr>
      </w:pPr>
      <w:r>
        <w:rPr>
          <w:rFonts w:hint="eastAsia" w:ascii="宋体" w:hAnsi="宋体" w:eastAsia="宋体" w:cs="宋体"/>
          <w:snapToGrid w:val="0"/>
          <w:color w:val="000000"/>
          <w:kern w:val="0"/>
          <w:sz w:val="24"/>
          <w:szCs w:val="24"/>
          <w:highlight w:val="none"/>
          <w:lang w:val="en-US" w:eastAsia="zh-CN" w:bidi="ar"/>
        </w:rPr>
        <w:t>支付预付款。凡未签订合同或不具备施工条件的工程，发包人不得预付工程款。</w:t>
      </w:r>
    </w:p>
    <w:p w14:paraId="73A91569">
      <w:pPr>
        <w:pStyle w:val="6"/>
        <w:spacing w:before="158" w:line="219" w:lineRule="auto"/>
        <w:ind w:left="557"/>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3.2.3.</w:t>
      </w:r>
      <w:r>
        <w:rPr>
          <w:rFonts w:hint="eastAsia" w:ascii="宋体" w:hAnsi="宋体" w:eastAsia="宋体" w:cs="宋体"/>
          <w:b/>
          <w:bCs/>
          <w:spacing w:val="-2"/>
          <w:sz w:val="24"/>
          <w:szCs w:val="24"/>
          <w:highlight w:val="none"/>
          <w:lang w:val="en-US" w:eastAsia="zh-CN"/>
        </w:rPr>
        <w:t>1</w:t>
      </w:r>
      <w:r>
        <w:rPr>
          <w:rFonts w:hint="eastAsia" w:ascii="宋体" w:hAnsi="宋体" w:eastAsia="宋体" w:cs="宋体"/>
          <w:b/>
          <w:bCs/>
          <w:spacing w:val="-2"/>
          <w:sz w:val="24"/>
          <w:szCs w:val="24"/>
          <w:highlight w:val="none"/>
        </w:rPr>
        <w:t xml:space="preserve"> </w:t>
      </w:r>
      <w:r>
        <w:rPr>
          <w:rFonts w:hint="eastAsia" w:ascii="宋体" w:hAnsi="宋体" w:eastAsia="宋体" w:cs="宋体"/>
          <w:spacing w:val="-1"/>
          <w:sz w:val="24"/>
          <w:szCs w:val="24"/>
          <w:highlight w:val="none"/>
        </w:rPr>
        <w:t>施工预付款支付条件：</w:t>
      </w:r>
    </w:p>
    <w:p w14:paraId="0551A2E1">
      <w:pPr>
        <w:pStyle w:val="6"/>
        <w:spacing w:before="155" w:line="338" w:lineRule="auto"/>
        <w:ind w:left="2" w:right="115" w:firstLine="55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承包人应在签订合同后，在具备施工条件、开通工</w:t>
      </w:r>
      <w:r>
        <w:rPr>
          <w:rFonts w:hint="eastAsia" w:ascii="宋体" w:hAnsi="宋体" w:eastAsia="宋体" w:cs="宋体"/>
          <w:spacing w:val="-2"/>
          <w:sz w:val="24"/>
          <w:szCs w:val="24"/>
          <w:highlight w:val="none"/>
        </w:rPr>
        <w:t>资专户的前提下，向发包人提交施工</w:t>
      </w:r>
      <w:r>
        <w:rPr>
          <w:rFonts w:hint="eastAsia" w:ascii="宋体" w:hAnsi="宋体" w:eastAsia="宋体" w:cs="宋体"/>
          <w:sz w:val="24"/>
          <w:szCs w:val="24"/>
          <w:highlight w:val="none"/>
        </w:rPr>
        <w:t>预付款支付申请。发包人在收到支付申请</w:t>
      </w:r>
      <w:r>
        <w:rPr>
          <w:rFonts w:hint="eastAsia" w:ascii="宋体" w:hAnsi="宋体" w:eastAsia="宋体" w:cs="宋体"/>
          <w:spacing w:val="-43"/>
          <w:sz w:val="24"/>
          <w:szCs w:val="24"/>
          <w:highlight w:val="none"/>
        </w:rPr>
        <w:t xml:space="preserve"> </w:t>
      </w:r>
      <w:r>
        <w:rPr>
          <w:rFonts w:hint="eastAsia" w:ascii="宋体" w:hAnsi="宋体" w:eastAsia="宋体" w:cs="宋体"/>
          <w:sz w:val="24"/>
          <w:szCs w:val="24"/>
          <w:highlight w:val="none"/>
        </w:rPr>
        <w:t>7</w:t>
      </w:r>
      <w:r>
        <w:rPr>
          <w:rFonts w:hint="eastAsia" w:ascii="宋体" w:hAnsi="宋体" w:eastAsia="宋体" w:cs="宋体"/>
          <w:spacing w:val="-45"/>
          <w:sz w:val="24"/>
          <w:szCs w:val="24"/>
          <w:highlight w:val="none"/>
        </w:rPr>
        <w:t xml:space="preserve"> </w:t>
      </w:r>
      <w:r>
        <w:rPr>
          <w:rFonts w:hint="eastAsia" w:ascii="宋体" w:hAnsi="宋体" w:eastAsia="宋体" w:cs="宋体"/>
          <w:sz w:val="24"/>
          <w:szCs w:val="24"/>
          <w:highlight w:val="none"/>
        </w:rPr>
        <w:t>天内进行核实。核实清楚后，发包</w:t>
      </w:r>
      <w:r>
        <w:rPr>
          <w:rFonts w:hint="eastAsia" w:ascii="宋体" w:hAnsi="宋体" w:eastAsia="宋体" w:cs="宋体"/>
          <w:spacing w:val="-1"/>
          <w:sz w:val="24"/>
          <w:szCs w:val="24"/>
          <w:highlight w:val="none"/>
        </w:rPr>
        <w:t>人向承包人签</w:t>
      </w:r>
      <w:r>
        <w:rPr>
          <w:rFonts w:hint="eastAsia" w:ascii="宋体" w:hAnsi="宋体" w:eastAsia="宋体" w:cs="宋体"/>
          <w:sz w:val="24"/>
          <w:szCs w:val="24"/>
          <w:highlight w:val="none"/>
        </w:rPr>
        <w:t>发支付证书，并在签发支付证书后的</w:t>
      </w:r>
      <w:r>
        <w:rPr>
          <w:rFonts w:hint="eastAsia" w:ascii="宋体" w:hAnsi="宋体" w:eastAsia="宋体" w:cs="宋体"/>
          <w:spacing w:val="-43"/>
          <w:sz w:val="24"/>
          <w:szCs w:val="24"/>
          <w:highlight w:val="none"/>
        </w:rPr>
        <w:t xml:space="preserve"> </w:t>
      </w:r>
      <w:r>
        <w:rPr>
          <w:rFonts w:hint="eastAsia" w:ascii="宋体" w:hAnsi="宋体" w:eastAsia="宋体" w:cs="宋体"/>
          <w:sz w:val="24"/>
          <w:szCs w:val="24"/>
          <w:highlight w:val="none"/>
        </w:rPr>
        <w:t>7</w:t>
      </w:r>
      <w:r>
        <w:rPr>
          <w:rFonts w:hint="eastAsia" w:ascii="宋体" w:hAnsi="宋体" w:eastAsia="宋体" w:cs="宋体"/>
          <w:spacing w:val="-45"/>
          <w:sz w:val="24"/>
          <w:szCs w:val="24"/>
          <w:highlight w:val="none"/>
        </w:rPr>
        <w:t xml:space="preserve"> </w:t>
      </w:r>
      <w:r>
        <w:rPr>
          <w:rFonts w:hint="eastAsia" w:ascii="宋体" w:hAnsi="宋体" w:eastAsia="宋体" w:cs="宋体"/>
          <w:sz w:val="24"/>
          <w:szCs w:val="24"/>
          <w:highlight w:val="none"/>
        </w:rPr>
        <w:t>天内向承包人支付施工预付款。因承包</w:t>
      </w:r>
      <w:r>
        <w:rPr>
          <w:rFonts w:hint="eastAsia" w:ascii="宋体" w:hAnsi="宋体" w:eastAsia="宋体" w:cs="宋体"/>
          <w:spacing w:val="-1"/>
          <w:sz w:val="24"/>
          <w:szCs w:val="24"/>
          <w:highlight w:val="none"/>
        </w:rPr>
        <w:t>人未及时提交预付款申请资料的，导致工程进度款支付延期由承包人承担全部责任。</w:t>
      </w:r>
    </w:p>
    <w:p w14:paraId="27233336">
      <w:pPr>
        <w:pStyle w:val="6"/>
        <w:spacing w:before="4" w:line="338" w:lineRule="auto"/>
        <w:ind w:right="115" w:firstLine="557"/>
        <w:jc w:val="both"/>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3.2.3.</w:t>
      </w:r>
      <w:r>
        <w:rPr>
          <w:rFonts w:hint="eastAsia" w:ascii="宋体" w:hAnsi="宋体" w:eastAsia="宋体" w:cs="宋体"/>
          <w:b/>
          <w:bCs/>
          <w:spacing w:val="-2"/>
          <w:sz w:val="24"/>
          <w:szCs w:val="24"/>
          <w:highlight w:val="none"/>
          <w:lang w:val="en-US" w:eastAsia="zh-CN"/>
        </w:rPr>
        <w:t>2</w:t>
      </w:r>
      <w:r>
        <w:rPr>
          <w:rFonts w:hint="eastAsia" w:ascii="宋体" w:hAnsi="宋体" w:eastAsia="宋体" w:cs="宋体"/>
          <w:b/>
          <w:bCs/>
          <w:spacing w:val="-2"/>
          <w:sz w:val="24"/>
          <w:szCs w:val="24"/>
          <w:highlight w:val="none"/>
        </w:rPr>
        <w:t xml:space="preserve"> </w:t>
      </w:r>
      <w:r>
        <w:rPr>
          <w:rFonts w:hint="eastAsia" w:ascii="宋体" w:hAnsi="宋体" w:eastAsia="宋体" w:cs="宋体"/>
          <w:spacing w:val="-2"/>
          <w:sz w:val="24"/>
          <w:szCs w:val="24"/>
          <w:highlight w:val="none"/>
        </w:rPr>
        <w:t>发包人没有按时支付预付款的，</w:t>
      </w:r>
      <w:r>
        <w:rPr>
          <w:rFonts w:hint="eastAsia" w:ascii="宋体" w:hAnsi="宋体" w:eastAsia="宋体" w:cs="宋体"/>
          <w:spacing w:val="-3"/>
          <w:sz w:val="24"/>
          <w:szCs w:val="24"/>
          <w:highlight w:val="none"/>
        </w:rPr>
        <w:t>承包人可催告发包人支付；发包人在付款期满后</w:t>
      </w:r>
      <w:r>
        <w:rPr>
          <w:rFonts w:hint="eastAsia" w:ascii="宋体" w:hAnsi="宋体" w:eastAsia="宋体" w:cs="宋体"/>
          <w:spacing w:val="-1"/>
          <w:sz w:val="24"/>
          <w:szCs w:val="24"/>
          <w:highlight w:val="none"/>
        </w:rPr>
        <w:t>的</w:t>
      </w:r>
      <w:r>
        <w:rPr>
          <w:rFonts w:hint="eastAsia" w:ascii="宋体" w:hAnsi="宋体" w:eastAsia="宋体" w:cs="宋体"/>
          <w:spacing w:val="-39"/>
          <w:sz w:val="24"/>
          <w:szCs w:val="24"/>
          <w:highlight w:val="none"/>
        </w:rPr>
        <w:t xml:space="preserve"> </w:t>
      </w:r>
      <w:r>
        <w:rPr>
          <w:rFonts w:hint="eastAsia" w:ascii="宋体" w:hAnsi="宋体" w:eastAsia="宋体" w:cs="宋体"/>
          <w:spacing w:val="-1"/>
          <w:sz w:val="24"/>
          <w:szCs w:val="24"/>
          <w:highlight w:val="none"/>
        </w:rPr>
        <w:t>7</w:t>
      </w:r>
      <w:r>
        <w:rPr>
          <w:rFonts w:hint="eastAsia" w:ascii="宋体" w:hAnsi="宋体" w:eastAsia="宋体" w:cs="宋体"/>
          <w:spacing w:val="16"/>
          <w:w w:val="101"/>
          <w:sz w:val="24"/>
          <w:szCs w:val="24"/>
          <w:highlight w:val="none"/>
        </w:rPr>
        <w:t xml:space="preserve"> </w:t>
      </w:r>
      <w:r>
        <w:rPr>
          <w:rFonts w:hint="eastAsia" w:ascii="宋体" w:hAnsi="宋体" w:eastAsia="宋体" w:cs="宋体"/>
          <w:spacing w:val="-1"/>
          <w:sz w:val="24"/>
          <w:szCs w:val="24"/>
          <w:highlight w:val="none"/>
        </w:rPr>
        <w:t>天内仍未支付的，承包人可在付款期满后的第</w:t>
      </w:r>
      <w:r>
        <w:rPr>
          <w:rFonts w:hint="eastAsia" w:ascii="宋体" w:hAnsi="宋体" w:eastAsia="宋体" w:cs="宋体"/>
          <w:spacing w:val="-46"/>
          <w:sz w:val="24"/>
          <w:szCs w:val="24"/>
          <w:highlight w:val="none"/>
        </w:rPr>
        <w:t xml:space="preserve"> </w:t>
      </w:r>
      <w:r>
        <w:rPr>
          <w:rFonts w:hint="eastAsia" w:ascii="宋体" w:hAnsi="宋体" w:eastAsia="宋体" w:cs="宋体"/>
          <w:spacing w:val="-1"/>
          <w:sz w:val="24"/>
          <w:szCs w:val="24"/>
          <w:highlight w:val="none"/>
        </w:rPr>
        <w:t>8天起暂停施工。发包人应向承包人支付</w:t>
      </w:r>
      <w:r>
        <w:rPr>
          <w:rFonts w:hint="eastAsia" w:ascii="宋体" w:hAnsi="宋体" w:eastAsia="宋体" w:cs="宋体"/>
          <w:sz w:val="24"/>
          <w:szCs w:val="24"/>
          <w:highlight w:val="none"/>
        </w:rPr>
        <w:t>应付款的利息（从付款期满后之日起计算，利率按同期银行贷款利率计算</w:t>
      </w:r>
      <w:r>
        <w:rPr>
          <w:rFonts w:hint="eastAsia" w:ascii="宋体" w:hAnsi="宋体" w:eastAsia="宋体" w:cs="宋体"/>
          <w:spacing w:val="14"/>
          <w:sz w:val="24"/>
          <w:szCs w:val="24"/>
          <w:highlight w:val="none"/>
        </w:rPr>
        <w:t>），</w:t>
      </w:r>
      <w:r>
        <w:rPr>
          <w:rFonts w:hint="eastAsia" w:ascii="宋体" w:hAnsi="宋体" w:eastAsia="宋体" w:cs="宋体"/>
          <w:sz w:val="24"/>
          <w:szCs w:val="24"/>
          <w:highlight w:val="none"/>
        </w:rPr>
        <w:t>并承担违约责</w:t>
      </w:r>
      <w:r>
        <w:rPr>
          <w:rFonts w:hint="eastAsia" w:ascii="宋体" w:hAnsi="宋体" w:eastAsia="宋体" w:cs="宋体"/>
          <w:spacing w:val="-5"/>
          <w:sz w:val="24"/>
          <w:szCs w:val="24"/>
          <w:highlight w:val="none"/>
        </w:rPr>
        <w:t>任。</w:t>
      </w:r>
    </w:p>
    <w:p w14:paraId="39B73731">
      <w:pPr>
        <w:pStyle w:val="6"/>
        <w:spacing w:before="2" w:line="298" w:lineRule="auto"/>
        <w:ind w:left="5" w:right="115" w:firstLine="551"/>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 xml:space="preserve">3.2.4  </w:t>
      </w:r>
      <w:r>
        <w:rPr>
          <w:rFonts w:hint="eastAsia" w:ascii="宋体" w:hAnsi="宋体" w:eastAsia="宋体" w:cs="宋体"/>
          <w:spacing w:val="2"/>
          <w:sz w:val="24"/>
          <w:szCs w:val="24"/>
          <w:highlight w:val="none"/>
        </w:rPr>
        <w:t>施工预付款中包含作业工人工资预付款，作业工人</w:t>
      </w:r>
      <w:r>
        <w:rPr>
          <w:rFonts w:hint="eastAsia" w:ascii="宋体" w:hAnsi="宋体" w:eastAsia="宋体" w:cs="宋体"/>
          <w:spacing w:val="1"/>
          <w:sz w:val="24"/>
          <w:szCs w:val="24"/>
          <w:highlight w:val="none"/>
        </w:rPr>
        <w:t>工资预付款为签约合同价（暂</w:t>
      </w:r>
      <w:r>
        <w:rPr>
          <w:rFonts w:hint="eastAsia" w:ascii="宋体" w:hAnsi="宋体" w:eastAsia="宋体" w:cs="宋体"/>
          <w:spacing w:val="-2"/>
          <w:sz w:val="24"/>
          <w:szCs w:val="24"/>
          <w:highlight w:val="none"/>
        </w:rPr>
        <w:t>列金额、专业工程暂估价、安全生产措施费除外）的</w:t>
      </w:r>
      <w:r>
        <w:rPr>
          <w:rFonts w:hint="eastAsia" w:ascii="宋体" w:hAnsi="宋体" w:eastAsia="宋体" w:cs="宋体"/>
          <w:spacing w:val="-15"/>
          <w:sz w:val="24"/>
          <w:szCs w:val="24"/>
          <w:highlight w:val="none"/>
          <w:u w:val="single"/>
        </w:rPr>
        <w:t xml:space="preserve"> </w:t>
      </w:r>
      <w:r>
        <w:rPr>
          <w:rFonts w:hint="eastAsia" w:ascii="宋体" w:hAnsi="宋体" w:eastAsia="宋体" w:cs="宋体"/>
          <w:spacing w:val="-2"/>
          <w:sz w:val="24"/>
          <w:szCs w:val="24"/>
          <w:highlight w:val="none"/>
          <w:u w:val="single"/>
        </w:rPr>
        <w:t>1</w:t>
      </w:r>
      <w:r>
        <w:rPr>
          <w:rFonts w:hint="eastAsia" w:ascii="宋体" w:hAnsi="宋体" w:eastAsia="宋体" w:cs="宋体"/>
          <w:spacing w:val="-2"/>
          <w:sz w:val="24"/>
          <w:szCs w:val="24"/>
          <w:highlight w:val="none"/>
          <w:u w:val="single"/>
          <w:lang w:val="en-US" w:eastAsia="zh-CN"/>
        </w:rPr>
        <w:t>2</w:t>
      </w:r>
      <w:r>
        <w:rPr>
          <w:rFonts w:hint="eastAsia" w:ascii="宋体" w:hAnsi="宋体" w:eastAsia="宋体" w:cs="宋体"/>
          <w:spacing w:val="-2"/>
          <w:sz w:val="24"/>
          <w:szCs w:val="24"/>
          <w:highlight w:val="none"/>
          <w:u w:val="single"/>
        </w:rPr>
        <w:t>%</w:t>
      </w:r>
      <w:r>
        <w:rPr>
          <w:rFonts w:hint="eastAsia" w:ascii="宋体" w:hAnsi="宋体" w:eastAsia="宋体" w:cs="宋体"/>
          <w:spacing w:val="-2"/>
          <w:sz w:val="24"/>
          <w:szCs w:val="24"/>
          <w:highlight w:val="none"/>
        </w:rPr>
        <w:t>，扣回比例为每</w:t>
      </w:r>
      <w:r>
        <w:rPr>
          <w:rFonts w:hint="eastAsia" w:ascii="宋体" w:hAnsi="宋体" w:eastAsia="宋体" w:cs="宋体"/>
          <w:spacing w:val="-2"/>
          <w:sz w:val="24"/>
          <w:szCs w:val="24"/>
          <w:highlight w:val="none"/>
          <w:lang w:val="en-US" w:eastAsia="zh-CN"/>
        </w:rPr>
        <w:t>期</w:t>
      </w:r>
      <w:r>
        <w:rPr>
          <w:rFonts w:hint="eastAsia" w:ascii="宋体" w:hAnsi="宋体" w:eastAsia="宋体" w:cs="宋体"/>
          <w:spacing w:val="-2"/>
          <w:sz w:val="24"/>
          <w:szCs w:val="24"/>
          <w:highlight w:val="none"/>
        </w:rPr>
        <w:t>的工人工资进度款</w:t>
      </w:r>
      <w:r>
        <w:rPr>
          <w:rFonts w:hint="eastAsia" w:ascii="宋体" w:hAnsi="宋体" w:eastAsia="宋体" w:cs="宋体"/>
          <w:spacing w:val="-1"/>
          <w:sz w:val="24"/>
          <w:szCs w:val="24"/>
          <w:highlight w:val="none"/>
        </w:rPr>
        <w:t>的</w:t>
      </w:r>
      <w:r>
        <w:rPr>
          <w:rFonts w:hint="eastAsia" w:ascii="宋体" w:hAnsi="宋体" w:eastAsia="宋体" w:cs="宋体"/>
          <w:spacing w:val="-33"/>
          <w:sz w:val="24"/>
          <w:szCs w:val="24"/>
          <w:highlight w:val="none"/>
        </w:rPr>
        <w:t xml:space="preserve"> </w:t>
      </w:r>
      <w:r>
        <w:rPr>
          <w:rFonts w:hint="eastAsia" w:ascii="宋体" w:hAnsi="宋体" w:eastAsia="宋体" w:cs="宋体"/>
          <w:spacing w:val="-1"/>
          <w:sz w:val="24"/>
          <w:szCs w:val="24"/>
          <w:highlight w:val="none"/>
        </w:rPr>
        <w:t>100%，直到扣回的金额达到合同约定的作业工人工</w:t>
      </w:r>
      <w:r>
        <w:rPr>
          <w:rFonts w:hint="eastAsia" w:ascii="宋体" w:hAnsi="宋体" w:eastAsia="宋体" w:cs="宋体"/>
          <w:spacing w:val="-2"/>
          <w:sz w:val="24"/>
          <w:szCs w:val="24"/>
          <w:highlight w:val="none"/>
        </w:rPr>
        <w:t>资预付款金额为止。</w:t>
      </w:r>
    </w:p>
    <w:p w14:paraId="10675F21">
      <w:pPr>
        <w:pStyle w:val="6"/>
        <w:spacing w:before="161" w:line="323" w:lineRule="auto"/>
        <w:ind w:firstLine="556"/>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 xml:space="preserve">3.2.5  </w:t>
      </w:r>
      <w:r>
        <w:rPr>
          <w:rFonts w:hint="eastAsia" w:ascii="宋体" w:hAnsi="宋体" w:eastAsia="宋体" w:cs="宋体"/>
          <w:spacing w:val="4"/>
          <w:sz w:val="24"/>
          <w:szCs w:val="24"/>
          <w:highlight w:val="none"/>
        </w:rPr>
        <w:t>施工预付款中包含安全生产措施费预付款。</w:t>
      </w:r>
      <w:r>
        <w:rPr>
          <w:rFonts w:hint="eastAsia" w:ascii="宋体" w:hAnsi="宋体" w:eastAsia="宋体" w:cs="宋体"/>
          <w:spacing w:val="3"/>
          <w:sz w:val="24"/>
          <w:szCs w:val="24"/>
          <w:highlight w:val="none"/>
        </w:rPr>
        <w:t>措施项目费中的“安全生产措施费</w:t>
      </w:r>
      <w:r>
        <w:rPr>
          <w:rFonts w:hint="eastAsia" w:ascii="宋体" w:hAnsi="宋体" w:eastAsia="宋体" w:cs="宋体"/>
          <w:spacing w:val="-86"/>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1"/>
          <w:sz w:val="24"/>
          <w:szCs w:val="24"/>
          <w:highlight w:val="none"/>
        </w:rPr>
        <w:t>拨付按照《建设工程工程量清单计价标准》（GB/T50500—2024）执行，参</w:t>
      </w:r>
      <w:r>
        <w:rPr>
          <w:rFonts w:hint="eastAsia" w:ascii="宋体" w:hAnsi="宋体" w:eastAsia="宋体" w:cs="宋体"/>
          <w:spacing w:val="-2"/>
          <w:sz w:val="24"/>
          <w:szCs w:val="24"/>
          <w:highlight w:val="none"/>
        </w:rPr>
        <w:t>照《关于印发&lt;广</w:t>
      </w:r>
      <w:r>
        <w:rPr>
          <w:rFonts w:hint="eastAsia" w:ascii="宋体" w:hAnsi="宋体" w:eastAsia="宋体" w:cs="宋体"/>
          <w:spacing w:val="-3"/>
          <w:sz w:val="24"/>
          <w:szCs w:val="24"/>
          <w:highlight w:val="none"/>
        </w:rPr>
        <w:t>东省建设厅建筑工程安全防护、文明施工措施费用管理办法&gt;</w:t>
      </w:r>
      <w:r>
        <w:rPr>
          <w:rFonts w:hint="eastAsia" w:ascii="宋体" w:hAnsi="宋体" w:eastAsia="宋体" w:cs="宋体"/>
          <w:spacing w:val="-32"/>
          <w:sz w:val="24"/>
          <w:szCs w:val="24"/>
          <w:highlight w:val="none"/>
        </w:rPr>
        <w:t xml:space="preserve"> </w:t>
      </w:r>
      <w:r>
        <w:rPr>
          <w:rFonts w:hint="eastAsia" w:ascii="宋体" w:hAnsi="宋体" w:eastAsia="宋体" w:cs="宋体"/>
          <w:spacing w:val="-3"/>
          <w:sz w:val="24"/>
          <w:szCs w:val="24"/>
          <w:highlight w:val="none"/>
        </w:rPr>
        <w:t>的</w:t>
      </w:r>
      <w:r>
        <w:rPr>
          <w:rFonts w:hint="eastAsia" w:ascii="宋体" w:hAnsi="宋体" w:eastAsia="宋体" w:cs="宋体"/>
          <w:spacing w:val="-4"/>
          <w:sz w:val="24"/>
          <w:szCs w:val="24"/>
          <w:highlight w:val="none"/>
        </w:rPr>
        <w:t>通知》支付。承包人应在签订</w:t>
      </w:r>
      <w:r>
        <w:rPr>
          <w:rFonts w:hint="eastAsia" w:ascii="宋体" w:hAnsi="宋体" w:eastAsia="宋体" w:cs="宋体"/>
          <w:spacing w:val="1"/>
          <w:sz w:val="24"/>
          <w:szCs w:val="24"/>
          <w:highlight w:val="none"/>
        </w:rPr>
        <w:t>合同后，在项目开工、开通建设工程安措费专用账户、购买安全</w:t>
      </w:r>
      <w:r>
        <w:rPr>
          <w:rFonts w:hint="eastAsia" w:ascii="宋体" w:hAnsi="宋体" w:eastAsia="宋体" w:cs="宋体"/>
          <w:sz w:val="24"/>
          <w:szCs w:val="24"/>
          <w:highlight w:val="none"/>
        </w:rPr>
        <w:t>生产责任保险的前提下向发</w:t>
      </w:r>
      <w:r>
        <w:rPr>
          <w:rFonts w:hint="eastAsia" w:ascii="宋体" w:hAnsi="宋体" w:eastAsia="宋体" w:cs="宋体"/>
          <w:spacing w:val="-1"/>
          <w:sz w:val="24"/>
          <w:szCs w:val="24"/>
          <w:highlight w:val="none"/>
        </w:rPr>
        <w:t>包人提交安全生产措施费申请，项目预付安全生产措施费总额的</w:t>
      </w:r>
      <w:r>
        <w:rPr>
          <w:rFonts w:hint="eastAsia" w:ascii="宋体" w:hAnsi="宋体" w:eastAsia="宋体" w:cs="宋体"/>
          <w:spacing w:val="-40"/>
          <w:sz w:val="24"/>
          <w:szCs w:val="24"/>
          <w:highlight w:val="none"/>
        </w:rPr>
        <w:t xml:space="preserve"> </w:t>
      </w:r>
      <w:r>
        <w:rPr>
          <w:rFonts w:hint="eastAsia" w:ascii="宋体" w:hAnsi="宋体" w:eastAsia="宋体" w:cs="宋体"/>
          <w:spacing w:val="-1"/>
          <w:sz w:val="24"/>
          <w:szCs w:val="24"/>
          <w:highlight w:val="none"/>
        </w:rPr>
        <w:t>50%</w:t>
      </w:r>
      <w:r>
        <w:rPr>
          <w:rFonts w:hint="eastAsia" w:ascii="宋体" w:hAnsi="宋体" w:eastAsia="宋体" w:cs="宋体"/>
          <w:spacing w:val="-31"/>
          <w:sz w:val="24"/>
          <w:szCs w:val="24"/>
          <w:highlight w:val="none"/>
        </w:rPr>
        <w:t xml:space="preserve"> </w:t>
      </w:r>
      <w:r>
        <w:rPr>
          <w:rFonts w:hint="eastAsia" w:ascii="宋体" w:hAnsi="宋体" w:eastAsia="宋体" w:cs="宋体"/>
          <w:spacing w:val="-1"/>
          <w:sz w:val="24"/>
          <w:szCs w:val="24"/>
          <w:highlight w:val="none"/>
        </w:rPr>
        <w:t>，其余部分应按照提前</w:t>
      </w:r>
      <w:r>
        <w:rPr>
          <w:rFonts w:hint="eastAsia" w:ascii="宋体" w:hAnsi="宋体" w:eastAsia="宋体" w:cs="宋体"/>
          <w:spacing w:val="1"/>
          <w:sz w:val="24"/>
          <w:szCs w:val="24"/>
          <w:highlight w:val="none"/>
        </w:rPr>
        <w:t>安排的原则进行分解，并与工程进度款同期支付。发承包双方</w:t>
      </w:r>
      <w:r>
        <w:rPr>
          <w:rFonts w:hint="eastAsia" w:ascii="宋体" w:hAnsi="宋体" w:eastAsia="宋体" w:cs="宋体"/>
          <w:sz w:val="24"/>
          <w:szCs w:val="24"/>
          <w:highlight w:val="none"/>
        </w:rPr>
        <w:t>在计算应付工程进度款时，不</w:t>
      </w:r>
      <w:r>
        <w:rPr>
          <w:rFonts w:hint="eastAsia" w:ascii="宋体" w:hAnsi="宋体" w:eastAsia="宋体" w:cs="宋体"/>
          <w:spacing w:val="1"/>
          <w:sz w:val="24"/>
          <w:szCs w:val="24"/>
          <w:highlight w:val="none"/>
        </w:rPr>
        <w:t>应扣回预付款安全生产措施费，在工程结算时一次性扣回。安全生产措施费必须专款专用，</w:t>
      </w:r>
      <w:r>
        <w:rPr>
          <w:rFonts w:hint="eastAsia" w:ascii="宋体" w:hAnsi="宋体" w:eastAsia="宋体" w:cs="宋体"/>
          <w:sz w:val="24"/>
          <w:szCs w:val="24"/>
          <w:highlight w:val="none"/>
        </w:rPr>
        <w:t>并由发包人单独拨付到承包人的建设工程安</w:t>
      </w:r>
      <w:r>
        <w:rPr>
          <w:rFonts w:hint="eastAsia" w:ascii="宋体" w:hAnsi="宋体" w:eastAsia="宋体" w:cs="宋体"/>
          <w:spacing w:val="-1"/>
          <w:sz w:val="24"/>
          <w:szCs w:val="24"/>
          <w:highlight w:val="none"/>
        </w:rPr>
        <w:t>全生产措施费专用账户。</w:t>
      </w:r>
    </w:p>
    <w:p w14:paraId="51D5B54E">
      <w:pPr>
        <w:pStyle w:val="6"/>
        <w:spacing w:before="78" w:line="338" w:lineRule="auto"/>
        <w:ind w:right="18"/>
        <w:jc w:val="both"/>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 xml:space="preserve">3.2.6  </w:t>
      </w:r>
      <w:r>
        <w:rPr>
          <w:rFonts w:hint="eastAsia" w:ascii="宋体" w:hAnsi="宋体" w:eastAsia="宋体" w:cs="宋体"/>
          <w:spacing w:val="2"/>
          <w:sz w:val="24"/>
          <w:szCs w:val="24"/>
          <w:highlight w:val="none"/>
        </w:rPr>
        <w:t>施工预付款应从每支付期应支付给承包人的工程进</w:t>
      </w:r>
      <w:r>
        <w:rPr>
          <w:rFonts w:hint="eastAsia" w:ascii="宋体" w:hAnsi="宋体" w:eastAsia="宋体" w:cs="宋体"/>
          <w:spacing w:val="1"/>
          <w:sz w:val="24"/>
          <w:szCs w:val="24"/>
          <w:highlight w:val="none"/>
        </w:rPr>
        <w:t>度款中扣回，扣回比例为每</w:t>
      </w:r>
      <w:r>
        <w:rPr>
          <w:rFonts w:hint="eastAsia" w:ascii="宋体" w:hAnsi="宋体" w:eastAsia="宋体" w:cs="宋体"/>
          <w:spacing w:val="1"/>
          <w:sz w:val="24"/>
          <w:szCs w:val="24"/>
          <w:highlight w:val="none"/>
          <w:lang w:val="en-US" w:eastAsia="zh-CN"/>
        </w:rPr>
        <w:t>期</w:t>
      </w:r>
      <w:r>
        <w:rPr>
          <w:rFonts w:hint="eastAsia" w:ascii="宋体" w:hAnsi="宋体" w:eastAsia="宋体" w:cs="宋体"/>
          <w:spacing w:val="-2"/>
          <w:sz w:val="24"/>
          <w:szCs w:val="24"/>
          <w:highlight w:val="none"/>
        </w:rPr>
        <w:t>的工程进度款（安全生产措施费除外）的</w:t>
      </w:r>
      <w:r>
        <w:rPr>
          <w:rFonts w:hint="eastAsia" w:ascii="宋体" w:hAnsi="宋体" w:eastAsia="宋体" w:cs="宋体"/>
          <w:spacing w:val="-48"/>
          <w:sz w:val="24"/>
          <w:szCs w:val="24"/>
          <w:highlight w:val="none"/>
        </w:rPr>
        <w:t xml:space="preserve"> </w:t>
      </w:r>
      <w:r>
        <w:rPr>
          <w:rFonts w:hint="eastAsia" w:ascii="宋体" w:hAnsi="宋体" w:eastAsia="宋体" w:cs="宋体"/>
          <w:spacing w:val="-2"/>
          <w:sz w:val="24"/>
          <w:szCs w:val="24"/>
          <w:highlight w:val="none"/>
        </w:rPr>
        <w:t>50%（例：承包人本期实</w:t>
      </w:r>
      <w:r>
        <w:rPr>
          <w:rFonts w:hint="eastAsia" w:ascii="宋体" w:hAnsi="宋体" w:eastAsia="宋体" w:cs="宋体"/>
          <w:spacing w:val="-3"/>
          <w:sz w:val="24"/>
          <w:szCs w:val="24"/>
          <w:highlight w:val="none"/>
        </w:rPr>
        <w:t>际完成工程价款为</w:t>
      </w:r>
      <w:r>
        <w:rPr>
          <w:rFonts w:hint="eastAsia" w:ascii="宋体" w:hAnsi="宋体" w:eastAsia="宋体" w:cs="宋体"/>
          <w:spacing w:val="-56"/>
          <w:sz w:val="24"/>
          <w:szCs w:val="24"/>
          <w:highlight w:val="none"/>
        </w:rPr>
        <w:t xml:space="preserve"> </w:t>
      </w:r>
      <w:r>
        <w:rPr>
          <w:rFonts w:hint="eastAsia" w:ascii="宋体" w:hAnsi="宋体" w:eastAsia="宋体" w:cs="宋体"/>
          <w:spacing w:val="-3"/>
          <w:sz w:val="24"/>
          <w:szCs w:val="24"/>
          <w:highlight w:val="none"/>
        </w:rPr>
        <w:t>M</w:t>
      </w:r>
      <w:r>
        <w:rPr>
          <w:rFonts w:hint="eastAsia" w:ascii="宋体" w:hAnsi="宋体" w:eastAsia="宋体" w:cs="宋体"/>
          <w:spacing w:val="-28"/>
          <w:sz w:val="24"/>
          <w:szCs w:val="24"/>
          <w:highlight w:val="none"/>
        </w:rPr>
        <w:t xml:space="preserve"> </w:t>
      </w:r>
      <w:r>
        <w:rPr>
          <w:rFonts w:hint="eastAsia" w:ascii="宋体" w:hAnsi="宋体" w:eastAsia="宋体" w:cs="宋体"/>
          <w:spacing w:val="-3"/>
          <w:sz w:val="24"/>
          <w:szCs w:val="24"/>
          <w:highlight w:val="none"/>
        </w:rPr>
        <w:t>，安全生产措施费为</w:t>
      </w:r>
      <w:r>
        <w:rPr>
          <w:rFonts w:hint="eastAsia" w:ascii="宋体" w:hAnsi="宋体" w:eastAsia="宋体" w:cs="宋体"/>
          <w:spacing w:val="-62"/>
          <w:sz w:val="24"/>
          <w:szCs w:val="24"/>
          <w:highlight w:val="none"/>
        </w:rPr>
        <w:t xml:space="preserve"> </w:t>
      </w:r>
      <w:r>
        <w:rPr>
          <w:rFonts w:hint="eastAsia" w:ascii="宋体" w:hAnsi="宋体" w:eastAsia="宋体" w:cs="宋体"/>
          <w:spacing w:val="-3"/>
          <w:sz w:val="24"/>
          <w:szCs w:val="24"/>
          <w:highlight w:val="none"/>
        </w:rPr>
        <w:t>N</w:t>
      </w:r>
      <w:r>
        <w:rPr>
          <w:rFonts w:hint="eastAsia" w:ascii="宋体" w:hAnsi="宋体" w:eastAsia="宋体" w:cs="宋体"/>
          <w:spacing w:val="-32"/>
          <w:sz w:val="24"/>
          <w:szCs w:val="24"/>
          <w:highlight w:val="none"/>
        </w:rPr>
        <w:t xml:space="preserve"> </w:t>
      </w:r>
      <w:r>
        <w:rPr>
          <w:rFonts w:hint="eastAsia" w:ascii="宋体" w:hAnsi="宋体" w:eastAsia="宋体" w:cs="宋体"/>
          <w:spacing w:val="-3"/>
          <w:sz w:val="24"/>
          <w:szCs w:val="24"/>
          <w:highlight w:val="none"/>
        </w:rPr>
        <w:t>，支付比例为</w:t>
      </w:r>
      <w:r>
        <w:rPr>
          <w:rFonts w:hint="eastAsia" w:ascii="宋体" w:hAnsi="宋体" w:eastAsia="宋体" w:cs="宋体"/>
          <w:spacing w:val="-44"/>
          <w:sz w:val="24"/>
          <w:szCs w:val="24"/>
          <w:highlight w:val="none"/>
        </w:rPr>
        <w:t xml:space="preserve"> </w:t>
      </w:r>
      <w:r>
        <w:rPr>
          <w:rFonts w:hint="eastAsia" w:ascii="宋体" w:hAnsi="宋体" w:eastAsia="宋体" w:cs="宋体"/>
          <w:spacing w:val="-3"/>
          <w:sz w:val="24"/>
          <w:szCs w:val="24"/>
          <w:highlight w:val="none"/>
        </w:rPr>
        <w:t>S</w:t>
      </w:r>
      <w:r>
        <w:rPr>
          <w:rFonts w:hint="eastAsia" w:ascii="宋体" w:hAnsi="宋体" w:eastAsia="宋体" w:cs="宋体"/>
          <w:spacing w:val="-30"/>
          <w:sz w:val="24"/>
          <w:szCs w:val="24"/>
          <w:highlight w:val="none"/>
        </w:rPr>
        <w:t xml:space="preserve"> </w:t>
      </w:r>
      <w:r>
        <w:rPr>
          <w:rFonts w:hint="eastAsia" w:ascii="宋体" w:hAnsi="宋体" w:eastAsia="宋体" w:cs="宋体"/>
          <w:spacing w:val="-3"/>
          <w:sz w:val="24"/>
          <w:szCs w:val="24"/>
          <w:highlight w:val="none"/>
        </w:rPr>
        <w:t>，则本期需扣回的金额为（M-N）</w:t>
      </w:r>
      <w:r>
        <w:rPr>
          <w:rFonts w:hint="eastAsia" w:ascii="宋体" w:hAnsi="宋体" w:eastAsia="宋体" w:cs="宋体"/>
          <w:spacing w:val="-75"/>
          <w:sz w:val="24"/>
          <w:szCs w:val="24"/>
          <w:highlight w:val="none"/>
        </w:rPr>
        <w:t xml:space="preserve"> </w:t>
      </w:r>
      <w:r>
        <w:rPr>
          <w:rFonts w:hint="eastAsia" w:ascii="宋体" w:hAnsi="宋体" w:eastAsia="宋体" w:cs="宋体"/>
          <w:spacing w:val="-3"/>
          <w:sz w:val="24"/>
          <w:szCs w:val="24"/>
          <w:highlight w:val="none"/>
        </w:rPr>
        <w:t>×S×50%</w:t>
      </w:r>
      <w:r>
        <w:rPr>
          <w:rFonts w:hint="eastAsia" w:ascii="宋体" w:hAnsi="宋体" w:eastAsia="宋体" w:cs="宋体"/>
          <w:spacing w:val="5"/>
          <w:sz w:val="24"/>
          <w:szCs w:val="24"/>
          <w:highlight w:val="none"/>
        </w:rPr>
        <w:t>），</w:t>
      </w:r>
      <w:r>
        <w:rPr>
          <w:rFonts w:hint="eastAsia" w:ascii="宋体" w:hAnsi="宋体" w:eastAsia="宋体" w:cs="宋体"/>
          <w:spacing w:val="-3"/>
          <w:sz w:val="24"/>
          <w:szCs w:val="24"/>
          <w:highlight w:val="none"/>
        </w:rPr>
        <w:t>直</w:t>
      </w:r>
      <w:r>
        <w:rPr>
          <w:rFonts w:hint="eastAsia" w:ascii="宋体" w:hAnsi="宋体" w:eastAsia="宋体" w:cs="宋体"/>
          <w:spacing w:val="-4"/>
          <w:sz w:val="24"/>
          <w:szCs w:val="24"/>
          <w:highlight w:val="none"/>
        </w:rPr>
        <w:t>到扣回</w:t>
      </w:r>
      <w:r>
        <w:rPr>
          <w:rFonts w:hint="eastAsia" w:ascii="宋体" w:hAnsi="宋体" w:eastAsia="宋体" w:cs="宋体"/>
          <w:spacing w:val="-7"/>
          <w:sz w:val="24"/>
          <w:szCs w:val="24"/>
          <w:highlight w:val="none"/>
        </w:rPr>
        <w:t>的金额达到合同约定的施工预付款金额为止。</w:t>
      </w:r>
      <w:r>
        <w:rPr>
          <w:rFonts w:hint="eastAsia" w:ascii="宋体" w:hAnsi="宋体" w:eastAsia="宋体" w:cs="宋体"/>
          <w:spacing w:val="-8"/>
          <w:sz w:val="24"/>
          <w:szCs w:val="24"/>
          <w:highlight w:val="none"/>
        </w:rPr>
        <w:t>应保证工人工资</w:t>
      </w:r>
      <w:r>
        <w:rPr>
          <w:rFonts w:hint="eastAsia" w:ascii="宋体" w:hAnsi="宋体" w:eastAsia="宋体" w:cs="宋体"/>
          <w:spacing w:val="-32"/>
          <w:sz w:val="24"/>
          <w:szCs w:val="24"/>
          <w:highlight w:val="none"/>
        </w:rPr>
        <w:t xml:space="preserve"> </w:t>
      </w:r>
      <w:r>
        <w:rPr>
          <w:rFonts w:hint="eastAsia" w:ascii="宋体" w:hAnsi="宋体" w:eastAsia="宋体" w:cs="宋体"/>
          <w:spacing w:val="-8"/>
          <w:sz w:val="24"/>
          <w:szCs w:val="24"/>
          <w:highlight w:val="none"/>
        </w:rPr>
        <w:t>100%支付，若存在未扣回部分，</w:t>
      </w:r>
      <w:r>
        <w:rPr>
          <w:rFonts w:hint="eastAsia" w:ascii="宋体" w:hAnsi="宋体" w:eastAsia="宋体" w:cs="宋体"/>
          <w:spacing w:val="-2"/>
          <w:sz w:val="24"/>
          <w:szCs w:val="24"/>
          <w:highlight w:val="none"/>
        </w:rPr>
        <w:t>则在下期进度款中继续扣回。</w:t>
      </w:r>
    </w:p>
    <w:p w14:paraId="38E98A13">
      <w:pPr>
        <w:pStyle w:val="6"/>
        <w:spacing w:before="1" w:line="298" w:lineRule="auto"/>
        <w:ind w:right="78" w:firstLine="475"/>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 xml:space="preserve">3.3  </w:t>
      </w:r>
      <w:r>
        <w:rPr>
          <w:rFonts w:hint="eastAsia" w:ascii="宋体" w:hAnsi="宋体" w:eastAsia="宋体" w:cs="宋体"/>
          <w:spacing w:val="2"/>
          <w:sz w:val="24"/>
          <w:szCs w:val="24"/>
          <w:highlight w:val="none"/>
        </w:rPr>
        <w:t>施工过程中按</w:t>
      </w:r>
      <w:r>
        <w:rPr>
          <w:rFonts w:hint="eastAsia" w:ascii="宋体" w:hAnsi="宋体" w:eastAsia="宋体" w:cs="宋体"/>
          <w:spacing w:val="2"/>
          <w:sz w:val="24"/>
          <w:szCs w:val="24"/>
          <w:highlight w:val="none"/>
          <w:u w:val="single"/>
          <w:lang w:val="en-US" w:eastAsia="zh-CN"/>
        </w:rPr>
        <w:t>60%、100%</w:t>
      </w:r>
      <w:r>
        <w:rPr>
          <w:rFonts w:hint="eastAsia" w:ascii="宋体" w:hAnsi="宋体" w:eastAsia="宋体" w:cs="宋体"/>
          <w:spacing w:val="2"/>
          <w:sz w:val="24"/>
          <w:szCs w:val="24"/>
          <w:highlight w:val="none"/>
          <w:lang w:val="en-US" w:eastAsia="zh-CN"/>
        </w:rPr>
        <w:t>工程总进度</w:t>
      </w:r>
      <w:r>
        <w:rPr>
          <w:rFonts w:hint="eastAsia" w:ascii="宋体" w:hAnsi="宋体" w:eastAsia="宋体" w:cs="宋体"/>
          <w:spacing w:val="2"/>
          <w:sz w:val="24"/>
          <w:szCs w:val="24"/>
          <w:highlight w:val="none"/>
        </w:rPr>
        <w:t>支付工程进度款：承包人每</w:t>
      </w:r>
      <w:r>
        <w:rPr>
          <w:rFonts w:hint="eastAsia" w:ascii="宋体" w:hAnsi="宋体" w:eastAsia="宋体" w:cs="宋体"/>
          <w:spacing w:val="2"/>
          <w:sz w:val="24"/>
          <w:szCs w:val="24"/>
          <w:highlight w:val="none"/>
          <w:u w:val="single"/>
          <w:lang w:val="en-US" w:eastAsia="zh-CN"/>
        </w:rPr>
        <w:t>60%、100%</w:t>
      </w:r>
      <w:r>
        <w:rPr>
          <w:rFonts w:hint="eastAsia" w:ascii="宋体" w:hAnsi="宋体" w:eastAsia="宋体" w:cs="宋体"/>
          <w:spacing w:val="2"/>
          <w:sz w:val="24"/>
          <w:szCs w:val="24"/>
          <w:highlight w:val="none"/>
          <w:lang w:val="en-US" w:eastAsia="zh-CN"/>
        </w:rPr>
        <w:t>工程总进度</w:t>
      </w:r>
      <w:r>
        <w:rPr>
          <w:rFonts w:hint="eastAsia" w:ascii="宋体" w:hAnsi="宋体" w:eastAsia="宋体" w:cs="宋体"/>
          <w:spacing w:val="2"/>
          <w:sz w:val="24"/>
          <w:szCs w:val="24"/>
          <w:highlight w:val="none"/>
        </w:rPr>
        <w:t>必须按工程实际完成工程量（含变更</w:t>
      </w:r>
      <w:r>
        <w:rPr>
          <w:rFonts w:hint="eastAsia" w:ascii="宋体" w:hAnsi="宋体" w:eastAsia="宋体" w:cs="宋体"/>
          <w:spacing w:val="-4"/>
          <w:sz w:val="24"/>
          <w:szCs w:val="24"/>
          <w:highlight w:val="none"/>
        </w:rPr>
        <w:t>及增加工程）申报。承包人必须将《已完成工程量报表》和《工程付款申请书》于当月</w:t>
      </w:r>
      <w:r>
        <w:rPr>
          <w:rFonts w:hint="eastAsia" w:ascii="宋体" w:hAnsi="宋体" w:eastAsia="宋体" w:cs="宋体"/>
          <w:spacing w:val="-44"/>
          <w:sz w:val="24"/>
          <w:szCs w:val="24"/>
          <w:highlight w:val="none"/>
        </w:rPr>
        <w:t xml:space="preserve"> </w:t>
      </w:r>
      <w:r>
        <w:rPr>
          <w:rFonts w:hint="eastAsia" w:ascii="宋体" w:hAnsi="宋体" w:eastAsia="宋体" w:cs="宋体"/>
          <w:spacing w:val="-4"/>
          <w:sz w:val="24"/>
          <w:szCs w:val="24"/>
          <w:highlight w:val="none"/>
        </w:rPr>
        <w:t>26 日</w:t>
      </w:r>
      <w:r>
        <w:rPr>
          <w:rFonts w:hint="eastAsia" w:ascii="宋体" w:hAnsi="宋体" w:eastAsia="宋体" w:cs="宋体"/>
          <w:sz w:val="24"/>
          <w:szCs w:val="24"/>
          <w:highlight w:val="none"/>
        </w:rPr>
        <w:t>前报监理单位及第三方造价咨询单位审核，经发包人审定后的工程进</w:t>
      </w:r>
      <w:r>
        <w:rPr>
          <w:rFonts w:hint="eastAsia" w:ascii="宋体" w:hAnsi="宋体" w:eastAsia="宋体" w:cs="宋体"/>
          <w:spacing w:val="-1"/>
          <w:sz w:val="24"/>
          <w:szCs w:val="24"/>
          <w:highlight w:val="none"/>
        </w:rPr>
        <w:t>度款于申报次月支付。</w:t>
      </w:r>
    </w:p>
    <w:p w14:paraId="494DD06F">
      <w:pPr>
        <w:pStyle w:val="6"/>
        <w:spacing w:before="154" w:line="279" w:lineRule="auto"/>
        <w:ind w:right="80" w:firstLine="475"/>
        <w:rPr>
          <w:rFonts w:hint="eastAsia" w:ascii="宋体" w:hAnsi="宋体" w:eastAsia="宋体" w:cs="宋体"/>
          <w:color w:val="auto"/>
          <w:sz w:val="24"/>
          <w:szCs w:val="24"/>
          <w:highlight w:val="none"/>
        </w:rPr>
      </w:pPr>
      <w:r>
        <w:rPr>
          <w:rFonts w:hint="eastAsia" w:ascii="宋体" w:hAnsi="宋体" w:eastAsia="宋体" w:cs="宋体"/>
          <w:b/>
          <w:bCs/>
          <w:spacing w:val="-2"/>
          <w:sz w:val="24"/>
          <w:szCs w:val="24"/>
          <w:highlight w:val="none"/>
        </w:rPr>
        <w:t xml:space="preserve">3.4 </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工程进度款按每</w:t>
      </w:r>
      <w:r>
        <w:rPr>
          <w:rFonts w:hint="eastAsia" w:ascii="宋体" w:hAnsi="宋体" w:eastAsia="宋体" w:cs="宋体"/>
          <w:color w:val="auto"/>
          <w:spacing w:val="-2"/>
          <w:sz w:val="24"/>
          <w:szCs w:val="24"/>
          <w:highlight w:val="none"/>
          <w:lang w:val="en-US" w:eastAsia="zh-CN"/>
        </w:rPr>
        <w:t>期</w:t>
      </w:r>
      <w:r>
        <w:rPr>
          <w:rFonts w:hint="eastAsia" w:ascii="宋体" w:hAnsi="宋体" w:eastAsia="宋体" w:cs="宋体"/>
          <w:color w:val="auto"/>
          <w:spacing w:val="-2"/>
          <w:sz w:val="24"/>
          <w:szCs w:val="24"/>
          <w:highlight w:val="none"/>
        </w:rPr>
        <w:t>实际完成工程价款的</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2"/>
          <w:sz w:val="24"/>
          <w:szCs w:val="24"/>
          <w:highlight w:val="none"/>
          <w:u w:val="single" w:color="auto"/>
          <w:lang w:val="en-US" w:eastAsia="zh-CN"/>
        </w:rPr>
        <w:t>60</w:t>
      </w:r>
      <w:r>
        <w:rPr>
          <w:rFonts w:hint="eastAsia" w:ascii="宋体" w:hAnsi="宋体" w:eastAsia="宋体" w:cs="宋体"/>
          <w:color w:val="auto"/>
          <w:spacing w:val="-2"/>
          <w:sz w:val="24"/>
          <w:szCs w:val="24"/>
          <w:highlight w:val="none"/>
          <w:u w:val="single" w:color="auto"/>
        </w:rPr>
        <w:t xml:space="preserve">% </w:t>
      </w:r>
      <w:r>
        <w:rPr>
          <w:rFonts w:hint="eastAsia" w:ascii="宋体" w:hAnsi="宋体" w:eastAsia="宋体" w:cs="宋体"/>
          <w:color w:val="auto"/>
          <w:spacing w:val="-3"/>
          <w:sz w:val="24"/>
          <w:szCs w:val="24"/>
          <w:highlight w:val="none"/>
          <w:u w:val="single" w:color="auto"/>
        </w:rPr>
        <w:t xml:space="preserve"> </w:t>
      </w:r>
      <w:r>
        <w:rPr>
          <w:rFonts w:hint="eastAsia" w:ascii="宋体" w:hAnsi="宋体" w:eastAsia="宋体" w:cs="宋体"/>
          <w:color w:val="auto"/>
          <w:spacing w:val="-3"/>
          <w:sz w:val="24"/>
          <w:szCs w:val="24"/>
          <w:highlight w:val="none"/>
        </w:rPr>
        <w:t>支付，其中：工程进度款中的作</w:t>
      </w:r>
      <w:r>
        <w:rPr>
          <w:rFonts w:hint="eastAsia" w:ascii="宋体" w:hAnsi="宋体" w:eastAsia="宋体" w:cs="宋体"/>
          <w:color w:val="auto"/>
          <w:spacing w:val="-1"/>
          <w:sz w:val="24"/>
          <w:szCs w:val="24"/>
          <w:highlight w:val="none"/>
        </w:rPr>
        <w:t>业工人工资款项由发包人单独足额拨付到承包人的工资专户。</w:t>
      </w:r>
    </w:p>
    <w:p w14:paraId="6853FC75">
      <w:pPr>
        <w:pStyle w:val="6"/>
        <w:spacing w:before="155" w:line="279" w:lineRule="auto"/>
        <w:ind w:left="1" w:right="82" w:firstLine="473"/>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 xml:space="preserve">3.5  </w:t>
      </w:r>
      <w:r>
        <w:rPr>
          <w:rFonts w:hint="eastAsia" w:ascii="宋体" w:hAnsi="宋体" w:eastAsia="宋体" w:cs="宋体"/>
          <w:spacing w:val="2"/>
          <w:sz w:val="24"/>
          <w:szCs w:val="24"/>
          <w:highlight w:val="none"/>
        </w:rPr>
        <w:t>变更工程造价必须经监理单位、第三方造价咨询单位审核，并经发包人核定后方可</w:t>
      </w:r>
      <w:r>
        <w:rPr>
          <w:rFonts w:hint="eastAsia" w:ascii="宋体" w:hAnsi="宋体" w:eastAsia="宋体" w:cs="宋体"/>
          <w:spacing w:val="-4"/>
          <w:sz w:val="24"/>
          <w:szCs w:val="24"/>
          <w:highlight w:val="none"/>
        </w:rPr>
        <w:t>支付。</w:t>
      </w:r>
    </w:p>
    <w:p w14:paraId="107845A6">
      <w:pPr>
        <w:pStyle w:val="6"/>
        <w:spacing w:before="154" w:line="299" w:lineRule="auto"/>
        <w:ind w:right="78" w:firstLine="474"/>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 xml:space="preserve">3.6  </w:t>
      </w:r>
      <w:r>
        <w:rPr>
          <w:rFonts w:hint="eastAsia" w:ascii="宋体" w:hAnsi="宋体" w:eastAsia="宋体" w:cs="宋体"/>
          <w:spacing w:val="2"/>
          <w:sz w:val="24"/>
          <w:szCs w:val="24"/>
          <w:highlight w:val="none"/>
        </w:rPr>
        <w:t>承包人提交的结算书经发包人及发包人委托的第三方造价咨询单位审核后，支付至</w:t>
      </w:r>
      <w:r>
        <w:rPr>
          <w:rFonts w:hint="eastAsia" w:ascii="宋体" w:hAnsi="宋体" w:eastAsia="宋体" w:cs="宋体"/>
          <w:spacing w:val="-1"/>
          <w:sz w:val="24"/>
          <w:szCs w:val="24"/>
          <w:highlight w:val="none"/>
        </w:rPr>
        <w:t>双方无异议价款（经发包人、第三方造价咨询单位及承包人确认盖章金额）的</w:t>
      </w:r>
      <w:r>
        <w:rPr>
          <w:rFonts w:hint="eastAsia" w:ascii="宋体" w:hAnsi="宋体" w:eastAsia="宋体" w:cs="宋体"/>
          <w:color w:val="000000" w:themeColor="text1"/>
          <w:spacing w:val="-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40"/>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pacing w:val="-1"/>
          <w:sz w:val="24"/>
          <w:szCs w:val="24"/>
          <w:highlight w:val="none"/>
          <w14:textFill>
            <w14:solidFill>
              <w14:schemeClr w14:val="tx1"/>
            </w14:solidFill>
          </w14:textFill>
        </w:rPr>
        <w:t>0%</w:t>
      </w:r>
      <w:r>
        <w:rPr>
          <w:rFonts w:hint="eastAsia" w:ascii="宋体" w:hAnsi="宋体" w:eastAsia="宋体" w:cs="宋体"/>
          <w:color w:val="000000" w:themeColor="text1"/>
          <w:spacing w:val="-31"/>
          <w:sz w:val="24"/>
          <w:szCs w:val="24"/>
          <w:highlight w:val="none"/>
          <w14:textFill>
            <w14:solidFill>
              <w14:schemeClr w14:val="tx1"/>
            </w14:solidFill>
          </w14:textFill>
        </w:rPr>
        <w:t xml:space="preserve"> </w:t>
      </w:r>
      <w:r>
        <w:rPr>
          <w:rFonts w:hint="eastAsia" w:ascii="宋体" w:hAnsi="宋体" w:eastAsia="宋体" w:cs="宋体"/>
          <w:spacing w:val="-1"/>
          <w:sz w:val="24"/>
          <w:szCs w:val="24"/>
          <w:highlight w:val="none"/>
        </w:rPr>
        <w:t>，其余未支付款项待最终结算审定后支付。</w:t>
      </w:r>
    </w:p>
    <w:p w14:paraId="6EF5326B">
      <w:pPr>
        <w:pStyle w:val="6"/>
        <w:spacing w:before="154" w:line="279" w:lineRule="auto"/>
        <w:ind w:right="78" w:firstLine="474"/>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 xml:space="preserve">3.7  </w:t>
      </w:r>
      <w:r>
        <w:rPr>
          <w:rFonts w:hint="eastAsia" w:ascii="宋体" w:hAnsi="宋体" w:eastAsia="宋体" w:cs="宋体"/>
          <w:spacing w:val="-3"/>
          <w:sz w:val="24"/>
          <w:szCs w:val="24"/>
          <w:highlight w:val="none"/>
        </w:rPr>
        <w:t>最终结算审核完成后，于次月支付至审定总造价的</w:t>
      </w:r>
      <w:r>
        <w:rPr>
          <w:rFonts w:hint="eastAsia" w:ascii="宋体" w:hAnsi="宋体" w:eastAsia="宋体" w:cs="宋体"/>
          <w:spacing w:val="-35"/>
          <w:sz w:val="24"/>
          <w:szCs w:val="24"/>
          <w:highlight w:val="none"/>
        </w:rPr>
        <w:t xml:space="preserve"> </w:t>
      </w:r>
      <w:r>
        <w:rPr>
          <w:rFonts w:hint="eastAsia" w:ascii="宋体" w:hAnsi="宋体" w:eastAsia="宋体" w:cs="宋体"/>
          <w:spacing w:val="-3"/>
          <w:sz w:val="24"/>
          <w:szCs w:val="24"/>
          <w:highlight w:val="none"/>
        </w:rPr>
        <w:t>97%</w:t>
      </w:r>
      <w:r>
        <w:rPr>
          <w:rFonts w:hint="eastAsia" w:ascii="宋体" w:hAnsi="宋体" w:eastAsia="宋体" w:cs="宋体"/>
          <w:spacing w:val="-31"/>
          <w:sz w:val="24"/>
          <w:szCs w:val="24"/>
          <w:highlight w:val="none"/>
        </w:rPr>
        <w:t xml:space="preserve"> </w:t>
      </w:r>
      <w:r>
        <w:rPr>
          <w:rFonts w:hint="eastAsia" w:ascii="宋体" w:hAnsi="宋体" w:eastAsia="宋体" w:cs="宋体"/>
          <w:spacing w:val="-3"/>
          <w:sz w:val="24"/>
          <w:szCs w:val="24"/>
          <w:highlight w:val="none"/>
        </w:rPr>
        <w:t>，剩余</w:t>
      </w:r>
      <w:r>
        <w:rPr>
          <w:rFonts w:hint="eastAsia" w:ascii="宋体" w:hAnsi="宋体" w:eastAsia="宋体" w:cs="宋体"/>
          <w:spacing w:val="-51"/>
          <w:sz w:val="24"/>
          <w:szCs w:val="24"/>
          <w:highlight w:val="none"/>
        </w:rPr>
        <w:t xml:space="preserve"> </w:t>
      </w:r>
      <w:r>
        <w:rPr>
          <w:rFonts w:hint="eastAsia" w:ascii="宋体" w:hAnsi="宋体" w:eastAsia="宋体" w:cs="宋体"/>
          <w:spacing w:val="-3"/>
          <w:sz w:val="24"/>
          <w:szCs w:val="24"/>
          <w:highlight w:val="none"/>
        </w:rPr>
        <w:t>3%转为质量保证金；</w:t>
      </w:r>
      <w:r>
        <w:rPr>
          <w:rFonts w:hint="eastAsia" w:ascii="宋体" w:hAnsi="宋体" w:eastAsia="宋体" w:cs="宋体"/>
          <w:sz w:val="24"/>
          <w:szCs w:val="24"/>
          <w:highlight w:val="none"/>
        </w:rPr>
        <w:t>承包人提交了等额质量保证担保或质量保证保险的，于次月</w:t>
      </w:r>
      <w:r>
        <w:rPr>
          <w:rFonts w:hint="eastAsia" w:ascii="宋体" w:hAnsi="宋体" w:eastAsia="宋体" w:cs="宋体"/>
          <w:spacing w:val="-1"/>
          <w:sz w:val="24"/>
          <w:szCs w:val="24"/>
          <w:highlight w:val="none"/>
        </w:rPr>
        <w:t>一次性结清审定总造价。</w:t>
      </w:r>
    </w:p>
    <w:p w14:paraId="626739F1">
      <w:pPr>
        <w:pStyle w:val="6"/>
        <w:spacing w:before="154" w:line="309" w:lineRule="auto"/>
        <w:ind w:right="80" w:firstLine="474"/>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 xml:space="preserve">3.8  </w:t>
      </w:r>
      <w:r>
        <w:rPr>
          <w:rFonts w:hint="eastAsia" w:ascii="宋体" w:hAnsi="宋体" w:eastAsia="宋体" w:cs="宋体"/>
          <w:spacing w:val="-1"/>
          <w:sz w:val="24"/>
          <w:szCs w:val="24"/>
          <w:highlight w:val="none"/>
        </w:rPr>
        <w:t>本招标项目缺陷责任期为</w:t>
      </w:r>
      <w:r>
        <w:rPr>
          <w:rFonts w:hint="eastAsia" w:ascii="宋体" w:hAnsi="宋体" w:eastAsia="宋体" w:cs="宋体"/>
          <w:spacing w:val="-1"/>
          <w:sz w:val="24"/>
          <w:szCs w:val="24"/>
          <w:highlight w:val="none"/>
          <w:u w:val="single" w:color="auto"/>
        </w:rPr>
        <w:t xml:space="preserve">  2  </w:t>
      </w:r>
      <w:r>
        <w:rPr>
          <w:rFonts w:hint="eastAsia" w:ascii="宋体" w:hAnsi="宋体" w:eastAsia="宋体" w:cs="宋体"/>
          <w:spacing w:val="-1"/>
          <w:sz w:val="24"/>
          <w:szCs w:val="24"/>
          <w:highlight w:val="none"/>
        </w:rPr>
        <w:t>年（自通过竣工验收之日起计）。缺陷责任期到期后，</w:t>
      </w:r>
      <w:r>
        <w:rPr>
          <w:rFonts w:hint="eastAsia" w:ascii="宋体" w:hAnsi="宋体" w:eastAsia="宋体" w:cs="宋体"/>
          <w:spacing w:val="-3"/>
          <w:sz w:val="24"/>
          <w:szCs w:val="24"/>
          <w:highlight w:val="none"/>
        </w:rPr>
        <w:t>承包人向发包人申请退还质量保证金（或保函）。发包人收到退还</w:t>
      </w:r>
      <w:r>
        <w:rPr>
          <w:rFonts w:hint="eastAsia" w:ascii="宋体" w:hAnsi="宋体" w:eastAsia="宋体" w:cs="宋体"/>
          <w:spacing w:val="-4"/>
          <w:sz w:val="24"/>
          <w:szCs w:val="24"/>
          <w:highlight w:val="none"/>
        </w:rPr>
        <w:t>申请后，于</w:t>
      </w:r>
      <w:r>
        <w:rPr>
          <w:rFonts w:hint="eastAsia" w:ascii="宋体" w:hAnsi="宋体" w:eastAsia="宋体" w:cs="宋体"/>
          <w:spacing w:val="-32"/>
          <w:sz w:val="24"/>
          <w:szCs w:val="24"/>
          <w:highlight w:val="none"/>
        </w:rPr>
        <w:t xml:space="preserve"> </w:t>
      </w:r>
      <w:r>
        <w:rPr>
          <w:rFonts w:hint="eastAsia" w:ascii="宋体" w:hAnsi="宋体" w:eastAsia="宋体" w:cs="宋体"/>
          <w:spacing w:val="-4"/>
          <w:sz w:val="24"/>
          <w:szCs w:val="24"/>
          <w:highlight w:val="none"/>
        </w:rPr>
        <w:t>14</w:t>
      </w:r>
      <w:r>
        <w:rPr>
          <w:rFonts w:hint="eastAsia" w:ascii="宋体" w:hAnsi="宋体" w:eastAsia="宋体" w:cs="宋体"/>
          <w:spacing w:val="15"/>
          <w:sz w:val="24"/>
          <w:szCs w:val="24"/>
          <w:highlight w:val="none"/>
        </w:rPr>
        <w:t xml:space="preserve"> </w:t>
      </w:r>
      <w:r>
        <w:rPr>
          <w:rFonts w:hint="eastAsia" w:ascii="宋体" w:hAnsi="宋体" w:eastAsia="宋体" w:cs="宋体"/>
          <w:spacing w:val="-4"/>
          <w:sz w:val="24"/>
          <w:szCs w:val="24"/>
          <w:highlight w:val="none"/>
        </w:rPr>
        <w:t>天内会同承</w:t>
      </w:r>
      <w:r>
        <w:rPr>
          <w:rFonts w:hint="eastAsia" w:ascii="宋体" w:hAnsi="宋体" w:eastAsia="宋体" w:cs="宋体"/>
          <w:spacing w:val="-3"/>
          <w:sz w:val="24"/>
          <w:szCs w:val="24"/>
          <w:highlight w:val="none"/>
        </w:rPr>
        <w:t>包人进行核实。经双方核实且均无异议后，发包人在核实之日起</w:t>
      </w:r>
      <w:r>
        <w:rPr>
          <w:rFonts w:hint="eastAsia" w:ascii="宋体" w:hAnsi="宋体" w:eastAsia="宋体" w:cs="宋体"/>
          <w:spacing w:val="-60"/>
          <w:sz w:val="24"/>
          <w:szCs w:val="24"/>
          <w:highlight w:val="none"/>
        </w:rPr>
        <w:t xml:space="preserve"> </w:t>
      </w:r>
      <w:r>
        <w:rPr>
          <w:rFonts w:hint="eastAsia" w:ascii="宋体" w:hAnsi="宋体" w:eastAsia="宋体" w:cs="宋体"/>
          <w:spacing w:val="-32"/>
          <w:sz w:val="24"/>
          <w:szCs w:val="24"/>
          <w:highlight w:val="none"/>
          <w:u w:val="single" w:color="auto"/>
        </w:rPr>
        <w:t xml:space="preserve"> </w:t>
      </w:r>
      <w:r>
        <w:rPr>
          <w:rFonts w:hint="eastAsia" w:ascii="宋体" w:hAnsi="宋体" w:eastAsia="宋体" w:cs="宋体"/>
          <w:spacing w:val="-3"/>
          <w:sz w:val="24"/>
          <w:szCs w:val="24"/>
          <w:highlight w:val="none"/>
          <w:u w:val="single" w:color="auto"/>
        </w:rPr>
        <w:t>1</w:t>
      </w:r>
      <w:r>
        <w:rPr>
          <w:rFonts w:hint="eastAsia" w:ascii="宋体" w:hAnsi="宋体" w:eastAsia="宋体" w:cs="宋体"/>
          <w:spacing w:val="-4"/>
          <w:sz w:val="24"/>
          <w:szCs w:val="24"/>
          <w:highlight w:val="none"/>
          <w:u w:val="single" w:color="auto"/>
        </w:rPr>
        <w:t>4</w:t>
      </w:r>
      <w:r>
        <w:rPr>
          <w:rFonts w:hint="eastAsia" w:ascii="宋体" w:hAnsi="宋体" w:eastAsia="宋体" w:cs="宋体"/>
          <w:spacing w:val="15"/>
          <w:sz w:val="24"/>
          <w:szCs w:val="24"/>
          <w:highlight w:val="none"/>
          <w:u w:val="single" w:color="auto"/>
        </w:rPr>
        <w:t xml:space="preserve"> </w:t>
      </w:r>
      <w:r>
        <w:rPr>
          <w:rFonts w:hint="eastAsia" w:ascii="宋体" w:hAnsi="宋体" w:eastAsia="宋体" w:cs="宋体"/>
          <w:spacing w:val="-4"/>
          <w:sz w:val="24"/>
          <w:szCs w:val="24"/>
          <w:highlight w:val="none"/>
        </w:rPr>
        <w:t>天内将应返保证金（或质</w:t>
      </w:r>
      <w:r>
        <w:rPr>
          <w:rFonts w:hint="eastAsia" w:ascii="宋体" w:hAnsi="宋体" w:eastAsia="宋体" w:cs="宋体"/>
          <w:spacing w:val="-1"/>
          <w:sz w:val="24"/>
          <w:szCs w:val="24"/>
          <w:highlight w:val="none"/>
        </w:rPr>
        <w:t>量保证担保或质量保证保险）退还承包人。</w:t>
      </w:r>
    </w:p>
    <w:p w14:paraId="24310525">
      <w:pPr>
        <w:pStyle w:val="6"/>
        <w:spacing w:before="155" w:line="279" w:lineRule="auto"/>
        <w:ind w:left="1" w:right="80" w:firstLine="473"/>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 xml:space="preserve">3.9  </w:t>
      </w:r>
      <w:r>
        <w:rPr>
          <w:rFonts w:hint="eastAsia" w:ascii="宋体" w:hAnsi="宋体" w:eastAsia="宋体" w:cs="宋体"/>
          <w:spacing w:val="2"/>
          <w:sz w:val="24"/>
          <w:szCs w:val="24"/>
          <w:highlight w:val="none"/>
        </w:rPr>
        <w:t>发包人每次支付工程款前，承包人均应提供有效的增值税专用发票。如果承包人无</w:t>
      </w:r>
      <w:r>
        <w:rPr>
          <w:rFonts w:hint="eastAsia" w:ascii="宋体" w:hAnsi="宋体" w:eastAsia="宋体" w:cs="宋体"/>
          <w:spacing w:val="-1"/>
          <w:sz w:val="24"/>
          <w:szCs w:val="24"/>
          <w:highlight w:val="none"/>
        </w:rPr>
        <w:t>法提供符合要求的发票，由此造成的相应损失由承包人承担。</w:t>
      </w:r>
    </w:p>
    <w:p w14:paraId="3CB4C59D">
      <w:pPr>
        <w:pStyle w:val="6"/>
        <w:spacing w:before="151" w:line="315" w:lineRule="auto"/>
        <w:ind w:right="80" w:firstLine="474"/>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 xml:space="preserve">3.10  </w:t>
      </w:r>
      <w:r>
        <w:rPr>
          <w:rFonts w:hint="eastAsia" w:ascii="宋体" w:hAnsi="宋体" w:eastAsia="宋体" w:cs="宋体"/>
          <w:spacing w:val="-1"/>
          <w:sz w:val="24"/>
          <w:szCs w:val="24"/>
          <w:highlight w:val="none"/>
        </w:rPr>
        <w:t>暂列金额支付方式：</w:t>
      </w:r>
      <w:r>
        <w:rPr>
          <w:rFonts w:hint="eastAsia" w:ascii="宋体" w:hAnsi="宋体" w:eastAsia="宋体" w:cs="宋体"/>
          <w:spacing w:val="-1"/>
          <w:sz w:val="24"/>
          <w:szCs w:val="24"/>
          <w:highlight w:val="none"/>
          <w:u w:val="single" w:color="auto"/>
        </w:rPr>
        <w:t>承包人需根据发包人发布的《工程变更管理办法》和《工程签</w:t>
      </w:r>
      <w:r>
        <w:rPr>
          <w:rFonts w:hint="eastAsia" w:ascii="宋体" w:hAnsi="宋体" w:eastAsia="宋体" w:cs="宋体"/>
          <w:spacing w:val="1"/>
          <w:sz w:val="24"/>
          <w:szCs w:val="24"/>
          <w:highlight w:val="none"/>
          <w:u w:val="single" w:color="auto"/>
        </w:rPr>
        <w:t>证管理办法》完善工程变更签证相关程序后，与次月的工程进</w:t>
      </w:r>
      <w:r>
        <w:rPr>
          <w:rFonts w:hint="eastAsia" w:ascii="宋体" w:hAnsi="宋体" w:eastAsia="宋体" w:cs="宋体"/>
          <w:sz w:val="24"/>
          <w:szCs w:val="24"/>
          <w:highlight w:val="none"/>
          <w:u w:val="single" w:color="auto"/>
        </w:rPr>
        <w:t>度款一并报送；若因承包人原</w:t>
      </w:r>
      <w:r>
        <w:rPr>
          <w:rFonts w:hint="eastAsia" w:ascii="宋体" w:hAnsi="宋体" w:eastAsia="宋体" w:cs="宋体"/>
          <w:spacing w:val="1"/>
          <w:sz w:val="24"/>
          <w:szCs w:val="24"/>
          <w:highlight w:val="none"/>
          <w:u w:val="single" w:color="auto"/>
        </w:rPr>
        <w:t>因未按上述办法在规定时间内完善工程变更签证相关程序的，</w:t>
      </w:r>
      <w:r>
        <w:rPr>
          <w:rFonts w:hint="eastAsia" w:ascii="宋体" w:hAnsi="宋体" w:eastAsia="宋体" w:cs="宋体"/>
          <w:sz w:val="24"/>
          <w:szCs w:val="24"/>
          <w:highlight w:val="none"/>
          <w:u w:val="single" w:color="auto"/>
        </w:rPr>
        <w:t>次月工程进度款暂停拨付；在</w:t>
      </w:r>
      <w:r>
        <w:rPr>
          <w:rFonts w:hint="eastAsia" w:ascii="宋体" w:hAnsi="宋体" w:eastAsia="宋体" w:cs="宋体"/>
          <w:spacing w:val="2"/>
          <w:sz w:val="24"/>
          <w:szCs w:val="24"/>
          <w:highlight w:val="none"/>
          <w:u w:val="single" w:color="auto"/>
        </w:rPr>
        <w:t>暂列金额的范围内，最终经发包人确认后支付至该部分实际完成工程价款的</w:t>
      </w:r>
      <w:r>
        <w:rPr>
          <w:rFonts w:hint="eastAsia" w:ascii="宋体" w:hAnsi="宋体" w:eastAsia="宋体" w:cs="宋体"/>
          <w:spacing w:val="-47"/>
          <w:sz w:val="24"/>
          <w:szCs w:val="24"/>
          <w:highlight w:val="none"/>
          <w:u w:val="single" w:color="auto"/>
        </w:rPr>
        <w:t xml:space="preserve"> </w:t>
      </w:r>
      <w:r>
        <w:rPr>
          <w:rFonts w:hint="eastAsia" w:ascii="宋体" w:hAnsi="宋体" w:eastAsia="宋体" w:cs="宋体"/>
          <w:spacing w:val="2"/>
          <w:sz w:val="24"/>
          <w:szCs w:val="24"/>
          <w:highlight w:val="none"/>
          <w:u w:val="single" w:color="auto"/>
        </w:rPr>
        <w:t>8</w:t>
      </w:r>
      <w:r>
        <w:rPr>
          <w:rFonts w:hint="eastAsia" w:ascii="宋体" w:hAnsi="宋体" w:eastAsia="宋体" w:cs="宋体"/>
          <w:spacing w:val="1"/>
          <w:sz w:val="24"/>
          <w:szCs w:val="24"/>
          <w:highlight w:val="none"/>
          <w:u w:val="single" w:color="auto"/>
        </w:rPr>
        <w:t>5%；其余部分</w:t>
      </w:r>
      <w:r>
        <w:rPr>
          <w:rFonts w:hint="eastAsia" w:ascii="宋体" w:hAnsi="宋体" w:eastAsia="宋体" w:cs="宋体"/>
          <w:spacing w:val="2"/>
          <w:sz w:val="24"/>
          <w:szCs w:val="24"/>
          <w:highlight w:val="none"/>
          <w:u w:val="single" w:color="auto"/>
        </w:rPr>
        <w:t>待结算完成审核后支付至97%，剩余</w:t>
      </w:r>
      <w:r>
        <w:rPr>
          <w:rFonts w:hint="eastAsia" w:ascii="宋体" w:hAnsi="宋体" w:eastAsia="宋体" w:cs="宋体"/>
          <w:spacing w:val="-30"/>
          <w:sz w:val="24"/>
          <w:szCs w:val="24"/>
          <w:highlight w:val="none"/>
          <w:u w:val="single" w:color="auto"/>
        </w:rPr>
        <w:t xml:space="preserve"> </w:t>
      </w:r>
      <w:r>
        <w:rPr>
          <w:rFonts w:hint="eastAsia" w:ascii="宋体" w:hAnsi="宋体" w:eastAsia="宋体" w:cs="宋体"/>
          <w:spacing w:val="2"/>
          <w:sz w:val="24"/>
          <w:szCs w:val="24"/>
          <w:highlight w:val="none"/>
          <w:u w:val="single" w:color="auto"/>
        </w:rPr>
        <w:t>3%为质量保证金。</w:t>
      </w:r>
    </w:p>
    <w:p w14:paraId="74D1E82D">
      <w:pPr>
        <w:pStyle w:val="6"/>
        <w:spacing w:before="155" w:line="309" w:lineRule="auto"/>
        <w:ind w:left="3" w:right="80" w:firstLine="471"/>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 xml:space="preserve">3.11  </w:t>
      </w:r>
      <w:r>
        <w:rPr>
          <w:rFonts w:hint="eastAsia" w:ascii="宋体" w:hAnsi="宋体" w:eastAsia="宋体" w:cs="宋体"/>
          <w:spacing w:val="-1"/>
          <w:sz w:val="24"/>
          <w:szCs w:val="24"/>
          <w:highlight w:val="none"/>
        </w:rPr>
        <w:t>材料暂估价、专业工程暂估价支付方式：</w:t>
      </w:r>
      <w:r>
        <w:rPr>
          <w:rFonts w:hint="eastAsia" w:ascii="宋体" w:hAnsi="宋体" w:eastAsia="宋体" w:cs="宋体"/>
          <w:spacing w:val="-1"/>
          <w:sz w:val="24"/>
          <w:szCs w:val="24"/>
          <w:highlight w:val="none"/>
          <w:u w:val="single" w:color="auto"/>
        </w:rPr>
        <w:t>材料暂估价、专业工程暂估价与每个月的</w:t>
      </w:r>
      <w:r>
        <w:rPr>
          <w:rFonts w:hint="eastAsia" w:ascii="宋体" w:hAnsi="宋体" w:eastAsia="宋体" w:cs="宋体"/>
          <w:spacing w:val="1"/>
          <w:sz w:val="24"/>
          <w:szCs w:val="24"/>
          <w:highlight w:val="none"/>
          <w:u w:val="single" w:color="auto"/>
        </w:rPr>
        <w:t>工程进度款一并报送，但需要列明详细项目内容，该部分</w:t>
      </w:r>
      <w:r>
        <w:rPr>
          <w:rFonts w:hint="eastAsia" w:ascii="宋体" w:hAnsi="宋体" w:eastAsia="宋体" w:cs="宋体"/>
          <w:sz w:val="24"/>
          <w:szCs w:val="24"/>
          <w:highlight w:val="none"/>
          <w:u w:val="single" w:color="auto"/>
        </w:rPr>
        <w:t>材料暂估价、专业工程暂估价按该部分实际完成工程价款的</w:t>
      </w:r>
      <w:r>
        <w:rPr>
          <w:rFonts w:hint="eastAsia" w:ascii="宋体" w:hAnsi="宋体" w:eastAsia="宋体" w:cs="宋体"/>
          <w:spacing w:val="-39"/>
          <w:sz w:val="24"/>
          <w:szCs w:val="24"/>
          <w:highlight w:val="none"/>
          <w:u w:val="single" w:color="auto"/>
        </w:rPr>
        <w:t xml:space="preserve"> </w:t>
      </w:r>
      <w:r>
        <w:rPr>
          <w:rFonts w:hint="eastAsia" w:ascii="宋体" w:hAnsi="宋体" w:eastAsia="宋体" w:cs="宋体"/>
          <w:sz w:val="24"/>
          <w:szCs w:val="24"/>
          <w:highlight w:val="none"/>
          <w:u w:val="single" w:color="auto"/>
        </w:rPr>
        <w:t>85%支付，剩余部分待</w:t>
      </w:r>
      <w:r>
        <w:rPr>
          <w:rFonts w:hint="eastAsia" w:ascii="宋体" w:hAnsi="宋体" w:eastAsia="宋体" w:cs="宋体"/>
          <w:b/>
          <w:bCs/>
          <w:sz w:val="24"/>
          <w:szCs w:val="24"/>
          <w:highlight w:val="none"/>
          <w:u w:val="single" w:color="auto"/>
        </w:rPr>
        <w:t>最终</w:t>
      </w:r>
      <w:r>
        <w:rPr>
          <w:rFonts w:hint="eastAsia" w:ascii="宋体" w:hAnsi="宋体" w:eastAsia="宋体" w:cs="宋体"/>
          <w:sz w:val="24"/>
          <w:szCs w:val="24"/>
          <w:highlight w:val="none"/>
          <w:u w:val="single" w:color="auto"/>
        </w:rPr>
        <w:t>结算完成审核后支付至</w:t>
      </w:r>
      <w:r>
        <w:rPr>
          <w:rFonts w:hint="eastAsia" w:ascii="宋体" w:hAnsi="宋体" w:eastAsia="宋体" w:cs="宋体"/>
          <w:spacing w:val="-48"/>
          <w:sz w:val="24"/>
          <w:szCs w:val="24"/>
          <w:highlight w:val="none"/>
          <w:u w:val="single" w:color="auto"/>
        </w:rPr>
        <w:t xml:space="preserve"> </w:t>
      </w:r>
      <w:r>
        <w:rPr>
          <w:rFonts w:hint="eastAsia" w:ascii="宋体" w:hAnsi="宋体" w:eastAsia="宋体" w:cs="宋体"/>
          <w:sz w:val="24"/>
          <w:szCs w:val="24"/>
          <w:highlight w:val="none"/>
          <w:u w:val="single" w:color="auto"/>
        </w:rPr>
        <w:t>97%</w:t>
      </w:r>
      <w:r>
        <w:rPr>
          <w:rFonts w:hint="eastAsia" w:ascii="宋体" w:hAnsi="宋体" w:eastAsia="宋体" w:cs="宋体"/>
          <w:spacing w:val="-27"/>
          <w:sz w:val="24"/>
          <w:szCs w:val="24"/>
          <w:highlight w:val="none"/>
          <w:u w:val="single" w:color="auto"/>
        </w:rPr>
        <w:t xml:space="preserve"> </w:t>
      </w:r>
      <w:r>
        <w:rPr>
          <w:rFonts w:hint="eastAsia" w:ascii="宋体" w:hAnsi="宋体" w:eastAsia="宋体" w:cs="宋体"/>
          <w:sz w:val="24"/>
          <w:szCs w:val="24"/>
          <w:highlight w:val="none"/>
          <w:u w:val="single" w:color="auto"/>
        </w:rPr>
        <w:t>，剩余</w:t>
      </w:r>
      <w:r>
        <w:rPr>
          <w:rFonts w:hint="eastAsia" w:ascii="宋体" w:hAnsi="宋体" w:eastAsia="宋体" w:cs="宋体"/>
          <w:spacing w:val="-48"/>
          <w:sz w:val="24"/>
          <w:szCs w:val="24"/>
          <w:highlight w:val="none"/>
          <w:u w:val="single" w:color="auto"/>
        </w:rPr>
        <w:t xml:space="preserve"> </w:t>
      </w:r>
      <w:r>
        <w:rPr>
          <w:rFonts w:hint="eastAsia" w:ascii="宋体" w:hAnsi="宋体" w:eastAsia="宋体" w:cs="宋体"/>
          <w:sz w:val="24"/>
          <w:szCs w:val="24"/>
          <w:highlight w:val="none"/>
          <w:u w:val="single" w:color="auto"/>
        </w:rPr>
        <w:t>3%</w:t>
      </w:r>
      <w:r>
        <w:rPr>
          <w:rFonts w:hint="eastAsia" w:ascii="宋体" w:hAnsi="宋体" w:eastAsia="宋体" w:cs="宋体"/>
          <w:spacing w:val="2"/>
          <w:sz w:val="24"/>
          <w:szCs w:val="24"/>
          <w:highlight w:val="none"/>
          <w:u w:val="single" w:color="auto"/>
        </w:rPr>
        <w:t>为工程质量保修金。</w:t>
      </w:r>
    </w:p>
    <w:p w14:paraId="5902CCCA">
      <w:pPr>
        <w:pStyle w:val="6"/>
        <w:spacing w:before="153" w:line="299" w:lineRule="auto"/>
        <w:ind w:left="4" w:firstLine="470"/>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 xml:space="preserve">3.12  </w:t>
      </w:r>
      <w:r>
        <w:rPr>
          <w:rFonts w:hint="eastAsia" w:ascii="宋体" w:hAnsi="宋体" w:eastAsia="宋体" w:cs="宋体"/>
          <w:spacing w:val="2"/>
          <w:sz w:val="24"/>
          <w:szCs w:val="24"/>
          <w:highlight w:val="none"/>
        </w:rPr>
        <w:t>承包人和分包人根据《韶关市财政局 韶关市发展和改革局关于开展我市政府投资</w:t>
      </w:r>
      <w:r>
        <w:rPr>
          <w:rFonts w:hint="eastAsia" w:ascii="宋体" w:hAnsi="宋体" w:eastAsia="宋体" w:cs="宋体"/>
          <w:spacing w:val="-2"/>
          <w:sz w:val="24"/>
          <w:szCs w:val="24"/>
          <w:highlight w:val="none"/>
        </w:rPr>
        <w:t>项目资金穿透式监管试点工作的通知》签订《政府投资项目资金穿透式监管协议》（</w:t>
      </w:r>
      <w:r>
        <w:rPr>
          <w:rFonts w:hint="eastAsia" w:ascii="宋体" w:hAnsi="宋体" w:eastAsia="宋体" w:cs="宋体"/>
          <w:spacing w:val="-3"/>
          <w:sz w:val="24"/>
          <w:szCs w:val="24"/>
          <w:highlight w:val="none"/>
        </w:rPr>
        <w:t>附件</w:t>
      </w:r>
      <w:r>
        <w:rPr>
          <w:rFonts w:hint="eastAsia" w:ascii="宋体" w:hAnsi="宋体" w:eastAsia="宋体" w:cs="宋体"/>
          <w:spacing w:val="-50"/>
          <w:sz w:val="24"/>
          <w:szCs w:val="24"/>
          <w:highlight w:val="none"/>
        </w:rPr>
        <w:t xml:space="preserve"> </w:t>
      </w:r>
      <w:r>
        <w:rPr>
          <w:rFonts w:hint="eastAsia" w:ascii="宋体" w:hAnsi="宋体" w:eastAsia="宋体" w:cs="宋体"/>
          <w:spacing w:val="-3"/>
          <w:sz w:val="24"/>
          <w:szCs w:val="24"/>
          <w:highlight w:val="none"/>
        </w:rPr>
        <w:t>3、</w:t>
      </w:r>
      <w:r>
        <w:rPr>
          <w:rFonts w:hint="eastAsia" w:ascii="宋体" w:hAnsi="宋体" w:eastAsia="宋体" w:cs="宋体"/>
          <w:spacing w:val="-2"/>
          <w:sz w:val="24"/>
          <w:szCs w:val="24"/>
          <w:highlight w:val="none"/>
        </w:rPr>
        <w:t>附件</w:t>
      </w:r>
      <w:r>
        <w:rPr>
          <w:rFonts w:hint="eastAsia" w:ascii="宋体" w:hAnsi="宋体" w:eastAsia="宋体" w:cs="宋体"/>
          <w:spacing w:val="-43"/>
          <w:sz w:val="24"/>
          <w:szCs w:val="24"/>
          <w:highlight w:val="none"/>
        </w:rPr>
        <w:t xml:space="preserve"> </w:t>
      </w:r>
      <w:r>
        <w:rPr>
          <w:rFonts w:hint="eastAsia" w:ascii="宋体" w:hAnsi="宋体" w:eastAsia="宋体" w:cs="宋体"/>
          <w:spacing w:val="-2"/>
          <w:sz w:val="24"/>
          <w:szCs w:val="24"/>
          <w:highlight w:val="none"/>
        </w:rPr>
        <w:t>4）并进行工程相关款项支付。</w:t>
      </w:r>
    </w:p>
    <w:p w14:paraId="4A3FB9D3">
      <w:pPr>
        <w:spacing w:line="299" w:lineRule="auto"/>
        <w:rPr>
          <w:rFonts w:hint="eastAsia" w:ascii="宋体" w:hAnsi="宋体" w:eastAsia="宋体" w:cs="宋体"/>
          <w:sz w:val="24"/>
          <w:szCs w:val="24"/>
          <w:highlight w:val="none"/>
        </w:rPr>
        <w:sectPr>
          <w:footerReference r:id="rId14" w:type="default"/>
          <w:pgSz w:w="11906" w:h="16839"/>
          <w:pgMar w:top="400" w:right="1054" w:bottom="1049" w:left="1141" w:header="0" w:footer="847" w:gutter="0"/>
          <w:pgNumType w:fmt="decimal"/>
          <w:cols w:space="720" w:num="1"/>
        </w:sectPr>
      </w:pPr>
    </w:p>
    <w:p w14:paraId="03A562BD">
      <w:pPr>
        <w:keepNext w:val="0"/>
        <w:keepLines w:val="0"/>
        <w:pageBreakBefore w:val="0"/>
        <w:wordWrap w:val="0"/>
        <w:overflowPunct/>
        <w:topLinePunct w:val="0"/>
        <w:bidi w:val="0"/>
        <w:spacing w:before="154" w:line="212" w:lineRule="auto"/>
        <w:ind w:firstLine="482" w:firstLineChars="200"/>
        <w:outlineLvl w:val="2"/>
        <w:rPr>
          <w:rFonts w:hint="eastAsia" w:ascii="宋体" w:hAnsi="宋体" w:eastAsia="宋体" w:cs="宋体"/>
          <w:b/>
          <w:bCs/>
          <w:color w:val="auto"/>
          <w:spacing w:val="0"/>
          <w:sz w:val="24"/>
          <w:szCs w:val="24"/>
          <w:highlight w:val="none"/>
        </w:rPr>
      </w:pPr>
      <w:bookmarkStart w:id="172" w:name="_Toc22114"/>
      <w:r>
        <w:rPr>
          <w:rFonts w:hint="eastAsia" w:ascii="宋体" w:hAnsi="宋体" w:eastAsia="宋体" w:cs="宋体"/>
          <w:b/>
          <w:bCs/>
          <w:color w:val="auto"/>
          <w:spacing w:val="0"/>
          <w:sz w:val="24"/>
          <w:szCs w:val="24"/>
          <w:highlight w:val="none"/>
        </w:rPr>
        <w:t>4 ．其他专用合同条款</w:t>
      </w:r>
      <w:bookmarkEnd w:id="172"/>
    </w:p>
    <w:p w14:paraId="295E6577">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 </w:t>
      </w:r>
      <w:r>
        <w:rPr>
          <w:rFonts w:hint="eastAsia" w:ascii="宋体" w:hAnsi="宋体" w:eastAsia="宋体" w:cs="宋体"/>
          <w:bCs/>
          <w:snapToGrid w:val="0"/>
          <w:color w:val="auto"/>
          <w:spacing w:val="0"/>
          <w:kern w:val="0"/>
          <w:sz w:val="24"/>
          <w:szCs w:val="24"/>
          <w:highlight w:val="none"/>
          <w:lang w:val="en-US" w:eastAsia="zh-CN"/>
        </w:rPr>
        <w:t xml:space="preserve">专业工程分包 </w:t>
      </w:r>
    </w:p>
    <w:p w14:paraId="417CF71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64A2D0E3">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w:t>
      </w:r>
      <w:r>
        <w:rPr>
          <w:rFonts w:hint="eastAsia" w:ascii="宋体" w:hAnsi="宋体" w:eastAsia="宋体" w:cs="宋体"/>
          <w:bCs/>
          <w:snapToGrid w:val="0"/>
          <w:color w:val="auto"/>
          <w:spacing w:val="0"/>
          <w:kern w:val="0"/>
          <w:sz w:val="24"/>
          <w:szCs w:val="24"/>
          <w:highlight w:val="none"/>
          <w:lang w:val="en-US" w:eastAsia="zh-CN"/>
        </w:rPr>
        <w:t xml:space="preserve"> 工人工资支付专用账户 </w:t>
      </w:r>
    </w:p>
    <w:p w14:paraId="537FABC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4.2.1</w:t>
      </w:r>
      <w:r>
        <w:rPr>
          <w:rFonts w:hint="eastAsia" w:ascii="宋体" w:hAnsi="宋体" w:eastAsia="宋体" w:cs="宋体"/>
          <w:bCs/>
          <w:snapToGrid w:val="0"/>
          <w:color w:val="auto"/>
          <w:spacing w:val="0"/>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2291A08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4.2.2</w:t>
      </w:r>
      <w:r>
        <w:rPr>
          <w:rFonts w:hint="eastAsia" w:ascii="宋体" w:hAnsi="宋体" w:eastAsia="宋体" w:cs="宋体"/>
          <w:bCs/>
          <w:snapToGrid w:val="0"/>
          <w:color w:val="auto"/>
          <w:spacing w:val="0"/>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6ACA88A6">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6EE81D2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4F59A16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4.2.3</w:t>
      </w:r>
      <w:r>
        <w:rPr>
          <w:rFonts w:hint="eastAsia" w:ascii="宋体" w:hAnsi="宋体" w:eastAsia="宋体" w:cs="宋体"/>
          <w:bCs/>
          <w:snapToGrid w:val="0"/>
          <w:color w:val="auto"/>
          <w:spacing w:val="0"/>
          <w:kern w:val="0"/>
          <w:sz w:val="24"/>
          <w:szCs w:val="24"/>
          <w:highlight w:val="none"/>
          <w:lang w:val="en-US" w:eastAsia="zh-CN"/>
        </w:rPr>
        <w:t xml:space="preserve"> 承包人应在工资专户开立后 2 个工作日内，将开户银行及其账号、开户协议等资料提交给发包人。 </w:t>
      </w:r>
    </w:p>
    <w:p w14:paraId="67C4F20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（1）用人单位应当在建设项目动工前，在建设项目所在地商业银行设立工人工资支付专用账户。 </w:t>
      </w:r>
    </w:p>
    <w:p w14:paraId="32523FB1">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（2）用人单位应当在用工之日起 15 日内为每一位工人办理个人银行账户。</w:t>
      </w:r>
    </w:p>
    <w:p w14:paraId="6EE5C7B2">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（3）用人单位应当指定专人负责建设项目施工现场台账管理，真实、准确记录工人名册、劳务合同、劳动合同、工程进度、工时台账、劳务承包款和工人工资支付等信息，并保存两年以上备查。 </w:t>
      </w:r>
    </w:p>
    <w:p w14:paraId="597E85D3">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（4）用人单位应当按照“及时支付，按实结算”的原则，在规定日期前通过银行工人工资支付专用账户将工人工资直接支付到工人的个人银行账户，并按月将工人工资支付 明细表报施工总承包单位和建设单位备案。</w:t>
      </w:r>
    </w:p>
    <w:p w14:paraId="03490260">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0599D027">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4.2.4</w:t>
      </w:r>
      <w:r>
        <w:rPr>
          <w:rFonts w:hint="eastAsia" w:ascii="宋体" w:hAnsi="宋体" w:eastAsia="宋体" w:cs="宋体"/>
          <w:bCs/>
          <w:snapToGrid w:val="0"/>
          <w:color w:val="auto"/>
          <w:spacing w:val="0"/>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08E8F24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4.3</w:t>
      </w:r>
      <w:r>
        <w:rPr>
          <w:rFonts w:hint="eastAsia" w:ascii="宋体" w:hAnsi="宋体" w:eastAsia="宋体" w:cs="宋体"/>
          <w:bCs/>
          <w:snapToGrid w:val="0"/>
          <w:color w:val="auto"/>
          <w:spacing w:val="0"/>
          <w:kern w:val="0"/>
          <w:sz w:val="24"/>
          <w:szCs w:val="24"/>
          <w:highlight w:val="none"/>
          <w:lang w:val="en-US" w:eastAsia="zh-CN"/>
        </w:rPr>
        <w:t xml:space="preserve"> 诚信登记 </w:t>
      </w:r>
    </w:p>
    <w:p w14:paraId="0152D085">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根据资质管理规定，许可机关应当建立、健全建筑业企业信用档案管理制度，包括企业基本信息、资质、业绩、工程质量和安全、合同履约、社会投诉和违法行为等情况。 </w:t>
      </w:r>
    </w:p>
    <w:p w14:paraId="340A5CF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w:t>
      </w:r>
      <w:r>
        <w:rPr>
          <w:rFonts w:hint="eastAsia" w:ascii="宋体" w:hAnsi="宋体" w:eastAsia="宋体" w:cs="宋体"/>
          <w:bCs/>
          <w:snapToGrid w:val="0"/>
          <w:color w:val="auto"/>
          <w:spacing w:val="0"/>
          <w:kern w:val="0"/>
          <w:sz w:val="24"/>
          <w:szCs w:val="24"/>
          <w:highlight w:val="none"/>
          <w:lang w:val="en-US" w:eastAsia="zh-CN"/>
        </w:rPr>
        <w:t xml:space="preserve"> 工期进度 </w:t>
      </w:r>
    </w:p>
    <w:p w14:paraId="0BE32C1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4.4.1</w:t>
      </w:r>
      <w:r>
        <w:rPr>
          <w:rFonts w:hint="eastAsia" w:ascii="宋体" w:hAnsi="宋体" w:eastAsia="宋体" w:cs="宋体"/>
          <w:bCs/>
          <w:snapToGrid w:val="0"/>
          <w:color w:val="auto"/>
          <w:spacing w:val="0"/>
          <w:kern w:val="0"/>
          <w:sz w:val="24"/>
          <w:szCs w:val="24"/>
          <w:highlight w:val="none"/>
          <w:lang w:val="en-US" w:eastAsia="zh-CN"/>
        </w:rPr>
        <w:t xml:space="preserve"> 本招标项目的招标工期为</w:t>
      </w:r>
      <w:r>
        <w:rPr>
          <w:rFonts w:hint="eastAsia" w:ascii="宋体" w:hAnsi="宋体" w:eastAsia="宋体" w:cs="宋体"/>
          <w:bCs/>
          <w:snapToGrid w:val="0"/>
          <w:color w:val="auto"/>
          <w:spacing w:val="0"/>
          <w:kern w:val="0"/>
          <w:sz w:val="24"/>
          <w:szCs w:val="24"/>
          <w:highlight w:val="none"/>
          <w:u w:val="single"/>
          <w:lang w:val="en-US" w:eastAsia="zh-CN"/>
        </w:rPr>
        <w:t>180个日历天</w:t>
      </w:r>
      <w:r>
        <w:rPr>
          <w:rFonts w:hint="eastAsia" w:ascii="宋体" w:hAnsi="宋体" w:eastAsia="宋体" w:cs="宋体"/>
          <w:bCs/>
          <w:snapToGrid w:val="0"/>
          <w:color w:val="auto"/>
          <w:spacing w:val="0"/>
          <w:kern w:val="0"/>
          <w:sz w:val="24"/>
          <w:szCs w:val="24"/>
          <w:highlight w:val="none"/>
          <w:lang w:val="en-US" w:eastAsia="zh-CN"/>
        </w:rPr>
        <w:t xml:space="preserve">，承包人必须在招标工期内完成招标范围内的全部内容。 </w:t>
      </w:r>
    </w:p>
    <w:p w14:paraId="6AAC875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4.4.2</w:t>
      </w:r>
      <w:r>
        <w:rPr>
          <w:rFonts w:hint="eastAsia" w:ascii="宋体" w:hAnsi="宋体" w:eastAsia="宋体" w:cs="宋体"/>
          <w:bCs/>
          <w:snapToGrid w:val="0"/>
          <w:color w:val="auto"/>
          <w:spacing w:val="0"/>
          <w:kern w:val="0"/>
          <w:sz w:val="24"/>
          <w:szCs w:val="24"/>
          <w:highlight w:val="none"/>
          <w:lang w:val="en-US" w:eastAsia="zh-CN"/>
        </w:rPr>
        <w:t xml:space="preserve"> 施工工期从承包人收到监理单位签发的开工令之日起计，至竣工验收合格之日止。</w:t>
      </w:r>
    </w:p>
    <w:p w14:paraId="39967223">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4.4.3</w:t>
      </w:r>
      <w:r>
        <w:rPr>
          <w:rFonts w:hint="eastAsia" w:ascii="宋体" w:hAnsi="宋体" w:eastAsia="宋体" w:cs="宋体"/>
          <w:bCs/>
          <w:snapToGrid w:val="0"/>
          <w:color w:val="auto"/>
          <w:spacing w:val="0"/>
          <w:kern w:val="0"/>
          <w:sz w:val="24"/>
          <w:szCs w:val="24"/>
          <w:highlight w:val="none"/>
          <w:lang w:val="en-US" w:eastAsia="zh-CN"/>
        </w:rPr>
        <w:t xml:space="preserve"> 工期奖罚 </w:t>
      </w:r>
    </w:p>
    <w:p w14:paraId="174063CA">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□竣工验收合格交付使用每提前</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天竣工；奖</w:t>
      </w:r>
      <w:r>
        <w:rPr>
          <w:rFonts w:hint="eastAsia" w:ascii="宋体" w:hAnsi="宋体" w:eastAsia="宋体" w:cs="宋体"/>
          <w:bCs/>
          <w:snapToGrid w:val="0"/>
          <w:color w:val="auto"/>
          <w:spacing w:val="0"/>
          <w:kern w:val="0"/>
          <w:sz w:val="24"/>
          <w:szCs w:val="24"/>
          <w:highlight w:val="none"/>
          <w:u w:val="single"/>
          <w:lang w:val="en-US" w:eastAsia="zh-CN"/>
        </w:rPr>
        <w:t xml:space="preserve">/ </w:t>
      </w:r>
      <w:r>
        <w:rPr>
          <w:rFonts w:hint="eastAsia" w:ascii="宋体" w:hAnsi="宋体" w:eastAsia="宋体" w:cs="宋体"/>
          <w:bCs/>
          <w:snapToGrid w:val="0"/>
          <w:color w:val="auto"/>
          <w:spacing w:val="0"/>
          <w:kern w:val="0"/>
          <w:sz w:val="24"/>
          <w:szCs w:val="24"/>
          <w:highlight w:val="none"/>
          <w:lang w:val="en-US" w:eastAsia="zh-CN"/>
        </w:rPr>
        <w:t>元，奖励金额不超过合同价款的</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%（一般为 2%～5%）且不超过</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元。 </w:t>
      </w:r>
    </w:p>
    <w:p w14:paraId="5D4F67C0">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□按施工合同期约定,因承包人原因每延误</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天竣工,罚</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元。 </w:t>
      </w:r>
    </w:p>
    <w:p w14:paraId="6F61A283">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□按施工合同期约定,因承包人原因延误工期</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天内不处罚， 自第壹天起每延误</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天竣工,罚元。处罚金额不超过合同价款的</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%（一般为 2%～5%）且不超过万元，累计延误工期达到</w:t>
      </w:r>
      <w:r>
        <w:rPr>
          <w:rFonts w:hint="eastAsia" w:ascii="宋体" w:hAnsi="宋体" w:eastAsia="宋体" w:cs="宋体"/>
          <w:bCs/>
          <w:snapToGrid w:val="0"/>
          <w:color w:val="auto"/>
          <w:spacing w:val="0"/>
          <w:kern w:val="0"/>
          <w:sz w:val="24"/>
          <w:szCs w:val="24"/>
          <w:highlight w:val="none"/>
          <w:u w:val="single"/>
          <w:lang w:val="en-US" w:eastAsia="zh-CN"/>
        </w:rPr>
        <w:t>/</w:t>
      </w:r>
      <w:r>
        <w:rPr>
          <w:rFonts w:hint="eastAsia" w:ascii="宋体" w:hAnsi="宋体" w:eastAsia="宋体" w:cs="宋体"/>
          <w:bCs/>
          <w:snapToGrid w:val="0"/>
          <w:color w:val="auto"/>
          <w:spacing w:val="0"/>
          <w:kern w:val="0"/>
          <w:sz w:val="24"/>
          <w:szCs w:val="24"/>
          <w:highlight w:val="none"/>
          <w:lang w:val="en-US" w:eastAsia="zh-CN"/>
        </w:rPr>
        <w:t xml:space="preserve">天，报请建设行政主管部门作不良行为记录，非承包方原因或不可抗力造成延误的除外。 </w:t>
      </w:r>
    </w:p>
    <w:p w14:paraId="677B01D3">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向发包人返纳逾期竣工违约金。逾期竣工违约金的最高限额为合同价款的5%。</w:t>
      </w:r>
    </w:p>
    <w:p w14:paraId="3BFD69EB">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740DCB13">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（3）承包人在进场后7天内提交施工进度计划，并注明主要施工节点时间，送监理单位及发包人审核后，作为工期考核的阶段性指标。</w:t>
      </w:r>
    </w:p>
    <w:p w14:paraId="33E56D9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w:t>
      </w:r>
      <w:r>
        <w:rPr>
          <w:rFonts w:hint="eastAsia" w:ascii="宋体" w:hAnsi="宋体" w:eastAsia="宋体" w:cs="宋体"/>
          <w:bCs/>
          <w:snapToGrid w:val="0"/>
          <w:color w:val="auto"/>
          <w:spacing w:val="0"/>
          <w:kern w:val="0"/>
          <w:sz w:val="24"/>
          <w:szCs w:val="24"/>
          <w:highlight w:val="none"/>
          <w:lang w:val="en-US" w:eastAsia="zh-CN"/>
        </w:rPr>
        <w:t xml:space="preserve"> 项目管理机构 </w:t>
      </w:r>
    </w:p>
    <w:p w14:paraId="448CB2F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4.5.1</w:t>
      </w:r>
      <w:r>
        <w:rPr>
          <w:rFonts w:hint="eastAsia" w:ascii="宋体" w:hAnsi="宋体" w:eastAsia="宋体" w:cs="宋体"/>
          <w:bCs/>
          <w:snapToGrid w:val="0"/>
          <w:color w:val="auto"/>
          <w:spacing w:val="0"/>
          <w:kern w:val="0"/>
          <w:sz w:val="24"/>
          <w:szCs w:val="24"/>
          <w:highlight w:val="none"/>
          <w:lang w:val="en-US" w:eastAsia="zh-CN"/>
        </w:rPr>
        <w:t xml:space="preserve"> 承包人派驻的项目管理班子成员必须为其投标文件确定的人员，否则发包人有权终止合同。 </w:t>
      </w:r>
    </w:p>
    <w:p w14:paraId="45FAEAD7">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4.5.2</w:t>
      </w:r>
      <w:r>
        <w:rPr>
          <w:rFonts w:hint="eastAsia" w:ascii="宋体" w:hAnsi="宋体" w:eastAsia="宋体" w:cs="宋体"/>
          <w:bCs/>
          <w:snapToGrid w:val="0"/>
          <w:color w:val="auto"/>
          <w:spacing w:val="0"/>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0341A95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w:t>
      </w:r>
      <w:r>
        <w:rPr>
          <w:rFonts w:hint="eastAsia" w:ascii="宋体" w:hAnsi="宋体" w:eastAsia="宋体" w:cs="宋体"/>
          <w:bCs/>
          <w:snapToGrid w:val="0"/>
          <w:color w:val="auto"/>
          <w:spacing w:val="0"/>
          <w:kern w:val="0"/>
          <w:sz w:val="24"/>
          <w:szCs w:val="24"/>
          <w:highlight w:val="none"/>
          <w:lang w:val="en-US" w:eastAsia="zh-CN"/>
        </w:rPr>
        <w:t xml:space="preserve"> 现场管理 </w:t>
      </w:r>
    </w:p>
    <w:p w14:paraId="339E0E3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4.6.1</w:t>
      </w:r>
      <w:r>
        <w:rPr>
          <w:rFonts w:hint="eastAsia" w:ascii="宋体" w:hAnsi="宋体" w:eastAsia="宋体" w:cs="宋体"/>
          <w:bCs/>
          <w:snapToGrid w:val="0"/>
          <w:color w:val="auto"/>
          <w:spacing w:val="0"/>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2C8A810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4.6.2</w:t>
      </w:r>
      <w:r>
        <w:rPr>
          <w:rFonts w:hint="eastAsia" w:ascii="宋体" w:hAnsi="宋体" w:eastAsia="宋体" w:cs="宋体"/>
          <w:bCs/>
          <w:snapToGrid w:val="0"/>
          <w:color w:val="auto"/>
          <w:spacing w:val="0"/>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w:t>
      </w:r>
    </w:p>
    <w:p w14:paraId="468E4FE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4.6.3</w:t>
      </w:r>
      <w:r>
        <w:rPr>
          <w:rFonts w:hint="eastAsia" w:ascii="宋体" w:hAnsi="宋体" w:eastAsia="宋体" w:cs="宋体"/>
          <w:bCs/>
          <w:snapToGrid w:val="0"/>
          <w:color w:val="auto"/>
          <w:spacing w:val="0"/>
          <w:kern w:val="0"/>
          <w:sz w:val="24"/>
          <w:szCs w:val="24"/>
          <w:highlight w:val="none"/>
          <w:lang w:val="en-US" w:eastAsia="zh-CN"/>
        </w:rPr>
        <w:t xml:space="preserve"> 为保证施工现场的环境卫生，承包人在本招标项目施工过程中，所有的车辆必须按发包人规定的行车路线行驶。 </w:t>
      </w:r>
    </w:p>
    <w:p w14:paraId="56C4A4D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4.7</w:t>
      </w:r>
      <w:r>
        <w:rPr>
          <w:rFonts w:hint="eastAsia" w:ascii="宋体" w:hAnsi="宋体" w:eastAsia="宋体" w:cs="宋体"/>
          <w:bCs/>
          <w:snapToGrid w:val="0"/>
          <w:color w:val="auto"/>
          <w:spacing w:val="0"/>
          <w:kern w:val="0"/>
          <w:sz w:val="24"/>
          <w:szCs w:val="24"/>
          <w:highlight w:val="none"/>
          <w:lang w:val="en-US" w:eastAsia="zh-CN"/>
        </w:rPr>
        <w:t xml:space="preserve"> 监督实施 </w:t>
      </w:r>
    </w:p>
    <w:p w14:paraId="08B7CEF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4EF0B44F">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4.8</w:t>
      </w:r>
      <w:r>
        <w:rPr>
          <w:rFonts w:hint="eastAsia" w:ascii="宋体" w:hAnsi="宋体" w:eastAsia="宋体" w:cs="宋体"/>
          <w:bCs/>
          <w:snapToGrid w:val="0"/>
          <w:color w:val="auto"/>
          <w:spacing w:val="0"/>
          <w:kern w:val="0"/>
          <w:sz w:val="24"/>
          <w:szCs w:val="24"/>
          <w:highlight w:val="none"/>
          <w:lang w:val="en-US" w:eastAsia="zh-CN"/>
        </w:rPr>
        <w:t xml:space="preserve"> 主材的采购和使用 </w:t>
      </w:r>
    </w:p>
    <w:p w14:paraId="0D676B5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7972E04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4.9 </w:t>
      </w:r>
      <w:r>
        <w:rPr>
          <w:rFonts w:hint="eastAsia" w:ascii="宋体" w:hAnsi="宋体" w:eastAsia="宋体" w:cs="宋体"/>
          <w:bCs/>
          <w:snapToGrid w:val="0"/>
          <w:color w:val="auto"/>
          <w:spacing w:val="0"/>
          <w:kern w:val="0"/>
          <w:sz w:val="24"/>
          <w:szCs w:val="24"/>
          <w:highlight w:val="none"/>
          <w:lang w:val="en-US" w:eastAsia="zh-CN"/>
        </w:rPr>
        <w:t xml:space="preserve">竣工资料移交 </w:t>
      </w:r>
    </w:p>
    <w:p w14:paraId="57335438">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项目竣工验收时，承包人应向监理单位和发包人提供符合国家档案部门备案要求的，编制成册的竣工图及有关的技术档案资料（含声像档案）一式8份。 </w:t>
      </w:r>
    </w:p>
    <w:p w14:paraId="7ECEBE39">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w:t>
      </w:r>
      <w:r>
        <w:rPr>
          <w:rFonts w:hint="eastAsia" w:ascii="宋体" w:hAnsi="宋体" w:eastAsia="宋体" w:cs="宋体"/>
          <w:bCs/>
          <w:snapToGrid w:val="0"/>
          <w:color w:val="auto"/>
          <w:spacing w:val="0"/>
          <w:kern w:val="0"/>
          <w:sz w:val="24"/>
          <w:szCs w:val="24"/>
          <w:highlight w:val="none"/>
          <w:lang w:val="en-US" w:eastAsia="zh-CN"/>
        </w:rPr>
        <w:t xml:space="preserve"> 质量保证</w:t>
      </w:r>
    </w:p>
    <w:p w14:paraId="4C99B72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4.10.1</w:t>
      </w:r>
      <w:r>
        <w:rPr>
          <w:rFonts w:hint="eastAsia" w:ascii="宋体" w:hAnsi="宋体" w:eastAsia="宋体" w:cs="宋体"/>
          <w:bCs/>
          <w:snapToGrid w:val="0"/>
          <w:color w:val="auto"/>
          <w:spacing w:val="0"/>
          <w:kern w:val="0"/>
          <w:sz w:val="24"/>
          <w:szCs w:val="24"/>
          <w:highlight w:val="none"/>
          <w:lang w:val="en-US" w:eastAsia="zh-CN"/>
        </w:rPr>
        <w:t xml:space="preserve"> 本招标项目缺陷责任期为</w:t>
      </w:r>
      <w:r>
        <w:rPr>
          <w:rFonts w:hint="eastAsia" w:ascii="宋体" w:hAnsi="宋体" w:eastAsia="宋体" w:cs="宋体"/>
          <w:bCs/>
          <w:snapToGrid w:val="0"/>
          <w:color w:val="auto"/>
          <w:spacing w:val="0"/>
          <w:kern w:val="0"/>
          <w:sz w:val="24"/>
          <w:szCs w:val="24"/>
          <w:highlight w:val="none"/>
          <w:u w:val="single"/>
          <w:lang w:val="en-US" w:eastAsia="zh-CN"/>
        </w:rPr>
        <w:t>2</w:t>
      </w:r>
      <w:r>
        <w:rPr>
          <w:rFonts w:hint="eastAsia" w:ascii="宋体" w:hAnsi="宋体" w:eastAsia="宋体" w:cs="宋体"/>
          <w:bCs/>
          <w:snapToGrid w:val="0"/>
          <w:color w:val="auto"/>
          <w:spacing w:val="0"/>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spacing w:val="0"/>
          <w:kern w:val="0"/>
          <w:sz w:val="24"/>
          <w:szCs w:val="24"/>
          <w:highlight w:val="none"/>
          <w:u w:val="single"/>
          <w:lang w:val="en-US" w:eastAsia="zh-CN"/>
        </w:rPr>
        <w:t>3%</w:t>
      </w:r>
      <w:r>
        <w:rPr>
          <w:rFonts w:hint="eastAsia" w:ascii="宋体" w:hAnsi="宋体" w:eastAsia="宋体" w:cs="宋体"/>
          <w:bCs/>
          <w:snapToGrid w:val="0"/>
          <w:color w:val="auto"/>
          <w:spacing w:val="0"/>
          <w:kern w:val="0"/>
          <w:sz w:val="24"/>
          <w:szCs w:val="24"/>
          <w:highlight w:val="none"/>
          <w:lang w:val="en-US" w:eastAsia="zh-CN"/>
        </w:rPr>
        <w:t xml:space="preserve">的质量保证。 </w:t>
      </w:r>
    </w:p>
    <w:p w14:paraId="3B478D3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4.10.2</w:t>
      </w:r>
      <w:r>
        <w:rPr>
          <w:rFonts w:hint="eastAsia" w:ascii="宋体" w:hAnsi="宋体" w:eastAsia="宋体" w:cs="宋体"/>
          <w:bCs/>
          <w:snapToGrid w:val="0"/>
          <w:color w:val="auto"/>
          <w:spacing w:val="0"/>
          <w:kern w:val="0"/>
          <w:sz w:val="24"/>
          <w:szCs w:val="24"/>
          <w:highlight w:val="none"/>
          <w:lang w:val="en-US" w:eastAsia="zh-CN"/>
        </w:rPr>
        <w:t xml:space="preserve"> 质量保证的形式包括质量保证金、质量保证担保、质量保证保险三种，由承包人自主选择。 </w:t>
      </w:r>
    </w:p>
    <w:p w14:paraId="684E496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（1）采用质量保证金形式的，在结清审定总造价时一次性扣留相应金额作为质量保证金。</w:t>
      </w:r>
    </w:p>
    <w:p w14:paraId="51DB7FE6">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36E40FAC">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4.10.3</w:t>
      </w:r>
      <w:r>
        <w:rPr>
          <w:rFonts w:hint="eastAsia" w:ascii="宋体" w:hAnsi="宋体" w:eastAsia="宋体" w:cs="宋体"/>
          <w:bCs/>
          <w:snapToGrid w:val="0"/>
          <w:color w:val="auto"/>
          <w:spacing w:val="0"/>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690315F5">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由他人原因造成的缺陷，发包人负责组织维修，承包人不承担费用，且发包人不得从质量保证中扣除费用。 </w:t>
      </w:r>
    </w:p>
    <w:p w14:paraId="2022B11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4.10.4</w:t>
      </w:r>
      <w:r>
        <w:rPr>
          <w:rFonts w:hint="eastAsia" w:ascii="宋体" w:hAnsi="宋体" w:eastAsia="宋体" w:cs="宋体"/>
          <w:bCs/>
          <w:snapToGrid w:val="0"/>
          <w:color w:val="auto"/>
          <w:spacing w:val="0"/>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4DA28B23">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4.11</w:t>
      </w:r>
      <w:r>
        <w:rPr>
          <w:rFonts w:hint="eastAsia" w:ascii="宋体" w:hAnsi="宋体" w:eastAsia="宋体" w:cs="宋体"/>
          <w:bCs/>
          <w:snapToGrid w:val="0"/>
          <w:color w:val="auto"/>
          <w:spacing w:val="0"/>
          <w:kern w:val="0"/>
          <w:sz w:val="24"/>
          <w:szCs w:val="24"/>
          <w:highlight w:val="none"/>
          <w:lang w:val="en-US" w:eastAsia="zh-CN"/>
        </w:rPr>
        <w:t xml:space="preserve"> 不良行为处理 </w:t>
      </w:r>
    </w:p>
    <w:p w14:paraId="7F9E456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59548F1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（1）转包、违法分包或违反投标承诺分包工程的； </w:t>
      </w:r>
    </w:p>
    <w:p w14:paraId="44392804">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35129BE7">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（3）投标文件确定的大型机械设备没有进入施工现场的； </w:t>
      </w:r>
    </w:p>
    <w:p w14:paraId="13A3F08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（4）与建设单位、监理单位串通，签认虚假工程量或工程造价的； </w:t>
      </w:r>
    </w:p>
    <w:p w14:paraId="4D5748C9">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（5）项目经理施工现场管理不到位的； </w:t>
      </w:r>
    </w:p>
    <w:p w14:paraId="2B1554AD">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（6）项目经理在非本人资格证书注册单位从事工程项目施工管理的； </w:t>
      </w:r>
    </w:p>
    <w:p w14:paraId="3D85F66C">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（7）项目经理同时承担超过一项工程项目的； </w:t>
      </w:r>
    </w:p>
    <w:p w14:paraId="179C0560">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（8）违反有关法律、法规、规章规定的其它行为。 </w:t>
      </w:r>
    </w:p>
    <w:p w14:paraId="78D98983">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4.12 </w:t>
      </w:r>
      <w:r>
        <w:rPr>
          <w:rFonts w:hint="eastAsia" w:ascii="宋体" w:hAnsi="宋体" w:eastAsia="宋体" w:cs="宋体"/>
          <w:bCs/>
          <w:snapToGrid w:val="0"/>
          <w:color w:val="auto"/>
          <w:spacing w:val="0"/>
          <w:kern w:val="0"/>
          <w:sz w:val="24"/>
          <w:szCs w:val="24"/>
          <w:highlight w:val="none"/>
          <w:lang w:val="en-US" w:eastAsia="zh-CN"/>
        </w:rPr>
        <w:t xml:space="preserve">信用评价条款内容 </w:t>
      </w:r>
    </w:p>
    <w:p w14:paraId="628D1C3E">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3506236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4.13</w:t>
      </w:r>
      <w:r>
        <w:rPr>
          <w:rFonts w:hint="eastAsia" w:ascii="宋体" w:hAnsi="宋体" w:eastAsia="宋体" w:cs="宋体"/>
          <w:bCs/>
          <w:snapToGrid w:val="0"/>
          <w:color w:val="auto"/>
          <w:spacing w:val="0"/>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16098F40">
      <w:pPr>
        <w:keepNext w:val="0"/>
        <w:keepLines w:val="0"/>
        <w:pageBreakBefore w:val="0"/>
        <w:wordWrap w:val="0"/>
        <w:overflowPunct/>
        <w:topLinePunct w:val="0"/>
        <w:bidi w:val="0"/>
        <w:adjustRightInd w:val="0"/>
        <w:snapToGrid w:val="0"/>
        <w:spacing w:line="440" w:lineRule="exact"/>
        <w:ind w:firstLine="480"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Cs/>
          <w:snapToGrid w:val="0"/>
          <w:color w:val="auto"/>
          <w:spacing w:val="0"/>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67786AE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4.14</w:t>
      </w:r>
      <w:r>
        <w:rPr>
          <w:rFonts w:hint="eastAsia" w:ascii="宋体" w:hAnsi="宋体" w:eastAsia="宋体" w:cs="宋体"/>
          <w:bCs/>
          <w:snapToGrid w:val="0"/>
          <w:color w:val="auto"/>
          <w:spacing w:val="0"/>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64DD0886">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4.15</w:t>
      </w:r>
      <w:r>
        <w:rPr>
          <w:rFonts w:hint="eastAsia" w:ascii="宋体" w:hAnsi="宋体" w:eastAsia="宋体" w:cs="宋体"/>
          <w:bCs/>
          <w:snapToGrid w:val="0"/>
          <w:color w:val="auto"/>
          <w:spacing w:val="0"/>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spacing w:val="0"/>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spacing w:val="0"/>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7AABFBF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 xml:space="preserve">4.16 </w:t>
      </w:r>
      <w:r>
        <w:rPr>
          <w:rFonts w:hint="eastAsia" w:ascii="宋体" w:hAnsi="宋体" w:eastAsia="宋体" w:cs="宋体"/>
          <w:bCs/>
          <w:snapToGrid w:val="0"/>
          <w:color w:val="auto"/>
          <w:spacing w:val="0"/>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2E0B3E9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4.17</w:t>
      </w:r>
      <w:r>
        <w:rPr>
          <w:rFonts w:hint="eastAsia" w:ascii="宋体" w:hAnsi="宋体" w:eastAsia="宋体" w:cs="宋体"/>
          <w:bCs/>
          <w:snapToGrid w:val="0"/>
          <w:color w:val="auto"/>
          <w:spacing w:val="0"/>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 </w:t>
      </w:r>
    </w:p>
    <w:p w14:paraId="384FE91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4.18</w:t>
      </w:r>
      <w:r>
        <w:rPr>
          <w:rFonts w:hint="eastAsia" w:ascii="宋体" w:hAnsi="宋体" w:eastAsia="宋体" w:cs="宋体"/>
          <w:bCs/>
          <w:snapToGrid w:val="0"/>
          <w:color w:val="auto"/>
          <w:spacing w:val="0"/>
          <w:kern w:val="0"/>
          <w:sz w:val="24"/>
          <w:szCs w:val="24"/>
          <w:highlight w:val="none"/>
          <w:lang w:val="en-US" w:eastAsia="zh-CN"/>
        </w:rPr>
        <w:t xml:space="preserve"> 承包人中标后必须按规定及时缴交工人工资保证金、环保噪声排污费等。 </w:t>
      </w:r>
    </w:p>
    <w:p w14:paraId="00DF7EB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4.19</w:t>
      </w:r>
      <w:r>
        <w:rPr>
          <w:rFonts w:hint="eastAsia" w:ascii="宋体" w:hAnsi="宋体" w:eastAsia="宋体" w:cs="宋体"/>
          <w:bCs/>
          <w:snapToGrid w:val="0"/>
          <w:color w:val="auto"/>
          <w:spacing w:val="0"/>
          <w:kern w:val="0"/>
          <w:sz w:val="24"/>
          <w:szCs w:val="24"/>
          <w:highlight w:val="none"/>
          <w:lang w:val="en-US" w:eastAsia="zh-CN"/>
        </w:rPr>
        <w:t xml:space="preserve"> 工程质量保修期按《中华人民共和国建筑法》、《建设工程质量管理条例》等相关规定实施。 </w:t>
      </w:r>
    </w:p>
    <w:p w14:paraId="68E652F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4.20</w:t>
      </w:r>
      <w:r>
        <w:rPr>
          <w:rFonts w:hint="eastAsia" w:ascii="宋体" w:hAnsi="宋体" w:eastAsia="宋体" w:cs="宋体"/>
          <w:bCs/>
          <w:snapToGrid w:val="0"/>
          <w:color w:val="auto"/>
          <w:spacing w:val="0"/>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65756862">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4.21</w:t>
      </w:r>
      <w:r>
        <w:rPr>
          <w:rFonts w:hint="eastAsia" w:ascii="宋体" w:hAnsi="宋体" w:eastAsia="宋体" w:cs="宋体"/>
          <w:bCs/>
          <w:snapToGrid w:val="0"/>
          <w:color w:val="auto"/>
          <w:spacing w:val="0"/>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06DB8B2E">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rPr>
      </w:pPr>
      <w:r>
        <w:rPr>
          <w:rFonts w:hint="eastAsia" w:ascii="宋体" w:hAnsi="宋体" w:eastAsia="宋体" w:cs="宋体"/>
          <w:b/>
          <w:bCs w:val="0"/>
          <w:snapToGrid w:val="0"/>
          <w:color w:val="auto"/>
          <w:spacing w:val="0"/>
          <w:kern w:val="0"/>
          <w:sz w:val="24"/>
          <w:szCs w:val="24"/>
          <w:highlight w:val="none"/>
          <w:lang w:val="en-US" w:eastAsia="zh-CN"/>
        </w:rPr>
        <w:t>4.22</w:t>
      </w:r>
      <w:r>
        <w:rPr>
          <w:rFonts w:hint="eastAsia" w:ascii="宋体" w:hAnsi="宋体" w:eastAsia="宋体" w:cs="宋体"/>
          <w:bCs/>
          <w:snapToGrid w:val="0"/>
          <w:color w:val="auto"/>
          <w:spacing w:val="0"/>
          <w:kern w:val="0"/>
          <w:sz w:val="24"/>
          <w:szCs w:val="24"/>
          <w:highlight w:val="none"/>
          <w:lang w:val="en-US" w:eastAsia="zh-CN"/>
        </w:rPr>
        <w:t xml:space="preserve"> 承包人应在项目所在地住建管理部门办理诚信登记，发包人将严格按住建管理部门诚信登记管理办法对承包人履约情况进行考核。 </w:t>
      </w:r>
    </w:p>
    <w:p w14:paraId="3D57565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4.23</w:t>
      </w:r>
      <w:r>
        <w:rPr>
          <w:rFonts w:hint="eastAsia" w:ascii="宋体" w:hAnsi="宋体" w:eastAsia="宋体" w:cs="宋体"/>
          <w:bCs/>
          <w:snapToGrid w:val="0"/>
          <w:color w:val="auto"/>
          <w:spacing w:val="0"/>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515BAA5D">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w:t>
      </w:r>
      <w:r>
        <w:rPr>
          <w:rFonts w:hint="eastAsia" w:ascii="宋体" w:hAnsi="宋体" w:eastAsia="宋体" w:cs="宋体"/>
          <w:bCs/>
          <w:snapToGrid w:val="0"/>
          <w:color w:val="auto"/>
          <w:spacing w:val="0"/>
          <w:kern w:val="0"/>
          <w:sz w:val="24"/>
          <w:szCs w:val="24"/>
          <w:highlight w:val="none"/>
          <w:lang w:val="en-US" w:eastAsia="zh-CN"/>
        </w:rPr>
        <w:t xml:space="preserve"> 质量违约</w:t>
      </w:r>
    </w:p>
    <w:p w14:paraId="3BAC075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4.24.1</w:t>
      </w:r>
      <w:r>
        <w:rPr>
          <w:rFonts w:hint="eastAsia" w:ascii="宋体" w:hAnsi="宋体" w:eastAsia="宋体" w:cs="宋体"/>
          <w:bCs/>
          <w:snapToGrid w:val="0"/>
          <w:color w:val="auto"/>
          <w:spacing w:val="0"/>
          <w:kern w:val="0"/>
          <w:sz w:val="24"/>
          <w:szCs w:val="24"/>
          <w:highlight w:val="none"/>
          <w:lang w:val="en-US" w:eastAsia="zh-CN"/>
        </w:rPr>
        <w:t xml:space="preserve">材料违约处理：若发现材料不符合国家标准或发包人在技术规范中规定的标准， </w:t>
      </w:r>
    </w:p>
    <w:p w14:paraId="4FC48090">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 xml:space="preserve">视为承包人违约，按现行《建设工程质量管理条例》处理。 </w:t>
      </w:r>
    </w:p>
    <w:p w14:paraId="5C6946B7">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4.24.1.1</w:t>
      </w:r>
      <w:r>
        <w:rPr>
          <w:rFonts w:hint="eastAsia" w:ascii="宋体" w:hAnsi="宋体" w:eastAsia="宋体" w:cs="宋体"/>
          <w:bCs/>
          <w:snapToGrid w:val="0"/>
          <w:color w:val="auto"/>
          <w:spacing w:val="0"/>
          <w:kern w:val="0"/>
          <w:sz w:val="24"/>
          <w:szCs w:val="24"/>
          <w:highlight w:val="none"/>
          <w:lang w:val="en-US" w:eastAsia="zh-CN"/>
        </w:rPr>
        <w:t xml:space="preserve"> 成品采购项目在采购前，承包人必须先行书面征求监理人、发包人的同意并 </w:t>
      </w:r>
    </w:p>
    <w:p w14:paraId="3B890876">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 xml:space="preserve">一起看样定版后方能实施。未经监理人、发包人同意擅自先行采购和实施的，否则因不符 </w:t>
      </w:r>
    </w:p>
    <w:p w14:paraId="2AAAEE59">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Cs/>
          <w:snapToGrid w:val="0"/>
          <w:color w:val="auto"/>
          <w:spacing w:val="0"/>
          <w:kern w:val="0"/>
          <w:sz w:val="24"/>
          <w:szCs w:val="24"/>
          <w:highlight w:val="none"/>
          <w:lang w:val="en-US" w:eastAsia="zh-CN"/>
        </w:rPr>
      </w:pPr>
      <w:r>
        <w:rPr>
          <w:rFonts w:hint="eastAsia" w:ascii="宋体" w:hAnsi="宋体" w:eastAsia="宋体" w:cs="宋体"/>
          <w:bCs/>
          <w:snapToGrid w:val="0"/>
          <w:color w:val="auto"/>
          <w:spacing w:val="0"/>
          <w:kern w:val="0"/>
          <w:sz w:val="24"/>
          <w:szCs w:val="24"/>
          <w:highlight w:val="none"/>
          <w:lang w:val="en-US" w:eastAsia="zh-CN"/>
        </w:rPr>
        <w:t>合设计要求返工造成的费用由承包人承担。</w:t>
      </w:r>
    </w:p>
    <w:p w14:paraId="76B2C7A5">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w:t>
      </w:r>
      <w:r>
        <w:rPr>
          <w:rFonts w:hint="eastAsia" w:ascii="宋体" w:hAnsi="宋体" w:eastAsia="宋体" w:cs="宋体"/>
          <w:b w:val="0"/>
          <w:bCs/>
          <w:snapToGrid w:val="0"/>
          <w:color w:val="auto"/>
          <w:spacing w:val="0"/>
          <w:kern w:val="0"/>
          <w:sz w:val="24"/>
          <w:szCs w:val="24"/>
          <w:highlight w:val="none"/>
          <w:lang w:val="en-US" w:eastAsia="zh-CN"/>
        </w:rPr>
        <w:t xml:space="preserve">工程质量违约： </w:t>
      </w:r>
    </w:p>
    <w:p w14:paraId="17D7BBD8">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4.24.2.1</w:t>
      </w:r>
      <w:r>
        <w:rPr>
          <w:rFonts w:hint="eastAsia" w:ascii="宋体" w:hAnsi="宋体" w:eastAsia="宋体" w:cs="宋体"/>
          <w:b w:val="0"/>
          <w:bCs/>
          <w:snapToGrid w:val="0"/>
          <w:color w:val="auto"/>
          <w:spacing w:val="0"/>
          <w:kern w:val="0"/>
          <w:sz w:val="24"/>
          <w:szCs w:val="24"/>
          <w:highlight w:val="none"/>
          <w:lang w:val="en-US" w:eastAsia="zh-CN"/>
        </w:rPr>
        <w:t xml:space="preserve"> 在施工过程中经监理单位日常巡查或抽检发现未达到合格标准，责令承包人进 </w:t>
      </w:r>
    </w:p>
    <w:p w14:paraId="270838E2">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行整改，如未按规定时间进行整改或整改不到位的，每次按 5000 元缴纳违约金给发包人，在进度款或结算款中一并扣除。 </w:t>
      </w:r>
    </w:p>
    <w:p w14:paraId="35703BC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4.24.2.2</w:t>
      </w:r>
      <w:r>
        <w:rPr>
          <w:rFonts w:hint="eastAsia" w:ascii="宋体" w:hAnsi="宋体" w:eastAsia="宋体" w:cs="宋体"/>
          <w:b w:val="0"/>
          <w:bCs/>
          <w:snapToGrid w:val="0"/>
          <w:color w:val="auto"/>
          <w:spacing w:val="0"/>
          <w:kern w:val="0"/>
          <w:sz w:val="24"/>
          <w:szCs w:val="24"/>
          <w:highlight w:val="none"/>
          <w:lang w:val="en-US" w:eastAsia="zh-CN"/>
        </w:rPr>
        <w:t xml:space="preserve"> 工程质量标准须达到国家验收合格标准。如未达到合格标准，除无偿返工至合 </w:t>
      </w:r>
    </w:p>
    <w:p w14:paraId="3574F302">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格外，还要按合同价款的 1%向招标人支付质量违约金，工期不予顺延。 </w:t>
      </w:r>
    </w:p>
    <w:p w14:paraId="1CC7A03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4.25</w:t>
      </w:r>
      <w:r>
        <w:rPr>
          <w:rFonts w:hint="eastAsia" w:ascii="宋体" w:hAnsi="宋体" w:eastAsia="宋体" w:cs="宋体"/>
          <w:b w:val="0"/>
          <w:bCs/>
          <w:snapToGrid w:val="0"/>
          <w:color w:val="auto"/>
          <w:spacing w:val="0"/>
          <w:kern w:val="0"/>
          <w:sz w:val="24"/>
          <w:szCs w:val="24"/>
          <w:highlight w:val="none"/>
          <w:lang w:val="en-US" w:eastAsia="zh-CN"/>
        </w:rPr>
        <w:t xml:space="preserve"> 重大责任事故违约 </w:t>
      </w:r>
    </w:p>
    <w:p w14:paraId="6D4620D0">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4.25.1</w:t>
      </w:r>
      <w:r>
        <w:rPr>
          <w:rFonts w:hint="eastAsia" w:ascii="宋体" w:hAnsi="宋体" w:eastAsia="宋体" w:cs="宋体"/>
          <w:b w:val="0"/>
          <w:bCs/>
          <w:snapToGrid w:val="0"/>
          <w:color w:val="auto"/>
          <w:spacing w:val="0"/>
          <w:kern w:val="0"/>
          <w:sz w:val="24"/>
          <w:szCs w:val="24"/>
          <w:highlight w:val="none"/>
          <w:lang w:val="en-US" w:eastAsia="zh-CN"/>
        </w:rPr>
        <w:t xml:space="preserve"> 承包人因违反国家安全质量法规及合同有关条款约定,出现火灾、坍塌、人员重 </w:t>
      </w:r>
    </w:p>
    <w:p w14:paraId="4B47B369">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伤、死亡等重大责任事故,则承包人应承担全部损失,并按相关法规接受行政处罚；如造成发 </w:t>
      </w:r>
    </w:p>
    <w:p w14:paraId="7A2DDA93">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包人及对第三人利益的损害,该等损害赔偿责任均由承包人承担。 </w:t>
      </w:r>
    </w:p>
    <w:p w14:paraId="13D2CAAA">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4.26</w:t>
      </w:r>
      <w:r>
        <w:rPr>
          <w:rFonts w:hint="eastAsia" w:ascii="宋体" w:hAnsi="宋体" w:eastAsia="宋体" w:cs="宋体"/>
          <w:b w:val="0"/>
          <w:bCs/>
          <w:snapToGrid w:val="0"/>
          <w:color w:val="auto"/>
          <w:spacing w:val="0"/>
          <w:kern w:val="0"/>
          <w:sz w:val="24"/>
          <w:szCs w:val="24"/>
          <w:highlight w:val="none"/>
          <w:lang w:val="en-US" w:eastAsia="zh-CN"/>
        </w:rPr>
        <w:t xml:space="preserve"> 用工违约 </w:t>
      </w:r>
    </w:p>
    <w:p w14:paraId="1028C0F4">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4.26.1</w:t>
      </w:r>
      <w:r>
        <w:rPr>
          <w:rFonts w:hint="eastAsia" w:ascii="宋体" w:hAnsi="宋体" w:eastAsia="宋体" w:cs="宋体"/>
          <w:b w:val="0"/>
          <w:bCs/>
          <w:snapToGrid w:val="0"/>
          <w:color w:val="auto"/>
          <w:spacing w:val="0"/>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3D7F4764">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扣农民工工资总金额 2 倍的标准向发包人缴纳惩罚性违约金。 </w:t>
      </w:r>
    </w:p>
    <w:p w14:paraId="01A604E7">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4.27</w:t>
      </w:r>
      <w:r>
        <w:rPr>
          <w:rFonts w:hint="eastAsia" w:ascii="宋体" w:hAnsi="宋体" w:eastAsia="宋体" w:cs="宋体"/>
          <w:b w:val="0"/>
          <w:bCs/>
          <w:snapToGrid w:val="0"/>
          <w:color w:val="auto"/>
          <w:spacing w:val="0"/>
          <w:kern w:val="0"/>
          <w:sz w:val="24"/>
          <w:szCs w:val="24"/>
          <w:highlight w:val="none"/>
          <w:lang w:val="en-US" w:eastAsia="zh-CN"/>
        </w:rPr>
        <w:t xml:space="preserve"> 安全文明施工违约 </w:t>
      </w:r>
    </w:p>
    <w:p w14:paraId="39653B91">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4.27.1</w:t>
      </w:r>
      <w:r>
        <w:rPr>
          <w:rFonts w:hint="eastAsia" w:ascii="宋体" w:hAnsi="宋体" w:eastAsia="宋体" w:cs="宋体"/>
          <w:b w:val="0"/>
          <w:bCs/>
          <w:snapToGrid w:val="0"/>
          <w:color w:val="auto"/>
          <w:spacing w:val="0"/>
          <w:kern w:val="0"/>
          <w:sz w:val="24"/>
          <w:szCs w:val="24"/>
          <w:highlight w:val="none"/>
          <w:lang w:val="en-US" w:eastAsia="zh-CN"/>
        </w:rPr>
        <w:t xml:space="preserve"> 如承包人违反国家、广东省、发包人及合同关于安全文明施工的规定，但尚未造 </w:t>
      </w:r>
    </w:p>
    <w:p w14:paraId="1B5DCF6A">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 xml:space="preserve">成安全责任事故，承包人应及时改正行为并赔偿相关方的损失，如未及时整改,针对每一违约 </w:t>
      </w:r>
    </w:p>
    <w:p w14:paraId="150F4B27">
      <w:pPr>
        <w:keepNext w:val="0"/>
        <w:keepLines w:val="0"/>
        <w:pageBreakBefore w:val="0"/>
        <w:wordWrap w:val="0"/>
        <w:overflowPunct/>
        <w:topLinePunct w:val="0"/>
        <w:bidi w:val="0"/>
        <w:adjustRightInd w:val="0"/>
        <w:snapToGrid w:val="0"/>
        <w:spacing w:line="440" w:lineRule="exact"/>
        <w:ind w:left="0" w:leftChars="0" w:firstLine="0" w:firstLineChars="0"/>
        <w:rPr>
          <w:rFonts w:hint="eastAsia" w:ascii="宋体" w:hAnsi="宋体" w:eastAsia="宋体" w:cs="宋体"/>
          <w:b w:val="0"/>
          <w:bCs/>
          <w:snapToGrid w:val="0"/>
          <w:color w:val="auto"/>
          <w:spacing w:val="0"/>
          <w:kern w:val="0"/>
          <w:sz w:val="24"/>
          <w:szCs w:val="24"/>
          <w:highlight w:val="none"/>
          <w:lang w:val="en-US" w:eastAsia="zh-CN"/>
        </w:rPr>
      </w:pPr>
      <w:r>
        <w:rPr>
          <w:rFonts w:hint="eastAsia" w:ascii="宋体" w:hAnsi="宋体" w:eastAsia="宋体" w:cs="宋体"/>
          <w:b w:val="0"/>
          <w:bCs/>
          <w:snapToGrid w:val="0"/>
          <w:color w:val="auto"/>
          <w:spacing w:val="0"/>
          <w:kern w:val="0"/>
          <w:sz w:val="24"/>
          <w:szCs w:val="24"/>
          <w:highlight w:val="none"/>
          <w:lang w:val="en-US" w:eastAsia="zh-CN"/>
        </w:rPr>
        <w:t>行为每持续一天应缴纳违约金 1000.00 元。</w:t>
      </w:r>
    </w:p>
    <w:p w14:paraId="2E94FE36">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27</w:t>
      </w:r>
      <w:r>
        <w:rPr>
          <w:rFonts w:hint="default" w:ascii="宋体" w:hAnsi="宋体" w:eastAsia="宋体" w:cs="宋体"/>
          <w:b/>
          <w:bCs w:val="0"/>
          <w:snapToGrid w:val="0"/>
          <w:color w:val="auto"/>
          <w:spacing w:val="0"/>
          <w:kern w:val="0"/>
          <w:sz w:val="24"/>
          <w:szCs w:val="24"/>
          <w:highlight w:val="none"/>
          <w:lang w:val="en-US" w:eastAsia="zh-CN"/>
        </w:rPr>
        <w:t>.2</w:t>
      </w:r>
      <w:r>
        <w:rPr>
          <w:rFonts w:hint="default" w:ascii="宋体" w:hAnsi="宋体" w:eastAsia="宋体" w:cs="宋体"/>
          <w:b w:val="0"/>
          <w:bCs/>
          <w:snapToGrid w:val="0"/>
          <w:color w:val="auto"/>
          <w:spacing w:val="0"/>
          <w:kern w:val="0"/>
          <w:sz w:val="24"/>
          <w:szCs w:val="24"/>
          <w:highlight w:val="none"/>
          <w:lang w:val="en-US" w:eastAsia="zh-CN"/>
        </w:rPr>
        <w:t xml:space="preserve"> 承包人必须接受发包人及监理单位组织的安全、文明施工的检查，检查中的不合 </w:t>
      </w:r>
    </w:p>
    <w:p w14:paraId="6CE0DA46">
      <w:pPr>
        <w:keepNext w:val="0"/>
        <w:keepLines w:val="0"/>
        <w:pageBreakBefore w:val="0"/>
        <w:wordWrap w:val="0"/>
        <w:overflowPunct/>
        <w:topLinePunct w:val="0"/>
        <w:bidi w:val="0"/>
        <w:adjustRightInd w:val="0"/>
        <w:snapToGrid w:val="0"/>
        <w:spacing w:line="440" w:lineRule="exact"/>
        <w:ind w:firstLine="480"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 xml:space="preserve">格项目、安全隐患必须在规定的时间内整改完成，否则每拖延一天处以 2000.00 元人民币违约金，直至整改合格。 </w:t>
      </w:r>
    </w:p>
    <w:p w14:paraId="70F22DCC">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val="0"/>
          <w:bCs/>
          <w:snapToGrid w:val="0"/>
          <w:color w:val="auto"/>
          <w:spacing w:val="0"/>
          <w:kern w:val="0"/>
          <w:sz w:val="24"/>
          <w:szCs w:val="24"/>
          <w:highlight w:val="none"/>
          <w:lang w:val="en-US" w:eastAsia="zh-CN"/>
        </w:rPr>
        <w:t xml:space="preserve"> 其他违约 </w:t>
      </w:r>
    </w:p>
    <w:p w14:paraId="57A849B3">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.1</w:t>
      </w:r>
      <w:r>
        <w:rPr>
          <w:rFonts w:hint="default" w:ascii="宋体" w:hAnsi="宋体" w:eastAsia="宋体" w:cs="宋体"/>
          <w:b w:val="0"/>
          <w:bCs/>
          <w:snapToGrid w:val="0"/>
          <w:color w:val="auto"/>
          <w:spacing w:val="0"/>
          <w:kern w:val="0"/>
          <w:sz w:val="24"/>
          <w:szCs w:val="24"/>
          <w:highlight w:val="none"/>
          <w:lang w:val="en-US" w:eastAsia="zh-CN"/>
        </w:rPr>
        <w:t xml:space="preserve"> 承包人安排在施工场地的主要管理人员（主要指项目经理、项目技术负责人和专 </w:t>
      </w:r>
    </w:p>
    <w:p w14:paraId="47346077">
      <w:pPr>
        <w:keepNext w:val="0"/>
        <w:keepLines w:val="0"/>
        <w:pageBreakBefore w:val="0"/>
        <w:wordWrap w:val="0"/>
        <w:overflowPunct/>
        <w:topLinePunct w:val="0"/>
        <w:bidi w:val="0"/>
        <w:adjustRightInd w:val="0"/>
        <w:snapToGrid w:val="0"/>
        <w:spacing w:line="440" w:lineRule="exact"/>
        <w:ind w:firstLine="480"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w:t>
      </w:r>
    </w:p>
    <w:p w14:paraId="38B94FC8">
      <w:pPr>
        <w:keepNext w:val="0"/>
        <w:keepLines w:val="0"/>
        <w:pageBreakBefore w:val="0"/>
        <w:wordWrap w:val="0"/>
        <w:overflowPunct/>
        <w:topLinePunct w:val="0"/>
        <w:bidi w:val="0"/>
        <w:adjustRightInd w:val="0"/>
        <w:snapToGrid w:val="0"/>
        <w:spacing w:line="440" w:lineRule="exact"/>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val="0"/>
          <w:bCs/>
          <w:snapToGrid w:val="0"/>
          <w:color w:val="auto"/>
          <w:spacing w:val="0"/>
          <w:kern w:val="0"/>
          <w:sz w:val="24"/>
          <w:szCs w:val="24"/>
          <w:highlight w:val="none"/>
          <w:lang w:val="en-US" w:eastAsia="zh-CN"/>
        </w:rPr>
        <w:t xml:space="preserve">程师审核并报发包人批准后，承包人可安排同等资历的人员替换。 </w:t>
      </w:r>
    </w:p>
    <w:p w14:paraId="0221E6C4">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.2</w:t>
      </w:r>
      <w:r>
        <w:rPr>
          <w:rFonts w:hint="default" w:ascii="宋体" w:hAnsi="宋体" w:eastAsia="宋体" w:cs="宋体"/>
          <w:b w:val="0"/>
          <w:bCs/>
          <w:snapToGrid w:val="0"/>
          <w:color w:val="auto"/>
          <w:spacing w:val="0"/>
          <w:kern w:val="0"/>
          <w:sz w:val="24"/>
          <w:szCs w:val="24"/>
          <w:highlight w:val="none"/>
          <w:lang w:val="en-US" w:eastAsia="zh-CN"/>
        </w:rPr>
        <w:t xml:space="preserve"> 中标人施工资料必须与形象进度同步。 </w:t>
      </w:r>
    </w:p>
    <w:p w14:paraId="4D7E401F">
      <w:pPr>
        <w:keepNext w:val="0"/>
        <w:keepLines w:val="0"/>
        <w:pageBreakBefore w:val="0"/>
        <w:wordWrap w:val="0"/>
        <w:overflowPunct/>
        <w:topLinePunct w:val="0"/>
        <w:bidi w:val="0"/>
        <w:adjustRightInd w:val="0"/>
        <w:snapToGrid w:val="0"/>
        <w:spacing w:line="440" w:lineRule="exact"/>
        <w:ind w:firstLine="482" w:firstLineChars="200"/>
        <w:rPr>
          <w:rFonts w:hint="default" w:ascii="宋体" w:hAnsi="宋体" w:eastAsia="宋体" w:cs="宋体"/>
          <w:b w:val="0"/>
          <w:bCs/>
          <w:snapToGrid w:val="0"/>
          <w:color w:val="auto"/>
          <w:spacing w:val="0"/>
          <w:kern w:val="0"/>
          <w:sz w:val="24"/>
          <w:szCs w:val="24"/>
          <w:highlight w:val="none"/>
          <w:lang w:val="en-US" w:eastAsia="zh-CN"/>
        </w:rPr>
      </w:pPr>
      <w:r>
        <w:rPr>
          <w:rFonts w:hint="default" w:ascii="宋体" w:hAnsi="宋体" w:eastAsia="宋体" w:cs="宋体"/>
          <w:b/>
          <w:bCs w:val="0"/>
          <w:snapToGrid w:val="0"/>
          <w:color w:val="auto"/>
          <w:spacing w:val="0"/>
          <w:kern w:val="0"/>
          <w:sz w:val="24"/>
          <w:szCs w:val="24"/>
          <w:highlight w:val="none"/>
          <w:lang w:val="en-US" w:eastAsia="zh-CN"/>
        </w:rPr>
        <w:t>4.</w:t>
      </w:r>
      <w:r>
        <w:rPr>
          <w:rFonts w:hint="eastAsia" w:ascii="宋体" w:hAnsi="宋体" w:eastAsia="宋体" w:cs="宋体"/>
          <w:b/>
          <w:bCs w:val="0"/>
          <w:snapToGrid w:val="0"/>
          <w:color w:val="auto"/>
          <w:spacing w:val="0"/>
          <w:kern w:val="0"/>
          <w:sz w:val="24"/>
          <w:szCs w:val="24"/>
          <w:highlight w:val="none"/>
          <w:lang w:val="en-US" w:eastAsia="zh-CN"/>
        </w:rPr>
        <w:t>28</w:t>
      </w:r>
      <w:r>
        <w:rPr>
          <w:rFonts w:hint="default" w:ascii="宋体" w:hAnsi="宋体" w:eastAsia="宋体" w:cs="宋体"/>
          <w:b/>
          <w:bCs w:val="0"/>
          <w:snapToGrid w:val="0"/>
          <w:color w:val="auto"/>
          <w:spacing w:val="0"/>
          <w:kern w:val="0"/>
          <w:sz w:val="24"/>
          <w:szCs w:val="24"/>
          <w:highlight w:val="none"/>
          <w:lang w:val="en-US" w:eastAsia="zh-CN"/>
        </w:rPr>
        <w:t>.3</w:t>
      </w:r>
      <w:r>
        <w:rPr>
          <w:rFonts w:hint="default" w:ascii="宋体" w:hAnsi="宋体" w:eastAsia="宋体" w:cs="宋体"/>
          <w:b w:val="0"/>
          <w:bCs/>
          <w:snapToGrid w:val="0"/>
          <w:color w:val="auto"/>
          <w:spacing w:val="0"/>
          <w:kern w:val="0"/>
          <w:sz w:val="24"/>
          <w:szCs w:val="24"/>
          <w:highlight w:val="none"/>
          <w:lang w:val="en-US" w:eastAsia="zh-CN"/>
        </w:rPr>
        <w:t xml:space="preserve"> 承包人没有正当合理的理由中途退场，可扣除承包人已递交的所有履约风险保证 </w:t>
      </w:r>
    </w:p>
    <w:p w14:paraId="66462BA6">
      <w:pPr>
        <w:keepNext w:val="0"/>
        <w:keepLines w:val="0"/>
        <w:pageBreakBefore w:val="0"/>
        <w:wordWrap w:val="0"/>
        <w:overflowPunct/>
        <w:topLinePunct w:val="0"/>
        <w:bidi w:val="0"/>
        <w:adjustRightInd w:val="0"/>
        <w:snapToGrid w:val="0"/>
        <w:spacing w:line="440" w:lineRule="exact"/>
        <w:rPr>
          <w:rFonts w:hint="default" w:ascii="宋体" w:hAnsi="宋体" w:eastAsia="宋体" w:cs="宋体"/>
          <w:bCs/>
          <w:snapToGrid w:val="0"/>
          <w:color w:val="auto"/>
          <w:spacing w:val="0"/>
          <w:kern w:val="0"/>
          <w:sz w:val="24"/>
          <w:szCs w:val="24"/>
          <w:highlight w:val="none"/>
          <w:lang w:val="en-US" w:eastAsia="zh-CN" w:bidi="ar-SA"/>
        </w:rPr>
      </w:pPr>
      <w:r>
        <w:rPr>
          <w:rFonts w:hint="default" w:ascii="宋体" w:hAnsi="宋体" w:eastAsia="宋体" w:cs="宋体"/>
          <w:b w:val="0"/>
          <w:bCs/>
          <w:snapToGrid w:val="0"/>
          <w:color w:val="auto"/>
          <w:spacing w:val="0"/>
          <w:kern w:val="0"/>
          <w:sz w:val="24"/>
          <w:szCs w:val="24"/>
          <w:highlight w:val="none"/>
          <w:lang w:val="en-US" w:eastAsia="zh-CN"/>
        </w:rPr>
        <w:t>金。承包人因上述违约行为而须缴纳的违约金在工程进度款中或结算时一并扣除。</w:t>
      </w:r>
    </w:p>
    <w:p w14:paraId="1639732B">
      <w:pPr>
        <w:keepNext w:val="0"/>
        <w:keepLines w:val="0"/>
        <w:pageBreakBefore w:val="0"/>
        <w:wordWrap w:val="0"/>
        <w:overflowPunct/>
        <w:topLinePunct w:val="0"/>
        <w:bidi w:val="0"/>
        <w:adjustRightInd w:val="0"/>
        <w:snapToGrid w:val="0"/>
        <w:spacing w:line="440" w:lineRule="exact"/>
        <w:ind w:firstLine="482" w:firstLineChars="200"/>
        <w:rPr>
          <w:rFonts w:hint="eastAsia" w:ascii="宋体" w:hAnsi="宋体" w:eastAsia="宋体" w:cs="宋体"/>
          <w:b/>
          <w:bCs w:val="0"/>
          <w:snapToGrid w:val="0"/>
          <w:color w:val="auto"/>
          <w:spacing w:val="0"/>
          <w:kern w:val="0"/>
          <w:sz w:val="24"/>
          <w:szCs w:val="24"/>
          <w:highlight w:val="none"/>
          <w:lang w:val="en-US" w:eastAsia="zh-CN"/>
        </w:rPr>
      </w:pPr>
      <w:r>
        <w:rPr>
          <w:rFonts w:hint="eastAsia" w:ascii="宋体" w:hAnsi="宋体" w:eastAsia="宋体" w:cs="宋体"/>
          <w:b/>
          <w:bCs w:val="0"/>
          <w:snapToGrid w:val="0"/>
          <w:color w:val="auto"/>
          <w:spacing w:val="0"/>
          <w:kern w:val="0"/>
          <w:sz w:val="24"/>
          <w:szCs w:val="24"/>
          <w:highlight w:val="none"/>
          <w:lang w:val="en-US" w:eastAsia="zh-CN"/>
        </w:rPr>
        <w:t>5.其他合同条款由招标人与中标人自行协商约定</w:t>
      </w:r>
    </w:p>
    <w:p w14:paraId="7E8AA3BC">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76D7DAFE">
      <w:pPr>
        <w:keepNext w:val="0"/>
        <w:keepLines w:val="0"/>
        <w:pageBreakBefore w:val="0"/>
        <w:wordWrap w:val="0"/>
        <w:overflowPunct/>
        <w:topLinePunct w:val="0"/>
        <w:bidi w:val="0"/>
        <w:spacing w:before="78" w:line="219" w:lineRule="auto"/>
        <w:ind w:left="3273"/>
        <w:outlineLvl w:val="0"/>
        <w:rPr>
          <w:rFonts w:hint="eastAsia" w:ascii="宋体" w:hAnsi="宋体" w:eastAsia="宋体" w:cs="宋体"/>
          <w:color w:val="auto"/>
          <w:spacing w:val="0"/>
          <w:highlight w:val="none"/>
        </w:rPr>
      </w:pPr>
      <w:bookmarkStart w:id="173" w:name="_Toc21309"/>
      <w:r>
        <w:rPr>
          <w:rFonts w:hint="eastAsia" w:ascii="宋体" w:hAnsi="宋体" w:eastAsia="宋体" w:cs="宋体"/>
          <w:b/>
          <w:bCs/>
          <w:color w:val="auto"/>
          <w:spacing w:val="0"/>
          <w:sz w:val="24"/>
          <w:szCs w:val="24"/>
          <w:highlight w:val="none"/>
        </w:rPr>
        <w:t>第四章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技术要求</w:t>
      </w:r>
      <w:bookmarkEnd w:id="173"/>
    </w:p>
    <w:p w14:paraId="3201299A">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39B809F3">
      <w:pPr>
        <w:keepNext w:val="0"/>
        <w:keepLines w:val="0"/>
        <w:pageBreakBefore w:val="0"/>
        <w:wordWrap w:val="0"/>
        <w:overflowPunct/>
        <w:topLinePunct w:val="0"/>
        <w:bidi w:val="0"/>
        <w:spacing w:before="78" w:line="221" w:lineRule="auto"/>
        <w:ind w:left="125"/>
        <w:outlineLvl w:val="2"/>
        <w:rPr>
          <w:rFonts w:hint="eastAsia" w:ascii="宋体" w:hAnsi="宋体" w:eastAsia="宋体" w:cs="宋体"/>
          <w:color w:val="auto"/>
          <w:spacing w:val="0"/>
          <w:sz w:val="24"/>
          <w:szCs w:val="24"/>
          <w:highlight w:val="none"/>
        </w:rPr>
      </w:pPr>
      <w:bookmarkStart w:id="174" w:name="_Toc10155"/>
      <w:bookmarkStart w:id="175" w:name="_Toc27447"/>
      <w:r>
        <w:rPr>
          <w:rFonts w:hint="eastAsia" w:ascii="宋体" w:hAnsi="宋体" w:eastAsia="宋体" w:cs="宋体"/>
          <w:b/>
          <w:bCs/>
          <w:color w:val="auto"/>
          <w:spacing w:val="0"/>
          <w:sz w:val="24"/>
          <w:szCs w:val="24"/>
          <w:highlight w:val="none"/>
        </w:rPr>
        <w:t>1 ．房屋建筑工程建设项目</w:t>
      </w:r>
      <w:bookmarkEnd w:id="174"/>
      <w:bookmarkEnd w:id="175"/>
    </w:p>
    <w:p w14:paraId="050B4243">
      <w:pPr>
        <w:keepNext w:val="0"/>
        <w:keepLines w:val="0"/>
        <w:pageBreakBefore w:val="0"/>
        <w:wordWrap w:val="0"/>
        <w:overflowPunct/>
        <w:topLinePunct w:val="0"/>
        <w:bidi w:val="0"/>
        <w:spacing w:before="152"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房屋建筑工程建设项目必须执行的现行技术规范，包括且不限于：</w:t>
      </w:r>
    </w:p>
    <w:p w14:paraId="3EC0C14D">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（1）《建筑工程施工质量验收统一标准》；</w:t>
      </w:r>
    </w:p>
    <w:p w14:paraId="22B24C08">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（2）《建筑地基基础工程施工质量验收规范》；</w:t>
      </w:r>
    </w:p>
    <w:p w14:paraId="5ED60998">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（3）《砌体工程施工质量验收规范》；</w:t>
      </w:r>
    </w:p>
    <w:p w14:paraId="25C5BA7D">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（4）《混凝土结构工程施工质量验收规范》；</w:t>
      </w:r>
    </w:p>
    <w:p w14:paraId="25488D25">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（5）《屋面工程质量验收规范》；</w:t>
      </w:r>
    </w:p>
    <w:p w14:paraId="6337919B">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（6）《地下防水工程质量验收规范》；</w:t>
      </w:r>
    </w:p>
    <w:p w14:paraId="2609EC74">
      <w:pPr>
        <w:keepNext w:val="0"/>
        <w:keepLines w:val="0"/>
        <w:pageBreakBefore w:val="0"/>
        <w:wordWrap w:val="0"/>
        <w:overflowPunct/>
        <w:topLinePunct w:val="0"/>
        <w:bidi w:val="0"/>
        <w:spacing w:before="156"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（7）《建筑地面工程施工质量验收规范》；</w:t>
      </w:r>
    </w:p>
    <w:p w14:paraId="4F1399EE">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（8）《建筑装饰装修工程施工质量验收规范》；</w:t>
      </w:r>
    </w:p>
    <w:p w14:paraId="64083FEC">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（9）《建筑给排水及采暖工程施工质量验收规范》；</w:t>
      </w:r>
    </w:p>
    <w:p w14:paraId="069B6833">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（10）《建筑电气工程施工质量验收规范》；</w:t>
      </w:r>
    </w:p>
    <w:p w14:paraId="67EBC88C">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（11）《住建部绿色建筑评价标准》；</w:t>
      </w:r>
    </w:p>
    <w:p w14:paraId="37F4B50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（12）《建筑节能与可再生能源利用通用规范》（GB55015-2021）；</w:t>
      </w:r>
    </w:p>
    <w:p w14:paraId="2389BAA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（13）《建筑环境通用规范》；</w:t>
      </w:r>
    </w:p>
    <w:p w14:paraId="16160537">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6" w:name="_Toc12084"/>
      <w:bookmarkStart w:id="177" w:name="_Toc16294"/>
      <w:r>
        <w:rPr>
          <w:rFonts w:hint="eastAsia" w:ascii="宋体" w:hAnsi="宋体" w:eastAsia="宋体" w:cs="宋体"/>
          <w:color w:val="auto"/>
          <w:spacing w:val="0"/>
          <w:sz w:val="24"/>
          <w:szCs w:val="24"/>
          <w:highlight w:val="none"/>
        </w:rPr>
        <w:t>（14）《建筑与市政工程无障碍通用规范》 GB 55019-2021；</w:t>
      </w:r>
      <w:bookmarkEnd w:id="176"/>
      <w:bookmarkEnd w:id="177"/>
    </w:p>
    <w:p w14:paraId="7D62B009">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78" w:name="_Toc1177"/>
      <w:bookmarkStart w:id="179" w:name="_Toc15158"/>
      <w:r>
        <w:rPr>
          <w:rFonts w:hint="eastAsia" w:ascii="宋体" w:hAnsi="宋体" w:eastAsia="宋体" w:cs="宋体"/>
          <w:color w:val="auto"/>
          <w:spacing w:val="0"/>
          <w:sz w:val="24"/>
          <w:szCs w:val="24"/>
          <w:highlight w:val="none"/>
        </w:rPr>
        <w:t>（15）《建筑防火通用规范》GB 55037-2022;</w:t>
      </w:r>
      <w:bookmarkEnd w:id="178"/>
      <w:bookmarkEnd w:id="179"/>
    </w:p>
    <w:p w14:paraId="6015FD54">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0" w:name="_Toc2461"/>
      <w:bookmarkStart w:id="181" w:name="_Toc24233"/>
      <w:r>
        <w:rPr>
          <w:rFonts w:hint="eastAsia" w:ascii="宋体" w:hAnsi="宋体" w:eastAsia="宋体" w:cs="宋体"/>
          <w:color w:val="auto"/>
          <w:spacing w:val="0"/>
          <w:sz w:val="24"/>
          <w:szCs w:val="24"/>
          <w:highlight w:val="none"/>
        </w:rPr>
        <w:t>（16）《建筑与市政工程抗震通用规范》GB55002-2001;</w:t>
      </w:r>
      <w:bookmarkEnd w:id="180"/>
      <w:bookmarkEnd w:id="181"/>
    </w:p>
    <w:p w14:paraId="1F60129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bookmarkStart w:id="182" w:name="_Toc8109"/>
      <w:bookmarkStart w:id="183" w:name="_Toc5777"/>
      <w:r>
        <w:rPr>
          <w:rFonts w:hint="eastAsia" w:ascii="宋体" w:hAnsi="宋体" w:eastAsia="宋体" w:cs="宋体"/>
          <w:color w:val="auto"/>
          <w:spacing w:val="0"/>
          <w:sz w:val="24"/>
          <w:szCs w:val="24"/>
          <w:highlight w:val="none"/>
        </w:rPr>
        <w:t>（17）《建筑与市政地基基础通用规范》GB55003-2001;</w:t>
      </w:r>
      <w:bookmarkEnd w:id="182"/>
      <w:bookmarkEnd w:id="183"/>
    </w:p>
    <w:p w14:paraId="7769CBE8">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（18）《广东省住房和城乡建设厅绿色施工导则》；</w:t>
      </w:r>
    </w:p>
    <w:p w14:paraId="2E0BAF3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（19）《广东省建筑工程绿色施工评价标准》；</w:t>
      </w:r>
    </w:p>
    <w:p w14:paraId="4AD58CAF">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（20）《广东省建筑节能与绿色建筑工程施工质量验收规范》</w:t>
      </w:r>
    </w:p>
    <w:p w14:paraId="2252F8FB">
      <w:pPr>
        <w:keepNext w:val="0"/>
        <w:keepLines w:val="0"/>
        <w:pageBreakBefore w:val="0"/>
        <w:wordWrap w:val="0"/>
        <w:overflowPunct/>
        <w:topLinePunct w:val="0"/>
        <w:bidi w:val="0"/>
        <w:spacing w:before="153" w:line="219"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（21）其他现行国家、广东省关于房建工程的施工及验收规范、定额、规程、标准。</w:t>
      </w:r>
    </w:p>
    <w:p w14:paraId="2829F9CD">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6BD7F3EB">
      <w:pPr>
        <w:keepNext w:val="0"/>
        <w:keepLines w:val="0"/>
        <w:pageBreakBefore w:val="0"/>
        <w:wordWrap w:val="0"/>
        <w:overflowPunct/>
        <w:topLinePunct w:val="0"/>
        <w:bidi w:val="0"/>
        <w:spacing w:before="78" w:line="220" w:lineRule="auto"/>
        <w:ind w:left="115"/>
        <w:outlineLvl w:val="2"/>
        <w:rPr>
          <w:rFonts w:hint="eastAsia" w:ascii="宋体" w:hAnsi="宋体" w:eastAsia="宋体" w:cs="宋体"/>
          <w:color w:val="auto"/>
          <w:spacing w:val="0"/>
          <w:sz w:val="24"/>
          <w:szCs w:val="24"/>
          <w:highlight w:val="none"/>
        </w:rPr>
      </w:pPr>
      <w:bookmarkStart w:id="184" w:name="_Toc15652"/>
      <w:bookmarkStart w:id="185" w:name="_Toc32158"/>
      <w:r>
        <w:rPr>
          <w:rFonts w:hint="eastAsia" w:ascii="宋体" w:hAnsi="宋体" w:eastAsia="宋体" w:cs="宋体"/>
          <w:b/>
          <w:bCs/>
          <w:color w:val="auto"/>
          <w:spacing w:val="0"/>
          <w:sz w:val="24"/>
          <w:szCs w:val="24"/>
          <w:highlight w:val="none"/>
        </w:rPr>
        <w:t>2 ．市政基础设施工程建设项目</w:t>
      </w:r>
      <w:bookmarkEnd w:id="184"/>
      <w:bookmarkEnd w:id="185"/>
    </w:p>
    <w:p w14:paraId="3B044182">
      <w:pPr>
        <w:keepNext w:val="0"/>
        <w:keepLines w:val="0"/>
        <w:pageBreakBefore w:val="0"/>
        <w:wordWrap w:val="0"/>
        <w:overflowPunct/>
        <w:topLinePunct w:val="0"/>
        <w:bidi w:val="0"/>
        <w:spacing w:before="154" w:line="220" w:lineRule="auto"/>
        <w:ind w:left="1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市政基础设施工程建设项目必须执行的现行技术规范，包括且不限于：</w:t>
      </w:r>
    </w:p>
    <w:p w14:paraId="28C3DC9E">
      <w:pPr>
        <w:keepNext w:val="0"/>
        <w:keepLines w:val="0"/>
        <w:pageBreakBefore w:val="0"/>
        <w:wordWrap w:val="0"/>
        <w:overflowPunct/>
        <w:topLinePunct w:val="0"/>
        <w:bidi w:val="0"/>
        <w:spacing w:before="155"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（1）《公路路基施工技术规范》；</w:t>
      </w:r>
    </w:p>
    <w:p w14:paraId="4D013B7E">
      <w:pPr>
        <w:keepNext w:val="0"/>
        <w:keepLines w:val="0"/>
        <w:pageBreakBefore w:val="0"/>
        <w:wordWrap w:val="0"/>
        <w:overflowPunct/>
        <w:topLinePunct w:val="0"/>
        <w:bidi w:val="0"/>
        <w:spacing w:before="153"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（2）《市政道路工程质量检验评定标准》；</w:t>
      </w:r>
    </w:p>
    <w:p w14:paraId="1D0CEE6F">
      <w:pPr>
        <w:keepNext w:val="0"/>
        <w:keepLines w:val="0"/>
        <w:pageBreakBefore w:val="0"/>
        <w:wordWrap w:val="0"/>
        <w:overflowPunct/>
        <w:topLinePunct w:val="0"/>
        <w:bidi w:val="0"/>
        <w:spacing w:before="154" w:line="220" w:lineRule="auto"/>
        <w:ind w:left="13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（3）《市政排水管渠工程质量检验评定标准》；</w:t>
      </w:r>
    </w:p>
    <w:p w14:paraId="5762B28C">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（4）《给水排水管道工程施工及验收规范》；</w:t>
      </w:r>
    </w:p>
    <w:p w14:paraId="2C15D184">
      <w:pPr>
        <w:keepNext w:val="0"/>
        <w:keepLines w:val="0"/>
        <w:pageBreakBefore w:val="0"/>
        <w:widowControl w:val="0"/>
        <w:kinsoku w:val="0"/>
        <w:wordWrap w:val="0"/>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（5）《城市道路路基工程施工及验收规范》；</w:t>
      </w:r>
    </w:p>
    <w:p w14:paraId="289264E6">
      <w:pPr>
        <w:keepNext w:val="0"/>
        <w:keepLines w:val="0"/>
        <w:pageBreakBefore w:val="0"/>
        <w:widowControl w:val="0"/>
        <w:kinsoku w:val="0"/>
        <w:wordWrap w:val="0"/>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（6）《水泥砼路面施工及验收规范》；</w:t>
      </w:r>
    </w:p>
    <w:p w14:paraId="2933B3E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（7）《公路水泥砼路面施工技术规范》；</w:t>
      </w:r>
    </w:p>
    <w:p w14:paraId="6AFB4FD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（8）《埋地硬聚氯乙烯排水管道工程技术规程》；</w:t>
      </w:r>
    </w:p>
    <w:p w14:paraId="77DD156A">
      <w:pPr>
        <w:keepNext w:val="0"/>
        <w:keepLines w:val="0"/>
        <w:pageBreakBefore w:val="0"/>
        <w:widowControl w:val="0"/>
        <w:kinsoku w:val="0"/>
        <w:wordWrap w:val="0"/>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（9）《沥青路面施工及验收规范》；</w:t>
      </w:r>
    </w:p>
    <w:p w14:paraId="6315DB4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（10）《广东省市政工程施工质量技术资料统一用表》。</w:t>
      </w:r>
    </w:p>
    <w:p w14:paraId="0ADE511F">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6" w:name="_Toc30781"/>
      <w:bookmarkStart w:id="187" w:name="_Toc8494"/>
      <w:r>
        <w:rPr>
          <w:rFonts w:hint="eastAsia" w:ascii="宋体" w:hAnsi="宋体" w:eastAsia="宋体" w:cs="宋体"/>
          <w:color w:val="auto"/>
          <w:spacing w:val="0"/>
          <w:sz w:val="24"/>
          <w:szCs w:val="24"/>
          <w:highlight w:val="none"/>
        </w:rPr>
        <w:t>（11）《建筑与市政工程无障碍通用规范》 GB 55019-2021；</w:t>
      </w:r>
      <w:bookmarkEnd w:id="186"/>
      <w:bookmarkEnd w:id="187"/>
    </w:p>
    <w:p w14:paraId="3B2A76D8">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88" w:name="_Toc31143"/>
      <w:bookmarkStart w:id="189" w:name="_Toc17383"/>
      <w:r>
        <w:rPr>
          <w:rFonts w:hint="eastAsia" w:ascii="宋体" w:hAnsi="宋体" w:eastAsia="宋体" w:cs="宋体"/>
          <w:color w:val="auto"/>
          <w:spacing w:val="0"/>
          <w:sz w:val="24"/>
          <w:szCs w:val="24"/>
          <w:highlight w:val="none"/>
        </w:rPr>
        <w:t>（12）《建筑防火通用规范》GB 55037-2022;</w:t>
      </w:r>
      <w:bookmarkEnd w:id="188"/>
      <w:bookmarkEnd w:id="189"/>
    </w:p>
    <w:p w14:paraId="5317219A">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0" w:name="_Toc32476"/>
      <w:bookmarkStart w:id="191" w:name="_Toc954"/>
      <w:r>
        <w:rPr>
          <w:rFonts w:hint="eastAsia" w:ascii="宋体" w:hAnsi="宋体" w:eastAsia="宋体" w:cs="宋体"/>
          <w:color w:val="auto"/>
          <w:spacing w:val="0"/>
          <w:sz w:val="24"/>
          <w:szCs w:val="24"/>
          <w:highlight w:val="none"/>
        </w:rPr>
        <w:t>（13）《建筑与市政工程抗震通用规范》GB55002-2001;</w:t>
      </w:r>
      <w:bookmarkEnd w:id="190"/>
      <w:bookmarkEnd w:id="191"/>
    </w:p>
    <w:p w14:paraId="04AA5FD5">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2" w:name="_Toc7185"/>
      <w:bookmarkStart w:id="193" w:name="_Toc27898"/>
      <w:r>
        <w:rPr>
          <w:rFonts w:hint="eastAsia" w:ascii="宋体" w:hAnsi="宋体" w:eastAsia="宋体" w:cs="宋体"/>
          <w:color w:val="auto"/>
          <w:spacing w:val="0"/>
          <w:sz w:val="24"/>
          <w:szCs w:val="24"/>
          <w:highlight w:val="none"/>
        </w:rPr>
        <w:t>（14）《建筑与市政地基基础通用规范》GB55003-2001;</w:t>
      </w:r>
      <w:bookmarkEnd w:id="192"/>
      <w:bookmarkEnd w:id="193"/>
    </w:p>
    <w:p w14:paraId="62803EA2">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4" w:name="_Toc29669"/>
      <w:bookmarkStart w:id="195" w:name="_Toc17281"/>
      <w:r>
        <w:rPr>
          <w:rFonts w:hint="eastAsia" w:ascii="宋体" w:hAnsi="宋体" w:eastAsia="宋体" w:cs="宋体"/>
          <w:color w:val="auto"/>
          <w:spacing w:val="0"/>
          <w:sz w:val="24"/>
          <w:szCs w:val="24"/>
          <w:highlight w:val="none"/>
        </w:rPr>
        <w:t>（15）《城市道路照明设计标准》（CJJ45-2015）；</w:t>
      </w:r>
      <w:bookmarkEnd w:id="194"/>
      <w:bookmarkEnd w:id="195"/>
    </w:p>
    <w:p w14:paraId="35B71F3B">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6" w:name="_Toc9161"/>
      <w:bookmarkStart w:id="197" w:name="_Toc31812"/>
      <w:r>
        <w:rPr>
          <w:rFonts w:hint="eastAsia" w:ascii="宋体" w:hAnsi="宋体" w:eastAsia="宋体" w:cs="宋体"/>
          <w:color w:val="auto"/>
          <w:spacing w:val="0"/>
          <w:sz w:val="24"/>
          <w:szCs w:val="24"/>
          <w:highlight w:val="none"/>
        </w:rPr>
        <w:t>（16）《低压配电设计规范》（GB50054-2011）；</w:t>
      </w:r>
      <w:bookmarkEnd w:id="196"/>
      <w:bookmarkEnd w:id="197"/>
    </w:p>
    <w:p w14:paraId="6E393E7D">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bookmarkStart w:id="198" w:name="_Toc6405"/>
      <w:bookmarkStart w:id="199" w:name="_Toc18255"/>
      <w:r>
        <w:rPr>
          <w:rFonts w:hint="eastAsia" w:ascii="宋体" w:hAnsi="宋体" w:eastAsia="宋体" w:cs="宋体"/>
          <w:color w:val="auto"/>
          <w:spacing w:val="0"/>
          <w:sz w:val="24"/>
          <w:szCs w:val="24"/>
          <w:highlight w:val="none"/>
        </w:rPr>
        <w:t>（17）《城市道路照明工程施工及验收规程》（CJJ89-2012）；</w:t>
      </w:r>
      <w:bookmarkEnd w:id="198"/>
      <w:bookmarkEnd w:id="199"/>
    </w:p>
    <w:p w14:paraId="274C675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（18）《LED 道路照明工程技术规范》（DB44/T 1898-2016）；</w:t>
      </w:r>
    </w:p>
    <w:p w14:paraId="123F6939">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（19）《灯具第 1 部分：一般要求与试验》（GB7000.1-2015）；</w:t>
      </w:r>
    </w:p>
    <w:p w14:paraId="429D4794">
      <w:pPr>
        <w:keepNext w:val="0"/>
        <w:keepLines w:val="0"/>
        <w:pageBreakBefore w:val="0"/>
        <w:widowControl w:val="0"/>
        <w:kinsoku w:val="0"/>
        <w:wordWrap w:val="0"/>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（20）《电缆工程电缆设计标准》（GB50217-2018）；</w:t>
      </w:r>
    </w:p>
    <w:p w14:paraId="404BFE10">
      <w:pPr>
        <w:keepNext w:val="0"/>
        <w:keepLines w:val="0"/>
        <w:pageBreakBefore w:val="0"/>
        <w:widowControl w:val="0"/>
        <w:kinsoku w:val="0"/>
        <w:wordWrap w:val="0"/>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（21）其他现行国家、广东省关于市政工程的技术及验收规范、定额、规程、标准。</w:t>
      </w:r>
    </w:p>
    <w:p w14:paraId="43D072C0">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3D026D9D">
      <w:pPr>
        <w:pStyle w:val="6"/>
        <w:keepNext w:val="0"/>
        <w:keepLines w:val="0"/>
        <w:pageBreakBefore w:val="0"/>
        <w:widowControl w:val="0"/>
        <w:kinsoku w:val="0"/>
        <w:wordWrap w:val="0"/>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spacing w:val="0"/>
          <w:highlight w:val="none"/>
        </w:rPr>
      </w:pPr>
    </w:p>
    <w:p w14:paraId="0D07F4F1">
      <w:pPr>
        <w:keepNext w:val="0"/>
        <w:keepLines w:val="0"/>
        <w:pageBreakBefore w:val="0"/>
        <w:widowControl w:val="0"/>
        <w:kinsoku w:val="0"/>
        <w:wordWrap w:val="0"/>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pacing w:val="0"/>
          <w:sz w:val="24"/>
          <w:szCs w:val="24"/>
          <w:highlight w:val="none"/>
        </w:rPr>
      </w:pPr>
      <w:bookmarkStart w:id="200" w:name="_Toc26007"/>
      <w:bookmarkStart w:id="201" w:name="_Toc9200"/>
      <w:r>
        <w:rPr>
          <w:rFonts w:hint="eastAsia" w:ascii="宋体" w:hAnsi="宋体" w:eastAsia="宋体" w:cs="宋体"/>
          <w:b/>
          <w:bCs/>
          <w:color w:val="auto"/>
          <w:spacing w:val="0"/>
          <w:sz w:val="24"/>
          <w:szCs w:val="24"/>
          <w:highlight w:val="none"/>
        </w:rPr>
        <w:t>3 ．备查要求</w:t>
      </w:r>
      <w:bookmarkEnd w:id="200"/>
      <w:bookmarkEnd w:id="201"/>
    </w:p>
    <w:p w14:paraId="0A659DD4">
      <w:pPr>
        <w:keepNext w:val="0"/>
        <w:keepLines w:val="0"/>
        <w:pageBreakBefore w:val="0"/>
        <w:widowControl w:val="0"/>
        <w:kinsoku w:val="0"/>
        <w:wordWrap w:val="0"/>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spacing w:val="0"/>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spacing w:val="0"/>
          <w:sz w:val="24"/>
          <w:szCs w:val="24"/>
          <w:highlight w:val="none"/>
        </w:rPr>
        <w:t>承包人必须在施工现场准备至少一套上述规范，发包人和监理单位可随时检查承 包人的上述规范，并监督承包人按规范要求执行。</w:t>
      </w:r>
    </w:p>
    <w:p w14:paraId="70A319DE">
      <w:pPr>
        <w:keepNext w:val="0"/>
        <w:keepLines w:val="0"/>
        <w:pageBreakBefore w:val="0"/>
        <w:wordWrap w:val="0"/>
        <w:overflowPunct/>
        <w:topLinePunct w:val="0"/>
        <w:bidi w:val="0"/>
        <w:spacing w:before="78" w:line="219" w:lineRule="auto"/>
        <w:jc w:val="center"/>
        <w:outlineLvl w:val="0"/>
        <w:rPr>
          <w:rFonts w:hint="eastAsia" w:ascii="宋体" w:hAnsi="宋体" w:eastAsia="宋体" w:cs="宋体"/>
          <w:color w:val="auto"/>
          <w:spacing w:val="0"/>
          <w:sz w:val="24"/>
          <w:szCs w:val="24"/>
          <w:highlight w:val="none"/>
        </w:rPr>
      </w:pPr>
      <w:bookmarkStart w:id="202" w:name="bookmark146"/>
      <w:bookmarkEnd w:id="202"/>
      <w:bookmarkStart w:id="203" w:name="bookmark100"/>
      <w:bookmarkEnd w:id="203"/>
      <w:bookmarkStart w:id="204" w:name="_Toc1425"/>
      <w:r>
        <w:rPr>
          <w:rFonts w:hint="eastAsia" w:ascii="宋体" w:hAnsi="宋体" w:eastAsia="宋体" w:cs="宋体"/>
          <w:b/>
          <w:bCs/>
          <w:color w:val="auto"/>
          <w:spacing w:val="0"/>
          <w:sz w:val="24"/>
          <w:szCs w:val="24"/>
          <w:highlight w:val="none"/>
        </w:rPr>
        <w:t>第五章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图纸和招标工程量清单</w:t>
      </w:r>
      <w:bookmarkEnd w:id="204"/>
    </w:p>
    <w:p w14:paraId="6AC473F9">
      <w:pPr>
        <w:pStyle w:val="6"/>
        <w:keepNext w:val="0"/>
        <w:keepLines w:val="0"/>
        <w:pageBreakBefore w:val="0"/>
        <w:wordWrap w:val="0"/>
        <w:overflowPunct/>
        <w:topLinePunct w:val="0"/>
        <w:bidi w:val="0"/>
        <w:spacing w:line="283" w:lineRule="auto"/>
        <w:rPr>
          <w:rFonts w:hint="eastAsia" w:ascii="宋体" w:hAnsi="宋体" w:eastAsia="宋体" w:cs="宋体"/>
          <w:color w:val="auto"/>
          <w:spacing w:val="0"/>
          <w:highlight w:val="none"/>
        </w:rPr>
      </w:pPr>
    </w:p>
    <w:p w14:paraId="5D6D037F">
      <w:pPr>
        <w:pStyle w:val="6"/>
        <w:keepNext w:val="0"/>
        <w:keepLines w:val="0"/>
        <w:pageBreakBefore w:val="0"/>
        <w:wordWrap w:val="0"/>
        <w:overflowPunct/>
        <w:topLinePunct w:val="0"/>
        <w:bidi w:val="0"/>
        <w:spacing w:line="284" w:lineRule="auto"/>
        <w:rPr>
          <w:rFonts w:hint="eastAsia" w:ascii="宋体" w:hAnsi="宋体" w:eastAsia="宋体" w:cs="宋体"/>
          <w:color w:val="auto"/>
          <w:spacing w:val="0"/>
          <w:highlight w:val="none"/>
        </w:rPr>
      </w:pPr>
    </w:p>
    <w:p w14:paraId="0445B316">
      <w:pPr>
        <w:keepNext w:val="0"/>
        <w:keepLines w:val="0"/>
        <w:pageBreakBefore w:val="0"/>
        <w:wordWrap w:val="0"/>
        <w:overflowPunct/>
        <w:topLinePunct w:val="0"/>
        <w:bidi w:val="0"/>
        <w:spacing w:before="78" w:line="219" w:lineRule="auto"/>
        <w:ind w:left="10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□有，另附复印件         </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有，自行网上下载(浏览)           □无</w:t>
      </w:r>
    </w:p>
    <w:p w14:paraId="06973F82">
      <w:pPr>
        <w:pStyle w:val="6"/>
        <w:keepNext w:val="0"/>
        <w:keepLines w:val="0"/>
        <w:pageBreakBefore w:val="0"/>
        <w:wordWrap w:val="0"/>
        <w:overflowPunct/>
        <w:topLinePunct w:val="0"/>
        <w:bidi w:val="0"/>
        <w:spacing w:line="265" w:lineRule="auto"/>
        <w:rPr>
          <w:rFonts w:hint="eastAsia" w:ascii="宋体" w:hAnsi="宋体" w:eastAsia="宋体" w:cs="宋体"/>
          <w:color w:val="auto"/>
          <w:spacing w:val="0"/>
          <w:highlight w:val="none"/>
        </w:rPr>
      </w:pPr>
    </w:p>
    <w:p w14:paraId="48CAC688">
      <w:pPr>
        <w:keepNext w:val="0"/>
        <w:keepLines w:val="0"/>
        <w:pageBreakBefore w:val="0"/>
        <w:wordWrap w:val="0"/>
        <w:overflowPunct/>
        <w:topLinePunct w:val="0"/>
        <w:bidi w:val="0"/>
        <w:spacing w:before="151" w:line="222" w:lineRule="auto"/>
        <w:ind w:left="715"/>
        <w:outlineLvl w:val="2"/>
        <w:rPr>
          <w:rFonts w:hint="eastAsia" w:ascii="宋体" w:hAnsi="宋体" w:eastAsia="宋体" w:cs="宋体"/>
          <w:color w:val="auto"/>
          <w:spacing w:val="0"/>
          <w:sz w:val="24"/>
          <w:szCs w:val="24"/>
          <w:highlight w:val="none"/>
        </w:rPr>
      </w:pPr>
      <w:bookmarkStart w:id="205" w:name="_Toc15780"/>
      <w:bookmarkStart w:id="206" w:name="_Toc24446"/>
      <w:r>
        <w:rPr>
          <w:rFonts w:hint="eastAsia" w:ascii="宋体" w:hAnsi="宋体" w:eastAsia="宋体" w:cs="宋体"/>
          <w:b/>
          <w:bCs/>
          <w:color w:val="auto"/>
          <w:spacing w:val="0"/>
          <w:sz w:val="24"/>
          <w:szCs w:val="24"/>
          <w:highlight w:val="none"/>
        </w:rPr>
        <w:t>1 ．图纸</w:t>
      </w:r>
      <w:bookmarkEnd w:id="205"/>
      <w:bookmarkEnd w:id="206"/>
    </w:p>
    <w:p w14:paraId="3CE037BD">
      <w:pPr>
        <w:keepNext w:val="0"/>
        <w:keepLines w:val="0"/>
        <w:pageBreakBefore w:val="0"/>
        <w:wordWrap w:val="0"/>
        <w:overflowPunct/>
        <w:topLinePunct w:val="0"/>
        <w:bidi w:val="0"/>
        <w:spacing w:before="150" w:line="330" w:lineRule="auto"/>
        <w:ind w:left="230" w:firstLine="48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本招标文件随文另附施工图（电子文件）一套。</w:t>
      </w:r>
    </w:p>
    <w:p w14:paraId="15A44684">
      <w:pPr>
        <w:pStyle w:val="6"/>
        <w:keepNext w:val="0"/>
        <w:keepLines w:val="0"/>
        <w:pageBreakBefore w:val="0"/>
        <w:wordWrap w:val="0"/>
        <w:overflowPunct/>
        <w:topLinePunct w:val="0"/>
        <w:bidi w:val="0"/>
        <w:spacing w:line="253" w:lineRule="auto"/>
        <w:rPr>
          <w:rFonts w:hint="eastAsia" w:ascii="宋体" w:hAnsi="宋体" w:eastAsia="宋体" w:cs="宋体"/>
          <w:color w:val="auto"/>
          <w:spacing w:val="0"/>
          <w:highlight w:val="none"/>
        </w:rPr>
      </w:pPr>
    </w:p>
    <w:p w14:paraId="58FD0004">
      <w:pPr>
        <w:keepNext w:val="0"/>
        <w:keepLines w:val="0"/>
        <w:pageBreakBefore w:val="0"/>
        <w:wordWrap w:val="0"/>
        <w:overflowPunct/>
        <w:topLinePunct w:val="0"/>
        <w:bidi w:val="0"/>
        <w:spacing w:before="79" w:line="221" w:lineRule="auto"/>
        <w:ind w:left="705"/>
        <w:outlineLvl w:val="2"/>
        <w:rPr>
          <w:rFonts w:hint="eastAsia" w:ascii="宋体" w:hAnsi="宋体" w:eastAsia="宋体" w:cs="宋体"/>
          <w:color w:val="auto"/>
          <w:spacing w:val="0"/>
          <w:sz w:val="24"/>
          <w:szCs w:val="24"/>
          <w:highlight w:val="none"/>
        </w:rPr>
      </w:pPr>
      <w:bookmarkStart w:id="207" w:name="_Toc11857"/>
      <w:bookmarkStart w:id="208" w:name="_Toc9064"/>
      <w:r>
        <w:rPr>
          <w:rFonts w:hint="eastAsia" w:ascii="宋体" w:hAnsi="宋体" w:eastAsia="宋体" w:cs="宋体"/>
          <w:b/>
          <w:bCs/>
          <w:color w:val="auto"/>
          <w:spacing w:val="0"/>
          <w:sz w:val="24"/>
          <w:szCs w:val="24"/>
          <w:highlight w:val="none"/>
        </w:rPr>
        <w:t>2 ．招标工程量清单</w:t>
      </w:r>
      <w:bookmarkEnd w:id="207"/>
      <w:bookmarkEnd w:id="208"/>
    </w:p>
    <w:p w14:paraId="65F4E704">
      <w:pPr>
        <w:keepNext w:val="0"/>
        <w:keepLines w:val="0"/>
        <w:pageBreakBefore w:val="0"/>
        <w:wordWrap w:val="0"/>
        <w:overflowPunct/>
        <w:topLinePunct w:val="0"/>
        <w:bidi w:val="0"/>
        <w:spacing w:before="117" w:line="312" w:lineRule="auto"/>
        <w:ind w:left="231" w:firstLine="47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 xml:space="preserve">2.1  </w:t>
      </w:r>
      <w:r>
        <w:rPr>
          <w:rFonts w:hint="eastAsia" w:ascii="宋体" w:hAnsi="宋体" w:eastAsia="宋体" w:cs="宋体"/>
          <w:color w:val="auto"/>
          <w:spacing w:val="0"/>
          <w:sz w:val="24"/>
          <w:szCs w:val="24"/>
          <w:highlight w:val="none"/>
        </w:rPr>
        <w:t>本招标文件随文另附</w:t>
      </w:r>
      <w:bookmarkStart w:id="209" w:name="OLE_LINK33"/>
      <w:r>
        <w:rPr>
          <w:rFonts w:hint="eastAsia" w:ascii="宋体" w:hAnsi="宋体" w:eastAsia="宋体" w:cs="宋体"/>
          <w:color w:val="auto"/>
          <w:spacing w:val="0"/>
          <w:sz w:val="24"/>
          <w:szCs w:val="24"/>
          <w:highlight w:val="none"/>
          <w:u w:val="single"/>
        </w:rPr>
        <w:t>招标工程量清单  EXCEL 版</w:t>
      </w:r>
      <w:bookmarkEnd w:id="209"/>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电子文件一套。</w:t>
      </w:r>
    </w:p>
    <w:p w14:paraId="33AD0AD8">
      <w:pPr>
        <w:keepNext w:val="0"/>
        <w:keepLines w:val="0"/>
        <w:pageBreakBefore w:val="0"/>
        <w:wordWrap w:val="0"/>
        <w:overflowPunct/>
        <w:topLinePunct w:val="0"/>
        <w:bidi w:val="0"/>
        <w:spacing w:before="78" w:line="219" w:lineRule="auto"/>
        <w:ind w:left="478" w:firstLine="241" w:firstLineChars="100"/>
        <w:rPr>
          <w:rFonts w:hint="eastAsia" w:ascii="宋体" w:hAnsi="宋体" w:eastAsia="宋体" w:cs="宋体"/>
          <w:color w:val="auto"/>
          <w:spacing w:val="0"/>
          <w:sz w:val="24"/>
          <w:szCs w:val="24"/>
          <w:highlight w:val="none"/>
        </w:rPr>
      </w:pPr>
      <w:bookmarkStart w:id="210" w:name="bookmark147"/>
      <w:bookmarkEnd w:id="210"/>
      <w:r>
        <w:rPr>
          <w:rFonts w:hint="eastAsia" w:ascii="宋体" w:hAnsi="宋体" w:eastAsia="宋体" w:cs="宋体"/>
          <w:b/>
          <w:bCs/>
          <w:color w:val="auto"/>
          <w:spacing w:val="0"/>
          <w:sz w:val="24"/>
          <w:szCs w:val="24"/>
          <w:highlight w:val="none"/>
        </w:rPr>
        <w:t xml:space="preserve">2.2  </w:t>
      </w:r>
      <w:r>
        <w:rPr>
          <w:rFonts w:hint="eastAsia" w:ascii="宋体" w:hAnsi="宋体" w:eastAsia="宋体" w:cs="宋体"/>
          <w:color w:val="auto"/>
          <w:spacing w:val="0"/>
          <w:sz w:val="24"/>
          <w:szCs w:val="24"/>
          <w:highlight w:val="none"/>
        </w:rPr>
        <w:t>本工程按照以下依据编制</w:t>
      </w:r>
      <w:r>
        <w:rPr>
          <w:rFonts w:hint="eastAsia" w:ascii="宋体" w:hAnsi="宋体" w:eastAsia="宋体" w:cs="宋体"/>
          <w:color w:val="auto"/>
          <w:spacing w:val="0"/>
          <w:sz w:val="24"/>
          <w:szCs w:val="24"/>
          <w:highlight w:val="none"/>
          <w:u w:val="single"/>
        </w:rPr>
        <w:t>招标工程量清单</w:t>
      </w:r>
      <w:r>
        <w:rPr>
          <w:rFonts w:hint="eastAsia" w:ascii="宋体" w:hAnsi="宋体" w:eastAsia="宋体" w:cs="宋体"/>
          <w:color w:val="auto"/>
          <w:spacing w:val="0"/>
          <w:sz w:val="24"/>
          <w:szCs w:val="24"/>
          <w:highlight w:val="none"/>
        </w:rPr>
        <w:t>：</w:t>
      </w:r>
    </w:p>
    <w:p w14:paraId="4ADE5BD6">
      <w:pPr>
        <w:keepNext w:val="0"/>
        <w:keepLines w:val="0"/>
        <w:pageBreakBefore w:val="0"/>
        <w:wordWrap w:val="0"/>
        <w:overflowPunct/>
        <w:topLinePunct w:val="0"/>
        <w:bidi w:val="0"/>
        <w:spacing w:before="12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1C4EC15">
      <w:pPr>
        <w:keepNext w:val="0"/>
        <w:keepLines w:val="0"/>
        <w:pageBreakBefore w:val="0"/>
        <w:wordWrap w:val="0"/>
        <w:overflowPunct/>
        <w:topLinePunct w:val="0"/>
        <w:bidi w:val="0"/>
        <w:spacing w:before="115" w:line="299" w:lineRule="auto"/>
        <w:ind w:firstLine="49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 ”规定提交的要求招标人澄清的其他问题一起提交给招标人，招标人将根据实际情况决定是否颁发</w:t>
      </w:r>
      <w:r>
        <w:rPr>
          <w:rFonts w:hint="eastAsia" w:ascii="宋体" w:hAnsi="宋体" w:eastAsia="宋体" w:cs="宋体"/>
          <w:color w:val="auto"/>
          <w:spacing w:val="0"/>
          <w:sz w:val="24"/>
          <w:szCs w:val="24"/>
          <w:highlight w:val="none"/>
          <w:u w:val="single"/>
        </w:rPr>
        <w:t>工程量清单</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最高投标限价</w:t>
      </w:r>
      <w:r>
        <w:rPr>
          <w:rFonts w:hint="eastAsia" w:ascii="宋体" w:hAnsi="宋体" w:eastAsia="宋体" w:cs="宋体"/>
          <w:color w:val="auto"/>
          <w:spacing w:val="0"/>
          <w:sz w:val="24"/>
          <w:szCs w:val="24"/>
          <w:highlight w:val="none"/>
        </w:rPr>
        <w:t>的补充和(或)修改文件。</w:t>
      </w:r>
    </w:p>
    <w:p w14:paraId="396435DC">
      <w:pPr>
        <w:keepNext w:val="0"/>
        <w:keepLines w:val="0"/>
        <w:pageBreakBefore w:val="0"/>
        <w:wordWrap w:val="0"/>
        <w:overflowPunct/>
        <w:topLinePunct w:val="0"/>
        <w:bidi w:val="0"/>
        <w:spacing w:before="79" w:line="263" w:lineRule="auto"/>
        <w:ind w:left="2" w:right="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（3）本招标工程量清单措施项目中的</w:t>
      </w:r>
      <w:r>
        <w:rPr>
          <w:rFonts w:hint="eastAsia" w:ascii="宋体" w:hAnsi="宋体" w:eastAsia="宋体" w:cs="宋体"/>
          <w:b/>
          <w:bCs/>
          <w:color w:val="auto"/>
          <w:spacing w:val="0"/>
          <w:sz w:val="24"/>
          <w:szCs w:val="24"/>
          <w:highlight w:val="none"/>
        </w:rPr>
        <w:t>暂列金额、暂估价</w:t>
      </w:r>
      <w:r>
        <w:rPr>
          <w:rFonts w:hint="eastAsia" w:ascii="宋体" w:hAnsi="宋体" w:eastAsia="宋体" w:cs="宋体"/>
          <w:color w:val="auto"/>
          <w:spacing w:val="0"/>
          <w:sz w:val="24"/>
          <w:szCs w:val="24"/>
          <w:highlight w:val="none"/>
        </w:rPr>
        <w:t>不得作为竞争性费用，投标报价必须按本招标工程量清单规定的金额填报。</w:t>
      </w:r>
    </w:p>
    <w:p w14:paraId="7E3C2A06">
      <w:pPr>
        <w:keepNext w:val="0"/>
        <w:keepLines w:val="0"/>
        <w:pageBreakBefore w:val="0"/>
        <w:wordWrap w:val="0"/>
        <w:overflowPunct/>
        <w:topLinePunct w:val="0"/>
        <w:bidi w:val="0"/>
        <w:spacing w:before="118" w:line="265" w:lineRule="auto"/>
        <w:ind w:left="7" w:right="4" w:firstLine="48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（4）投标报价使用的表格格式须按照《</w:t>
      </w:r>
      <w:r>
        <w:rPr>
          <w:rFonts w:hint="eastAsia" w:ascii="宋体" w:hAnsi="宋体" w:eastAsia="宋体" w:cs="宋体"/>
          <w:color w:val="auto"/>
          <w:spacing w:val="0"/>
          <w:sz w:val="24"/>
          <w:szCs w:val="24"/>
          <w:highlight w:val="none"/>
          <w:lang w:eastAsia="zh-CN"/>
        </w:rPr>
        <w:t>建设工程工程量清单计价标准</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eastAsia="zh-CN"/>
        </w:rPr>
        <w:t>GB/T50500-2024</w:t>
      </w:r>
      <w:r>
        <w:rPr>
          <w:rFonts w:hint="eastAsia" w:ascii="宋体" w:hAnsi="宋体" w:eastAsia="宋体" w:cs="宋体"/>
          <w:color w:val="auto"/>
          <w:spacing w:val="0"/>
          <w:sz w:val="24"/>
          <w:szCs w:val="24"/>
          <w:highlight w:val="none"/>
        </w:rPr>
        <w:t>）。</w:t>
      </w:r>
    </w:p>
    <w:p w14:paraId="14F500B5">
      <w:pPr>
        <w:keepNext w:val="0"/>
        <w:keepLines w:val="0"/>
        <w:pageBreakBefore w:val="0"/>
        <w:wordWrap w:val="0"/>
        <w:overflowPunct/>
        <w:topLinePunct w:val="0"/>
        <w:bidi w:val="0"/>
        <w:spacing w:before="107" w:line="286" w:lineRule="auto"/>
        <w:ind w:right="4"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广东省建设工程计价依据（2018）》。具体包括：《广东省房屋建筑与装饰工程综合定额（2018）》《广东省市政工程综合定额（2018）》《广东省通用安装工程综合定额（2018）》《广东省园林绿化工程综合定额（2018）》《广东省建设工程施工机具台班费用编制规则（2018）》等；</w:t>
      </w:r>
    </w:p>
    <w:p w14:paraId="30D23E0F">
      <w:pPr>
        <w:keepNext w:val="0"/>
        <w:keepLines w:val="0"/>
        <w:pageBreakBefore w:val="0"/>
        <w:wordWrap w:val="0"/>
        <w:overflowPunct/>
        <w:topLinePunct w:val="0"/>
        <w:bidi w:val="0"/>
        <w:spacing w:before="146" w:line="221"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（6）施工图及相关资料；</w:t>
      </w:r>
    </w:p>
    <w:p w14:paraId="40D30AFB">
      <w:pPr>
        <w:keepNext w:val="0"/>
        <w:keepLines w:val="0"/>
        <w:pageBreakBefore w:val="0"/>
        <w:wordWrap w:val="0"/>
        <w:overflowPunct/>
        <w:topLinePunct w:val="0"/>
        <w:bidi w:val="0"/>
        <w:spacing w:before="153"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（7）招标文件；</w:t>
      </w:r>
    </w:p>
    <w:p w14:paraId="1BB0CBB1">
      <w:pPr>
        <w:keepNext w:val="0"/>
        <w:keepLines w:val="0"/>
        <w:pageBreakBefore w:val="0"/>
        <w:wordWrap w:val="0"/>
        <w:overflowPunct/>
        <w:topLinePunct w:val="0"/>
        <w:bidi w:val="0"/>
        <w:spacing w:before="155" w:line="220"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（8）施工现场情况、地勘水文资料、工程特点及常规施工方案；</w:t>
      </w:r>
    </w:p>
    <w:p w14:paraId="6410E1A2">
      <w:pPr>
        <w:keepNext w:val="0"/>
        <w:keepLines w:val="0"/>
        <w:pageBreakBefore w:val="0"/>
        <w:wordWrap w:val="0"/>
        <w:overflowPunct/>
        <w:topLinePunct w:val="0"/>
        <w:bidi w:val="0"/>
        <w:spacing w:before="153" w:line="219" w:lineRule="auto"/>
        <w:ind w:left="49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（9）与建设工程有关的标准、规范、技术资料、材料设备信息价或市场价格等。</w:t>
      </w:r>
    </w:p>
    <w:p w14:paraId="1D4C5EAD">
      <w:pPr>
        <w:pStyle w:val="25"/>
        <w:rPr>
          <w:rFonts w:hint="eastAsia"/>
          <w:highlight w:val="none"/>
        </w:rPr>
      </w:pPr>
    </w:p>
    <w:p w14:paraId="4AC2D2DC">
      <w:pPr>
        <w:keepNext w:val="0"/>
        <w:keepLines w:val="0"/>
        <w:pageBreakBefore w:val="0"/>
        <w:wordWrap w:val="0"/>
        <w:overflowPunct/>
        <w:topLinePunct w:val="0"/>
        <w:bidi w:val="0"/>
        <w:spacing w:line="219" w:lineRule="auto"/>
        <w:rPr>
          <w:rFonts w:hint="eastAsia" w:ascii="宋体" w:hAnsi="宋体" w:eastAsia="宋体" w:cs="宋体"/>
          <w:color w:val="auto"/>
          <w:spacing w:val="0"/>
          <w:sz w:val="24"/>
          <w:szCs w:val="24"/>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DDC0F87">
      <w:pPr>
        <w:pStyle w:val="6"/>
        <w:keepNext w:val="0"/>
        <w:keepLines w:val="0"/>
        <w:pageBreakBefore w:val="0"/>
        <w:wordWrap w:val="0"/>
        <w:overflowPunct/>
        <w:topLinePunct w:val="0"/>
        <w:bidi w:val="0"/>
        <w:spacing w:line="304" w:lineRule="auto"/>
        <w:rPr>
          <w:rFonts w:hint="eastAsia" w:ascii="宋体" w:hAnsi="宋体" w:eastAsia="宋体" w:cs="宋体"/>
          <w:color w:val="auto"/>
          <w:spacing w:val="0"/>
          <w:highlight w:val="none"/>
        </w:rPr>
      </w:pPr>
    </w:p>
    <w:p w14:paraId="53A71D7E">
      <w:pPr>
        <w:keepNext w:val="0"/>
        <w:keepLines w:val="0"/>
        <w:pageBreakBefore w:val="0"/>
        <w:wordWrap w:val="0"/>
        <w:overflowPunct/>
        <w:topLinePunct w:val="0"/>
        <w:bidi w:val="0"/>
        <w:spacing w:before="78" w:line="219" w:lineRule="auto"/>
        <w:ind w:left="3357"/>
        <w:outlineLvl w:val="0"/>
        <w:rPr>
          <w:rFonts w:hint="eastAsia" w:ascii="宋体" w:hAnsi="宋体" w:eastAsia="宋体" w:cs="宋体"/>
          <w:color w:val="auto"/>
          <w:spacing w:val="0"/>
          <w:sz w:val="24"/>
          <w:szCs w:val="24"/>
          <w:highlight w:val="none"/>
        </w:rPr>
      </w:pPr>
      <w:bookmarkStart w:id="211" w:name="_Toc11979"/>
      <w:r>
        <w:rPr>
          <w:rFonts w:hint="eastAsia" w:ascii="宋体" w:hAnsi="宋体" w:eastAsia="宋体" w:cs="宋体"/>
          <w:b/>
          <w:bCs/>
          <w:color w:val="auto"/>
          <w:spacing w:val="0"/>
          <w:sz w:val="24"/>
          <w:szCs w:val="24"/>
          <w:highlight w:val="none"/>
        </w:rPr>
        <w:t>第六章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投标文件格式</w:t>
      </w:r>
      <w:bookmarkEnd w:id="211"/>
    </w:p>
    <w:p w14:paraId="2EC1601C">
      <w:pPr>
        <w:pStyle w:val="6"/>
        <w:keepNext w:val="0"/>
        <w:keepLines w:val="0"/>
        <w:pageBreakBefore w:val="0"/>
        <w:wordWrap w:val="0"/>
        <w:overflowPunct/>
        <w:topLinePunct w:val="0"/>
        <w:bidi w:val="0"/>
        <w:spacing w:line="302" w:lineRule="auto"/>
        <w:jc w:val="right"/>
        <w:rPr>
          <w:rFonts w:hint="eastAsia" w:ascii="宋体" w:hAnsi="宋体" w:eastAsia="宋体" w:cs="宋体"/>
          <w:color w:val="auto"/>
          <w:spacing w:val="0"/>
          <w:highlight w:val="none"/>
        </w:rPr>
      </w:pPr>
    </w:p>
    <w:p w14:paraId="35317F27">
      <w:pPr>
        <w:keepNext w:val="0"/>
        <w:keepLines w:val="0"/>
        <w:pageBreakBefore w:val="0"/>
        <w:wordWrap w:val="0"/>
        <w:overflowPunct/>
        <w:topLinePunct w:val="0"/>
        <w:bidi w:val="0"/>
        <w:spacing w:before="78" w:line="220" w:lineRule="auto"/>
        <w:outlineLvl w:val="2"/>
        <w:rPr>
          <w:rFonts w:hint="eastAsia" w:ascii="宋体" w:hAnsi="宋体" w:eastAsia="宋体" w:cs="宋体"/>
          <w:color w:val="auto"/>
          <w:spacing w:val="0"/>
          <w:sz w:val="24"/>
          <w:szCs w:val="24"/>
          <w:highlight w:val="none"/>
        </w:rPr>
      </w:pPr>
      <w:bookmarkStart w:id="212" w:name="_Toc7759"/>
      <w:r>
        <w:rPr>
          <w:rFonts w:hint="eastAsia" w:ascii="宋体" w:hAnsi="宋体" w:eastAsia="宋体" w:cs="宋体"/>
          <w:b/>
          <w:bCs/>
          <w:color w:val="auto"/>
          <w:spacing w:val="0"/>
          <w:sz w:val="24"/>
          <w:szCs w:val="24"/>
          <w:highlight w:val="none"/>
        </w:rPr>
        <w:t>格式一</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封面</w:t>
      </w:r>
      <w:bookmarkEnd w:id="212"/>
    </w:p>
    <w:p w14:paraId="22939F0A">
      <w:pPr>
        <w:pStyle w:val="6"/>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66915BCF">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6B9238C0">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51AEF4BE">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72F4C1FC">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90D7A8C">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340A7482">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2B960F29">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2B958D73">
      <w:pPr>
        <w:pStyle w:val="6"/>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7A72E10">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rPr>
        <w:t>投</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18D44A5D">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2A01F55B">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60F88F6F">
      <w:pPr>
        <w:keepNext w:val="0"/>
        <w:keepLines w:val="0"/>
        <w:pageBreakBefore w:val="0"/>
        <w:wordWrap w:val="0"/>
        <w:overflowPunct/>
        <w:topLinePunct w:val="0"/>
        <w:bidi w:val="0"/>
        <w:spacing w:before="152" w:line="223" w:lineRule="auto"/>
        <w:jc w:val="center"/>
        <w:rPr>
          <w:rFonts w:hint="eastAsia" w:ascii="宋体" w:hAnsi="宋体" w:eastAsia="宋体" w:cs="宋体"/>
          <w:b/>
          <w:bCs/>
          <w:color w:val="auto"/>
          <w:spacing w:val="0"/>
          <w:sz w:val="47"/>
          <w:szCs w:val="47"/>
          <w:highlight w:val="none"/>
        </w:rPr>
      </w:pPr>
      <w:bookmarkStart w:id="213" w:name="bookmark105"/>
      <w:bookmarkEnd w:id="213"/>
      <w:r>
        <w:rPr>
          <w:rFonts w:hint="eastAsia" w:ascii="宋体" w:hAnsi="宋体" w:eastAsia="宋体" w:cs="宋体"/>
          <w:b/>
          <w:bCs/>
          <w:color w:val="auto"/>
          <w:spacing w:val="0"/>
          <w:sz w:val="47"/>
          <w:szCs w:val="47"/>
          <w:highlight w:val="none"/>
        </w:rPr>
        <w:t>（商务标书／经济标书／施工组织设计）</w:t>
      </w:r>
    </w:p>
    <w:p w14:paraId="1827A625">
      <w:pPr>
        <w:keepNext w:val="0"/>
        <w:keepLines w:val="0"/>
        <w:pageBreakBefore w:val="0"/>
        <w:wordWrap w:val="0"/>
        <w:overflowPunct/>
        <w:topLinePunct w:val="0"/>
        <w:bidi w:val="0"/>
        <w:rPr>
          <w:rFonts w:hint="eastAsia"/>
          <w:color w:val="auto"/>
          <w:spacing w:val="0"/>
          <w:highlight w:val="none"/>
        </w:rPr>
      </w:pPr>
    </w:p>
    <w:p w14:paraId="67DBC774">
      <w:pPr>
        <w:keepNext w:val="0"/>
        <w:keepLines w:val="0"/>
        <w:pageBreakBefore w:val="0"/>
        <w:wordWrap w:val="0"/>
        <w:overflowPunct/>
        <w:topLinePunct w:val="0"/>
        <w:bidi w:val="0"/>
        <w:rPr>
          <w:rFonts w:hint="eastAsia"/>
          <w:color w:val="auto"/>
          <w:spacing w:val="0"/>
          <w:highlight w:val="none"/>
        </w:rPr>
      </w:pPr>
    </w:p>
    <w:p w14:paraId="7A75E59A">
      <w:pPr>
        <w:keepNext w:val="0"/>
        <w:keepLines w:val="0"/>
        <w:pageBreakBefore w:val="0"/>
        <w:wordWrap w:val="0"/>
        <w:overflowPunct/>
        <w:topLinePunct w:val="0"/>
        <w:bidi w:val="0"/>
        <w:rPr>
          <w:rFonts w:hint="eastAsia"/>
          <w:color w:val="auto"/>
          <w:spacing w:val="0"/>
          <w:highlight w:val="none"/>
        </w:rPr>
      </w:pPr>
    </w:p>
    <w:p w14:paraId="15752D3C">
      <w:pPr>
        <w:keepNext w:val="0"/>
        <w:keepLines w:val="0"/>
        <w:pageBreakBefore w:val="0"/>
        <w:wordWrap w:val="0"/>
        <w:overflowPunct/>
        <w:topLinePunct w:val="0"/>
        <w:bidi w:val="0"/>
        <w:rPr>
          <w:rFonts w:hint="eastAsia"/>
          <w:color w:val="auto"/>
          <w:spacing w:val="0"/>
          <w:highlight w:val="none"/>
        </w:rPr>
      </w:pPr>
    </w:p>
    <w:p w14:paraId="5692DC52">
      <w:pPr>
        <w:keepNext w:val="0"/>
        <w:keepLines w:val="0"/>
        <w:pageBreakBefore w:val="0"/>
        <w:wordWrap w:val="0"/>
        <w:overflowPunct/>
        <w:topLinePunct w:val="0"/>
        <w:bidi w:val="0"/>
        <w:rPr>
          <w:rFonts w:hint="eastAsia"/>
          <w:color w:val="auto"/>
          <w:spacing w:val="0"/>
          <w:highlight w:val="none"/>
        </w:rPr>
      </w:pPr>
    </w:p>
    <w:p w14:paraId="16E4878E">
      <w:pPr>
        <w:keepNext w:val="0"/>
        <w:keepLines w:val="0"/>
        <w:pageBreakBefore w:val="0"/>
        <w:wordWrap w:val="0"/>
        <w:overflowPunct/>
        <w:topLinePunct w:val="0"/>
        <w:bidi w:val="0"/>
        <w:rPr>
          <w:rFonts w:hint="eastAsia"/>
          <w:color w:val="auto"/>
          <w:spacing w:val="0"/>
          <w:highlight w:val="none"/>
        </w:rPr>
      </w:pPr>
    </w:p>
    <w:p w14:paraId="02A3E851">
      <w:pPr>
        <w:keepNext w:val="0"/>
        <w:keepLines w:val="0"/>
        <w:pageBreakBefore w:val="0"/>
        <w:wordWrap w:val="0"/>
        <w:overflowPunct/>
        <w:topLinePunct w:val="0"/>
        <w:bidi w:val="0"/>
        <w:rPr>
          <w:rFonts w:hint="eastAsia"/>
          <w:color w:val="auto"/>
          <w:spacing w:val="0"/>
          <w:highlight w:val="none"/>
        </w:rPr>
      </w:pPr>
    </w:p>
    <w:p w14:paraId="239B10F6">
      <w:pPr>
        <w:keepNext w:val="0"/>
        <w:keepLines w:val="0"/>
        <w:pageBreakBefore w:val="0"/>
        <w:wordWrap w:val="0"/>
        <w:overflowPunct/>
        <w:topLinePunct w:val="0"/>
        <w:bidi w:val="0"/>
        <w:rPr>
          <w:rFonts w:hint="eastAsia"/>
          <w:color w:val="auto"/>
          <w:spacing w:val="0"/>
          <w:highlight w:val="none"/>
        </w:rPr>
      </w:pPr>
    </w:p>
    <w:p w14:paraId="7DEE428F">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1F2990EF">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92542ED">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6E8E05FF">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0A7DCB04">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078077D8">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0B9F06FE">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2093C1E3">
      <w:pPr>
        <w:keepNext w:val="0"/>
        <w:keepLines w:val="0"/>
        <w:pageBreakBefore w:val="0"/>
        <w:wordWrap w:val="0"/>
        <w:overflowPunct/>
        <w:topLinePunct w:val="0"/>
        <w:bidi w:val="0"/>
        <w:rPr>
          <w:rFonts w:hint="eastAsia"/>
          <w:color w:val="auto"/>
          <w:spacing w:val="0"/>
          <w:highlight w:val="none"/>
        </w:rPr>
      </w:pPr>
    </w:p>
    <w:p w14:paraId="16E40CD3">
      <w:pPr>
        <w:keepNext w:val="0"/>
        <w:keepLines w:val="0"/>
        <w:pageBreakBefore w:val="0"/>
        <w:wordWrap w:val="0"/>
        <w:overflowPunct/>
        <w:topLinePunct w:val="0"/>
        <w:bidi w:val="0"/>
        <w:outlineLvl w:val="9"/>
        <w:rPr>
          <w:rFonts w:hint="eastAsia"/>
          <w:color w:val="auto"/>
          <w:spacing w:val="0"/>
          <w:highlight w:val="none"/>
        </w:rPr>
      </w:pPr>
    </w:p>
    <w:p w14:paraId="50644371">
      <w:pPr>
        <w:keepNext w:val="0"/>
        <w:keepLines w:val="0"/>
        <w:pageBreakBefore w:val="0"/>
        <w:wordWrap w:val="0"/>
        <w:overflowPunct/>
        <w:topLinePunct w:val="0"/>
        <w:bidi w:val="0"/>
        <w:spacing w:line="223" w:lineRule="auto"/>
        <w:rPr>
          <w:rFonts w:hint="eastAsia" w:ascii="宋体" w:hAnsi="宋体" w:eastAsia="宋体" w:cs="宋体"/>
          <w:color w:val="auto"/>
          <w:spacing w:val="0"/>
          <w:sz w:val="47"/>
          <w:szCs w:val="47"/>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4006671">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14" w:name="_Toc924"/>
      <w:r>
        <w:rPr>
          <w:rFonts w:hint="eastAsia" w:ascii="宋体" w:hAnsi="宋体" w:eastAsia="宋体" w:cs="宋体"/>
          <w:b/>
          <w:bCs/>
          <w:color w:val="auto"/>
          <w:spacing w:val="0"/>
          <w:sz w:val="24"/>
          <w:szCs w:val="24"/>
          <w:highlight w:val="none"/>
        </w:rPr>
        <w:t>格式二 投标函</w:t>
      </w:r>
      <w:bookmarkEnd w:id="214"/>
    </w:p>
    <w:p w14:paraId="1D98FD50">
      <w:pPr>
        <w:pStyle w:val="6"/>
        <w:keepNext w:val="0"/>
        <w:keepLines w:val="0"/>
        <w:pageBreakBefore w:val="0"/>
        <w:wordWrap w:val="0"/>
        <w:overflowPunct/>
        <w:topLinePunct w:val="0"/>
        <w:bidi w:val="0"/>
        <w:spacing w:line="261" w:lineRule="auto"/>
        <w:rPr>
          <w:rFonts w:hint="eastAsia" w:ascii="宋体" w:hAnsi="宋体" w:eastAsia="宋体" w:cs="宋体"/>
          <w:color w:val="auto"/>
          <w:spacing w:val="0"/>
          <w:highlight w:val="none"/>
        </w:rPr>
      </w:pPr>
    </w:p>
    <w:p w14:paraId="4CF4C0CD">
      <w:pPr>
        <w:keepNext w:val="0"/>
        <w:keepLines w:val="0"/>
        <w:pageBreakBefore w:val="0"/>
        <w:wordWrap w:val="0"/>
        <w:overflowPunct/>
        <w:topLinePunct w:val="0"/>
        <w:bidi w:val="0"/>
        <w:spacing w:before="97" w:line="221" w:lineRule="auto"/>
        <w:ind w:left="3799"/>
        <w:outlineLvl w:val="9"/>
        <w:rPr>
          <w:rFonts w:hint="eastAsia" w:ascii="宋体" w:hAnsi="宋体" w:eastAsia="宋体" w:cs="宋体"/>
          <w:color w:val="auto"/>
          <w:spacing w:val="0"/>
          <w:sz w:val="30"/>
          <w:szCs w:val="30"/>
          <w:highlight w:val="none"/>
        </w:rPr>
      </w:pPr>
      <w:bookmarkStart w:id="215" w:name="bookmark148"/>
      <w:bookmarkEnd w:id="215"/>
      <w:bookmarkStart w:id="216" w:name="_Toc27397"/>
      <w:bookmarkStart w:id="217" w:name="_Toc297"/>
      <w:bookmarkStart w:id="218" w:name="_Toc317"/>
      <w:r>
        <w:rPr>
          <w:rFonts w:hint="eastAsia" w:ascii="宋体" w:hAnsi="宋体" w:eastAsia="宋体" w:cs="宋体"/>
          <w:b/>
          <w:bCs/>
          <w:color w:val="auto"/>
          <w:spacing w:val="0"/>
          <w:sz w:val="30"/>
          <w:szCs w:val="30"/>
          <w:highlight w:val="none"/>
        </w:rPr>
        <w:t>投</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标</w:t>
      </w:r>
      <w:r>
        <w:rPr>
          <w:rFonts w:hint="eastAsia" w:ascii="宋体" w:hAnsi="宋体" w:eastAsia="宋体" w:cs="宋体"/>
          <w:color w:val="auto"/>
          <w:spacing w:val="0"/>
          <w:sz w:val="30"/>
          <w:szCs w:val="30"/>
          <w:highlight w:val="none"/>
        </w:rPr>
        <w:t xml:space="preserve">  </w:t>
      </w:r>
      <w:r>
        <w:rPr>
          <w:rFonts w:hint="eastAsia" w:ascii="宋体" w:hAnsi="宋体" w:eastAsia="宋体" w:cs="宋体"/>
          <w:b/>
          <w:bCs/>
          <w:color w:val="auto"/>
          <w:spacing w:val="0"/>
          <w:sz w:val="30"/>
          <w:szCs w:val="30"/>
          <w:highlight w:val="none"/>
        </w:rPr>
        <w:t>函</w:t>
      </w:r>
      <w:bookmarkEnd w:id="216"/>
      <w:bookmarkEnd w:id="217"/>
      <w:bookmarkEnd w:id="218"/>
    </w:p>
    <w:p w14:paraId="0BECEE49">
      <w:pPr>
        <w:pStyle w:val="6"/>
        <w:keepNext w:val="0"/>
        <w:keepLines w:val="0"/>
        <w:pageBreakBefore w:val="0"/>
        <w:wordWrap w:val="0"/>
        <w:overflowPunct/>
        <w:topLinePunct w:val="0"/>
        <w:bidi w:val="0"/>
        <w:spacing w:line="249" w:lineRule="auto"/>
        <w:rPr>
          <w:rFonts w:hint="eastAsia" w:ascii="宋体" w:hAnsi="宋体" w:eastAsia="宋体" w:cs="宋体"/>
          <w:color w:val="auto"/>
          <w:spacing w:val="0"/>
          <w:highlight w:val="none"/>
        </w:rPr>
      </w:pPr>
    </w:p>
    <w:p w14:paraId="6DB72834">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B496E9A">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12B47534">
      <w:pPr>
        <w:keepNext w:val="0"/>
        <w:keepLines w:val="0"/>
        <w:pageBreakBefore w:val="0"/>
        <w:wordWrap w:val="0"/>
        <w:overflowPunct/>
        <w:topLinePunct w:val="0"/>
        <w:bidi w:val="0"/>
        <w:spacing w:before="78" w:line="221" w:lineRule="auto"/>
        <w:ind w:left="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424F50E0">
      <w:pPr>
        <w:pStyle w:val="6"/>
        <w:keepNext w:val="0"/>
        <w:keepLines w:val="0"/>
        <w:pageBreakBefore w:val="0"/>
        <w:wordWrap w:val="0"/>
        <w:overflowPunct/>
        <w:topLinePunct w:val="0"/>
        <w:bidi w:val="0"/>
        <w:spacing w:before="156" w:line="328" w:lineRule="auto"/>
        <w:ind w:left="9" w:right="142" w:firstLine="589"/>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我方考察现场并充分研究</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（项目名称）（以下简称“本项目 ”）施工招标文件所有内容后，结合自身资质、能力和特点，愿意接受招标文件的全部内容和条件，兹以人民币（大写）：</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 的投标总价竞投本项目施工。</w:t>
      </w:r>
    </w:p>
    <w:p w14:paraId="65404536">
      <w:pPr>
        <w:keepNext w:val="0"/>
        <w:keepLines w:val="0"/>
        <w:pageBreakBefore w:val="0"/>
        <w:wordWrap w:val="0"/>
        <w:overflowPunct/>
        <w:topLinePunct w:val="0"/>
        <w:bidi w:val="0"/>
        <w:spacing w:before="39" w:line="323" w:lineRule="auto"/>
        <w:ind w:right="142" w:firstLine="57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在我方的上述投标总价中，包括：</w:t>
      </w:r>
      <w:r>
        <w:rPr>
          <w:rFonts w:hint="eastAsia" w:ascii="宋体" w:hAnsi="宋体" w:eastAsia="宋体" w:cs="宋体"/>
          <w:b w:val="0"/>
          <w:bCs/>
          <w:i w:val="0"/>
          <w:iCs w:val="0"/>
          <w:caps w:val="0"/>
          <w:spacing w:val="0"/>
          <w:sz w:val="24"/>
          <w:szCs w:val="24"/>
          <w:highlight w:val="none"/>
          <w:shd w:val="clear" w:color="auto" w:fill="FFFFFF"/>
        </w:rPr>
        <w:t>安全生产措施费</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；暂列金额</w:t>
      </w:r>
      <w:r>
        <w:rPr>
          <w:rFonts w:hint="eastAsia" w:ascii="宋体" w:hAnsi="宋体" w:eastAsia="宋体" w:cs="宋体"/>
          <w:color w:val="auto"/>
          <w:spacing w:val="0"/>
          <w:sz w:val="24"/>
          <w:szCs w:val="24"/>
          <w:highlight w:val="none"/>
          <w:u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none"/>
          <w:lang w:eastAsia="zh-CN"/>
        </w:rPr>
        <w:t>；</w:t>
      </w:r>
      <w:r>
        <w:rPr>
          <w:rFonts w:hint="eastAsia" w:ascii="宋体" w:hAnsi="宋体" w:eastAsia="宋体" w:cs="宋体"/>
          <w:b w:val="0"/>
          <w:bCs/>
          <w:i w:val="0"/>
          <w:iCs w:val="0"/>
          <w:caps w:val="0"/>
          <w:spacing w:val="0"/>
          <w:sz w:val="24"/>
          <w:szCs w:val="24"/>
          <w:highlight w:val="none"/>
          <w:shd w:val="clear" w:color="auto" w:fill="FFFFFF"/>
        </w:rPr>
        <w:t>专业工程暂估价</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w:t>
      </w:r>
    </w:p>
    <w:p w14:paraId="05DB8658">
      <w:pPr>
        <w:keepNext w:val="0"/>
        <w:keepLines w:val="0"/>
        <w:pageBreakBefore w:val="0"/>
        <w:wordWrap w:val="0"/>
        <w:overflowPunct/>
        <w:topLinePunct w:val="0"/>
        <w:bidi w:val="0"/>
        <w:spacing w:before="38" w:line="280" w:lineRule="auto"/>
        <w:ind w:left="13" w:right="142" w:firstLine="56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如果我方中标，我方保证按照合同约定的开工日期开始本项目的施工，</w:t>
      </w:r>
      <w:bookmarkStart w:id="219" w:name="OLE_LINK34"/>
      <w:r>
        <w:rPr>
          <w:rFonts w:hint="eastAsia" w:ascii="宋体" w:hAnsi="宋体" w:eastAsia="宋体" w:cs="宋体"/>
          <w:color w:val="auto"/>
          <w:spacing w:val="0"/>
          <w:sz w:val="24"/>
          <w:szCs w:val="24"/>
          <w:highlight w:val="none"/>
          <w:u w:val="single"/>
          <w:lang w:val="en-US" w:eastAsia="zh-CN"/>
        </w:rPr>
        <w:t xml:space="preserve">     </w:t>
      </w:r>
      <w:bookmarkEnd w:id="219"/>
      <w:r>
        <w:rPr>
          <w:rFonts w:hint="eastAsia" w:ascii="宋体" w:hAnsi="宋体" w:eastAsia="宋体" w:cs="宋体"/>
          <w:color w:val="auto"/>
          <w:spacing w:val="0"/>
          <w:sz w:val="24"/>
          <w:szCs w:val="24"/>
          <w:highlight w:val="none"/>
        </w:rPr>
        <w:t>个日历天内竣工，并确保工程质量达到</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标准和维修其中的任何缺陷。</w:t>
      </w:r>
    </w:p>
    <w:p w14:paraId="7F9AEF98">
      <w:pPr>
        <w:keepNext w:val="0"/>
        <w:keepLines w:val="0"/>
        <w:pageBreakBefore w:val="0"/>
        <w:wordWrap w:val="0"/>
        <w:overflowPunct/>
        <w:topLinePunct w:val="0"/>
        <w:bidi w:val="0"/>
        <w:spacing w:before="152" w:line="279" w:lineRule="auto"/>
        <w:ind w:left="11" w:right="142" w:firstLine="5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本投标函在你方接收我方递交的投标文件之日起、到招标文件规定的投标有效期期满前对我方具有约束力。我方随时准备接受你方发出的中标通知书。</w:t>
      </w:r>
    </w:p>
    <w:p w14:paraId="27C14D7C">
      <w:pPr>
        <w:keepNext w:val="0"/>
        <w:keepLines w:val="0"/>
        <w:pageBreakBefore w:val="0"/>
        <w:wordWrap w:val="0"/>
        <w:overflowPunct/>
        <w:topLinePunct w:val="0"/>
        <w:bidi w:val="0"/>
        <w:spacing w:before="156" w:line="279" w:lineRule="auto"/>
        <w:ind w:left="11" w:right="61" w:firstLine="56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4 ．我方在此声明，我方不存在本项目招标文件第一章第三节第 </w:t>
      </w:r>
      <w:r>
        <w:rPr>
          <w:rFonts w:hint="eastAsia" w:ascii="宋体" w:hAnsi="宋体" w:eastAsia="宋体" w:cs="宋体"/>
          <w:b/>
          <w:bCs/>
          <w:color w:val="auto"/>
          <w:spacing w:val="0"/>
          <w:sz w:val="24"/>
          <w:szCs w:val="24"/>
          <w:highlight w:val="none"/>
        </w:rPr>
        <w:t>2.4</w:t>
      </w:r>
      <w:r>
        <w:rPr>
          <w:rFonts w:hint="eastAsia" w:ascii="宋体" w:hAnsi="宋体" w:eastAsia="宋体" w:cs="宋体"/>
          <w:b/>
          <w:bCs/>
          <w:color w:val="auto"/>
          <w:spacing w:val="0"/>
          <w:w w:val="101"/>
          <w:sz w:val="24"/>
          <w:szCs w:val="24"/>
          <w:highlight w:val="none"/>
        </w:rPr>
        <w:t xml:space="preserve"> </w:t>
      </w:r>
      <w:r>
        <w:rPr>
          <w:rFonts w:hint="eastAsia" w:ascii="宋体" w:hAnsi="宋体" w:eastAsia="宋体" w:cs="宋体"/>
          <w:color w:val="auto"/>
          <w:spacing w:val="0"/>
          <w:sz w:val="24"/>
          <w:szCs w:val="24"/>
          <w:highlight w:val="none"/>
        </w:rPr>
        <w:t>条“禁止投标条款 ”所列出的任何一种情形，并愿意承担因我方就此弄虚作假所引起的一切法律后果。</w:t>
      </w:r>
    </w:p>
    <w:p w14:paraId="6BB8F2B3">
      <w:pPr>
        <w:keepNext w:val="0"/>
        <w:keepLines w:val="0"/>
        <w:pageBreakBefore w:val="0"/>
        <w:wordWrap w:val="0"/>
        <w:overflowPunct/>
        <w:topLinePunct w:val="0"/>
        <w:bidi w:val="0"/>
        <w:spacing w:before="153" w:line="280" w:lineRule="auto"/>
        <w:ind w:left="9" w:right="142" w:firstLine="573"/>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．我方在此承诺，所递交投标文件的全部内容均为真实、有效、准确的，并愿意承担因我方就此弄虚作假所引起的一切法律后果，同时理解和同意有可能被要求提供更多的资料。</w:t>
      </w:r>
    </w:p>
    <w:p w14:paraId="1174E6A2">
      <w:pPr>
        <w:keepNext w:val="0"/>
        <w:keepLines w:val="0"/>
        <w:pageBreakBefore w:val="0"/>
        <w:wordWrap w:val="0"/>
        <w:overflowPunct/>
        <w:topLinePunct w:val="0"/>
        <w:bidi w:val="0"/>
        <w:spacing w:before="153" w:line="326" w:lineRule="auto"/>
        <w:ind w:left="13" w:firstLine="5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我方理解你方不一定要接纳收到的最低投标总价或任何投标总价的投标人中标， 也不要求你方解释我方是否中标的原因。</w:t>
      </w:r>
    </w:p>
    <w:p w14:paraId="58BE135B">
      <w:pPr>
        <w:pStyle w:val="6"/>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5982C2D6">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36BBA89B">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1FA3A66F">
      <w:pPr>
        <w:keepNext w:val="0"/>
        <w:keepLines w:val="0"/>
        <w:pageBreakBefore w:val="0"/>
        <w:wordWrap w:val="0"/>
        <w:overflowPunct/>
        <w:topLinePunct w:val="0"/>
        <w:bidi w:val="0"/>
        <w:spacing w:before="79" w:line="219" w:lineRule="auto"/>
        <w:ind w:firstLine="5760" w:firstLineChars="240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7244B7E4">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57CD189E">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48EF47E5">
      <w:pPr>
        <w:keepNext w:val="0"/>
        <w:keepLines w:val="0"/>
        <w:pageBreakBefore w:val="0"/>
        <w:wordWrap w:val="0"/>
        <w:overflowPunct/>
        <w:topLinePunct w:val="0"/>
        <w:bidi w:val="0"/>
        <w:spacing w:before="78" w:line="219" w:lineRule="auto"/>
        <w:ind w:left="3922"/>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16678323">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6CB18776">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7D8CFA68">
      <w:pPr>
        <w:keepNext w:val="0"/>
        <w:keepLines w:val="0"/>
        <w:pageBreakBefore w:val="0"/>
        <w:wordWrap w:val="0"/>
        <w:overflowPunct/>
        <w:topLinePunct w:val="0"/>
        <w:bidi w:val="0"/>
        <w:spacing w:before="79" w:line="220" w:lineRule="auto"/>
        <w:ind w:left="697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日</w:t>
      </w:r>
    </w:p>
    <w:p w14:paraId="620D98CA">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678C58A">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0" w:name="_Toc25622"/>
      <w:r>
        <w:rPr>
          <w:rFonts w:hint="eastAsia" w:ascii="宋体" w:hAnsi="宋体" w:eastAsia="宋体" w:cs="宋体"/>
          <w:b/>
          <w:bCs/>
          <w:color w:val="auto"/>
          <w:spacing w:val="0"/>
          <w:sz w:val="24"/>
          <w:szCs w:val="24"/>
          <w:highlight w:val="none"/>
        </w:rPr>
        <w:t>格式三 各项承诺一览表</w:t>
      </w:r>
      <w:bookmarkEnd w:id="220"/>
    </w:p>
    <w:p w14:paraId="41734E79">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5D24808B">
      <w:pPr>
        <w:keepNext w:val="0"/>
        <w:keepLines w:val="0"/>
        <w:pageBreakBefore w:val="0"/>
        <w:wordWrap w:val="0"/>
        <w:overflowPunct/>
        <w:topLinePunct w:val="0"/>
        <w:bidi w:val="0"/>
        <w:spacing w:before="98" w:line="220" w:lineRule="auto"/>
        <w:ind w:left="3581"/>
        <w:outlineLvl w:val="9"/>
        <w:rPr>
          <w:rFonts w:hint="eastAsia" w:ascii="宋体" w:hAnsi="宋体" w:eastAsia="宋体" w:cs="宋体"/>
          <w:color w:val="auto"/>
          <w:spacing w:val="0"/>
          <w:sz w:val="30"/>
          <w:szCs w:val="30"/>
          <w:highlight w:val="none"/>
        </w:rPr>
      </w:pPr>
      <w:bookmarkStart w:id="221" w:name="bookmark149"/>
      <w:bookmarkEnd w:id="221"/>
      <w:bookmarkStart w:id="222" w:name="_Toc4767"/>
      <w:bookmarkStart w:id="223" w:name="_Toc10326"/>
      <w:bookmarkStart w:id="224" w:name="_Toc2936"/>
      <w:r>
        <w:rPr>
          <w:rFonts w:hint="eastAsia" w:ascii="宋体" w:hAnsi="宋体" w:eastAsia="宋体" w:cs="宋体"/>
          <w:b/>
          <w:bCs/>
          <w:color w:val="auto"/>
          <w:spacing w:val="0"/>
          <w:sz w:val="30"/>
          <w:szCs w:val="30"/>
          <w:highlight w:val="none"/>
        </w:rPr>
        <w:t>各项承诺一览表</w:t>
      </w:r>
      <w:bookmarkEnd w:id="222"/>
      <w:bookmarkEnd w:id="223"/>
      <w:bookmarkEnd w:id="224"/>
    </w:p>
    <w:p w14:paraId="74FA8C54">
      <w:pPr>
        <w:keepNext w:val="0"/>
        <w:keepLines w:val="0"/>
        <w:pageBreakBefore w:val="0"/>
        <w:wordWrap w:val="0"/>
        <w:overflowPunct/>
        <w:topLinePunct w:val="0"/>
        <w:bidi w:val="0"/>
        <w:spacing w:before="6"/>
        <w:rPr>
          <w:rFonts w:hint="eastAsia" w:ascii="宋体" w:hAnsi="宋体" w:eastAsia="宋体" w:cs="宋体"/>
          <w:color w:val="auto"/>
          <w:spacing w:val="0"/>
          <w:highlight w:val="none"/>
        </w:rPr>
      </w:pPr>
    </w:p>
    <w:tbl>
      <w:tblPr>
        <w:tblStyle w:val="15"/>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165B7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72557443">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1675" w:type="dxa"/>
            <w:vAlign w:val="top"/>
          </w:tcPr>
          <w:p w14:paraId="0CBAE793">
            <w:pPr>
              <w:keepNext w:val="0"/>
              <w:keepLines w:val="0"/>
              <w:pageBreakBefore w:val="0"/>
              <w:widowControl/>
              <w:kinsoku w:val="0"/>
              <w:wordWrap w:val="0"/>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承诺事项</w:t>
            </w:r>
          </w:p>
        </w:tc>
        <w:tc>
          <w:tcPr>
            <w:tcW w:w="3107" w:type="dxa"/>
            <w:vAlign w:val="top"/>
          </w:tcPr>
          <w:p w14:paraId="2F967406">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承诺内容</w:t>
            </w:r>
          </w:p>
        </w:tc>
        <w:tc>
          <w:tcPr>
            <w:tcW w:w="4272" w:type="dxa"/>
            <w:vAlign w:val="top"/>
          </w:tcPr>
          <w:p w14:paraId="0AE4BD22">
            <w:pPr>
              <w:keepNext w:val="0"/>
              <w:keepLines w:val="0"/>
              <w:pageBreakBefore w:val="0"/>
              <w:widowControl/>
              <w:kinsoku w:val="0"/>
              <w:wordWrap w:val="0"/>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违约承诺</w:t>
            </w:r>
          </w:p>
        </w:tc>
      </w:tr>
      <w:tr w14:paraId="2A890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32014C68">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1675" w:type="dxa"/>
            <w:vAlign w:val="center"/>
          </w:tcPr>
          <w:p w14:paraId="789F5544">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自愿接受招标文件条款的承诺</w:t>
            </w:r>
          </w:p>
        </w:tc>
        <w:tc>
          <w:tcPr>
            <w:tcW w:w="3107" w:type="dxa"/>
            <w:vAlign w:val="top"/>
          </w:tcPr>
          <w:p w14:paraId="72C35A06">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E326998">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我方自愿接受招标文件的所有条款，所递交的投标文件已 经充分响应招标文件的实质性要求。</w:t>
            </w:r>
          </w:p>
        </w:tc>
        <w:tc>
          <w:tcPr>
            <w:tcW w:w="4272" w:type="dxa"/>
            <w:vAlign w:val="top"/>
          </w:tcPr>
          <w:p w14:paraId="3AA62306">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如果我方的投标文件未响应、违反、偏 离招标文件的实质性要求，我方接受招标人或其授权的招标代理机构或其组建的评标委员会依据招标文件作出的相应处理，包括否决投标。</w:t>
            </w:r>
          </w:p>
        </w:tc>
      </w:tr>
      <w:tr w14:paraId="21309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4724BEB5">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1675" w:type="dxa"/>
            <w:vAlign w:val="center"/>
          </w:tcPr>
          <w:p w14:paraId="1C692CE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无禁止投标情形的承诺</w:t>
            </w:r>
          </w:p>
        </w:tc>
        <w:tc>
          <w:tcPr>
            <w:tcW w:w="3107" w:type="dxa"/>
            <w:vAlign w:val="top"/>
          </w:tcPr>
          <w:p w14:paraId="4346222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AB15359">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27259133">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我方不存在招标文件第一 章第三节第 </w:t>
            </w:r>
            <w:r>
              <w:rPr>
                <w:rFonts w:hint="eastAsia" w:ascii="宋体" w:hAnsi="宋体" w:eastAsia="宋体" w:cs="宋体"/>
                <w:b/>
                <w:bCs/>
                <w:color w:val="auto"/>
                <w:spacing w:val="0"/>
                <w:sz w:val="21"/>
                <w:szCs w:val="21"/>
                <w:highlight w:val="none"/>
              </w:rPr>
              <w:t xml:space="preserve">2.4 </w:t>
            </w:r>
            <w:r>
              <w:rPr>
                <w:rFonts w:hint="eastAsia" w:ascii="宋体" w:hAnsi="宋体" w:eastAsia="宋体" w:cs="宋体"/>
                <w:color w:val="auto"/>
                <w:spacing w:val="0"/>
                <w:sz w:val="21"/>
                <w:szCs w:val="21"/>
                <w:highlight w:val="none"/>
              </w:rPr>
              <w:t>条“禁止投标条 款 ”规定的任何一种情形。</w:t>
            </w:r>
          </w:p>
        </w:tc>
        <w:tc>
          <w:tcPr>
            <w:tcW w:w="4272" w:type="dxa"/>
            <w:vAlign w:val="top"/>
          </w:tcPr>
          <w:p w14:paraId="61908D31">
            <w:pPr>
              <w:keepNext w:val="0"/>
              <w:keepLines w:val="0"/>
              <w:pageBreakBefore w:val="0"/>
              <w:widowControl/>
              <w:kinsoku w:val="0"/>
              <w:wordWrap w:val="0"/>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如果我方有招标文件第一章第三节第 </w:t>
            </w:r>
            <w:r>
              <w:rPr>
                <w:rFonts w:hint="eastAsia" w:ascii="宋体" w:hAnsi="宋体" w:eastAsia="宋体" w:cs="宋体"/>
                <w:b/>
                <w:bCs/>
                <w:color w:val="auto"/>
                <w:spacing w:val="0"/>
                <w:sz w:val="21"/>
                <w:szCs w:val="21"/>
                <w:highlight w:val="none"/>
              </w:rPr>
              <w:t xml:space="preserve">2.  4 </w:t>
            </w:r>
            <w:r>
              <w:rPr>
                <w:rFonts w:hint="eastAsia" w:ascii="宋体" w:hAnsi="宋体" w:eastAsia="宋体" w:cs="宋体"/>
                <w:color w:val="auto"/>
                <w:spacing w:val="0"/>
                <w:sz w:val="21"/>
                <w:szCs w:val="21"/>
                <w:highlight w:val="none"/>
              </w:rPr>
              <w:t>条“禁止投标条款 ”规定的任何一种情形，我方接受招标人或其授权的招标代理机构或 其组建的评标委员会依据招标文件作出的相应处理以及有关监督部门作出的行政处罚，并承担由此引起的一切法律后果。</w:t>
            </w:r>
          </w:p>
        </w:tc>
      </w:tr>
      <w:tr w14:paraId="2C9DD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249F024F">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1675" w:type="dxa"/>
            <w:vAlign w:val="center"/>
          </w:tcPr>
          <w:p w14:paraId="6D0B4C4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自觉抵制围标</w:t>
            </w:r>
          </w:p>
          <w:p w14:paraId="1A91D299">
            <w:pPr>
              <w:keepNext w:val="0"/>
              <w:keepLines w:val="0"/>
              <w:pageBreakBefore w:val="0"/>
              <w:widowControl/>
              <w:kinsoku w:val="0"/>
              <w:wordWrap w:val="0"/>
              <w:overflowPunct/>
              <w:topLinePunct w:val="0"/>
              <w:autoSpaceDE w:val="0"/>
              <w:autoSpaceDN w:val="0"/>
              <w:bidi w:val="0"/>
              <w:adjustRightInd w:val="0"/>
              <w:snapToGrid w:val="0"/>
              <w:spacing w:before="131"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串标和弄虚</w:t>
            </w:r>
          </w:p>
          <w:p w14:paraId="33205045">
            <w:pPr>
              <w:keepNext w:val="0"/>
              <w:keepLines w:val="0"/>
              <w:pageBreakBefore w:val="0"/>
              <w:widowControl/>
              <w:kinsoku w:val="0"/>
              <w:wordWrap w:val="0"/>
              <w:overflowPunct/>
              <w:topLinePunct w:val="0"/>
              <w:autoSpaceDE w:val="0"/>
              <w:autoSpaceDN w:val="0"/>
              <w:bidi w:val="0"/>
              <w:adjustRightInd w:val="0"/>
              <w:snapToGrid w:val="0"/>
              <w:spacing w:before="133"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作假行为的承诺</w:t>
            </w:r>
          </w:p>
        </w:tc>
        <w:tc>
          <w:tcPr>
            <w:tcW w:w="3107" w:type="dxa"/>
            <w:vAlign w:val="top"/>
          </w:tcPr>
          <w:p w14:paraId="467CF56B">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19BB889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我方合法正当、诚实守信地参与投标，不组织、不参加围标串标违法行为，不通过弄虚作假 行为骗取中标。</w:t>
            </w:r>
          </w:p>
        </w:tc>
        <w:tc>
          <w:tcPr>
            <w:tcW w:w="4272" w:type="dxa"/>
            <w:vAlign w:val="top"/>
          </w:tcPr>
          <w:p w14:paraId="26572BB1">
            <w:pPr>
              <w:keepNext w:val="0"/>
              <w:keepLines w:val="0"/>
              <w:pageBreakBefore w:val="0"/>
              <w:widowControl/>
              <w:kinsoku w:val="0"/>
              <w:wordWrap w:val="0"/>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714E2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086B151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1675" w:type="dxa"/>
            <w:vAlign w:val="center"/>
          </w:tcPr>
          <w:p w14:paraId="722BA646">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项目经理任职承诺</w:t>
            </w:r>
          </w:p>
        </w:tc>
        <w:tc>
          <w:tcPr>
            <w:tcW w:w="3107" w:type="dxa"/>
            <w:vAlign w:val="top"/>
          </w:tcPr>
          <w:p w14:paraId="7085E917">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5699295">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66ABAC3">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我方拟派项目经理现阶段没有担任任何在施（包括已中标 未开工、已开工未竣工）建设工程项目的项目经理。</w:t>
            </w:r>
          </w:p>
        </w:tc>
        <w:tc>
          <w:tcPr>
            <w:tcW w:w="4272" w:type="dxa"/>
            <w:vAlign w:val="top"/>
          </w:tcPr>
          <w:p w14:paraId="1898A32C">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如果我方拟派项目经理在本项目招标投 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14:paraId="7D3F5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2548129">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1675" w:type="dxa"/>
            <w:vAlign w:val="center"/>
          </w:tcPr>
          <w:p w14:paraId="7290DF80">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115877CE">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真实性承诺</w:t>
            </w:r>
          </w:p>
        </w:tc>
        <w:tc>
          <w:tcPr>
            <w:tcW w:w="3107" w:type="dxa"/>
            <w:vAlign w:val="top"/>
          </w:tcPr>
          <w:p w14:paraId="43727651">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81401AA">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我方所递交投标文件的全部内容均为真实、有效、准确的。</w:t>
            </w:r>
          </w:p>
        </w:tc>
        <w:tc>
          <w:tcPr>
            <w:tcW w:w="4272" w:type="dxa"/>
            <w:vAlign w:val="top"/>
          </w:tcPr>
          <w:p w14:paraId="187ED321">
            <w:pPr>
              <w:keepNext w:val="0"/>
              <w:keepLines w:val="0"/>
              <w:pageBreakBefore w:val="0"/>
              <w:widowControl/>
              <w:kinsoku w:val="0"/>
              <w:wordWrap w:val="0"/>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75BFE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center"/>
          </w:tcPr>
          <w:p w14:paraId="456DD1FA">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r>
              <w:rPr>
                <w:rFonts w:hint="eastAsia" w:ascii="宋体" w:hAnsi="宋体" w:eastAsia="宋体" w:cs="宋体"/>
                <w:color w:val="auto"/>
                <w:spacing w:val="0"/>
                <w:sz w:val="21"/>
                <w:szCs w:val="21"/>
                <w:highlight w:val="none"/>
              </w:rPr>
              <w:drawing>
                <wp:anchor distT="0" distB="0" distL="114300" distR="114300" simplePos="0" relativeHeight="251663360"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7"/>
                          <a:stretch>
                            <a:fillRect/>
                          </a:stretch>
                        </pic:blipFill>
                        <pic:spPr>
                          <a:xfrm>
                            <a:off x="0" y="0"/>
                            <a:ext cx="6350" cy="241300"/>
                          </a:xfrm>
                          <a:prstGeom prst="rect">
                            <a:avLst/>
                          </a:prstGeom>
                          <a:noFill/>
                          <a:ln>
                            <a:noFill/>
                          </a:ln>
                        </pic:spPr>
                      </pic:pic>
                    </a:graphicData>
                  </a:graphic>
                </wp:anchor>
              </w:drawing>
            </w:r>
          </w:p>
        </w:tc>
        <w:tc>
          <w:tcPr>
            <w:tcW w:w="1675" w:type="dxa"/>
            <w:vAlign w:val="center"/>
          </w:tcPr>
          <w:p w14:paraId="4C7AE5D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投标文件</w:t>
            </w:r>
          </w:p>
          <w:p w14:paraId="2C400923">
            <w:pPr>
              <w:keepNext w:val="0"/>
              <w:keepLines w:val="0"/>
              <w:pageBreakBefore w:val="0"/>
              <w:widowControl/>
              <w:kinsoku w:val="0"/>
              <w:wordWrap w:val="0"/>
              <w:overflowPunct/>
              <w:topLinePunct w:val="0"/>
              <w:autoSpaceDE w:val="0"/>
              <w:autoSpaceDN w:val="0"/>
              <w:bidi w:val="0"/>
              <w:adjustRightInd w:val="0"/>
              <w:snapToGrid w:val="0"/>
              <w:spacing w:before="132"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信息公开承诺</w:t>
            </w:r>
          </w:p>
        </w:tc>
        <w:tc>
          <w:tcPr>
            <w:tcW w:w="3107" w:type="dxa"/>
            <w:vAlign w:val="top"/>
          </w:tcPr>
          <w:p w14:paraId="58C341DF">
            <w:pPr>
              <w:keepNext w:val="0"/>
              <w:keepLines w:val="0"/>
              <w:pageBreakBefore w:val="0"/>
              <w:widowControl/>
              <w:kinsoku w:val="0"/>
              <w:wordWrap w:val="0"/>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我方提供完整的文件。如果我方成为本项目中标候选人，我方同意并授权招标人在评标结果公示期内公开我方商务标书的全部内容。</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211429B8">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8E9C96B">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1A7F7EF">
            <w:pPr>
              <w:keepNext w:val="0"/>
              <w:keepLines w:val="0"/>
              <w:pageBreakBefore w:val="0"/>
              <w:widowControl/>
              <w:kinsoku w:val="0"/>
              <w:wordWrap w:val="0"/>
              <w:overflowPunct/>
              <w:topLinePunct w:val="0"/>
              <w:autoSpaceDE w:val="0"/>
              <w:autoSpaceDN w:val="0"/>
              <w:bidi w:val="0"/>
              <w:adjustRightInd w:val="0"/>
              <w:snapToGrid w:val="0"/>
              <w:spacing w:before="58"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0EC6B0A4">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pacing w:val="0"/>
                <w:sz w:val="21"/>
                <w:szCs w:val="21"/>
                <w:highlight w:val="none"/>
              </w:rPr>
            </w:pPr>
          </w:p>
        </w:tc>
      </w:tr>
      <w:tr w14:paraId="13470E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center"/>
          </w:tcPr>
          <w:p w14:paraId="29242B05">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7</w:t>
            </w:r>
          </w:p>
        </w:tc>
        <w:tc>
          <w:tcPr>
            <w:tcW w:w="1675" w:type="dxa"/>
            <w:vAlign w:val="center"/>
          </w:tcPr>
          <w:p w14:paraId="7298459F">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对不正常报价的确认承诺</w:t>
            </w:r>
          </w:p>
        </w:tc>
        <w:tc>
          <w:tcPr>
            <w:tcW w:w="3107" w:type="dxa"/>
            <w:vAlign w:val="top"/>
          </w:tcPr>
          <w:p w14:paraId="5F3D606E">
            <w:pPr>
              <w:keepNext w:val="0"/>
              <w:keepLines w:val="0"/>
              <w:pageBreakBefore w:val="0"/>
              <w:widowControl/>
              <w:kinsoku w:val="0"/>
              <w:wordWrap w:val="0"/>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如果我方中标，我方接受招标人在合同订立期间依据招标文件有关条款约定对我方已标价工程量清单中不正常报价的修正或认定，并按要求签署《不正常报价清单》加以确认。</w:t>
            </w:r>
          </w:p>
        </w:tc>
        <w:tc>
          <w:tcPr>
            <w:tcW w:w="4272" w:type="dxa"/>
            <w:vAlign w:val="top"/>
            <mc:AlternateContent>
              <mc:Choice Requires="wpsCustomData">
                <wpsCustomData:diagonals>
                  <wpsCustomData:diagonal from="20000" to="0">
                    <wpsCustomData:border w:val="single" w:color="000000" w:sz="2" w:space="0"/>
                  </wpsCustomData:diagonal>
                </wpsCustomData:diagonals>
              </mc:Choice>
            </mc:AlternateContent>
          </w:tcPr>
          <w:p w14:paraId="1D1DE373">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0888FEE">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677E9644">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A1199D4">
            <w:pPr>
              <w:keepNext w:val="0"/>
              <w:keepLines w:val="0"/>
              <w:pageBreakBefore w:val="0"/>
              <w:widowControl/>
              <w:kinsoku w:val="0"/>
              <w:wordWrap w:val="0"/>
              <w:overflowPunct/>
              <w:topLinePunct w:val="0"/>
              <w:autoSpaceDE w:val="0"/>
              <w:autoSpaceDN w:val="0"/>
              <w:bidi w:val="0"/>
              <w:adjustRightInd w:val="0"/>
              <w:snapToGrid w:val="0"/>
              <w:spacing w:before="57" w:line="240" w:lineRule="auto"/>
              <w:ind w:left="1979"/>
              <w:textAlignment w:val="baseline"/>
              <mc:AlternateContent>
                <mc:Choice Requires="wpsCustomData">
                  <wpsCustomData:diagonalParaType/>
                </mc:Choice>
              </mc:AlternateContent>
              <w:rPr>
                <w:rFonts w:hint="eastAsia" w:ascii="宋体" w:hAnsi="宋体" w:eastAsia="宋体" w:cs="宋体"/>
                <w:color w:val="auto"/>
                <w:spacing w:val="0"/>
                <w:sz w:val="21"/>
                <w:szCs w:val="21"/>
                <w:highlight w:val="none"/>
              </w:rPr>
            </w:pPr>
          </w:p>
          <w:p w14:paraId="4C143886">
            <w:pPr>
              <w:keepNext w:val="0"/>
              <w:keepLines w:val="0"/>
              <w:pageBreakBefore w:val="0"/>
              <w:widowControl/>
              <w:kinsoku w:val="0"/>
              <w:wordWrap w:val="0"/>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pacing w:val="0"/>
                <w:sz w:val="21"/>
                <w:szCs w:val="21"/>
                <w:highlight w:val="none"/>
              </w:rPr>
            </w:pPr>
          </w:p>
        </w:tc>
      </w:tr>
      <w:tr w14:paraId="11302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1EECA146">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8</w:t>
            </w:r>
          </w:p>
        </w:tc>
        <w:tc>
          <w:tcPr>
            <w:tcW w:w="1675" w:type="dxa"/>
            <w:vAlign w:val="center"/>
          </w:tcPr>
          <w:p w14:paraId="4044B441">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按时提交履约保证的承诺</w:t>
            </w:r>
          </w:p>
        </w:tc>
        <w:tc>
          <w:tcPr>
            <w:tcW w:w="3107" w:type="dxa"/>
            <w:vAlign w:val="top"/>
          </w:tcPr>
          <w:p w14:paraId="0356E9C6">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09220BBD">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如果我方中标，我方保证在招标文件规定的时限内全额提交履约保证。</w:t>
            </w:r>
          </w:p>
        </w:tc>
        <w:tc>
          <w:tcPr>
            <w:tcW w:w="4272" w:type="dxa"/>
            <w:vAlign w:val="top"/>
          </w:tcPr>
          <w:p w14:paraId="061ED1BE">
            <w:pPr>
              <w:keepNext w:val="0"/>
              <w:keepLines w:val="0"/>
              <w:pageBreakBefore w:val="0"/>
              <w:widowControl/>
              <w:kinsoku w:val="0"/>
              <w:wordWrap w:val="0"/>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如果我方未在招标文件规定的时限内全 额提交履约保证，我方接受招标人依据招标文件作出的相应处理以及有关监督部门作出的行政处罚，并承担由此引起的一切法律后果。</w:t>
            </w:r>
          </w:p>
        </w:tc>
      </w:tr>
      <w:tr w14:paraId="38537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center"/>
          </w:tcPr>
          <w:p w14:paraId="797E0028">
            <w:pPr>
              <w:keepNext w:val="0"/>
              <w:keepLines w:val="0"/>
              <w:pageBreakBefore w:val="0"/>
              <w:widowControl/>
              <w:kinsoku w:val="0"/>
              <w:wordWrap w:val="0"/>
              <w:overflowPunct/>
              <w:topLinePunct w:val="0"/>
              <w:autoSpaceDE w:val="0"/>
              <w:autoSpaceDN w:val="0"/>
              <w:bidi w:val="0"/>
              <w:adjustRightInd w:val="0"/>
              <w:snapToGrid w:val="0"/>
              <w:spacing w:before="58" w:line="288" w:lineRule="auto"/>
              <w:ind w:left="0" w:right="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9</w:t>
            </w:r>
          </w:p>
        </w:tc>
        <w:tc>
          <w:tcPr>
            <w:tcW w:w="1675" w:type="dxa"/>
            <w:vAlign w:val="center"/>
          </w:tcPr>
          <w:p w14:paraId="272686C5">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0" w:right="0" w:firstLine="0"/>
              <w:jc w:val="center"/>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按时签订合同的承诺</w:t>
            </w:r>
          </w:p>
        </w:tc>
        <w:tc>
          <w:tcPr>
            <w:tcW w:w="3107" w:type="dxa"/>
            <w:vAlign w:val="top"/>
          </w:tcPr>
          <w:p w14:paraId="0D0C1B16">
            <w:pPr>
              <w:pStyle w:val="28"/>
              <w:keepNext w:val="0"/>
              <w:keepLines w:val="0"/>
              <w:pageBreakBefore w:val="0"/>
              <w:widowControl/>
              <w:kinsoku w:val="0"/>
              <w:wordWrap w:val="0"/>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pacing w:val="0"/>
                <w:sz w:val="21"/>
                <w:szCs w:val="21"/>
                <w:highlight w:val="none"/>
              </w:rPr>
            </w:pPr>
          </w:p>
          <w:p w14:paraId="7B58C7CC">
            <w:pPr>
              <w:keepNext w:val="0"/>
              <w:keepLines w:val="0"/>
              <w:pageBreakBefore w:val="0"/>
              <w:widowControl/>
              <w:kinsoku w:val="0"/>
              <w:wordWrap w:val="0"/>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如果我方中标，我方保证在 招标文件规定的时限内与招标人签订合同，不提出违背或超出招标文件、中标文件的要求。</w:t>
            </w:r>
          </w:p>
        </w:tc>
        <w:tc>
          <w:tcPr>
            <w:tcW w:w="4272" w:type="dxa"/>
            <w:vAlign w:val="top"/>
          </w:tcPr>
          <w:p w14:paraId="515E9F60">
            <w:pPr>
              <w:keepNext w:val="0"/>
              <w:keepLines w:val="0"/>
              <w:pageBreakBefore w:val="0"/>
              <w:widowControl/>
              <w:kinsoku w:val="0"/>
              <w:wordWrap w:val="0"/>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如果我方未在招标文件规定的时限内与招标人签订合同，或我方在签订合同过程中提出违背或超出招标文件、中标文件的要求。我方接受招标人依据招标文件作出的相应处 理以及有关监督部门作出的行政处罚，并承担由此引起的一切法律后果。</w:t>
            </w:r>
          </w:p>
        </w:tc>
      </w:tr>
    </w:tbl>
    <w:p w14:paraId="549FC2A1">
      <w:pPr>
        <w:keepNext w:val="0"/>
        <w:keepLines w:val="0"/>
        <w:pageBreakBefore w:val="0"/>
        <w:wordWrap w:val="0"/>
        <w:overflowPunct/>
        <w:topLinePunct w:val="0"/>
        <w:bidi w:val="0"/>
        <w:spacing w:before="78" w:line="219" w:lineRule="auto"/>
        <w:ind w:firstLine="6720" w:firstLineChars="2800"/>
        <w:jc w:val="both"/>
        <w:rPr>
          <w:rFonts w:hint="eastAsia" w:ascii="宋体" w:hAnsi="宋体" w:eastAsia="宋体" w:cs="宋体"/>
          <w:color w:val="auto"/>
          <w:spacing w:val="0"/>
          <w:sz w:val="24"/>
          <w:szCs w:val="24"/>
          <w:highlight w:val="none"/>
        </w:rPr>
      </w:pPr>
    </w:p>
    <w:p w14:paraId="420D5EA7">
      <w:pPr>
        <w:keepNext w:val="0"/>
        <w:keepLines w:val="0"/>
        <w:pageBreakBefore w:val="0"/>
        <w:wordWrap w:val="0"/>
        <w:overflowPunct/>
        <w:topLinePunct w:val="0"/>
        <w:bidi w:val="0"/>
        <w:spacing w:before="78" w:line="219" w:lineRule="auto"/>
        <w:ind w:firstLine="6720" w:firstLineChars="280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（盖单位章）</w:t>
      </w:r>
    </w:p>
    <w:p w14:paraId="4A7B0690">
      <w:pPr>
        <w:pStyle w:val="6"/>
        <w:keepNext w:val="0"/>
        <w:keepLines w:val="0"/>
        <w:pageBreakBefore w:val="0"/>
        <w:wordWrap w:val="0"/>
        <w:overflowPunct/>
        <w:topLinePunct w:val="0"/>
        <w:bidi w:val="0"/>
        <w:spacing w:line="297" w:lineRule="auto"/>
        <w:jc w:val="right"/>
        <w:rPr>
          <w:rFonts w:hint="eastAsia" w:ascii="宋体" w:hAnsi="宋体" w:eastAsia="宋体" w:cs="宋体"/>
          <w:color w:val="auto"/>
          <w:spacing w:val="0"/>
          <w:highlight w:val="none"/>
        </w:rPr>
      </w:pPr>
    </w:p>
    <w:p w14:paraId="693BC169">
      <w:pPr>
        <w:keepNext w:val="0"/>
        <w:keepLines w:val="0"/>
        <w:pageBreakBefore w:val="0"/>
        <w:wordWrap w:val="0"/>
        <w:overflowPunct/>
        <w:topLinePunct w:val="0"/>
        <w:bidi w:val="0"/>
        <w:spacing w:before="78" w:line="219" w:lineRule="auto"/>
        <w:ind w:left="4366"/>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color w:val="auto"/>
          <w:spacing w:val="0"/>
          <w:sz w:val="24"/>
          <w:szCs w:val="24"/>
          <w:highlight w:val="none"/>
        </w:rPr>
        <w:t>（签字或盖章）</w:t>
      </w:r>
    </w:p>
    <w:p w14:paraId="1BA52AD8">
      <w:pPr>
        <w:keepNext w:val="0"/>
        <w:keepLines w:val="0"/>
        <w:pageBreakBefore w:val="0"/>
        <w:wordWrap w:val="0"/>
        <w:overflowPunct/>
        <w:topLinePunct w:val="0"/>
        <w:bidi w:val="0"/>
        <w:outlineLvl w:val="9"/>
        <w:rPr>
          <w:rFonts w:hint="eastAsia"/>
          <w:color w:val="auto"/>
          <w:spacing w:val="0"/>
          <w:highlight w:val="none"/>
        </w:rPr>
      </w:pPr>
    </w:p>
    <w:p w14:paraId="4983A772">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6CC4144A">
      <w:pPr>
        <w:keepNext w:val="0"/>
        <w:keepLines w:val="0"/>
        <w:pageBreakBefore w:val="0"/>
        <w:wordWrap w:val="0"/>
        <w:overflowPunct/>
        <w:topLinePunct w:val="0"/>
        <w:bidi w:val="0"/>
        <w:spacing w:line="220" w:lineRule="auto"/>
        <w:jc w:val="right"/>
        <w:rPr>
          <w:rFonts w:hint="eastAsia" w:ascii="宋体" w:hAnsi="宋体" w:eastAsia="宋体" w:cs="宋体"/>
          <w:color w:val="auto"/>
          <w:spacing w:val="0"/>
          <w:sz w:val="24"/>
          <w:szCs w:val="24"/>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D79D957">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5" w:name="_Toc19893"/>
      <w:r>
        <w:rPr>
          <w:rFonts w:hint="eastAsia" w:ascii="宋体" w:hAnsi="宋体" w:eastAsia="宋体" w:cs="宋体"/>
          <w:b/>
          <w:bCs/>
          <w:color w:val="auto"/>
          <w:spacing w:val="0"/>
          <w:sz w:val="24"/>
          <w:szCs w:val="24"/>
          <w:highlight w:val="none"/>
        </w:rPr>
        <w:t>格式四 授权委托书</w:t>
      </w:r>
      <w:bookmarkEnd w:id="225"/>
    </w:p>
    <w:p w14:paraId="033A3703">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13EBC733">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6E355852">
      <w:pPr>
        <w:keepNext w:val="0"/>
        <w:keepLines w:val="0"/>
        <w:pageBreakBefore w:val="0"/>
        <w:wordWrap w:val="0"/>
        <w:overflowPunct/>
        <w:topLinePunct w:val="0"/>
        <w:bidi w:val="0"/>
        <w:spacing w:before="97" w:line="219" w:lineRule="auto"/>
        <w:ind w:left="3786"/>
        <w:rPr>
          <w:rFonts w:hint="eastAsia" w:ascii="宋体" w:hAnsi="宋体" w:eastAsia="宋体" w:cs="宋体"/>
          <w:color w:val="auto"/>
          <w:spacing w:val="0"/>
          <w:sz w:val="30"/>
          <w:szCs w:val="30"/>
          <w:highlight w:val="none"/>
        </w:rPr>
      </w:pPr>
      <w:bookmarkStart w:id="226" w:name="bookmark151"/>
      <w:bookmarkEnd w:id="226"/>
      <w:r>
        <w:rPr>
          <w:rFonts w:hint="eastAsia" w:ascii="宋体" w:hAnsi="宋体" w:eastAsia="宋体" w:cs="宋体"/>
          <w:b/>
          <w:bCs/>
          <w:color w:val="auto"/>
          <w:spacing w:val="0"/>
          <w:sz w:val="30"/>
          <w:szCs w:val="30"/>
          <w:highlight w:val="none"/>
        </w:rPr>
        <w:t>授权委托书</w:t>
      </w:r>
    </w:p>
    <w:p w14:paraId="5CCB07D4">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CCFB3A6">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A0E7DA8">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3E9F9F19">
      <w:pPr>
        <w:keepNext w:val="0"/>
        <w:keepLines w:val="0"/>
        <w:pageBreakBefore w:val="0"/>
        <w:widowControl/>
        <w:kinsoku w:val="0"/>
        <w:wordWrap w:val="0"/>
        <w:overflowPunct/>
        <w:topLinePunct w:val="0"/>
        <w:autoSpaceDE w:val="0"/>
        <w:autoSpaceDN w:val="0"/>
        <w:bidi w:val="0"/>
        <w:adjustRightInd w:val="0"/>
        <w:snapToGrid w:val="0"/>
        <w:spacing w:before="78" w:line="330" w:lineRule="auto"/>
        <w:ind w:firstLine="481"/>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 w:val="24"/>
          <w:szCs w:val="28"/>
          <w:highlight w:val="none"/>
          <w:lang w:eastAsia="zh-CN"/>
        </w:rPr>
        <w:t>本人</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（姓名）系</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（投标人名称）的法定代表人，现委托</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snapToGrid w:val="0"/>
          <w:color w:val="auto"/>
          <w:spacing w:val="0"/>
          <w:kern w:val="0"/>
          <w:sz w:val="24"/>
          <w:szCs w:val="28"/>
          <w:highlight w:val="none"/>
          <w:u w:val="single"/>
          <w:lang w:eastAsia="zh-CN"/>
        </w:rPr>
        <w:t>（项目名称）</w:t>
      </w:r>
      <w:r>
        <w:rPr>
          <w:rFonts w:hint="eastAsia" w:ascii="宋体" w:hAnsi="宋体" w:eastAsia="宋体" w:cs="宋体"/>
          <w:snapToGrid w:val="0"/>
          <w:color w:val="auto"/>
          <w:spacing w:val="0"/>
          <w:kern w:val="0"/>
          <w:sz w:val="24"/>
          <w:szCs w:val="28"/>
          <w:highlight w:val="none"/>
          <w:lang w:eastAsia="zh-CN"/>
        </w:rPr>
        <w:t xml:space="preserve"> 施工投标文件、签订合同和处理有关事宜，其法律后果由我方承担。</w:t>
      </w:r>
    </w:p>
    <w:p w14:paraId="16D778F7">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委托期限：至</w:t>
      </w:r>
      <w:r>
        <w:rPr>
          <w:rFonts w:hint="eastAsia" w:ascii="宋体" w:hAnsi="宋体" w:eastAsia="宋体" w:cs="宋体"/>
          <w:color w:val="auto"/>
          <w:spacing w:val="0"/>
          <w:sz w:val="24"/>
          <w:szCs w:val="24"/>
          <w:highlight w:val="none"/>
          <w:u w:val="single"/>
        </w:rPr>
        <w:t xml:space="preserve">     年   月    日</w:t>
      </w:r>
      <w:r>
        <w:rPr>
          <w:rFonts w:hint="eastAsia" w:ascii="宋体" w:hAnsi="宋体" w:eastAsia="宋体" w:cs="宋体"/>
          <w:i/>
          <w:iCs/>
          <w:color w:val="auto"/>
          <w:spacing w:val="0"/>
          <w:sz w:val="25"/>
          <w:szCs w:val="25"/>
          <w:highlight w:val="none"/>
          <w:u w:val="single"/>
        </w:rPr>
        <w:t>（不得短于招标文件规定的投标有效期）</w:t>
      </w:r>
      <w:r>
        <w:rPr>
          <w:rFonts w:hint="eastAsia" w:ascii="宋体" w:hAnsi="宋体" w:eastAsia="宋体" w:cs="宋体"/>
          <w:color w:val="auto"/>
          <w:spacing w:val="0"/>
          <w:sz w:val="25"/>
          <w:szCs w:val="25"/>
          <w:highlight w:val="none"/>
        </w:rPr>
        <w:t xml:space="preserve"> </w:t>
      </w:r>
      <w:r>
        <w:rPr>
          <w:rFonts w:hint="eastAsia" w:ascii="宋体" w:hAnsi="宋体" w:eastAsia="宋体" w:cs="宋体"/>
          <w:color w:val="auto"/>
          <w:spacing w:val="0"/>
          <w:sz w:val="24"/>
          <w:szCs w:val="24"/>
          <w:highlight w:val="none"/>
        </w:rPr>
        <w:t xml:space="preserve">。 </w:t>
      </w:r>
    </w:p>
    <w:p w14:paraId="3236344C">
      <w:pPr>
        <w:keepNext w:val="0"/>
        <w:keepLines w:val="0"/>
        <w:pageBreakBefore w:val="0"/>
        <w:widowControl/>
        <w:kinsoku w:val="0"/>
        <w:wordWrap w:val="0"/>
        <w:overflowPunct/>
        <w:topLinePunct w:val="0"/>
        <w:autoSpaceDE w:val="0"/>
        <w:autoSpaceDN w:val="0"/>
        <w:bidi w:val="0"/>
        <w:adjustRightInd w:val="0"/>
        <w:snapToGrid w:val="0"/>
        <w:spacing w:before="32" w:line="320" w:lineRule="auto"/>
        <w:ind w:left="480" w:right="49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代理人无转委托权。</w:t>
      </w:r>
    </w:p>
    <w:p w14:paraId="195F0838">
      <w:pPr>
        <w:pStyle w:val="6"/>
        <w:keepNext w:val="0"/>
        <w:keepLines w:val="0"/>
        <w:pageBreakBefore w:val="0"/>
        <w:wordWrap w:val="0"/>
        <w:overflowPunct/>
        <w:topLinePunct w:val="0"/>
        <w:bidi w:val="0"/>
        <w:spacing w:line="276" w:lineRule="auto"/>
        <w:rPr>
          <w:rFonts w:hint="eastAsia" w:ascii="宋体" w:hAnsi="宋体" w:eastAsia="宋体" w:cs="宋体"/>
          <w:color w:val="auto"/>
          <w:spacing w:val="0"/>
          <w:highlight w:val="none"/>
        </w:rPr>
      </w:pPr>
    </w:p>
    <w:p w14:paraId="29886232">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2AC1726">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71613945">
      <w:pPr>
        <w:keepNext w:val="0"/>
        <w:keepLines w:val="0"/>
        <w:pageBreakBefore w:val="0"/>
        <w:wordWrap w:val="0"/>
        <w:overflowPunct/>
        <w:topLinePunct w:val="0"/>
        <w:bidi w:val="0"/>
        <w:spacing w:before="78" w:line="219" w:lineRule="auto"/>
        <w:ind w:left="3123"/>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  标  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1F3FE37C">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080417B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43FE38F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63C0E146">
      <w:pPr>
        <w:keepNext w:val="0"/>
        <w:keepLines w:val="0"/>
        <w:pageBreakBefore w:val="0"/>
        <w:wordWrap w:val="0"/>
        <w:overflowPunct/>
        <w:topLinePunct w:val="0"/>
        <w:bidi w:val="0"/>
        <w:spacing w:before="79" w:line="219" w:lineRule="auto"/>
        <w:ind w:left="3121"/>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7619A633">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C3DBDE2">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62989C9">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C04CF09">
      <w:pPr>
        <w:keepNext w:val="0"/>
        <w:keepLines w:val="0"/>
        <w:pageBreakBefore w:val="0"/>
        <w:wordWrap w:val="0"/>
        <w:overflowPunct/>
        <w:topLinePunct w:val="0"/>
        <w:bidi w:val="0"/>
        <w:spacing w:before="78" w:line="219" w:lineRule="auto"/>
        <w:ind w:left="2880"/>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09D735DA">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17D3A11A">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highlight w:val="none"/>
        </w:rPr>
      </w:pPr>
    </w:p>
    <w:p w14:paraId="239E053E">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064FF01">
      <w:pPr>
        <w:keepNext w:val="0"/>
        <w:keepLines w:val="0"/>
        <w:pageBreakBefore w:val="0"/>
        <w:wordWrap w:val="0"/>
        <w:overflowPunct/>
        <w:topLinePunct w:val="0"/>
        <w:bidi w:val="0"/>
        <w:spacing w:before="78" w:line="220" w:lineRule="auto"/>
        <w:ind w:left="4201"/>
        <w:jc w:val="right"/>
        <w:rPr>
          <w:rFonts w:hint="eastAsia" w:ascii="宋体" w:hAnsi="宋体" w:eastAsia="宋体" w:cs="宋体"/>
          <w:color w:val="auto"/>
          <w:spacing w:val="0"/>
          <w:sz w:val="24"/>
          <w:szCs w:val="24"/>
          <w:highlight w:val="none"/>
        </w:rPr>
      </w:pPr>
    </w:p>
    <w:p w14:paraId="09D41A99">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p w14:paraId="339F1D63">
      <w:pPr>
        <w:keepNext w:val="0"/>
        <w:keepLines w:val="0"/>
        <w:pageBreakBefore w:val="0"/>
        <w:wordWrap w:val="0"/>
        <w:overflowPunct/>
        <w:topLinePunct w:val="0"/>
        <w:bidi w:val="0"/>
        <w:spacing w:before="69"/>
        <w:rPr>
          <w:rFonts w:hint="eastAsia" w:ascii="宋体" w:hAnsi="宋体" w:eastAsia="宋体" w:cs="宋体"/>
          <w:color w:val="auto"/>
          <w:spacing w:val="0"/>
          <w:highlight w:val="none"/>
        </w:rPr>
      </w:pPr>
    </w:p>
    <w:tbl>
      <w:tblPr>
        <w:tblStyle w:val="15"/>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61F8201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3BD92DDA">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1D12E42D">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65523525">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7295DF5D">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7B3005C8">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4BC556D9">
            <w:pPr>
              <w:pStyle w:val="28"/>
              <w:keepNext w:val="0"/>
              <w:keepLines w:val="0"/>
              <w:pageBreakBefore w:val="0"/>
              <w:wordWrap w:val="0"/>
              <w:overflowPunct/>
              <w:topLinePunct w:val="0"/>
              <w:bidi w:val="0"/>
              <w:spacing w:line="245" w:lineRule="auto"/>
              <w:rPr>
                <w:rFonts w:hint="eastAsia" w:ascii="宋体" w:hAnsi="宋体" w:eastAsia="宋体" w:cs="宋体"/>
                <w:color w:val="auto"/>
                <w:spacing w:val="0"/>
                <w:highlight w:val="none"/>
              </w:rPr>
            </w:pPr>
          </w:p>
          <w:p w14:paraId="0F0D06AC">
            <w:pPr>
              <w:pStyle w:val="28"/>
              <w:keepNext w:val="0"/>
              <w:keepLines w:val="0"/>
              <w:pageBreakBefore w:val="0"/>
              <w:wordWrap w:val="0"/>
              <w:overflowPunct/>
              <w:topLinePunct w:val="0"/>
              <w:bidi w:val="0"/>
              <w:spacing w:line="246" w:lineRule="auto"/>
              <w:rPr>
                <w:rFonts w:hint="eastAsia" w:ascii="宋体" w:hAnsi="宋体" w:eastAsia="宋体" w:cs="宋体"/>
                <w:color w:val="auto"/>
                <w:spacing w:val="0"/>
                <w:highlight w:val="none"/>
              </w:rPr>
            </w:pPr>
          </w:p>
          <w:p w14:paraId="6F8182F0">
            <w:pPr>
              <w:keepNext w:val="0"/>
              <w:keepLines w:val="0"/>
              <w:pageBreakBefore w:val="0"/>
              <w:wordWrap w:val="0"/>
              <w:overflowPunct/>
              <w:topLinePunct w:val="0"/>
              <w:bidi w:val="0"/>
              <w:spacing w:before="78" w:line="220" w:lineRule="auto"/>
              <w:ind w:left="7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委托代理人身份证</w:t>
            </w:r>
            <w:r>
              <w:rPr>
                <w:rFonts w:hint="eastAsia" w:ascii="宋体" w:hAnsi="宋体" w:eastAsia="宋体" w:cs="宋体"/>
                <w:color w:val="auto"/>
                <w:spacing w:val="0"/>
                <w:sz w:val="24"/>
                <w:szCs w:val="24"/>
                <w:highlight w:val="none"/>
                <w:lang w:val="en-US" w:eastAsia="zh-CN"/>
              </w:rPr>
              <w:t>彩色扫描件</w:t>
            </w:r>
            <w:r>
              <w:rPr>
                <w:rFonts w:hint="eastAsia" w:ascii="宋体" w:hAnsi="宋体" w:eastAsia="宋体" w:cs="宋体"/>
                <w:color w:val="auto"/>
                <w:spacing w:val="0"/>
                <w:sz w:val="24"/>
                <w:szCs w:val="24"/>
                <w:highlight w:val="none"/>
              </w:rPr>
              <w:t>正、反面</w:t>
            </w:r>
          </w:p>
        </w:tc>
      </w:tr>
    </w:tbl>
    <w:p w14:paraId="455830FB">
      <w:pPr>
        <w:pStyle w:val="6"/>
        <w:keepNext w:val="0"/>
        <w:keepLines w:val="0"/>
        <w:pageBreakBefore w:val="0"/>
        <w:wordWrap w:val="0"/>
        <w:overflowPunct/>
        <w:topLinePunct w:val="0"/>
        <w:bidi w:val="0"/>
        <w:rPr>
          <w:rFonts w:hint="eastAsia" w:ascii="宋体" w:hAnsi="宋体" w:eastAsia="宋体" w:cs="宋体"/>
          <w:color w:val="auto"/>
          <w:spacing w:val="0"/>
          <w:highlight w:val="none"/>
        </w:rPr>
      </w:pPr>
    </w:p>
    <w:p w14:paraId="4FDF7422">
      <w:pPr>
        <w:keepNext w:val="0"/>
        <w:keepLines w:val="0"/>
        <w:pageBreakBefore w:val="0"/>
        <w:wordWrap w:val="0"/>
        <w:overflowPunct/>
        <w:topLinePunct w:val="0"/>
        <w:bidi w:val="0"/>
        <w:rPr>
          <w:rFonts w:hint="eastAsia" w:ascii="宋体" w:hAnsi="宋体" w:eastAsia="宋体" w:cs="宋体"/>
          <w:color w:val="auto"/>
          <w:spacing w:val="0"/>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1550756">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27" w:name="_Toc31524"/>
      <w:r>
        <w:rPr>
          <w:rFonts w:hint="eastAsia" w:ascii="宋体" w:hAnsi="宋体" w:eastAsia="宋体" w:cs="宋体"/>
          <w:b/>
          <w:bCs/>
          <w:color w:val="auto"/>
          <w:spacing w:val="0"/>
          <w:sz w:val="24"/>
          <w:szCs w:val="24"/>
          <w:highlight w:val="none"/>
        </w:rPr>
        <w:t>格式五 法定代表人身份证明</w:t>
      </w:r>
      <w:bookmarkEnd w:id="227"/>
    </w:p>
    <w:p w14:paraId="0726C661">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3C8BDF93">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3216759B">
      <w:pPr>
        <w:keepNext w:val="0"/>
        <w:keepLines w:val="0"/>
        <w:pageBreakBefore w:val="0"/>
        <w:wordWrap w:val="0"/>
        <w:overflowPunct/>
        <w:topLinePunct w:val="0"/>
        <w:bidi w:val="0"/>
        <w:spacing w:before="98" w:line="220" w:lineRule="auto"/>
        <w:ind w:left="3183"/>
        <w:rPr>
          <w:rFonts w:hint="eastAsia" w:ascii="宋体" w:hAnsi="宋体" w:eastAsia="宋体" w:cs="宋体"/>
          <w:color w:val="auto"/>
          <w:spacing w:val="0"/>
          <w:sz w:val="30"/>
          <w:szCs w:val="30"/>
          <w:highlight w:val="none"/>
        </w:rPr>
      </w:pPr>
      <w:bookmarkStart w:id="228" w:name="bookmark152"/>
      <w:bookmarkEnd w:id="228"/>
      <w:r>
        <w:rPr>
          <w:rFonts w:hint="eastAsia" w:ascii="宋体" w:hAnsi="宋体" w:eastAsia="宋体" w:cs="宋体"/>
          <w:b/>
          <w:bCs/>
          <w:color w:val="auto"/>
          <w:spacing w:val="0"/>
          <w:sz w:val="30"/>
          <w:szCs w:val="30"/>
          <w:highlight w:val="none"/>
        </w:rPr>
        <w:t>法定代表人身份证明</w:t>
      </w:r>
    </w:p>
    <w:p w14:paraId="511D2E66">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4202308">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A866794">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1223B37A">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投标人名称：</w:t>
      </w:r>
      <w:r>
        <w:rPr>
          <w:rFonts w:hint="eastAsia" w:ascii="宋体" w:hAnsi="宋体" w:eastAsia="宋体" w:cs="宋体"/>
          <w:snapToGrid w:val="0"/>
          <w:color w:val="auto"/>
          <w:spacing w:val="0"/>
          <w:kern w:val="0"/>
          <w:sz w:val="24"/>
          <w:szCs w:val="24"/>
          <w:highlight w:val="none"/>
          <w:u w:val="single"/>
        </w:rPr>
        <w:t xml:space="preserve">                  </w:t>
      </w:r>
    </w:p>
    <w:p w14:paraId="2642C3CF">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u w:val="single"/>
        </w:rPr>
      </w:pPr>
      <w:r>
        <w:rPr>
          <w:rFonts w:hint="eastAsia" w:ascii="宋体" w:hAnsi="宋体" w:eastAsia="宋体" w:cs="宋体"/>
          <w:snapToGrid w:val="0"/>
          <w:color w:val="auto"/>
          <w:spacing w:val="0"/>
          <w:kern w:val="0"/>
          <w:sz w:val="24"/>
          <w:szCs w:val="24"/>
          <w:highlight w:val="none"/>
        </w:rPr>
        <w:t>姓名：</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性别：</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年龄：</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职务：</w:t>
      </w:r>
      <w:r>
        <w:rPr>
          <w:rFonts w:hint="eastAsia" w:ascii="宋体" w:hAnsi="宋体" w:eastAsia="宋体" w:cs="宋体"/>
          <w:snapToGrid w:val="0"/>
          <w:color w:val="auto"/>
          <w:spacing w:val="0"/>
          <w:kern w:val="0"/>
          <w:sz w:val="24"/>
          <w:szCs w:val="24"/>
          <w:highlight w:val="none"/>
          <w:u w:val="single"/>
        </w:rPr>
        <w:t xml:space="preserve">           </w:t>
      </w:r>
    </w:p>
    <w:p w14:paraId="37E18900">
      <w:pPr>
        <w:keepNext w:val="0"/>
        <w:keepLines w:val="0"/>
        <w:pageBreakBefore w:val="0"/>
        <w:wordWrap w:val="0"/>
        <w:overflowPunct/>
        <w:topLinePunct w:val="0"/>
        <w:bidi w:val="0"/>
        <w:adjustRightInd w:val="0"/>
        <w:snapToGrid w:val="0"/>
        <w:spacing w:line="440" w:lineRule="exact"/>
        <w:rPr>
          <w:rFonts w:hint="eastAsia" w:ascii="宋体" w:hAnsi="宋体" w:eastAsia="宋体" w:cs="宋体"/>
          <w:snapToGrid w:val="0"/>
          <w:color w:val="auto"/>
          <w:spacing w:val="0"/>
          <w:kern w:val="0"/>
          <w:sz w:val="24"/>
          <w:szCs w:val="24"/>
          <w:highlight w:val="none"/>
        </w:rPr>
      </w:pPr>
      <w:r>
        <w:rPr>
          <w:rFonts w:hint="eastAsia" w:ascii="宋体" w:hAnsi="宋体" w:eastAsia="宋体" w:cs="宋体"/>
          <w:snapToGrid w:val="0"/>
          <w:color w:val="auto"/>
          <w:spacing w:val="0"/>
          <w:kern w:val="0"/>
          <w:sz w:val="24"/>
          <w:szCs w:val="24"/>
          <w:highlight w:val="none"/>
        </w:rPr>
        <w:t>系</w:t>
      </w:r>
      <w:r>
        <w:rPr>
          <w:rFonts w:hint="eastAsia" w:ascii="宋体" w:hAnsi="宋体" w:eastAsia="宋体" w:cs="宋体"/>
          <w:snapToGrid w:val="0"/>
          <w:color w:val="auto"/>
          <w:spacing w:val="0"/>
          <w:kern w:val="0"/>
          <w:sz w:val="24"/>
          <w:szCs w:val="24"/>
          <w:highlight w:val="none"/>
          <w:u w:val="single"/>
        </w:rPr>
        <w:t xml:space="preserve">                        </w:t>
      </w:r>
      <w:r>
        <w:rPr>
          <w:rFonts w:hint="eastAsia" w:ascii="宋体" w:hAnsi="宋体" w:eastAsia="宋体" w:cs="宋体"/>
          <w:snapToGrid w:val="0"/>
          <w:color w:val="auto"/>
          <w:spacing w:val="0"/>
          <w:kern w:val="0"/>
          <w:sz w:val="24"/>
          <w:szCs w:val="24"/>
          <w:highlight w:val="none"/>
        </w:rPr>
        <w:t>（投标人名称）的法定代表人。</w:t>
      </w:r>
    </w:p>
    <w:p w14:paraId="54F5A894">
      <w:pPr>
        <w:keepNext w:val="0"/>
        <w:keepLines w:val="0"/>
        <w:pageBreakBefore w:val="0"/>
        <w:wordWrap w:val="0"/>
        <w:overflowPunct/>
        <w:topLinePunct w:val="0"/>
        <w:bidi w:val="0"/>
        <w:adjustRightInd w:val="0"/>
        <w:snapToGrid w:val="0"/>
        <w:rPr>
          <w:rFonts w:hint="eastAsia" w:ascii="宋体" w:hAnsi="宋体" w:eastAsia="宋体" w:cs="宋体"/>
          <w:snapToGrid w:val="0"/>
          <w:color w:val="auto"/>
          <w:spacing w:val="0"/>
          <w:kern w:val="0"/>
          <w:szCs w:val="21"/>
          <w:highlight w:val="none"/>
        </w:rPr>
      </w:pPr>
      <w:r>
        <w:rPr>
          <w:rFonts w:hint="eastAsia" w:ascii="宋体" w:hAnsi="宋体" w:eastAsia="宋体" w:cs="宋体"/>
          <w:snapToGrid w:val="0"/>
          <w:color w:val="auto"/>
          <w:spacing w:val="0"/>
          <w:kern w:val="0"/>
          <w:sz w:val="24"/>
          <w:szCs w:val="24"/>
          <w:highlight w:val="none"/>
        </w:rPr>
        <w:t xml:space="preserve">    特此证明。</w:t>
      </w:r>
    </w:p>
    <w:p w14:paraId="7340CB95">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47F1A437">
      <w:pPr>
        <w:pStyle w:val="6"/>
        <w:keepNext w:val="0"/>
        <w:keepLines w:val="0"/>
        <w:pageBreakBefore w:val="0"/>
        <w:wordWrap w:val="0"/>
        <w:overflowPunct/>
        <w:topLinePunct w:val="0"/>
        <w:bidi w:val="0"/>
        <w:spacing w:line="277" w:lineRule="auto"/>
        <w:rPr>
          <w:rFonts w:hint="eastAsia" w:ascii="宋体" w:hAnsi="宋体" w:eastAsia="宋体" w:cs="宋体"/>
          <w:color w:val="auto"/>
          <w:spacing w:val="0"/>
          <w:highlight w:val="none"/>
        </w:rPr>
      </w:pPr>
    </w:p>
    <w:p w14:paraId="5EA2960E">
      <w:pPr>
        <w:pStyle w:val="6"/>
        <w:keepNext w:val="0"/>
        <w:keepLines w:val="0"/>
        <w:pageBreakBefore w:val="0"/>
        <w:wordWrap w:val="0"/>
        <w:overflowPunct/>
        <w:topLinePunct w:val="0"/>
        <w:bidi w:val="0"/>
        <w:spacing w:line="278" w:lineRule="auto"/>
        <w:rPr>
          <w:rFonts w:hint="eastAsia" w:ascii="宋体" w:hAnsi="宋体" w:eastAsia="宋体" w:cs="宋体"/>
          <w:color w:val="auto"/>
          <w:spacing w:val="0"/>
          <w:highlight w:val="none"/>
        </w:rPr>
      </w:pPr>
    </w:p>
    <w:p w14:paraId="190A6473">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43031FCF">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558F6A5C">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1C4D91F0">
      <w:pPr>
        <w:pStyle w:val="6"/>
        <w:keepNext w:val="0"/>
        <w:keepLines w:val="0"/>
        <w:pageBreakBefore w:val="0"/>
        <w:wordWrap w:val="0"/>
        <w:overflowPunct/>
        <w:topLinePunct w:val="0"/>
        <w:bidi w:val="0"/>
        <w:spacing w:line="317" w:lineRule="auto"/>
        <w:jc w:val="right"/>
        <w:rPr>
          <w:rFonts w:hint="eastAsia" w:ascii="宋体" w:hAnsi="宋体" w:eastAsia="宋体" w:cs="宋体"/>
          <w:color w:val="auto"/>
          <w:spacing w:val="0"/>
          <w:highlight w:val="none"/>
        </w:rPr>
      </w:pPr>
    </w:p>
    <w:p w14:paraId="2B0A984A">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13F2B97F">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0DA6F96F">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highlight w:val="none"/>
        </w:rPr>
      </w:pPr>
    </w:p>
    <w:p w14:paraId="3FF8FE06">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ABDD826">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5C7AC6FE">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3B24ACA4">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6F076A86">
      <w:pPr>
        <w:pStyle w:val="6"/>
        <w:keepNext w:val="0"/>
        <w:keepLines w:val="0"/>
        <w:pageBreakBefore w:val="0"/>
        <w:wordWrap w:val="0"/>
        <w:overflowPunct/>
        <w:topLinePunct w:val="0"/>
        <w:bidi w:val="0"/>
        <w:spacing w:line="254" w:lineRule="auto"/>
        <w:rPr>
          <w:rFonts w:hint="eastAsia" w:ascii="宋体" w:hAnsi="宋体" w:eastAsia="宋体" w:cs="宋体"/>
          <w:color w:val="auto"/>
          <w:spacing w:val="0"/>
          <w:highlight w:val="none"/>
        </w:rPr>
      </w:pPr>
    </w:p>
    <w:p w14:paraId="215D821F">
      <w:pPr>
        <w:pStyle w:val="6"/>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36216C9D">
      <w:pPr>
        <w:pStyle w:val="6"/>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53BBDA0">
      <w:pPr>
        <w:pStyle w:val="6"/>
        <w:keepNext w:val="0"/>
        <w:keepLines w:val="0"/>
        <w:pageBreakBefore w:val="0"/>
        <w:wordWrap w:val="0"/>
        <w:overflowPunct/>
        <w:topLinePunct w:val="0"/>
        <w:bidi w:val="0"/>
        <w:spacing w:before="1" w:line="2510" w:lineRule="exact"/>
        <w:ind w:firstLine="2534"/>
        <w:rPr>
          <w:rFonts w:hint="eastAsia" w:ascii="宋体" w:hAnsi="宋体" w:eastAsia="宋体" w:cs="宋体"/>
          <w:color w:val="auto"/>
          <w:spacing w:val="0"/>
          <w:highlight w:val="none"/>
        </w:rPr>
      </w:pPr>
      <w:r>
        <w:rPr>
          <w:rFonts w:hint="eastAsia" w:ascii="宋体" w:hAnsi="宋体" w:eastAsia="宋体" w:cs="宋体"/>
          <w:color w:val="auto"/>
          <w:spacing w:val="0"/>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8"/>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1D464E9C">
                              <w:pPr>
                                <w:spacing w:line="249" w:lineRule="auto"/>
                                <w:rPr>
                                  <w:highlight w:val="none"/>
                                </w:rPr>
                              </w:pPr>
                            </w:p>
                            <w:p w14:paraId="20A58D82">
                              <w:pPr>
                                <w:spacing w:line="249" w:lineRule="auto"/>
                                <w:rPr>
                                  <w:highlight w:val="none"/>
                                </w:rPr>
                              </w:pPr>
                            </w:p>
                            <w:p w14:paraId="08D62A2A">
                              <w:pPr>
                                <w:spacing w:line="249" w:lineRule="auto"/>
                                <w:rPr>
                                  <w:highlight w:val="none"/>
                                </w:rPr>
                              </w:pPr>
                            </w:p>
                            <w:p w14:paraId="1F56D115">
                              <w:pPr>
                                <w:spacing w:line="249" w:lineRule="auto"/>
                                <w:rPr>
                                  <w:highlight w:val="none"/>
                                </w:rPr>
                              </w:pPr>
                            </w:p>
                            <w:p w14:paraId="6F3E53C2">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8"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D464E9C">
                        <w:pPr>
                          <w:spacing w:line="249" w:lineRule="auto"/>
                          <w:rPr>
                            <w:highlight w:val="none"/>
                          </w:rPr>
                        </w:pPr>
                      </w:p>
                      <w:p w14:paraId="20A58D82">
                        <w:pPr>
                          <w:spacing w:line="249" w:lineRule="auto"/>
                          <w:rPr>
                            <w:highlight w:val="none"/>
                          </w:rPr>
                        </w:pPr>
                      </w:p>
                      <w:p w14:paraId="08D62A2A">
                        <w:pPr>
                          <w:spacing w:line="249" w:lineRule="auto"/>
                          <w:rPr>
                            <w:highlight w:val="none"/>
                          </w:rPr>
                        </w:pPr>
                      </w:p>
                      <w:p w14:paraId="1F56D115">
                        <w:pPr>
                          <w:spacing w:line="249" w:lineRule="auto"/>
                          <w:rPr>
                            <w:highlight w:val="none"/>
                          </w:rPr>
                        </w:pPr>
                      </w:p>
                      <w:p w14:paraId="6F3E53C2">
                        <w:pPr>
                          <w:spacing w:before="78" w:line="220" w:lineRule="auto"/>
                          <w:jc w:val="center"/>
                          <w:rPr>
                            <w:rFonts w:ascii="宋体" w:hAnsi="宋体" w:eastAsia="宋体" w:cs="宋体"/>
                            <w:sz w:val="24"/>
                            <w:szCs w:val="24"/>
                            <w:highlight w:val="none"/>
                          </w:rPr>
                        </w:pPr>
                        <w:r>
                          <w:rPr>
                            <w:rFonts w:ascii="宋体" w:hAnsi="宋体" w:eastAsia="宋体" w:cs="宋体"/>
                            <w:spacing w:val="-1"/>
                            <w:sz w:val="24"/>
                            <w:szCs w:val="24"/>
                            <w:highlight w:val="none"/>
                          </w:rPr>
                          <w:t>法定代表人身份证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正、反面</w:t>
                        </w:r>
                      </w:p>
                    </w:txbxContent>
                  </v:textbox>
                </v:shape>
                <w10:wrap type="none"/>
                <w10:anchorlock/>
              </v:group>
            </w:pict>
          </mc:Fallback>
        </mc:AlternateContent>
      </w:r>
    </w:p>
    <w:p w14:paraId="1C0DCE14">
      <w:pPr>
        <w:keepNext w:val="0"/>
        <w:keepLines w:val="0"/>
        <w:pageBreakBefore w:val="0"/>
        <w:wordWrap w:val="0"/>
        <w:overflowPunct/>
        <w:topLinePunct w:val="0"/>
        <w:bidi w:val="0"/>
        <w:spacing w:line="2510" w:lineRule="exact"/>
        <w:rPr>
          <w:rFonts w:hint="eastAsia" w:ascii="宋体" w:hAnsi="宋体" w:eastAsia="宋体" w:cs="宋体"/>
          <w:color w:val="auto"/>
          <w:spacing w:val="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368B660">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lang w:eastAsia="zh-CN"/>
        </w:rPr>
      </w:pPr>
      <w:bookmarkStart w:id="229" w:name="_Toc20900"/>
      <w:r>
        <w:rPr>
          <w:rFonts w:hint="eastAsia" w:ascii="宋体" w:hAnsi="宋体" w:eastAsia="宋体" w:cs="宋体"/>
          <w:b/>
          <w:bCs/>
          <w:color w:val="auto"/>
          <w:spacing w:val="0"/>
          <w:sz w:val="24"/>
          <w:szCs w:val="24"/>
          <w:highlight w:val="none"/>
        </w:rPr>
        <w:t>格式六 联合体协议书</w:t>
      </w:r>
      <w:r>
        <w:rPr>
          <w:rFonts w:hint="eastAsia" w:ascii="宋体" w:hAnsi="宋体" w:eastAsia="宋体" w:cs="宋体"/>
          <w:b/>
          <w:bCs/>
          <w:color w:val="auto"/>
          <w:spacing w:val="0"/>
          <w:sz w:val="24"/>
          <w:szCs w:val="24"/>
          <w:highlight w:val="none"/>
          <w:lang w:eastAsia="zh-CN"/>
        </w:rPr>
        <w:t>（</w:t>
      </w:r>
      <w:r>
        <w:rPr>
          <w:rFonts w:hint="eastAsia" w:ascii="宋体" w:hAnsi="宋体" w:eastAsia="宋体" w:cs="宋体"/>
          <w:b/>
          <w:bCs/>
          <w:color w:val="auto"/>
          <w:spacing w:val="0"/>
          <w:sz w:val="24"/>
          <w:szCs w:val="24"/>
          <w:highlight w:val="none"/>
          <w:lang w:val="en-US" w:eastAsia="zh-CN"/>
        </w:rPr>
        <w:t>如有</w:t>
      </w:r>
      <w:r>
        <w:rPr>
          <w:rFonts w:hint="eastAsia" w:ascii="宋体" w:hAnsi="宋体" w:eastAsia="宋体" w:cs="宋体"/>
          <w:b/>
          <w:bCs/>
          <w:color w:val="auto"/>
          <w:spacing w:val="0"/>
          <w:sz w:val="24"/>
          <w:szCs w:val="24"/>
          <w:highlight w:val="none"/>
          <w:lang w:eastAsia="zh-CN"/>
        </w:rPr>
        <w:t>）</w:t>
      </w:r>
      <w:bookmarkEnd w:id="229"/>
    </w:p>
    <w:p w14:paraId="5C270AAB">
      <w:pPr>
        <w:keepNext w:val="0"/>
        <w:keepLines w:val="0"/>
        <w:pageBreakBefore w:val="0"/>
        <w:wordWrap w:val="0"/>
        <w:overflowPunct/>
        <w:topLinePunct w:val="0"/>
        <w:bidi w:val="0"/>
        <w:spacing w:before="98" w:line="219" w:lineRule="auto"/>
        <w:ind w:left="3638"/>
        <w:rPr>
          <w:rFonts w:hint="eastAsia" w:ascii="宋体" w:hAnsi="宋体" w:eastAsia="宋体" w:cs="宋体"/>
          <w:color w:val="auto"/>
          <w:spacing w:val="0"/>
          <w:sz w:val="30"/>
          <w:szCs w:val="30"/>
          <w:highlight w:val="none"/>
          <w:lang w:eastAsia="zh-CN"/>
        </w:rPr>
      </w:pPr>
      <w:bookmarkStart w:id="230" w:name="bookmark153"/>
      <w:bookmarkEnd w:id="230"/>
      <w:r>
        <w:rPr>
          <w:rFonts w:hint="eastAsia" w:ascii="宋体" w:hAnsi="宋体" w:eastAsia="宋体" w:cs="宋体"/>
          <w:b/>
          <w:bCs/>
          <w:color w:val="auto"/>
          <w:spacing w:val="0"/>
          <w:sz w:val="30"/>
          <w:szCs w:val="30"/>
          <w:highlight w:val="none"/>
        </w:rPr>
        <w:t>联合体协议书</w:t>
      </w:r>
    </w:p>
    <w:p w14:paraId="32DDB961">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174534CA">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牵头人名称： </w:t>
      </w:r>
    </w:p>
    <w:p w14:paraId="67F9BED9">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78F90D53">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175F2522">
      <w:pPr>
        <w:keepNext w:val="0"/>
        <w:keepLines w:val="0"/>
        <w:pageBreakBefore w:val="0"/>
        <w:wordWrap w:val="0"/>
        <w:overflowPunct/>
        <w:topLinePunct w:val="0"/>
        <w:bidi w:val="0"/>
        <w:outlineLvl w:val="9"/>
        <w:rPr>
          <w:rFonts w:hint="eastAsia"/>
          <w:color w:val="auto"/>
          <w:spacing w:val="0"/>
          <w:highlight w:val="none"/>
        </w:rPr>
      </w:pPr>
    </w:p>
    <w:p w14:paraId="43511A5D">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成员二名称： </w:t>
      </w:r>
    </w:p>
    <w:p w14:paraId="6CC84D90">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法定代表人： </w:t>
      </w:r>
    </w:p>
    <w:p w14:paraId="19802A11">
      <w:pPr>
        <w:keepNext w:val="0"/>
        <w:keepLines w:val="0"/>
        <w:pageBreakBefore w:val="0"/>
        <w:widowControl/>
        <w:kinsoku w:val="0"/>
        <w:wordWrap w:val="0"/>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法定住所：</w:t>
      </w:r>
    </w:p>
    <w:p w14:paraId="1179BE61">
      <w:pPr>
        <w:keepNext w:val="0"/>
        <w:keepLines w:val="0"/>
        <w:pageBreakBefore w:val="0"/>
        <w:widowControl/>
        <w:kinsoku w:val="0"/>
        <w:wordWrap w:val="0"/>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p w14:paraId="1B637D7B">
      <w:pPr>
        <w:keepNext w:val="0"/>
        <w:keepLines w:val="0"/>
        <w:pageBreakBefore w:val="0"/>
        <w:widowControl/>
        <w:kinsoku w:val="0"/>
        <w:wordWrap w:val="0"/>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上述各成员单位经过友好协商，自愿组成联合体，共同参加（项目名称）（以下简 称“本项目 ”）的施工投标并争取赢得本项目施工承包合同（以下简称合同）。现就联 合体投标事宜订立如下协议：</w:t>
      </w:r>
    </w:p>
    <w:p w14:paraId="5A82E4DB">
      <w:pPr>
        <w:keepNext w:val="0"/>
        <w:keepLines w:val="0"/>
        <w:pageBreakBefore w:val="0"/>
        <w:widowControl/>
        <w:kinsoku w:val="0"/>
        <w:wordWrap w:val="0"/>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．（某成员单位名称）为联合体牵头人。</w:t>
      </w:r>
    </w:p>
    <w:p w14:paraId="0B81E28F">
      <w:pPr>
        <w:keepNext w:val="0"/>
        <w:keepLines w:val="0"/>
        <w:pageBreakBefore w:val="0"/>
        <w:widowControl/>
        <w:kinsoku w:val="0"/>
        <w:wordWrap w:val="0"/>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14:paraId="725ABFF2">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14:paraId="1B6441EC">
      <w:pPr>
        <w:keepNext w:val="0"/>
        <w:keepLines w:val="0"/>
        <w:pageBreakBefore w:val="0"/>
        <w:widowControl/>
        <w:kinsoku w:val="0"/>
        <w:wordWrap w:val="0"/>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pacing w:val="0"/>
          <w:sz w:val="24"/>
          <w:szCs w:val="24"/>
          <w:highlight w:val="none"/>
        </w:rPr>
      </w:pPr>
      <w:bookmarkStart w:id="231" w:name="_Toc5365"/>
      <w:bookmarkStart w:id="232" w:name="_Toc32149"/>
      <w:r>
        <w:rPr>
          <w:rFonts w:hint="eastAsia" w:ascii="宋体" w:hAnsi="宋体" w:eastAsia="宋体" w:cs="宋体"/>
          <w:color w:val="auto"/>
          <w:spacing w:val="0"/>
          <w:sz w:val="24"/>
          <w:szCs w:val="24"/>
          <w:highlight w:val="none"/>
        </w:rPr>
        <w:t>4 ．联合体各成员单位内部的职责分工如下：。</w:t>
      </w:r>
      <w:bookmarkEnd w:id="231"/>
      <w:bookmarkEnd w:id="232"/>
    </w:p>
    <w:p w14:paraId="35BB1AFF">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．投标工作和联合体在中标后工程实施过程中的有关费用按各自承担的工作量分摊。</w:t>
      </w:r>
    </w:p>
    <w:p w14:paraId="24E1EA6B">
      <w:pPr>
        <w:keepNext w:val="0"/>
        <w:keepLines w:val="0"/>
        <w:pageBreakBefore w:val="0"/>
        <w:widowControl/>
        <w:kinsoku w:val="0"/>
        <w:wordWrap w:val="0"/>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 ．联合体中标后，本联合体协议是合同的附件，对联合体各成员单位有合同约束力。</w:t>
      </w:r>
    </w:p>
    <w:p w14:paraId="4788C7A5">
      <w:pPr>
        <w:keepNext w:val="0"/>
        <w:keepLines w:val="0"/>
        <w:pageBreakBefore w:val="0"/>
        <w:widowControl/>
        <w:kinsoku w:val="0"/>
        <w:wordWrap w:val="0"/>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 ．本协议书自签署之日起生效，联合体未中标或者中标时合同履行完毕后自动失效。</w:t>
      </w:r>
    </w:p>
    <w:p w14:paraId="28D66F40">
      <w:pPr>
        <w:keepNext w:val="0"/>
        <w:keepLines w:val="0"/>
        <w:pageBreakBefore w:val="0"/>
        <w:widowControl/>
        <w:kinsoku w:val="0"/>
        <w:wordWrap w:val="0"/>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pacing w:val="0"/>
          <w:sz w:val="24"/>
          <w:szCs w:val="24"/>
          <w:highlight w:val="none"/>
        </w:rPr>
      </w:pPr>
      <w:bookmarkStart w:id="233" w:name="_Toc22612"/>
      <w:bookmarkStart w:id="234" w:name="_Toc26708"/>
      <w:r>
        <w:rPr>
          <w:rFonts w:hint="eastAsia" w:ascii="宋体" w:hAnsi="宋体" w:eastAsia="宋体" w:cs="宋体"/>
          <w:color w:val="auto"/>
          <w:spacing w:val="0"/>
          <w:sz w:val="24"/>
          <w:szCs w:val="24"/>
          <w:highlight w:val="none"/>
        </w:rPr>
        <w:t>8 ．本协议书一式份，联合体成员和招标人各执一份。</w:t>
      </w:r>
      <w:bookmarkEnd w:id="233"/>
      <w:bookmarkEnd w:id="234"/>
    </w:p>
    <w:p w14:paraId="0967CE09">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bookmarkStart w:id="235" w:name="bookmark154"/>
      <w:bookmarkEnd w:id="235"/>
      <w:r>
        <w:rPr>
          <w:rFonts w:hint="eastAsia" w:ascii="宋体" w:hAnsi="宋体" w:eastAsia="宋体" w:cs="宋体"/>
          <w:color w:val="auto"/>
          <w:spacing w:val="0"/>
          <w:sz w:val="24"/>
          <w:szCs w:val="24"/>
          <w:highlight w:val="none"/>
        </w:rPr>
        <w:t>牵头人名称：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09CDB0A3">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58135828">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33373384">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成员二名称：</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（盖单位章）</w:t>
      </w:r>
    </w:p>
    <w:p w14:paraId="373116C5">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3ED84B44">
      <w:pPr>
        <w:keepNext w:val="0"/>
        <w:keepLines w:val="0"/>
        <w:pageBreakBefore w:val="0"/>
        <w:widowControl/>
        <w:kinsoku w:val="0"/>
        <w:wordWrap w:val="0"/>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snapToGrid w:val="0"/>
          <w:color w:val="auto"/>
          <w:spacing w:val="0"/>
          <w:kern w:val="0"/>
          <w:sz w:val="24"/>
          <w:szCs w:val="24"/>
          <w:highlight w:val="none"/>
          <w:u w:val="single"/>
          <w:lang w:val="en-US" w:eastAsia="zh-CN" w:bidi="ar-SA"/>
        </w:rPr>
        <w:t xml:space="preserve">          </w:t>
      </w:r>
      <w:r>
        <w:rPr>
          <w:rFonts w:hint="eastAsia" w:ascii="宋体" w:hAnsi="宋体" w:eastAsia="宋体" w:cs="宋体"/>
          <w:color w:val="auto"/>
          <w:spacing w:val="0"/>
          <w:sz w:val="24"/>
          <w:szCs w:val="24"/>
          <w:highlight w:val="none"/>
        </w:rPr>
        <w:t>（签字或盖章）</w:t>
      </w:r>
    </w:p>
    <w:p w14:paraId="4594AAFE">
      <w:pPr>
        <w:keepNext w:val="0"/>
        <w:keepLines w:val="0"/>
        <w:pageBreakBefore w:val="0"/>
        <w:wordWrap w:val="0"/>
        <w:overflowPunct/>
        <w:topLinePunct w:val="0"/>
        <w:bidi w:val="0"/>
        <w:spacing w:before="78" w:line="220" w:lineRule="auto"/>
        <w:ind w:left="6730"/>
        <w:jc w:val="right"/>
        <w:rPr>
          <w:rFonts w:hint="eastAsia" w:ascii="宋体" w:hAnsi="宋体" w:eastAsia="宋体" w:cs="宋体"/>
          <w:color w:val="auto"/>
          <w:spacing w:val="0"/>
          <w:sz w:val="24"/>
          <w:szCs w:val="24"/>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357A8718">
      <w:pPr>
        <w:pStyle w:val="6"/>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highlight w:val="none"/>
        </w:rPr>
      </w:pPr>
    </w:p>
    <w:p w14:paraId="1F7440A2">
      <w:pPr>
        <w:keepNext w:val="0"/>
        <w:keepLines w:val="0"/>
        <w:pageBreakBefore w:val="0"/>
        <w:widowControl/>
        <w:kinsoku w:val="0"/>
        <w:wordWrap w:val="0"/>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pacing w:val="0"/>
          <w:sz w:val="20"/>
          <w:szCs w:val="20"/>
          <w:highlight w:val="none"/>
        </w:rPr>
      </w:pPr>
      <w:r>
        <w:rPr>
          <w:rFonts w:hint="eastAsia" w:ascii="宋体" w:hAnsi="宋体" w:eastAsia="宋体" w:cs="宋体"/>
          <w:color w:val="auto"/>
          <w:spacing w:val="0"/>
          <w:sz w:val="20"/>
          <w:szCs w:val="20"/>
          <w:highlight w:val="none"/>
        </w:rPr>
        <w:t>说明：《联合体协议书》 由委托代理人签字或盖章的，应附法定代表人签字或盖章的授权委托书。</w:t>
      </w:r>
    </w:p>
    <w:p w14:paraId="6B8B4908">
      <w:pPr>
        <w:keepNext w:val="0"/>
        <w:keepLines w:val="0"/>
        <w:pageBreakBefore w:val="0"/>
        <w:widowControl/>
        <w:kinsoku w:val="0"/>
        <w:wordWrap w:val="0"/>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pacing w:val="0"/>
          <w:sz w:val="20"/>
          <w:szCs w:val="20"/>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7F3C651">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6" w:name="_Toc6317"/>
      <w:r>
        <w:rPr>
          <w:rFonts w:hint="eastAsia" w:ascii="宋体" w:hAnsi="宋体" w:eastAsia="宋体" w:cs="宋体"/>
          <w:b/>
          <w:bCs/>
          <w:color w:val="auto"/>
          <w:spacing w:val="0"/>
          <w:sz w:val="24"/>
          <w:szCs w:val="24"/>
          <w:highlight w:val="none"/>
        </w:rPr>
        <w:t>格式七 投标人基本情况表</w:t>
      </w:r>
      <w:bookmarkEnd w:id="236"/>
    </w:p>
    <w:p w14:paraId="3883713D">
      <w:pPr>
        <w:keepNext w:val="0"/>
        <w:keepLines w:val="0"/>
        <w:pageBreakBefore w:val="0"/>
        <w:wordWrap w:val="0"/>
        <w:overflowPunct/>
        <w:topLinePunct w:val="0"/>
        <w:bidi w:val="0"/>
        <w:spacing w:before="333" w:line="219" w:lineRule="auto"/>
        <w:ind w:left="3350"/>
        <w:rPr>
          <w:rFonts w:hint="eastAsia" w:ascii="宋体" w:hAnsi="宋体" w:eastAsia="宋体" w:cs="宋体"/>
          <w:color w:val="auto"/>
          <w:spacing w:val="0"/>
          <w:sz w:val="30"/>
          <w:szCs w:val="30"/>
          <w:highlight w:val="none"/>
        </w:rPr>
      </w:pPr>
      <w:r>
        <w:rPr>
          <w:rFonts w:hint="eastAsia" w:ascii="宋体" w:hAnsi="宋体" w:eastAsia="宋体" w:cs="宋体"/>
          <w:b/>
          <w:bCs/>
          <w:color w:val="auto"/>
          <w:spacing w:val="0"/>
          <w:sz w:val="30"/>
          <w:szCs w:val="30"/>
          <w:highlight w:val="none"/>
        </w:rPr>
        <w:t>投标人基本情况表</w:t>
      </w:r>
    </w:p>
    <w:p w14:paraId="76BA02F4">
      <w:pPr>
        <w:keepNext w:val="0"/>
        <w:keepLines w:val="0"/>
        <w:pageBreakBefore w:val="0"/>
        <w:wordWrap w:val="0"/>
        <w:overflowPunct/>
        <w:topLinePunct w:val="0"/>
        <w:bidi w:val="0"/>
        <w:spacing w:line="239" w:lineRule="exact"/>
        <w:rPr>
          <w:rFonts w:hint="eastAsia" w:ascii="宋体" w:hAnsi="宋体" w:eastAsia="宋体" w:cs="宋体"/>
          <w:color w:val="auto"/>
          <w:spacing w:val="0"/>
          <w:highlight w:val="none"/>
        </w:rPr>
      </w:pPr>
    </w:p>
    <w:tbl>
      <w:tblPr>
        <w:tblStyle w:val="15"/>
        <w:tblW w:w="9259" w:type="dxa"/>
        <w:tblInd w:w="2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1607D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6EF8B15F">
            <w:pPr>
              <w:keepNext w:val="0"/>
              <w:keepLines w:val="0"/>
              <w:pageBreakBefore w:val="0"/>
              <w:widowControl/>
              <w:kinsoku w:val="0"/>
              <w:wordWrap w:val="0"/>
              <w:overflowPunct/>
              <w:topLinePunct w:val="0"/>
              <w:autoSpaceDE w:val="0"/>
              <w:autoSpaceDN w:val="0"/>
              <w:bidi w:val="0"/>
              <w:adjustRightInd w:val="0"/>
              <w:snapToGrid w:val="0"/>
              <w:spacing w:before="149"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投标人名称</w:t>
            </w:r>
          </w:p>
        </w:tc>
        <w:tc>
          <w:tcPr>
            <w:tcW w:w="7639" w:type="dxa"/>
            <w:gridSpan w:val="8"/>
            <w:vAlign w:val="center"/>
          </w:tcPr>
          <w:p w14:paraId="14589BCD">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D441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B4D7EDE">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注册地址</w:t>
            </w:r>
          </w:p>
        </w:tc>
        <w:tc>
          <w:tcPr>
            <w:tcW w:w="3684" w:type="dxa"/>
            <w:gridSpan w:val="3"/>
            <w:vAlign w:val="center"/>
          </w:tcPr>
          <w:p w14:paraId="0030132C">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543D1C4F">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邮政编码</w:t>
            </w:r>
          </w:p>
        </w:tc>
        <w:tc>
          <w:tcPr>
            <w:tcW w:w="2601" w:type="dxa"/>
            <w:gridSpan w:val="3"/>
            <w:vAlign w:val="center"/>
          </w:tcPr>
          <w:p w14:paraId="0F970975">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02172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restart"/>
            <w:tcBorders>
              <w:bottom w:val="nil"/>
            </w:tcBorders>
            <w:vAlign w:val="center"/>
          </w:tcPr>
          <w:p w14:paraId="3CEF8468">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联系方式</w:t>
            </w:r>
          </w:p>
        </w:tc>
        <w:tc>
          <w:tcPr>
            <w:tcW w:w="975" w:type="dxa"/>
            <w:vAlign w:val="center"/>
          </w:tcPr>
          <w:p w14:paraId="5D57149C">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联系人</w:t>
            </w:r>
          </w:p>
        </w:tc>
        <w:tc>
          <w:tcPr>
            <w:tcW w:w="2709" w:type="dxa"/>
            <w:gridSpan w:val="2"/>
            <w:vAlign w:val="center"/>
          </w:tcPr>
          <w:p w14:paraId="4CC0665A">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7D215618">
            <w:pPr>
              <w:keepNext w:val="0"/>
              <w:keepLines w:val="0"/>
              <w:pageBreakBefore w:val="0"/>
              <w:widowControl/>
              <w:kinsoku w:val="0"/>
              <w:wordWrap w:val="0"/>
              <w:overflowPunct/>
              <w:topLinePunct w:val="0"/>
              <w:autoSpaceDE w:val="0"/>
              <w:autoSpaceDN w:val="0"/>
              <w:bidi w:val="0"/>
              <w:adjustRightInd w:val="0"/>
              <w:snapToGrid w:val="0"/>
              <w:spacing w:before="145"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  话</w:t>
            </w:r>
          </w:p>
        </w:tc>
        <w:tc>
          <w:tcPr>
            <w:tcW w:w="2601" w:type="dxa"/>
            <w:gridSpan w:val="3"/>
            <w:vAlign w:val="center"/>
          </w:tcPr>
          <w:p w14:paraId="29B76228">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4095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Merge w:val="continue"/>
            <w:tcBorders>
              <w:top w:val="nil"/>
            </w:tcBorders>
            <w:vAlign w:val="center"/>
          </w:tcPr>
          <w:p w14:paraId="026B78F0">
            <w:pPr>
              <w:pStyle w:val="28"/>
              <w:keepNext w:val="0"/>
              <w:keepLines w:val="0"/>
              <w:pageBreakBefore w:val="0"/>
              <w:widowControl/>
              <w:kinsoku w:val="0"/>
              <w:wordWrap w:val="0"/>
              <w:overflowPunct/>
              <w:topLinePunct w:val="0"/>
              <w:autoSpaceDE w:val="0"/>
              <w:autoSpaceDN w:val="0"/>
              <w:bidi w:val="0"/>
              <w:adjustRightInd w:val="0"/>
              <w:snapToGrid w:val="0"/>
              <w:spacing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975" w:type="dxa"/>
            <w:vAlign w:val="center"/>
          </w:tcPr>
          <w:p w14:paraId="1580F4F0">
            <w:pPr>
              <w:keepNext w:val="0"/>
              <w:keepLines w:val="0"/>
              <w:pageBreakBefore w:val="0"/>
              <w:widowControl/>
              <w:kinsoku w:val="0"/>
              <w:wordWrap w:val="0"/>
              <w:overflowPunct/>
              <w:topLinePunct w:val="0"/>
              <w:autoSpaceDE w:val="0"/>
              <w:autoSpaceDN w:val="0"/>
              <w:bidi w:val="0"/>
              <w:adjustRightInd w:val="0"/>
              <w:snapToGrid w:val="0"/>
              <w:spacing w:before="143"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传  真</w:t>
            </w:r>
          </w:p>
        </w:tc>
        <w:tc>
          <w:tcPr>
            <w:tcW w:w="2709" w:type="dxa"/>
            <w:gridSpan w:val="2"/>
            <w:vAlign w:val="center"/>
          </w:tcPr>
          <w:p w14:paraId="1BEEA8B8">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354" w:type="dxa"/>
            <w:gridSpan w:val="2"/>
            <w:vAlign w:val="center"/>
          </w:tcPr>
          <w:p w14:paraId="14B24F33">
            <w:pPr>
              <w:keepNext w:val="0"/>
              <w:keepLines w:val="0"/>
              <w:pageBreakBefore w:val="0"/>
              <w:widowControl/>
              <w:kinsoku w:val="0"/>
              <w:wordWrap w:val="0"/>
              <w:overflowPunct/>
              <w:topLinePunct w:val="0"/>
              <w:autoSpaceDE w:val="0"/>
              <w:autoSpaceDN w:val="0"/>
              <w:bidi w:val="0"/>
              <w:adjustRightInd w:val="0"/>
              <w:snapToGrid w:val="0"/>
              <w:spacing w:before="14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电子邮箱</w:t>
            </w:r>
          </w:p>
        </w:tc>
        <w:tc>
          <w:tcPr>
            <w:tcW w:w="2601" w:type="dxa"/>
            <w:gridSpan w:val="3"/>
            <w:vAlign w:val="center"/>
          </w:tcPr>
          <w:p w14:paraId="6A57856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3642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3AC78AB">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单位性质</w:t>
            </w:r>
          </w:p>
        </w:tc>
        <w:tc>
          <w:tcPr>
            <w:tcW w:w="7639" w:type="dxa"/>
            <w:gridSpan w:val="8"/>
            <w:vAlign w:val="center"/>
          </w:tcPr>
          <w:p w14:paraId="29EB3DE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7D38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D1495F6">
            <w:pPr>
              <w:keepNext w:val="0"/>
              <w:keepLines w:val="0"/>
              <w:pageBreakBefore w:val="0"/>
              <w:widowControl/>
              <w:kinsoku w:val="0"/>
              <w:wordWrap w:val="0"/>
              <w:overflowPunct/>
              <w:topLinePunct w:val="0"/>
              <w:autoSpaceDE w:val="0"/>
              <w:autoSpaceDN w:val="0"/>
              <w:bidi w:val="0"/>
              <w:adjustRightInd w:val="0"/>
              <w:snapToGrid w:val="0"/>
              <w:spacing w:before="144"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法定代表人</w:t>
            </w:r>
          </w:p>
        </w:tc>
        <w:tc>
          <w:tcPr>
            <w:tcW w:w="975" w:type="dxa"/>
            <w:vAlign w:val="center"/>
          </w:tcPr>
          <w:p w14:paraId="53555EEA">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姓名</w:t>
            </w:r>
          </w:p>
        </w:tc>
        <w:tc>
          <w:tcPr>
            <w:tcW w:w="1837" w:type="dxa"/>
            <w:vAlign w:val="center"/>
          </w:tcPr>
          <w:p w14:paraId="18E72021">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Align w:val="center"/>
          </w:tcPr>
          <w:p w14:paraId="09550DDF">
            <w:pPr>
              <w:keepNext w:val="0"/>
              <w:keepLines w:val="0"/>
              <w:pageBreakBefore w:val="0"/>
              <w:widowControl/>
              <w:kinsoku w:val="0"/>
              <w:wordWrap w:val="0"/>
              <w:overflowPunct/>
              <w:topLinePunct w:val="0"/>
              <w:autoSpaceDE w:val="0"/>
              <w:autoSpaceDN w:val="0"/>
              <w:bidi w:val="0"/>
              <w:adjustRightInd w:val="0"/>
              <w:snapToGrid w:val="0"/>
              <w:spacing w:before="144"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技术职称</w:t>
            </w:r>
          </w:p>
        </w:tc>
        <w:tc>
          <w:tcPr>
            <w:tcW w:w="1326" w:type="dxa"/>
            <w:gridSpan w:val="2"/>
            <w:vAlign w:val="center"/>
          </w:tcPr>
          <w:p w14:paraId="0A1D707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770" w:type="dxa"/>
            <w:vAlign w:val="center"/>
          </w:tcPr>
          <w:p w14:paraId="40E8BE67">
            <w:pPr>
              <w:keepNext w:val="0"/>
              <w:keepLines w:val="0"/>
              <w:pageBreakBefore w:val="0"/>
              <w:widowControl/>
              <w:kinsoku w:val="0"/>
              <w:wordWrap w:val="0"/>
              <w:overflowPunct/>
              <w:topLinePunct w:val="0"/>
              <w:autoSpaceDE w:val="0"/>
              <w:autoSpaceDN w:val="0"/>
              <w:bidi w:val="0"/>
              <w:adjustRightInd w:val="0"/>
              <w:snapToGrid w:val="0"/>
              <w:spacing w:before="143" w:line="231"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电话</w:t>
            </w:r>
          </w:p>
        </w:tc>
        <w:tc>
          <w:tcPr>
            <w:tcW w:w="1548" w:type="dxa"/>
            <w:vAlign w:val="center"/>
          </w:tcPr>
          <w:p w14:paraId="681BBCDB">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445C9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385668B">
            <w:pPr>
              <w:keepNext w:val="0"/>
              <w:keepLines w:val="0"/>
              <w:pageBreakBefore w:val="0"/>
              <w:widowControl/>
              <w:kinsoku w:val="0"/>
              <w:wordWrap w:val="0"/>
              <w:overflowPunct/>
              <w:topLinePunct w:val="0"/>
              <w:autoSpaceDE w:val="0"/>
              <w:autoSpaceDN w:val="0"/>
              <w:bidi w:val="0"/>
              <w:adjustRightInd w:val="0"/>
              <w:snapToGrid w:val="0"/>
              <w:spacing w:before="14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成立时间</w:t>
            </w:r>
          </w:p>
        </w:tc>
        <w:tc>
          <w:tcPr>
            <w:tcW w:w="2812" w:type="dxa"/>
            <w:gridSpan w:val="2"/>
            <w:vAlign w:val="center"/>
          </w:tcPr>
          <w:p w14:paraId="5A38A702">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4827" w:type="dxa"/>
            <w:gridSpan w:val="6"/>
            <w:vAlign w:val="center"/>
          </w:tcPr>
          <w:p w14:paraId="6C99262E">
            <w:pPr>
              <w:keepNext w:val="0"/>
              <w:keepLines w:val="0"/>
              <w:pageBreakBefore w:val="0"/>
              <w:widowControl/>
              <w:kinsoku w:val="0"/>
              <w:wordWrap w:val="0"/>
              <w:overflowPunct/>
              <w:topLinePunct w:val="0"/>
              <w:autoSpaceDE w:val="0"/>
              <w:autoSpaceDN w:val="0"/>
              <w:bidi w:val="0"/>
              <w:adjustRightInd w:val="0"/>
              <w:snapToGrid w:val="0"/>
              <w:spacing w:before="145"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员工总人数（个）：</w:t>
            </w:r>
          </w:p>
        </w:tc>
      </w:tr>
      <w:tr w14:paraId="4B1B3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2BB33139">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企业资质  </w:t>
            </w:r>
          </w:p>
          <w:p w14:paraId="3928B24B">
            <w:pPr>
              <w:keepNext w:val="0"/>
              <w:keepLines w:val="0"/>
              <w:pageBreakBefore w:val="0"/>
              <w:widowControl/>
              <w:kinsoku w:val="0"/>
              <w:wordWrap w:val="0"/>
              <w:overflowPunct/>
              <w:topLinePunct w:val="0"/>
              <w:autoSpaceDE w:val="0"/>
              <w:autoSpaceDN w:val="0"/>
              <w:bidi w:val="0"/>
              <w:adjustRightInd w:val="0"/>
              <w:snapToGrid w:val="0"/>
              <w:spacing w:before="61"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类型和等级</w:t>
            </w:r>
          </w:p>
        </w:tc>
        <w:tc>
          <w:tcPr>
            <w:tcW w:w="2812" w:type="dxa"/>
            <w:gridSpan w:val="2"/>
            <w:vAlign w:val="center"/>
          </w:tcPr>
          <w:p w14:paraId="467DA98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restart"/>
            <w:tcBorders>
              <w:bottom w:val="nil"/>
            </w:tcBorders>
            <w:vAlign w:val="center"/>
          </w:tcPr>
          <w:p w14:paraId="130DF667">
            <w:pPr>
              <w:keepNext w:val="0"/>
              <w:keepLines w:val="0"/>
              <w:pageBreakBefore w:val="0"/>
              <w:widowControl/>
              <w:kinsoku w:val="0"/>
              <w:wordWrap w:val="0"/>
              <w:overflowPunct/>
              <w:topLinePunct w:val="0"/>
              <w:autoSpaceDE w:val="0"/>
              <w:autoSpaceDN w:val="0"/>
              <w:bidi w:val="0"/>
              <w:adjustRightInd w:val="0"/>
              <w:snapToGrid w:val="0"/>
              <w:spacing w:before="65"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其中</w:t>
            </w:r>
          </w:p>
        </w:tc>
        <w:tc>
          <w:tcPr>
            <w:tcW w:w="2096" w:type="dxa"/>
            <w:gridSpan w:val="3"/>
            <w:vAlign w:val="center"/>
          </w:tcPr>
          <w:p w14:paraId="1767D4FB">
            <w:pPr>
              <w:keepNext w:val="0"/>
              <w:keepLines w:val="0"/>
              <w:pageBreakBefore w:val="0"/>
              <w:widowControl/>
              <w:kinsoku w:val="0"/>
              <w:wordWrap w:val="0"/>
              <w:overflowPunct/>
              <w:topLinePunct w:val="0"/>
              <w:autoSpaceDE w:val="0"/>
              <w:autoSpaceDN w:val="0"/>
              <w:bidi w:val="0"/>
              <w:adjustRightInd w:val="0"/>
              <w:snapToGrid w:val="0"/>
              <w:spacing w:before="214"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项目经理</w:t>
            </w:r>
          </w:p>
        </w:tc>
        <w:tc>
          <w:tcPr>
            <w:tcW w:w="1548" w:type="dxa"/>
            <w:vAlign w:val="center"/>
          </w:tcPr>
          <w:p w14:paraId="78172C7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44BA1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78541C3">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营业执照号</w:t>
            </w:r>
          </w:p>
        </w:tc>
        <w:tc>
          <w:tcPr>
            <w:tcW w:w="2812" w:type="dxa"/>
            <w:gridSpan w:val="2"/>
            <w:vAlign w:val="center"/>
          </w:tcPr>
          <w:p w14:paraId="1BE594FE">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25BD5062">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4F495599">
            <w:pPr>
              <w:keepNext w:val="0"/>
              <w:keepLines w:val="0"/>
              <w:pageBreakBefore w:val="0"/>
              <w:widowControl/>
              <w:kinsoku w:val="0"/>
              <w:wordWrap w:val="0"/>
              <w:overflowPunct/>
              <w:topLinePunct w:val="0"/>
              <w:autoSpaceDE w:val="0"/>
              <w:autoSpaceDN w:val="0"/>
              <w:bidi w:val="0"/>
              <w:adjustRightInd w:val="0"/>
              <w:snapToGrid w:val="0"/>
              <w:spacing w:before="146"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高级职称人员</w:t>
            </w:r>
          </w:p>
        </w:tc>
        <w:tc>
          <w:tcPr>
            <w:tcW w:w="1548" w:type="dxa"/>
            <w:vAlign w:val="center"/>
          </w:tcPr>
          <w:p w14:paraId="6333D9F5">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23B9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31209485">
            <w:pPr>
              <w:keepNext w:val="0"/>
              <w:keepLines w:val="0"/>
              <w:pageBreakBefore w:val="0"/>
              <w:widowControl/>
              <w:kinsoku w:val="0"/>
              <w:wordWrap w:val="0"/>
              <w:overflowPunct/>
              <w:topLinePunct w:val="0"/>
              <w:autoSpaceDE w:val="0"/>
              <w:autoSpaceDN w:val="0"/>
              <w:bidi w:val="0"/>
              <w:adjustRightInd w:val="0"/>
              <w:snapToGrid w:val="0"/>
              <w:spacing w:before="146"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注册资金</w:t>
            </w:r>
          </w:p>
        </w:tc>
        <w:tc>
          <w:tcPr>
            <w:tcW w:w="2812" w:type="dxa"/>
            <w:gridSpan w:val="2"/>
            <w:vAlign w:val="center"/>
          </w:tcPr>
          <w:p w14:paraId="295E3673">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57CA7C7D">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136FCE83">
            <w:pPr>
              <w:keepNext w:val="0"/>
              <w:keepLines w:val="0"/>
              <w:pageBreakBefore w:val="0"/>
              <w:widowControl/>
              <w:kinsoku w:val="0"/>
              <w:wordWrap w:val="0"/>
              <w:overflowPunct/>
              <w:topLinePunct w:val="0"/>
              <w:autoSpaceDE w:val="0"/>
              <w:autoSpaceDN w:val="0"/>
              <w:bidi w:val="0"/>
              <w:adjustRightInd w:val="0"/>
              <w:snapToGrid w:val="0"/>
              <w:spacing w:before="147" w:line="229"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中级职称人员</w:t>
            </w:r>
          </w:p>
        </w:tc>
        <w:tc>
          <w:tcPr>
            <w:tcW w:w="1548" w:type="dxa"/>
            <w:vAlign w:val="center"/>
          </w:tcPr>
          <w:p w14:paraId="510FE84F">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1B181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50DE22A6">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2EB25329">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开户银行</w:t>
            </w:r>
          </w:p>
        </w:tc>
        <w:tc>
          <w:tcPr>
            <w:tcW w:w="2812" w:type="dxa"/>
            <w:gridSpan w:val="2"/>
            <w:vAlign w:val="center"/>
          </w:tcPr>
          <w:p w14:paraId="2C062370">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bottom w:val="nil"/>
            </w:tcBorders>
            <w:vAlign w:val="center"/>
          </w:tcPr>
          <w:p w14:paraId="4CD1B56B">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0DB4DB46">
            <w:pPr>
              <w:keepNext w:val="0"/>
              <w:keepLines w:val="0"/>
              <w:pageBreakBefore w:val="0"/>
              <w:widowControl/>
              <w:kinsoku w:val="0"/>
              <w:wordWrap w:val="0"/>
              <w:overflowPunct/>
              <w:topLinePunct w:val="0"/>
              <w:autoSpaceDE w:val="0"/>
              <w:autoSpaceDN w:val="0"/>
              <w:bidi w:val="0"/>
              <w:adjustRightInd w:val="0"/>
              <w:snapToGrid w:val="0"/>
              <w:spacing w:before="191"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初级职称人员</w:t>
            </w:r>
          </w:p>
        </w:tc>
        <w:tc>
          <w:tcPr>
            <w:tcW w:w="1548" w:type="dxa"/>
            <w:vAlign w:val="center"/>
          </w:tcPr>
          <w:p w14:paraId="7CDA78E5">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6CB8C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4CA499D6">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 xml:space="preserve">基本账户 </w:t>
            </w:r>
          </w:p>
          <w:p w14:paraId="29CFAC8B">
            <w:pPr>
              <w:keepNext w:val="0"/>
              <w:keepLines w:val="0"/>
              <w:pageBreakBefore w:val="0"/>
              <w:widowControl/>
              <w:kinsoku w:val="0"/>
              <w:wordWrap w:val="0"/>
              <w:overflowPunct/>
              <w:topLinePunct w:val="0"/>
              <w:autoSpaceDE w:val="0"/>
              <w:autoSpaceDN w:val="0"/>
              <w:bidi w:val="0"/>
              <w:adjustRightInd w:val="0"/>
              <w:snapToGrid w:val="0"/>
              <w:spacing w:before="62"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银行账号</w:t>
            </w:r>
          </w:p>
        </w:tc>
        <w:tc>
          <w:tcPr>
            <w:tcW w:w="2812" w:type="dxa"/>
            <w:gridSpan w:val="2"/>
            <w:vAlign w:val="center"/>
          </w:tcPr>
          <w:p w14:paraId="331AE37A">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1183" w:type="dxa"/>
            <w:gridSpan w:val="2"/>
            <w:vMerge w:val="continue"/>
            <w:tcBorders>
              <w:top w:val="nil"/>
            </w:tcBorders>
            <w:vAlign w:val="center"/>
          </w:tcPr>
          <w:p w14:paraId="1E04A7E8">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c>
          <w:tcPr>
            <w:tcW w:w="2096" w:type="dxa"/>
            <w:gridSpan w:val="3"/>
            <w:vAlign w:val="center"/>
          </w:tcPr>
          <w:p w14:paraId="0CA13977">
            <w:pPr>
              <w:keepNext w:val="0"/>
              <w:keepLines w:val="0"/>
              <w:pageBreakBefore w:val="0"/>
              <w:widowControl/>
              <w:kinsoku w:val="0"/>
              <w:wordWrap w:val="0"/>
              <w:overflowPunct/>
              <w:topLinePunct w:val="0"/>
              <w:autoSpaceDE w:val="0"/>
              <w:autoSpaceDN w:val="0"/>
              <w:bidi w:val="0"/>
              <w:adjustRightInd w:val="0"/>
              <w:snapToGrid w:val="0"/>
              <w:spacing w:before="211" w:line="228"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技术员</w:t>
            </w:r>
          </w:p>
        </w:tc>
        <w:tc>
          <w:tcPr>
            <w:tcW w:w="1548" w:type="dxa"/>
            <w:vAlign w:val="center"/>
          </w:tcPr>
          <w:p w14:paraId="0E115D31">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F53D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7CFDBBB">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经营范围</w:t>
            </w:r>
          </w:p>
        </w:tc>
        <w:tc>
          <w:tcPr>
            <w:tcW w:w="7639" w:type="dxa"/>
            <w:gridSpan w:val="8"/>
            <w:vAlign w:val="center"/>
          </w:tcPr>
          <w:p w14:paraId="19D6286B">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r w14:paraId="3066B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01A7914E">
            <w:pPr>
              <w:keepNext w:val="0"/>
              <w:keepLines w:val="0"/>
              <w:pageBreakBefore w:val="0"/>
              <w:widowControl/>
              <w:kinsoku w:val="0"/>
              <w:wordWrap w:val="0"/>
              <w:overflowPunct/>
              <w:topLinePunct w:val="0"/>
              <w:autoSpaceDE w:val="0"/>
              <w:autoSpaceDN w:val="0"/>
              <w:bidi w:val="0"/>
              <w:adjustRightInd w:val="0"/>
              <w:snapToGrid w:val="0"/>
              <w:spacing w:before="65" w:line="24" w:lineRule="atLeast"/>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关联企业情况</w:t>
            </w:r>
          </w:p>
        </w:tc>
        <w:tc>
          <w:tcPr>
            <w:tcW w:w="7639" w:type="dxa"/>
            <w:gridSpan w:val="8"/>
            <w:vAlign w:val="center"/>
          </w:tcPr>
          <w:p w14:paraId="2B67045A">
            <w:pPr>
              <w:keepNext w:val="0"/>
              <w:keepLines w:val="0"/>
              <w:pageBreakBefore w:val="0"/>
              <w:widowControl/>
              <w:kinsoku w:val="0"/>
              <w:wordWrap w:val="0"/>
              <w:overflowPunct/>
              <w:topLinePunct w:val="0"/>
              <w:autoSpaceDE w:val="0"/>
              <w:autoSpaceDN w:val="0"/>
              <w:bidi w:val="0"/>
              <w:adjustRightInd w:val="0"/>
              <w:snapToGrid w:val="0"/>
              <w:spacing w:before="168"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包括但不限于与投标人存在以下关系的不同单位：</w:t>
            </w:r>
          </w:p>
          <w:p w14:paraId="65D884EF">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1 ．法定代表人为同一人的。</w:t>
            </w:r>
          </w:p>
          <w:p w14:paraId="36492BCE">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2 ．存在控股、管理关系的。</w:t>
            </w:r>
          </w:p>
          <w:p w14:paraId="0EBD7174">
            <w:pPr>
              <w:keepNext w:val="0"/>
              <w:keepLines w:val="0"/>
              <w:pageBreakBefore w:val="0"/>
              <w:widowControl/>
              <w:kinsoku w:val="0"/>
              <w:wordWrap w:val="0"/>
              <w:overflowPunct/>
              <w:topLinePunct w:val="0"/>
              <w:autoSpaceDE w:val="0"/>
              <w:autoSpaceDN w:val="0"/>
              <w:bidi w:val="0"/>
              <w:adjustRightInd w:val="0"/>
              <w:snapToGrid w:val="0"/>
              <w:spacing w:before="81" w:line="228" w:lineRule="auto"/>
              <w:ind w:left="0" w:right="0"/>
              <w:jc w:val="both"/>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3 ．主要人员相互任职的。</w:t>
            </w:r>
          </w:p>
        </w:tc>
      </w:tr>
      <w:tr w14:paraId="1679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20" w:type="dxa"/>
            <w:vAlign w:val="center"/>
          </w:tcPr>
          <w:p w14:paraId="1EACEE75">
            <w:pPr>
              <w:keepNext w:val="0"/>
              <w:keepLines w:val="0"/>
              <w:pageBreakBefore w:val="0"/>
              <w:widowControl/>
              <w:kinsoku w:val="0"/>
              <w:wordWrap w:val="0"/>
              <w:overflowPunct/>
              <w:topLinePunct w:val="0"/>
              <w:autoSpaceDE w:val="0"/>
              <w:autoSpaceDN w:val="0"/>
              <w:bidi w:val="0"/>
              <w:adjustRightInd w:val="0"/>
              <w:snapToGrid w:val="0"/>
              <w:spacing w:before="235" w:line="230" w:lineRule="auto"/>
              <w:ind w:left="0" w:right="0"/>
              <w:jc w:val="center"/>
              <w:textAlignment w:val="baseline"/>
              <w:rPr>
                <w:rFonts w:hint="eastAsia" w:asciiTheme="minorEastAsia" w:hAnsiTheme="minorEastAsia" w:eastAsiaTheme="minorEastAsia" w:cstheme="minorEastAsia"/>
                <w:color w:val="auto"/>
                <w:spacing w:val="0"/>
                <w:sz w:val="24"/>
                <w:szCs w:val="24"/>
                <w:highlight w:val="none"/>
              </w:rPr>
            </w:pPr>
            <w:r>
              <w:rPr>
                <w:rFonts w:hint="eastAsia" w:asciiTheme="minorEastAsia" w:hAnsiTheme="minorEastAsia" w:eastAsiaTheme="minorEastAsia" w:cstheme="minorEastAsia"/>
                <w:color w:val="auto"/>
                <w:spacing w:val="0"/>
                <w:sz w:val="24"/>
                <w:szCs w:val="24"/>
                <w:highlight w:val="none"/>
              </w:rPr>
              <w:t>备注</w:t>
            </w:r>
          </w:p>
        </w:tc>
        <w:tc>
          <w:tcPr>
            <w:tcW w:w="7639" w:type="dxa"/>
            <w:gridSpan w:val="8"/>
            <w:vAlign w:val="center"/>
          </w:tcPr>
          <w:p w14:paraId="311B57E4">
            <w:pPr>
              <w:pStyle w:val="28"/>
              <w:keepNext w:val="0"/>
              <w:keepLines w:val="0"/>
              <w:pageBreakBefore w:val="0"/>
              <w:widowControl/>
              <w:kinsoku w:val="0"/>
              <w:wordWrap w:val="0"/>
              <w:overflowPunct/>
              <w:topLinePunct w:val="0"/>
              <w:autoSpaceDE w:val="0"/>
              <w:autoSpaceDN w:val="0"/>
              <w:bidi w:val="0"/>
              <w:adjustRightInd w:val="0"/>
              <w:snapToGrid w:val="0"/>
              <w:ind w:left="0" w:right="0"/>
              <w:jc w:val="center"/>
              <w:textAlignment w:val="baseline"/>
              <w:rPr>
                <w:rFonts w:hint="eastAsia" w:asciiTheme="minorEastAsia" w:hAnsiTheme="minorEastAsia" w:eastAsiaTheme="minorEastAsia" w:cstheme="minorEastAsia"/>
                <w:color w:val="auto"/>
                <w:spacing w:val="0"/>
                <w:sz w:val="24"/>
                <w:szCs w:val="24"/>
                <w:highlight w:val="none"/>
              </w:rPr>
            </w:pPr>
          </w:p>
        </w:tc>
      </w:tr>
    </w:tbl>
    <w:p w14:paraId="749E9D6E">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p>
    <w:p w14:paraId="7194EFCD">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说明：</w:t>
      </w:r>
    </w:p>
    <w:p w14:paraId="2AFD925D">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outlineLvl w:val="9"/>
        <w:rPr>
          <w:rFonts w:hint="eastAsia" w:ascii="宋体" w:hAnsi="宋体" w:eastAsia="宋体" w:cs="宋体"/>
          <w:color w:val="auto"/>
          <w:spacing w:val="0"/>
          <w:sz w:val="21"/>
          <w:szCs w:val="21"/>
          <w:highlight w:val="none"/>
        </w:rPr>
      </w:pPr>
      <w:bookmarkStart w:id="237" w:name="_Toc5131"/>
      <w:bookmarkStart w:id="238" w:name="_Toc14048"/>
      <w:r>
        <w:rPr>
          <w:rFonts w:hint="eastAsia" w:ascii="宋体" w:hAnsi="宋体" w:eastAsia="宋体" w:cs="宋体"/>
          <w:color w:val="auto"/>
          <w:spacing w:val="0"/>
          <w:sz w:val="21"/>
          <w:szCs w:val="21"/>
          <w:highlight w:val="none"/>
        </w:rPr>
        <w:t>1 ．《投标人基本情况表》后应附以下资料：</w:t>
      </w:r>
      <w:bookmarkEnd w:id="237"/>
      <w:bookmarkEnd w:id="238"/>
    </w:p>
    <w:p w14:paraId="300861A9">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36736E5C">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（2）</w:t>
      </w:r>
      <w:r>
        <w:rPr>
          <w:rFonts w:hint="eastAsia" w:ascii="宋体" w:hAnsi="宋体" w:eastAsia="宋体" w:cs="宋体"/>
          <w:color w:val="auto"/>
          <w:spacing w:val="0"/>
          <w:sz w:val="21"/>
          <w:szCs w:val="21"/>
          <w:highlight w:val="none"/>
        </w:rPr>
        <w:t>“进粤企业和人员诚信信息登记平台 ”企业信息情况打印页。（适用于省外建筑企业）</w:t>
      </w:r>
    </w:p>
    <w:p w14:paraId="7694C513">
      <w:pPr>
        <w:keepNext w:val="0"/>
        <w:keepLines w:val="0"/>
        <w:pageBreakBefore w:val="0"/>
        <w:widowControl/>
        <w:kinsoku w:val="0"/>
        <w:wordWrap w:val="0"/>
        <w:overflowPunct/>
        <w:topLinePunct w:val="0"/>
        <w:autoSpaceDE w:val="0"/>
        <w:autoSpaceDN w:val="0"/>
        <w:bidi w:val="0"/>
        <w:adjustRightInd w:val="0"/>
        <w:snapToGrid w:val="0"/>
        <w:spacing w:line="30" w:lineRule="atLeast"/>
        <w:jc w:val="both"/>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（3）</w:t>
      </w:r>
      <w:r>
        <w:rPr>
          <w:rFonts w:hint="eastAsia" w:ascii="宋体" w:hAnsi="宋体" w:eastAsia="宋体" w:cs="宋体"/>
          <w:color w:val="auto"/>
          <w:spacing w:val="0"/>
          <w:sz w:val="21"/>
          <w:szCs w:val="21"/>
          <w:highlight w:val="none"/>
        </w:rPr>
        <w:t>《法人和非法人组织公共信用信息报告》（在“信用中国 ”网站企业查询界面中下载）。</w:t>
      </w:r>
    </w:p>
    <w:p w14:paraId="24E5FBA2">
      <w:pPr>
        <w:keepNext w:val="0"/>
        <w:keepLines w:val="0"/>
        <w:pageBreakBefore w:val="0"/>
        <w:widowControl/>
        <w:kinsoku w:val="0"/>
        <w:wordWrap w:val="0"/>
        <w:overflowPunct/>
        <w:topLinePunct w:val="0"/>
        <w:autoSpaceDE w:val="0"/>
        <w:autoSpaceDN w:val="0"/>
        <w:bidi w:val="0"/>
        <w:adjustRightInd w:val="0"/>
        <w:snapToGrid w:val="0"/>
        <w:spacing w:line="30" w:lineRule="atLeast"/>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 ．联合体投标的，联合体成员单位均应填写《投标人基本情况表》并提供以上所需资料。</w:t>
      </w:r>
    </w:p>
    <w:p w14:paraId="0FEFF3B5">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62A4B1E3">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39" w:name="_Toc28455"/>
      <w:r>
        <w:rPr>
          <w:rFonts w:hint="eastAsia" w:ascii="宋体" w:hAnsi="宋体" w:eastAsia="宋体" w:cs="宋体"/>
          <w:b/>
          <w:bCs/>
          <w:color w:val="auto"/>
          <w:spacing w:val="0"/>
          <w:sz w:val="24"/>
          <w:szCs w:val="24"/>
          <w:highlight w:val="none"/>
        </w:rPr>
        <w:t>格式八 项目经理简历表</w:t>
      </w:r>
      <w:bookmarkEnd w:id="239"/>
    </w:p>
    <w:p w14:paraId="30EE3FD0">
      <w:pPr>
        <w:pStyle w:val="6"/>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51274DAD">
      <w:pPr>
        <w:keepNext w:val="0"/>
        <w:keepLines w:val="0"/>
        <w:pageBreakBefore w:val="0"/>
        <w:wordWrap w:val="0"/>
        <w:overflowPunct/>
        <w:topLinePunct w:val="0"/>
        <w:bidi w:val="0"/>
        <w:spacing w:before="97" w:line="219" w:lineRule="auto"/>
        <w:ind w:left="3538"/>
        <w:outlineLvl w:val="9"/>
        <w:rPr>
          <w:rFonts w:hint="eastAsia" w:ascii="宋体" w:hAnsi="宋体" w:eastAsia="宋体" w:cs="宋体"/>
          <w:color w:val="auto"/>
          <w:spacing w:val="0"/>
          <w:sz w:val="30"/>
          <w:szCs w:val="30"/>
          <w:highlight w:val="none"/>
        </w:rPr>
      </w:pPr>
      <w:bookmarkStart w:id="240" w:name="bookmark156"/>
      <w:bookmarkEnd w:id="240"/>
      <w:bookmarkStart w:id="241" w:name="bookmark89"/>
      <w:bookmarkEnd w:id="241"/>
      <w:bookmarkStart w:id="242" w:name="_Toc31533"/>
      <w:bookmarkStart w:id="243" w:name="_Toc24489"/>
      <w:r>
        <w:rPr>
          <w:rFonts w:hint="eastAsia" w:ascii="宋体" w:hAnsi="宋体" w:eastAsia="宋体" w:cs="宋体"/>
          <w:b/>
          <w:bCs/>
          <w:color w:val="auto"/>
          <w:spacing w:val="0"/>
          <w:sz w:val="30"/>
          <w:szCs w:val="30"/>
          <w:highlight w:val="none"/>
        </w:rPr>
        <w:t>项目经理简历表</w:t>
      </w:r>
      <w:bookmarkEnd w:id="242"/>
      <w:bookmarkEnd w:id="243"/>
    </w:p>
    <w:p w14:paraId="2FEBF5B0">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79188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center"/>
          </w:tcPr>
          <w:p w14:paraId="3C11A92F">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94" w:type="dxa"/>
            <w:gridSpan w:val="2"/>
            <w:vAlign w:val="center"/>
          </w:tcPr>
          <w:p w14:paraId="291CA6E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73335C63">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62" w:type="dxa"/>
            <w:vAlign w:val="center"/>
          </w:tcPr>
          <w:p w14:paraId="29D7999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4068853B">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98" w:type="dxa"/>
            <w:vAlign w:val="center"/>
          </w:tcPr>
          <w:p w14:paraId="53181EA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B3DB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center"/>
          </w:tcPr>
          <w:p w14:paraId="69F44326">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94" w:type="dxa"/>
            <w:gridSpan w:val="2"/>
            <w:vAlign w:val="center"/>
          </w:tcPr>
          <w:p w14:paraId="5565BEC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57" w:type="dxa"/>
            <w:vAlign w:val="center"/>
          </w:tcPr>
          <w:p w14:paraId="066DAC6E">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62" w:type="dxa"/>
            <w:vAlign w:val="center"/>
          </w:tcPr>
          <w:p w14:paraId="43EC3BE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07ACB9B3">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98" w:type="dxa"/>
            <w:vAlign w:val="center"/>
          </w:tcPr>
          <w:p w14:paraId="612498D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036E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center"/>
          </w:tcPr>
          <w:p w14:paraId="229D3FBF">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51" w:type="dxa"/>
            <w:gridSpan w:val="3"/>
            <w:vAlign w:val="center"/>
          </w:tcPr>
          <w:p w14:paraId="190DBE3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60" w:type="dxa"/>
            <w:gridSpan w:val="2"/>
            <w:vAlign w:val="center"/>
          </w:tcPr>
          <w:p w14:paraId="6B44BC34">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98" w:type="dxa"/>
            <w:vAlign w:val="center"/>
          </w:tcPr>
          <w:p w14:paraId="56D944B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96D3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center"/>
          </w:tcPr>
          <w:p w14:paraId="0DFDEE66">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以项目经理身份参与过的主要业绩（已完工项目）</w:t>
            </w:r>
          </w:p>
        </w:tc>
      </w:tr>
      <w:tr w14:paraId="51211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center"/>
          </w:tcPr>
          <w:p w14:paraId="62F64945">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24" w:type="dxa"/>
            <w:gridSpan w:val="2"/>
            <w:vAlign w:val="center"/>
          </w:tcPr>
          <w:p w14:paraId="4E2F72F9">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37" w:type="dxa"/>
            <w:gridSpan w:val="2"/>
            <w:vAlign w:val="center"/>
          </w:tcPr>
          <w:p w14:paraId="5158C01A">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62" w:type="dxa"/>
            <w:vAlign w:val="center"/>
          </w:tcPr>
          <w:p w14:paraId="74B27B98">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98" w:type="dxa"/>
            <w:vAlign w:val="center"/>
          </w:tcPr>
          <w:p w14:paraId="541D63FA">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98" w:type="dxa"/>
            <w:vAlign w:val="center"/>
          </w:tcPr>
          <w:p w14:paraId="5A74069C">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5ED42D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758DB878">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24" w:type="dxa"/>
            <w:gridSpan w:val="2"/>
            <w:vAlign w:val="center"/>
          </w:tcPr>
          <w:p w14:paraId="059B874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1AB992A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14B05DF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6F13CB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7A5EC9D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05A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center"/>
          </w:tcPr>
          <w:p w14:paraId="0E7B1B1A">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24" w:type="dxa"/>
            <w:gridSpan w:val="2"/>
            <w:vAlign w:val="center"/>
          </w:tcPr>
          <w:p w14:paraId="72860AF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13CD2FF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56D9364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7BD3F66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61A20E1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EF6F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center"/>
          </w:tcPr>
          <w:p w14:paraId="797FA151">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1624" w:type="dxa"/>
            <w:gridSpan w:val="2"/>
            <w:vAlign w:val="center"/>
          </w:tcPr>
          <w:p w14:paraId="110D2A5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16A6A82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2B6C0ED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4AD92C8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2DEDAFD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DA1B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center"/>
          </w:tcPr>
          <w:p w14:paraId="2883E405">
            <w:pPr>
              <w:keepNext w:val="0"/>
              <w:keepLines w:val="0"/>
              <w:pageBreakBefore w:val="0"/>
              <w:widowControl/>
              <w:kinsoku w:val="0"/>
              <w:wordWrap w:val="0"/>
              <w:overflowPunct/>
              <w:topLinePunct w:val="0"/>
              <w:autoSpaceDE w:val="0"/>
              <w:autoSpaceDN w:val="0"/>
              <w:bidi w:val="0"/>
              <w:adjustRightInd w:val="0"/>
              <w:snapToGrid w:val="0"/>
              <w:spacing w:before="177"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24" w:type="dxa"/>
            <w:gridSpan w:val="2"/>
            <w:vAlign w:val="center"/>
          </w:tcPr>
          <w:p w14:paraId="29EB532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37" w:type="dxa"/>
            <w:gridSpan w:val="2"/>
            <w:vAlign w:val="center"/>
          </w:tcPr>
          <w:p w14:paraId="0E54CFC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62" w:type="dxa"/>
            <w:vAlign w:val="center"/>
          </w:tcPr>
          <w:p w14:paraId="2213AD6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98" w:type="dxa"/>
            <w:vAlign w:val="center"/>
          </w:tcPr>
          <w:p w14:paraId="36353FD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98" w:type="dxa"/>
            <w:vAlign w:val="center"/>
          </w:tcPr>
          <w:p w14:paraId="4583785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0EDEF6B3">
      <w:pPr>
        <w:pStyle w:val="6"/>
        <w:keepNext w:val="0"/>
        <w:keepLines w:val="0"/>
        <w:pageBreakBefore w:val="0"/>
        <w:wordWrap w:val="0"/>
        <w:overflowPunct/>
        <w:topLinePunct w:val="0"/>
        <w:bidi w:val="0"/>
        <w:spacing w:line="315" w:lineRule="auto"/>
        <w:rPr>
          <w:rFonts w:hint="eastAsia" w:ascii="宋体" w:hAnsi="宋体" w:eastAsia="宋体" w:cs="宋体"/>
          <w:color w:val="auto"/>
          <w:spacing w:val="0"/>
          <w:highlight w:val="none"/>
        </w:rPr>
      </w:pPr>
    </w:p>
    <w:p w14:paraId="7C679F64">
      <w:pPr>
        <w:keepNext w:val="0"/>
        <w:keepLines w:val="0"/>
        <w:pageBreakBefore w:val="0"/>
        <w:wordWrap w:val="0"/>
        <w:overflowPunct/>
        <w:topLinePunct w:val="0"/>
        <w:bidi w:val="0"/>
        <w:spacing w:before="78" w:line="220" w:lineRule="auto"/>
        <w:ind w:left="69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u w:val="single"/>
          <w:lang w:val="en-US" w:eastAsia="zh-CN"/>
        </w:rPr>
        <w:t xml:space="preserve">   </w:t>
      </w:r>
      <w:r>
        <w:rPr>
          <w:rFonts w:hint="eastAsia" w:ascii="宋体" w:hAnsi="宋体" w:eastAsia="宋体" w:cs="宋体"/>
          <w:color w:val="auto"/>
          <w:spacing w:val="0"/>
          <w:sz w:val="24"/>
          <w:szCs w:val="24"/>
          <w:highlight w:val="none"/>
        </w:rPr>
        <w:t>（签字）</w:t>
      </w:r>
    </w:p>
    <w:p w14:paraId="5B1B7AF1">
      <w:pPr>
        <w:pStyle w:val="6"/>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226CD926">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36F2C445">
      <w:pPr>
        <w:keepNext w:val="0"/>
        <w:keepLines w:val="0"/>
        <w:pageBreakBefore w:val="0"/>
        <w:wordWrap w:val="0"/>
        <w:overflowPunct/>
        <w:topLinePunct w:val="0"/>
        <w:bidi w:val="0"/>
        <w:spacing w:before="78" w:line="220" w:lineRule="auto"/>
        <w:ind w:left="4226"/>
        <w:jc w:val="center"/>
        <w:rPr>
          <w:rFonts w:hint="eastAsia" w:ascii="宋体" w:hAnsi="宋体" w:eastAsia="宋体" w:cs="宋体"/>
          <w:color w:val="auto"/>
          <w:spacing w:val="0"/>
          <w:highlight w:val="none"/>
        </w:rPr>
      </w:pPr>
    </w:p>
    <w:p w14:paraId="23FA56AC">
      <w:pPr>
        <w:pStyle w:val="6"/>
        <w:keepNext w:val="0"/>
        <w:keepLines w:val="0"/>
        <w:pageBreakBefore w:val="0"/>
        <w:wordWrap w:val="0"/>
        <w:overflowPunct/>
        <w:topLinePunct w:val="0"/>
        <w:bidi w:val="0"/>
        <w:spacing w:line="241" w:lineRule="auto"/>
        <w:rPr>
          <w:rFonts w:hint="eastAsia" w:ascii="宋体" w:hAnsi="宋体" w:eastAsia="宋体" w:cs="宋体"/>
          <w:color w:val="auto"/>
          <w:spacing w:val="0"/>
          <w:highlight w:val="none"/>
        </w:rPr>
      </w:pPr>
    </w:p>
    <w:p w14:paraId="3CED7E7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说明：《项目经理简历表》后应附拟派项目经理以下资料：</w:t>
      </w:r>
    </w:p>
    <w:p w14:paraId="2091A54A">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outlineLvl w:val="9"/>
        <w:rPr>
          <w:rFonts w:hint="eastAsia" w:ascii="宋体" w:hAnsi="宋体" w:eastAsia="宋体" w:cs="宋体"/>
          <w:color w:val="auto"/>
          <w:spacing w:val="0"/>
          <w:sz w:val="24"/>
          <w:szCs w:val="24"/>
          <w:highlight w:val="none"/>
        </w:rPr>
      </w:pPr>
      <w:bookmarkStart w:id="244" w:name="_Toc25271"/>
      <w:bookmarkStart w:id="245" w:name="_Toc1942"/>
      <w:r>
        <w:rPr>
          <w:rFonts w:hint="eastAsia" w:ascii="宋体" w:hAnsi="宋体" w:eastAsia="宋体" w:cs="宋体"/>
          <w:color w:val="auto"/>
          <w:spacing w:val="0"/>
          <w:sz w:val="24"/>
          <w:szCs w:val="24"/>
          <w:highlight w:val="none"/>
        </w:rPr>
        <w:t>1 ．身份证彩色扫描件；</w:t>
      </w:r>
      <w:bookmarkEnd w:id="244"/>
      <w:bookmarkEnd w:id="245"/>
    </w:p>
    <w:p w14:paraId="58312C1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．建造师电子注册证书（在使用有效期内的有效电子证书）彩色扫描件；</w:t>
      </w:r>
    </w:p>
    <w:p w14:paraId="6E1DD00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3．B 类安全生产考核合格证书彩色扫描件或广东省建筑施工企业管理人员安全生产考核系统考核合格信息彩色扫描件；</w:t>
      </w:r>
    </w:p>
    <w:p w14:paraId="0F4F411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．在本单位缴纳社保</w:t>
      </w:r>
      <w:r>
        <w:rPr>
          <w:rFonts w:hint="eastAsia" w:ascii="宋体" w:hAnsi="宋体" w:eastAsia="宋体" w:cs="宋体"/>
          <w:color w:val="auto"/>
          <w:spacing w:val="0"/>
          <w:sz w:val="24"/>
          <w:szCs w:val="24"/>
          <w:highlight w:val="none"/>
          <w:lang w:eastAsia="zh-CN"/>
        </w:rPr>
        <w:t>的证明（至少</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个月，其中必须有2026年2月）</w:t>
      </w:r>
      <w:r>
        <w:rPr>
          <w:rFonts w:hint="eastAsia" w:ascii="宋体" w:hAnsi="宋体" w:eastAsia="宋体" w:cs="宋体"/>
          <w:color w:val="auto"/>
          <w:spacing w:val="0"/>
          <w:sz w:val="24"/>
          <w:szCs w:val="24"/>
          <w:highlight w:val="none"/>
          <w:lang w:val="en-US" w:eastAsia="zh-CN"/>
        </w:rPr>
        <w:t>扫描</w:t>
      </w:r>
      <w:r>
        <w:rPr>
          <w:rFonts w:hint="eastAsia" w:ascii="宋体" w:hAnsi="宋体" w:eastAsia="宋体" w:cs="宋体"/>
          <w:color w:val="auto"/>
          <w:spacing w:val="0"/>
          <w:sz w:val="24"/>
          <w:szCs w:val="24"/>
          <w:highlight w:val="none"/>
        </w:rPr>
        <w:t>件或打印件。拟派项目经理为退休返聘人员无法提供社保证明的，提供退休证和劳动合同彩色扫描件。</w:t>
      </w:r>
    </w:p>
    <w:p w14:paraId="6F11A9DD">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 ．“进粤企业和人员诚信信息登记平台 ”个人信息情况截图。（适用于省外建筑企业）</w:t>
      </w:r>
    </w:p>
    <w:p w14:paraId="456AC7BF">
      <w:pPr>
        <w:pStyle w:val="25"/>
        <w:rPr>
          <w:rFonts w:hint="eastAsia"/>
          <w:highlight w:val="none"/>
        </w:rPr>
      </w:pPr>
    </w:p>
    <w:p w14:paraId="61CE6093">
      <w:pPr>
        <w:keepNext w:val="0"/>
        <w:keepLines w:val="0"/>
        <w:pageBreakBefore w:val="0"/>
        <w:wordWrap w:val="0"/>
        <w:overflowPunct/>
        <w:topLinePunct w:val="0"/>
        <w:bidi w:val="0"/>
        <w:spacing w:line="300" w:lineRule="auto"/>
        <w:rPr>
          <w:rFonts w:hint="eastAsia" w:ascii="宋体" w:hAnsi="宋体" w:eastAsia="宋体" w:cs="宋体"/>
          <w:color w:val="auto"/>
          <w:spacing w:val="0"/>
          <w:sz w:val="20"/>
          <w:szCs w:val="20"/>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0D536DBA">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6" w:name="_Toc1897"/>
      <w:r>
        <w:rPr>
          <w:rFonts w:hint="eastAsia" w:ascii="宋体" w:hAnsi="宋体" w:eastAsia="宋体" w:cs="宋体"/>
          <w:b/>
          <w:bCs/>
          <w:color w:val="auto"/>
          <w:spacing w:val="0"/>
          <w:sz w:val="24"/>
          <w:szCs w:val="24"/>
          <w:highlight w:val="none"/>
        </w:rPr>
        <w:t>格式九 项目经理任职声明</w:t>
      </w:r>
      <w:bookmarkEnd w:id="246"/>
    </w:p>
    <w:p w14:paraId="25F8E3D4">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653618C2">
      <w:pPr>
        <w:pStyle w:val="6"/>
        <w:keepNext w:val="0"/>
        <w:keepLines w:val="0"/>
        <w:pageBreakBefore w:val="0"/>
        <w:wordWrap w:val="0"/>
        <w:overflowPunct/>
        <w:topLinePunct w:val="0"/>
        <w:bidi w:val="0"/>
        <w:spacing w:line="350" w:lineRule="auto"/>
        <w:rPr>
          <w:rFonts w:hint="eastAsia" w:ascii="宋体" w:hAnsi="宋体" w:eastAsia="宋体" w:cs="宋体"/>
          <w:color w:val="auto"/>
          <w:spacing w:val="0"/>
          <w:highlight w:val="none"/>
        </w:rPr>
      </w:pPr>
    </w:p>
    <w:p w14:paraId="7584027F">
      <w:pPr>
        <w:keepNext w:val="0"/>
        <w:keepLines w:val="0"/>
        <w:pageBreakBefore w:val="0"/>
        <w:wordWrap w:val="0"/>
        <w:overflowPunct/>
        <w:topLinePunct w:val="0"/>
        <w:bidi w:val="0"/>
        <w:spacing w:before="98" w:line="220" w:lineRule="auto"/>
        <w:ind w:left="3338"/>
        <w:rPr>
          <w:rFonts w:hint="eastAsia" w:ascii="宋体" w:hAnsi="宋体" w:eastAsia="宋体" w:cs="宋体"/>
          <w:color w:val="auto"/>
          <w:spacing w:val="0"/>
          <w:sz w:val="30"/>
          <w:szCs w:val="30"/>
          <w:highlight w:val="none"/>
        </w:rPr>
      </w:pPr>
      <w:bookmarkStart w:id="247" w:name="bookmark157"/>
      <w:bookmarkEnd w:id="247"/>
      <w:r>
        <w:rPr>
          <w:rFonts w:hint="eastAsia" w:ascii="宋体" w:hAnsi="宋体" w:eastAsia="宋体" w:cs="宋体"/>
          <w:b/>
          <w:bCs/>
          <w:color w:val="auto"/>
          <w:spacing w:val="0"/>
          <w:sz w:val="30"/>
          <w:szCs w:val="30"/>
          <w:highlight w:val="none"/>
        </w:rPr>
        <w:t>项目经理任职声明</w:t>
      </w:r>
    </w:p>
    <w:p w14:paraId="3C336944">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01E83797">
      <w:pPr>
        <w:pStyle w:val="6"/>
        <w:keepNext w:val="0"/>
        <w:keepLines w:val="0"/>
        <w:pageBreakBefore w:val="0"/>
        <w:wordWrap w:val="0"/>
        <w:overflowPunct/>
        <w:topLinePunct w:val="0"/>
        <w:bidi w:val="0"/>
        <w:spacing w:line="250" w:lineRule="auto"/>
        <w:rPr>
          <w:rFonts w:hint="eastAsia" w:ascii="宋体" w:hAnsi="宋体" w:eastAsia="宋体" w:cs="宋体"/>
          <w:color w:val="auto"/>
          <w:spacing w:val="0"/>
          <w:highlight w:val="none"/>
        </w:rPr>
      </w:pPr>
    </w:p>
    <w:p w14:paraId="686CE705">
      <w:pPr>
        <w:pStyle w:val="6"/>
        <w:keepNext w:val="0"/>
        <w:keepLines w:val="0"/>
        <w:pageBreakBefore w:val="0"/>
        <w:wordWrap w:val="0"/>
        <w:overflowPunct/>
        <w:topLinePunct w:val="0"/>
        <w:bidi w:val="0"/>
        <w:spacing w:line="251" w:lineRule="auto"/>
        <w:rPr>
          <w:rFonts w:hint="eastAsia" w:ascii="宋体" w:hAnsi="宋体" w:eastAsia="宋体" w:cs="宋体"/>
          <w:color w:val="auto"/>
          <w:spacing w:val="0"/>
          <w:highlight w:val="none"/>
        </w:rPr>
      </w:pPr>
    </w:p>
    <w:p w14:paraId="6CC76F83">
      <w:pPr>
        <w:keepNext w:val="0"/>
        <w:keepLines w:val="0"/>
        <w:pageBreakBefore w:val="0"/>
        <w:wordWrap w:val="0"/>
        <w:overflowPunct/>
        <w:topLinePunct w:val="0"/>
        <w:bidi w:val="0"/>
        <w:spacing w:before="78" w:line="221"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致：</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（招标人名称）</w:t>
      </w:r>
    </w:p>
    <w:p w14:paraId="18022089">
      <w:pPr>
        <w:keepNext w:val="0"/>
        <w:keepLines w:val="0"/>
        <w:pageBreakBefore w:val="0"/>
        <w:wordWrap w:val="0"/>
        <w:overflowPunct/>
        <w:topLinePunct w:val="0"/>
        <w:bidi w:val="0"/>
        <w:spacing w:before="155"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我方在此声明，我方拟派往</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（项目名称）的项目经理</w:t>
      </w:r>
      <w:r>
        <w:rPr>
          <w:rFonts w:hint="eastAsia" w:ascii="宋体" w:hAnsi="宋体" w:eastAsia="宋体" w:cs="宋体"/>
          <w:color w:val="auto"/>
          <w:spacing w:val="0"/>
          <w:sz w:val="24"/>
          <w:szCs w:val="24"/>
          <w:highlight w:val="none"/>
          <w:u w:val="single"/>
          <w:lang w:val="en-US" w:eastAsia="zh-CN"/>
        </w:rPr>
        <w:t xml:space="preserve">        </w:t>
      </w:r>
      <w:r>
        <w:rPr>
          <w:rFonts w:hint="eastAsia" w:ascii="宋体" w:hAnsi="宋体" w:eastAsia="宋体" w:cs="宋体"/>
          <w:color w:val="auto"/>
          <w:spacing w:val="0"/>
          <w:sz w:val="24"/>
          <w:szCs w:val="24"/>
          <w:highlight w:val="none"/>
        </w:rPr>
        <w:t>（项目经理姓名）现阶段没有担任任何在施（包括已中标未开工、已开工未竣工）建设工程项目的项目经理。</w:t>
      </w:r>
    </w:p>
    <w:p w14:paraId="10D30513">
      <w:pPr>
        <w:keepNext w:val="0"/>
        <w:keepLines w:val="0"/>
        <w:pageBreakBefore w:val="0"/>
        <w:wordWrap w:val="0"/>
        <w:overflowPunct/>
        <w:topLinePunct w:val="0"/>
        <w:bidi w:val="0"/>
        <w:spacing w:before="35" w:line="326" w:lineRule="auto"/>
        <w:ind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我方保证上述信息的真实和准确，并愿意承担因我方就此弄虚作假所引起的一切法律后果。</w:t>
      </w:r>
    </w:p>
    <w:p w14:paraId="31B3CE7D">
      <w:pPr>
        <w:pStyle w:val="6"/>
        <w:keepNext w:val="0"/>
        <w:keepLines w:val="0"/>
        <w:pageBreakBefore w:val="0"/>
        <w:wordWrap w:val="0"/>
        <w:overflowPunct/>
        <w:topLinePunct w:val="0"/>
        <w:bidi w:val="0"/>
        <w:spacing w:line="391" w:lineRule="auto"/>
        <w:rPr>
          <w:rFonts w:hint="eastAsia" w:ascii="宋体" w:hAnsi="宋体" w:eastAsia="宋体" w:cs="宋体"/>
          <w:color w:val="auto"/>
          <w:spacing w:val="0"/>
          <w:highlight w:val="none"/>
        </w:rPr>
      </w:pPr>
    </w:p>
    <w:p w14:paraId="2E70BD98">
      <w:pPr>
        <w:keepNext w:val="0"/>
        <w:keepLines w:val="0"/>
        <w:pageBreakBefore w:val="0"/>
        <w:wordWrap w:val="0"/>
        <w:overflowPunct/>
        <w:topLinePunct w:val="0"/>
        <w:bidi w:val="0"/>
        <w:spacing w:before="78" w:line="220" w:lineRule="auto"/>
        <w:ind w:left="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特此承诺</w:t>
      </w:r>
    </w:p>
    <w:p w14:paraId="3650AFF0">
      <w:pPr>
        <w:pStyle w:val="6"/>
        <w:keepNext w:val="0"/>
        <w:keepLines w:val="0"/>
        <w:pageBreakBefore w:val="0"/>
        <w:wordWrap w:val="0"/>
        <w:overflowPunct/>
        <w:topLinePunct w:val="0"/>
        <w:bidi w:val="0"/>
        <w:spacing w:line="316" w:lineRule="auto"/>
        <w:rPr>
          <w:rFonts w:hint="eastAsia" w:ascii="宋体" w:hAnsi="宋体" w:eastAsia="宋体" w:cs="宋体"/>
          <w:color w:val="auto"/>
          <w:spacing w:val="0"/>
          <w:highlight w:val="none"/>
        </w:rPr>
      </w:pPr>
    </w:p>
    <w:p w14:paraId="5B7E6BA2">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1D8C5912">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564EA505">
      <w:pPr>
        <w:keepNext w:val="0"/>
        <w:keepLines w:val="0"/>
        <w:pageBreakBefore w:val="0"/>
        <w:wordWrap w:val="0"/>
        <w:overflowPunct/>
        <w:topLinePunct w:val="0"/>
        <w:bidi w:val="0"/>
        <w:spacing w:before="79"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（盖单位章）</w:t>
      </w:r>
    </w:p>
    <w:p w14:paraId="00AC28CB">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454364E0">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39138AF7">
      <w:pPr>
        <w:pStyle w:val="6"/>
        <w:keepNext w:val="0"/>
        <w:keepLines w:val="0"/>
        <w:pageBreakBefore w:val="0"/>
        <w:wordWrap w:val="0"/>
        <w:overflowPunct/>
        <w:topLinePunct w:val="0"/>
        <w:bidi w:val="0"/>
        <w:spacing w:line="317" w:lineRule="auto"/>
        <w:rPr>
          <w:rFonts w:hint="eastAsia" w:ascii="宋体" w:hAnsi="宋体" w:eastAsia="宋体" w:cs="宋体"/>
          <w:color w:val="auto"/>
          <w:spacing w:val="0"/>
          <w:highlight w:val="none"/>
        </w:rPr>
      </w:pPr>
    </w:p>
    <w:p w14:paraId="5C510588">
      <w:pPr>
        <w:keepNext w:val="0"/>
        <w:keepLines w:val="0"/>
        <w:pageBreakBefore w:val="0"/>
        <w:wordWrap w:val="0"/>
        <w:overflowPunct/>
        <w:topLinePunct w:val="0"/>
        <w:bidi w:val="0"/>
        <w:spacing w:before="78" w:line="219"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法定代表人或其委托代理人：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（签字或盖章）</w:t>
      </w:r>
    </w:p>
    <w:p w14:paraId="2A0E9929">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59807EB0">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4247707E">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59308E7">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142E22C">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48" w:name="_Toc20543"/>
      <w:r>
        <w:rPr>
          <w:rFonts w:hint="eastAsia" w:ascii="宋体" w:hAnsi="宋体" w:eastAsia="宋体" w:cs="宋体"/>
          <w:b/>
          <w:bCs/>
          <w:color w:val="auto"/>
          <w:spacing w:val="0"/>
          <w:sz w:val="24"/>
          <w:szCs w:val="24"/>
          <w:highlight w:val="none"/>
        </w:rPr>
        <w:t>格式十 项目技术负责人简历表</w:t>
      </w:r>
      <w:bookmarkEnd w:id="248"/>
    </w:p>
    <w:p w14:paraId="0C343FDB">
      <w:pPr>
        <w:pStyle w:val="6"/>
        <w:keepNext w:val="0"/>
        <w:keepLines w:val="0"/>
        <w:pageBreakBefore w:val="0"/>
        <w:wordWrap w:val="0"/>
        <w:overflowPunct/>
        <w:topLinePunct w:val="0"/>
        <w:bidi w:val="0"/>
        <w:spacing w:line="444" w:lineRule="auto"/>
        <w:rPr>
          <w:rFonts w:hint="eastAsia" w:ascii="宋体" w:hAnsi="宋体" w:eastAsia="宋体" w:cs="宋体"/>
          <w:color w:val="auto"/>
          <w:spacing w:val="0"/>
          <w:highlight w:val="none"/>
        </w:rPr>
      </w:pPr>
    </w:p>
    <w:p w14:paraId="02DD6ECC">
      <w:pPr>
        <w:keepNext w:val="0"/>
        <w:keepLines w:val="0"/>
        <w:pageBreakBefore w:val="0"/>
        <w:wordWrap w:val="0"/>
        <w:overflowPunct/>
        <w:topLinePunct w:val="0"/>
        <w:bidi w:val="0"/>
        <w:spacing w:before="97" w:line="219" w:lineRule="auto"/>
        <w:ind w:left="3087"/>
        <w:outlineLvl w:val="9"/>
        <w:rPr>
          <w:rFonts w:hint="eastAsia" w:ascii="宋体" w:hAnsi="宋体" w:eastAsia="宋体" w:cs="宋体"/>
          <w:color w:val="auto"/>
          <w:spacing w:val="0"/>
          <w:sz w:val="30"/>
          <w:szCs w:val="30"/>
          <w:highlight w:val="none"/>
        </w:rPr>
      </w:pPr>
      <w:bookmarkStart w:id="249" w:name="_Toc25712"/>
      <w:bookmarkStart w:id="250" w:name="_Toc1553"/>
      <w:r>
        <w:rPr>
          <w:rFonts w:hint="eastAsia" w:ascii="宋体" w:hAnsi="宋体" w:eastAsia="宋体" w:cs="宋体"/>
          <w:b/>
          <w:bCs/>
          <w:color w:val="auto"/>
          <w:spacing w:val="0"/>
          <w:sz w:val="30"/>
          <w:szCs w:val="30"/>
          <w:highlight w:val="none"/>
        </w:rPr>
        <w:t>项目技术负责人简历表</w:t>
      </w:r>
      <w:bookmarkEnd w:id="249"/>
      <w:bookmarkEnd w:id="250"/>
    </w:p>
    <w:p w14:paraId="6FED11D1">
      <w:pPr>
        <w:keepNext w:val="0"/>
        <w:keepLines w:val="0"/>
        <w:pageBreakBefore w:val="0"/>
        <w:wordWrap w:val="0"/>
        <w:overflowPunct/>
        <w:topLinePunct w:val="0"/>
        <w:bidi w:val="0"/>
        <w:spacing w:line="240" w:lineRule="exact"/>
        <w:rPr>
          <w:rFonts w:hint="eastAsia" w:ascii="宋体" w:hAnsi="宋体" w:eastAsia="宋体" w:cs="宋体"/>
          <w:color w:val="auto"/>
          <w:spacing w:val="0"/>
          <w:highlight w:val="none"/>
        </w:rPr>
      </w:pPr>
    </w:p>
    <w:tbl>
      <w:tblPr>
        <w:tblStyle w:val="15"/>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7B3FB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center"/>
          </w:tcPr>
          <w:p w14:paraId="05EFAA67">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姓   名</w:t>
            </w:r>
          </w:p>
        </w:tc>
        <w:tc>
          <w:tcPr>
            <w:tcW w:w="1282" w:type="dxa"/>
            <w:gridSpan w:val="2"/>
            <w:vAlign w:val="center"/>
          </w:tcPr>
          <w:p w14:paraId="6CED9D9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default" w:ascii="宋体" w:hAnsi="宋体" w:eastAsia="宋体" w:cs="宋体"/>
                <w:color w:val="auto"/>
                <w:spacing w:val="0"/>
                <w:sz w:val="24"/>
                <w:szCs w:val="24"/>
                <w:highlight w:val="none"/>
                <w:lang w:val="en-US" w:eastAsia="zh-CN"/>
              </w:rPr>
            </w:pPr>
          </w:p>
        </w:tc>
        <w:tc>
          <w:tcPr>
            <w:tcW w:w="1346" w:type="dxa"/>
            <w:vAlign w:val="center"/>
          </w:tcPr>
          <w:p w14:paraId="118F7715">
            <w:pPr>
              <w:keepNext w:val="0"/>
              <w:keepLines w:val="0"/>
              <w:pageBreakBefore w:val="0"/>
              <w:widowControl/>
              <w:kinsoku w:val="0"/>
              <w:wordWrap w:val="0"/>
              <w:overflowPunct/>
              <w:topLinePunct w:val="0"/>
              <w:autoSpaceDE w:val="0"/>
              <w:autoSpaceDN w:val="0"/>
              <w:bidi w:val="0"/>
              <w:adjustRightInd w:val="0"/>
              <w:snapToGrid w:val="0"/>
              <w:spacing w:before="177"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性  别</w:t>
            </w:r>
          </w:p>
        </w:tc>
        <w:tc>
          <w:tcPr>
            <w:tcW w:w="2047" w:type="dxa"/>
            <w:vAlign w:val="center"/>
          </w:tcPr>
          <w:p w14:paraId="2354619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A7C677A">
            <w:pPr>
              <w:keepNext w:val="0"/>
              <w:keepLines w:val="0"/>
              <w:pageBreakBefore w:val="0"/>
              <w:widowControl/>
              <w:kinsoku w:val="0"/>
              <w:wordWrap w:val="0"/>
              <w:overflowPunct/>
              <w:topLinePunct w:val="0"/>
              <w:autoSpaceDE w:val="0"/>
              <w:autoSpaceDN w:val="0"/>
              <w:bidi w:val="0"/>
              <w:adjustRightInd w:val="0"/>
              <w:snapToGrid w:val="0"/>
              <w:spacing w:before="177"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龄</w:t>
            </w:r>
          </w:p>
        </w:tc>
        <w:tc>
          <w:tcPr>
            <w:tcW w:w="1386" w:type="dxa"/>
            <w:vAlign w:val="center"/>
          </w:tcPr>
          <w:p w14:paraId="1FBE034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238F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center"/>
          </w:tcPr>
          <w:p w14:paraId="61278465">
            <w:pPr>
              <w:keepNext w:val="0"/>
              <w:keepLines w:val="0"/>
              <w:pageBreakBefore w:val="0"/>
              <w:widowControl/>
              <w:kinsoku w:val="0"/>
              <w:wordWrap w:val="0"/>
              <w:overflowPunct/>
              <w:topLinePunct w:val="0"/>
              <w:autoSpaceDE w:val="0"/>
              <w:autoSpaceDN w:val="0"/>
              <w:bidi w:val="0"/>
              <w:adjustRightInd w:val="0"/>
              <w:snapToGrid w:val="0"/>
              <w:spacing w:before="17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务</w:t>
            </w:r>
          </w:p>
        </w:tc>
        <w:tc>
          <w:tcPr>
            <w:tcW w:w="1282" w:type="dxa"/>
            <w:gridSpan w:val="2"/>
            <w:vAlign w:val="center"/>
          </w:tcPr>
          <w:p w14:paraId="2DA0450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46" w:type="dxa"/>
            <w:vAlign w:val="center"/>
          </w:tcPr>
          <w:p w14:paraId="262D13E8">
            <w:pPr>
              <w:keepNext w:val="0"/>
              <w:keepLines w:val="0"/>
              <w:pageBreakBefore w:val="0"/>
              <w:widowControl/>
              <w:kinsoku w:val="0"/>
              <w:wordWrap w:val="0"/>
              <w:overflowPunct/>
              <w:topLinePunct w:val="0"/>
              <w:autoSpaceDE w:val="0"/>
              <w:autoSpaceDN w:val="0"/>
              <w:bidi w:val="0"/>
              <w:adjustRightInd w:val="0"/>
              <w:snapToGrid w:val="0"/>
              <w:spacing w:before="174" w:line="231"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职  称</w:t>
            </w:r>
          </w:p>
        </w:tc>
        <w:tc>
          <w:tcPr>
            <w:tcW w:w="2047" w:type="dxa"/>
            <w:vAlign w:val="center"/>
          </w:tcPr>
          <w:p w14:paraId="79CCFA2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2F4AA7D">
            <w:pPr>
              <w:keepNext w:val="0"/>
              <w:keepLines w:val="0"/>
              <w:pageBreakBefore w:val="0"/>
              <w:widowControl/>
              <w:kinsoku w:val="0"/>
              <w:wordWrap w:val="0"/>
              <w:overflowPunct/>
              <w:topLinePunct w:val="0"/>
              <w:autoSpaceDE w:val="0"/>
              <w:autoSpaceDN w:val="0"/>
              <w:bidi w:val="0"/>
              <w:adjustRightInd w:val="0"/>
              <w:snapToGrid w:val="0"/>
              <w:spacing w:before="175"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学   历</w:t>
            </w:r>
          </w:p>
        </w:tc>
        <w:tc>
          <w:tcPr>
            <w:tcW w:w="1386" w:type="dxa"/>
            <w:vAlign w:val="center"/>
          </w:tcPr>
          <w:p w14:paraId="2FD2EF2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C0D0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center"/>
          </w:tcPr>
          <w:p w14:paraId="701AB8DD">
            <w:pPr>
              <w:keepNext w:val="0"/>
              <w:keepLines w:val="0"/>
              <w:pageBreakBefore w:val="0"/>
              <w:widowControl/>
              <w:kinsoku w:val="0"/>
              <w:wordWrap w:val="0"/>
              <w:overflowPunct/>
              <w:topLinePunct w:val="0"/>
              <w:autoSpaceDE w:val="0"/>
              <w:autoSpaceDN w:val="0"/>
              <w:bidi w:val="0"/>
              <w:adjustRightInd w:val="0"/>
              <w:snapToGrid w:val="0"/>
              <w:spacing w:before="175"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参加工作时间</w:t>
            </w:r>
          </w:p>
        </w:tc>
        <w:tc>
          <w:tcPr>
            <w:tcW w:w="2628" w:type="dxa"/>
            <w:gridSpan w:val="3"/>
            <w:vAlign w:val="center"/>
          </w:tcPr>
          <w:p w14:paraId="10A21E5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3830" w:type="dxa"/>
            <w:gridSpan w:val="2"/>
            <w:vAlign w:val="center"/>
          </w:tcPr>
          <w:p w14:paraId="056113A4">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从事工程建设项目管理工作年限</w:t>
            </w:r>
          </w:p>
        </w:tc>
        <w:tc>
          <w:tcPr>
            <w:tcW w:w="1386" w:type="dxa"/>
            <w:vAlign w:val="center"/>
          </w:tcPr>
          <w:p w14:paraId="54BECDD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28AB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5" w:hRule="atLeast"/>
          <w:jc w:val="center"/>
        </w:trPr>
        <w:tc>
          <w:tcPr>
            <w:tcW w:w="9657" w:type="dxa"/>
            <w:gridSpan w:val="8"/>
            <w:vAlign w:val="center"/>
          </w:tcPr>
          <w:p w14:paraId="7B6327A9">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以项目技术负责人身份参与过的主要业绩（已完工项目）</w:t>
            </w:r>
          </w:p>
        </w:tc>
      </w:tr>
      <w:tr w14:paraId="7A7F5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center"/>
          </w:tcPr>
          <w:p w14:paraId="38456C0B">
            <w:pPr>
              <w:keepNext w:val="0"/>
              <w:keepLines w:val="0"/>
              <w:pageBreakBefore w:val="0"/>
              <w:widowControl/>
              <w:kinsoku w:val="0"/>
              <w:wordWrap w:val="0"/>
              <w:overflowPunct/>
              <w:topLinePunct w:val="0"/>
              <w:autoSpaceDE w:val="0"/>
              <w:autoSpaceDN w:val="0"/>
              <w:bidi w:val="0"/>
              <w:adjustRightInd w:val="0"/>
              <w:snapToGrid w:val="0"/>
              <w:spacing w:before="176"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1610" w:type="dxa"/>
            <w:gridSpan w:val="2"/>
            <w:vAlign w:val="center"/>
          </w:tcPr>
          <w:p w14:paraId="2E11A1D4">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项目名称</w:t>
            </w:r>
          </w:p>
        </w:tc>
        <w:tc>
          <w:tcPr>
            <w:tcW w:w="2021" w:type="dxa"/>
            <w:gridSpan w:val="2"/>
            <w:vAlign w:val="center"/>
          </w:tcPr>
          <w:p w14:paraId="7AA9AB8C">
            <w:pPr>
              <w:keepNext w:val="0"/>
              <w:keepLines w:val="0"/>
              <w:pageBreakBefore w:val="0"/>
              <w:widowControl/>
              <w:kinsoku w:val="0"/>
              <w:wordWrap w:val="0"/>
              <w:overflowPunct/>
              <w:topLinePunct w:val="0"/>
              <w:autoSpaceDE w:val="0"/>
              <w:autoSpaceDN w:val="0"/>
              <w:bidi w:val="0"/>
              <w:adjustRightInd w:val="0"/>
              <w:snapToGrid w:val="0"/>
              <w:spacing w:before="176"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2047" w:type="dxa"/>
            <w:vAlign w:val="center"/>
          </w:tcPr>
          <w:p w14:paraId="29945CA7">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建设内容和规模</w:t>
            </w:r>
          </w:p>
        </w:tc>
        <w:tc>
          <w:tcPr>
            <w:tcW w:w="1783" w:type="dxa"/>
            <w:vAlign w:val="center"/>
          </w:tcPr>
          <w:p w14:paraId="2963C67C">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开、竣工日期</w:t>
            </w:r>
          </w:p>
        </w:tc>
        <w:tc>
          <w:tcPr>
            <w:tcW w:w="1386" w:type="dxa"/>
            <w:vAlign w:val="center"/>
          </w:tcPr>
          <w:p w14:paraId="10F97638">
            <w:pPr>
              <w:keepNext w:val="0"/>
              <w:keepLines w:val="0"/>
              <w:pageBreakBefore w:val="0"/>
              <w:widowControl/>
              <w:kinsoku w:val="0"/>
              <w:wordWrap w:val="0"/>
              <w:overflowPunct/>
              <w:topLinePunct w:val="0"/>
              <w:autoSpaceDE w:val="0"/>
              <w:autoSpaceDN w:val="0"/>
              <w:bidi w:val="0"/>
              <w:adjustRightInd w:val="0"/>
              <w:snapToGrid w:val="0"/>
              <w:spacing w:before="176"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质量等级</w:t>
            </w:r>
          </w:p>
        </w:tc>
      </w:tr>
      <w:tr w14:paraId="7D6C5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6" w:hRule="atLeast"/>
          <w:jc w:val="center"/>
        </w:trPr>
        <w:tc>
          <w:tcPr>
            <w:tcW w:w="810" w:type="dxa"/>
            <w:vAlign w:val="center"/>
          </w:tcPr>
          <w:p w14:paraId="499EFAF8">
            <w:pPr>
              <w:keepNext w:val="0"/>
              <w:keepLines w:val="0"/>
              <w:pageBreakBefore w:val="0"/>
              <w:widowControl/>
              <w:kinsoku w:val="0"/>
              <w:wordWrap w:val="0"/>
              <w:overflowPunct/>
              <w:topLinePunct w:val="0"/>
              <w:autoSpaceDE w:val="0"/>
              <w:autoSpaceDN w:val="0"/>
              <w:bidi w:val="0"/>
              <w:adjustRightInd w:val="0"/>
              <w:snapToGrid w:val="0"/>
              <w:spacing w:before="214"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610" w:type="dxa"/>
            <w:gridSpan w:val="2"/>
            <w:vAlign w:val="center"/>
          </w:tcPr>
          <w:p w14:paraId="5ADA09A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53E6CAC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3213B51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71B1F1C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32394E3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12459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center"/>
          </w:tcPr>
          <w:p w14:paraId="4DAC59FB">
            <w:pPr>
              <w:keepNext w:val="0"/>
              <w:keepLines w:val="0"/>
              <w:pageBreakBefore w:val="0"/>
              <w:widowControl/>
              <w:kinsoku w:val="0"/>
              <w:wordWrap w:val="0"/>
              <w:overflowPunct/>
              <w:topLinePunct w:val="0"/>
              <w:autoSpaceDE w:val="0"/>
              <w:autoSpaceDN w:val="0"/>
              <w:bidi w:val="0"/>
              <w:adjustRightInd w:val="0"/>
              <w:snapToGrid w:val="0"/>
              <w:spacing w:before="213"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610" w:type="dxa"/>
            <w:gridSpan w:val="2"/>
            <w:vAlign w:val="center"/>
          </w:tcPr>
          <w:p w14:paraId="5602C39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4416125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6EB9A68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7C254F8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03A09BA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3D025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454FA703">
            <w:pPr>
              <w:keepNext w:val="0"/>
              <w:keepLines w:val="0"/>
              <w:pageBreakBefore w:val="0"/>
              <w:widowControl/>
              <w:kinsoku w:val="0"/>
              <w:wordWrap w:val="0"/>
              <w:overflowPunct/>
              <w:topLinePunct w:val="0"/>
              <w:autoSpaceDE w:val="0"/>
              <w:autoSpaceDN w:val="0"/>
              <w:bidi w:val="0"/>
              <w:adjustRightInd w:val="0"/>
              <w:snapToGrid w:val="0"/>
              <w:spacing w:before="178" w:line="324"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610" w:type="dxa"/>
            <w:gridSpan w:val="2"/>
            <w:vAlign w:val="center"/>
          </w:tcPr>
          <w:p w14:paraId="6C5FB04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32104855">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578C559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0B5BBA7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46214A3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30FF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center"/>
          </w:tcPr>
          <w:p w14:paraId="7063B7A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23F285B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2F8026D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579A464E">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3234620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6B220A8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18E3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center"/>
          </w:tcPr>
          <w:p w14:paraId="2B85EE5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610" w:type="dxa"/>
            <w:gridSpan w:val="2"/>
            <w:vAlign w:val="center"/>
          </w:tcPr>
          <w:p w14:paraId="07FBE6F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21" w:type="dxa"/>
            <w:gridSpan w:val="2"/>
            <w:vAlign w:val="center"/>
          </w:tcPr>
          <w:p w14:paraId="77A52A6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2047" w:type="dxa"/>
            <w:vAlign w:val="center"/>
          </w:tcPr>
          <w:p w14:paraId="386A4A2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783" w:type="dxa"/>
            <w:vAlign w:val="center"/>
          </w:tcPr>
          <w:p w14:paraId="539B9F0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386" w:type="dxa"/>
            <w:vAlign w:val="center"/>
          </w:tcPr>
          <w:p w14:paraId="315CA8B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0667A4AA">
      <w:pPr>
        <w:pStyle w:val="6"/>
        <w:keepNext w:val="0"/>
        <w:keepLines w:val="0"/>
        <w:pageBreakBefore w:val="0"/>
        <w:wordWrap w:val="0"/>
        <w:overflowPunct/>
        <w:topLinePunct w:val="0"/>
        <w:bidi w:val="0"/>
        <w:spacing w:line="314" w:lineRule="auto"/>
        <w:rPr>
          <w:rFonts w:hint="eastAsia" w:ascii="宋体" w:hAnsi="宋体" w:eastAsia="宋体" w:cs="宋体"/>
          <w:color w:val="auto"/>
          <w:spacing w:val="0"/>
          <w:sz w:val="24"/>
          <w:szCs w:val="24"/>
          <w:highlight w:val="none"/>
        </w:rPr>
      </w:pPr>
    </w:p>
    <w:p w14:paraId="051EFE34">
      <w:pPr>
        <w:pStyle w:val="6"/>
        <w:keepNext w:val="0"/>
        <w:keepLines w:val="0"/>
        <w:pageBreakBefore w:val="0"/>
        <w:wordWrap w:val="0"/>
        <w:overflowPunct/>
        <w:topLinePunct w:val="0"/>
        <w:bidi w:val="0"/>
        <w:spacing w:line="315" w:lineRule="auto"/>
        <w:rPr>
          <w:rFonts w:hint="eastAsia" w:ascii="宋体" w:hAnsi="宋体" w:eastAsia="宋体" w:cs="宋体"/>
          <w:color w:val="auto"/>
          <w:spacing w:val="0"/>
          <w:sz w:val="24"/>
          <w:szCs w:val="24"/>
          <w:highlight w:val="none"/>
        </w:rPr>
      </w:pPr>
    </w:p>
    <w:p w14:paraId="75AB57A7">
      <w:pPr>
        <w:keepNext w:val="0"/>
        <w:keepLines w:val="0"/>
        <w:pageBreakBefore w:val="0"/>
        <w:wordWrap w:val="0"/>
        <w:overflowPunct/>
        <w:topLinePunct w:val="0"/>
        <w:bidi w:val="0"/>
        <w:spacing w:before="78" w:line="220" w:lineRule="auto"/>
        <w:ind w:left="5165"/>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（签字）</w:t>
      </w:r>
    </w:p>
    <w:p w14:paraId="025168AE">
      <w:pPr>
        <w:pStyle w:val="6"/>
        <w:keepNext w:val="0"/>
        <w:keepLines w:val="0"/>
        <w:pageBreakBefore w:val="0"/>
        <w:wordWrap w:val="0"/>
        <w:overflowPunct/>
        <w:topLinePunct w:val="0"/>
        <w:bidi w:val="0"/>
        <w:spacing w:line="256" w:lineRule="auto"/>
        <w:jc w:val="right"/>
        <w:rPr>
          <w:rFonts w:hint="eastAsia" w:ascii="宋体" w:hAnsi="宋体" w:eastAsia="宋体" w:cs="宋体"/>
          <w:color w:val="auto"/>
          <w:spacing w:val="0"/>
          <w:sz w:val="24"/>
          <w:szCs w:val="24"/>
          <w:highlight w:val="none"/>
        </w:rPr>
      </w:pPr>
    </w:p>
    <w:p w14:paraId="04AE2F4B">
      <w:pPr>
        <w:pStyle w:val="6"/>
        <w:keepNext w:val="0"/>
        <w:keepLines w:val="0"/>
        <w:pageBreakBefore w:val="0"/>
        <w:wordWrap w:val="0"/>
        <w:overflowPunct/>
        <w:topLinePunct w:val="0"/>
        <w:bidi w:val="0"/>
        <w:spacing w:line="257" w:lineRule="auto"/>
        <w:jc w:val="right"/>
        <w:rPr>
          <w:rFonts w:hint="eastAsia" w:ascii="宋体" w:hAnsi="宋体" w:eastAsia="宋体" w:cs="宋体"/>
          <w:color w:val="auto"/>
          <w:spacing w:val="0"/>
          <w:sz w:val="24"/>
          <w:szCs w:val="24"/>
          <w:highlight w:val="none"/>
        </w:rPr>
      </w:pPr>
    </w:p>
    <w:p w14:paraId="4F85C3AC">
      <w:pPr>
        <w:pStyle w:val="6"/>
        <w:keepNext w:val="0"/>
        <w:keepLines w:val="0"/>
        <w:pageBreakBefore w:val="0"/>
        <w:wordWrap w:val="0"/>
        <w:overflowPunct/>
        <w:topLinePunct w:val="0"/>
        <w:bidi w:val="0"/>
        <w:spacing w:line="254" w:lineRule="auto"/>
        <w:jc w:val="right"/>
        <w:rPr>
          <w:rFonts w:hint="eastAsia" w:ascii="宋体" w:hAnsi="宋体" w:eastAsia="宋体" w:cs="宋体"/>
          <w:color w:val="auto"/>
          <w:spacing w:val="0"/>
          <w:highlight w:val="none"/>
        </w:rPr>
      </w:pP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年</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月</w:t>
      </w:r>
      <w:r>
        <w:rPr>
          <w:rFonts w:hint="eastAsia" w:ascii="宋体" w:hAnsi="宋体" w:eastAsia="宋体" w:cs="宋体"/>
          <w:snapToGrid w:val="0"/>
          <w:color w:val="auto"/>
          <w:spacing w:val="0"/>
          <w:kern w:val="0"/>
          <w:szCs w:val="21"/>
          <w:highlight w:val="none"/>
          <w:u w:val="single"/>
        </w:rPr>
        <w:t xml:space="preserve">      </w:t>
      </w:r>
      <w:r>
        <w:rPr>
          <w:rFonts w:hint="eastAsia" w:ascii="宋体" w:hAnsi="宋体" w:eastAsia="宋体" w:cs="宋体"/>
          <w:snapToGrid w:val="0"/>
          <w:color w:val="auto"/>
          <w:spacing w:val="0"/>
          <w:kern w:val="0"/>
          <w:szCs w:val="21"/>
          <w:highlight w:val="none"/>
        </w:rPr>
        <w:t>日</w:t>
      </w:r>
    </w:p>
    <w:p w14:paraId="200BDE3C">
      <w:pPr>
        <w:keepNext w:val="0"/>
        <w:keepLines w:val="0"/>
        <w:pageBreakBefore w:val="0"/>
        <w:widowControl/>
        <w:kinsoku w:val="0"/>
        <w:wordWrap w:val="0"/>
        <w:overflowPunct/>
        <w:topLinePunct w:val="0"/>
        <w:autoSpaceDE w:val="0"/>
        <w:autoSpaceDN w:val="0"/>
        <w:bidi w:val="0"/>
        <w:adjustRightInd/>
        <w:snapToGrid/>
        <w:spacing w:before="6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说明：《项目技术负责人简历表》后应附拟派项目技术负责人以下资料：</w:t>
      </w:r>
    </w:p>
    <w:p w14:paraId="4CC3C7D8">
      <w:pPr>
        <w:keepNext w:val="0"/>
        <w:keepLines w:val="0"/>
        <w:pageBreakBefore w:val="0"/>
        <w:widowControl/>
        <w:kinsoku w:val="0"/>
        <w:wordWrap w:val="0"/>
        <w:overflowPunct/>
        <w:topLinePunct w:val="0"/>
        <w:autoSpaceDE w:val="0"/>
        <w:autoSpaceDN w:val="0"/>
        <w:bidi w:val="0"/>
        <w:adjustRightInd/>
        <w:snapToGrid/>
        <w:spacing w:before="155"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．身份证彩色扫描件；</w:t>
      </w:r>
    </w:p>
    <w:p w14:paraId="32AA95EF">
      <w:pPr>
        <w:keepNext w:val="0"/>
        <w:keepLines w:val="0"/>
        <w:pageBreakBefore w:val="0"/>
        <w:widowControl/>
        <w:kinsoku w:val="0"/>
        <w:wordWrap w:val="0"/>
        <w:overflowPunct/>
        <w:topLinePunct w:val="0"/>
        <w:autoSpaceDE w:val="0"/>
        <w:autoSpaceDN w:val="0"/>
        <w:bidi w:val="0"/>
        <w:adjustRightInd/>
        <w:snapToGrid/>
        <w:spacing w:before="151"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 ．职称证彩色扫描件；</w:t>
      </w:r>
    </w:p>
    <w:p w14:paraId="0F4111DC">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 ．在本单位缴纳社保的证明（</w:t>
      </w:r>
      <w:r>
        <w:rPr>
          <w:rFonts w:hint="eastAsia" w:ascii="宋体" w:hAnsi="宋体" w:eastAsia="宋体" w:cs="宋体"/>
          <w:color w:val="auto"/>
          <w:spacing w:val="0"/>
          <w:sz w:val="24"/>
          <w:szCs w:val="24"/>
          <w:highlight w:val="none"/>
          <w:lang w:eastAsia="zh-CN"/>
        </w:rPr>
        <w:t>至少</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个月</w:t>
      </w:r>
      <w:r>
        <w:rPr>
          <w:rFonts w:hint="eastAsia" w:ascii="宋体" w:hAnsi="宋体" w:eastAsia="宋体" w:cs="宋体"/>
          <w:color w:val="auto"/>
          <w:spacing w:val="0"/>
          <w:sz w:val="24"/>
          <w:szCs w:val="24"/>
          <w:highlight w:val="none"/>
        </w:rPr>
        <w:t xml:space="preserve">，其中必须有 </w:t>
      </w:r>
      <w:r>
        <w:rPr>
          <w:rFonts w:hint="eastAsia" w:ascii="宋体" w:hAnsi="宋体" w:eastAsia="宋体" w:cs="宋体"/>
          <w:color w:val="auto"/>
          <w:spacing w:val="0"/>
          <w:sz w:val="24"/>
          <w:szCs w:val="24"/>
          <w:highlight w:val="none"/>
          <w:lang w:eastAsia="zh-CN"/>
        </w:rPr>
        <w:t>202</w:t>
      </w:r>
      <w:r>
        <w:rPr>
          <w:rFonts w:hint="eastAsia" w:ascii="宋体" w:hAnsi="宋体" w:eastAsia="宋体" w:cs="宋体"/>
          <w:color w:val="auto"/>
          <w:spacing w:val="0"/>
          <w:sz w:val="24"/>
          <w:szCs w:val="24"/>
          <w:highlight w:val="none"/>
          <w:lang w:val="en-US" w:eastAsia="zh-CN"/>
        </w:rPr>
        <w:t>6</w:t>
      </w:r>
      <w:r>
        <w:rPr>
          <w:rFonts w:hint="eastAsia" w:ascii="宋体" w:hAnsi="宋体" w:eastAsia="宋体" w:cs="宋体"/>
          <w:color w:val="auto"/>
          <w:spacing w:val="0"/>
          <w:sz w:val="24"/>
          <w:szCs w:val="24"/>
          <w:highlight w:val="none"/>
        </w:rPr>
        <w:t>年</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月）扫描件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 拟派项目技术负责人为退休返聘人员无法提供社保证明的，提供退休证和劳动合同彩色扫描件。</w:t>
      </w:r>
    </w:p>
    <w:p w14:paraId="4B6AA54F">
      <w:pPr>
        <w:keepNext w:val="0"/>
        <w:keepLines w:val="0"/>
        <w:pageBreakBefore w:val="0"/>
        <w:widowControl/>
        <w:kinsoku w:val="0"/>
        <w:wordWrap w:val="0"/>
        <w:overflowPunct/>
        <w:topLinePunct w:val="0"/>
        <w:autoSpaceDE w:val="0"/>
        <w:autoSpaceDN w:val="0"/>
        <w:bidi w:val="0"/>
        <w:adjustRightInd/>
        <w:snapToGrid/>
        <w:spacing w:before="153" w:line="360" w:lineRule="auto"/>
        <w:ind w:left="0" w:right="0" w:firstLine="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 ．“进粤企业和人员诚信信息登记平台 ”个人信息情况截图。（适用于省外建筑企业）</w:t>
      </w:r>
    </w:p>
    <w:p w14:paraId="171B3FE7">
      <w:pPr>
        <w:keepNext w:val="0"/>
        <w:keepLines w:val="0"/>
        <w:pageBreakBefore w:val="0"/>
        <w:wordWrap w:val="0"/>
        <w:overflowPunct/>
        <w:topLinePunct w:val="0"/>
        <w:bidi w:val="0"/>
        <w:spacing w:line="228" w:lineRule="auto"/>
        <w:rPr>
          <w:rFonts w:hint="eastAsia" w:ascii="宋体" w:hAnsi="宋体" w:eastAsia="宋体" w:cs="宋体"/>
          <w:color w:val="auto"/>
          <w:spacing w:val="0"/>
          <w:sz w:val="20"/>
          <w:szCs w:val="20"/>
          <w:highlight w:val="none"/>
        </w:rPr>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7119289E">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1" w:name="_Toc21210"/>
      <w:r>
        <w:rPr>
          <w:rFonts w:hint="eastAsia" w:ascii="宋体" w:hAnsi="宋体" w:eastAsia="宋体" w:cs="宋体"/>
          <w:b/>
          <w:bCs/>
          <w:color w:val="auto"/>
          <w:spacing w:val="0"/>
          <w:sz w:val="24"/>
          <w:szCs w:val="24"/>
          <w:highlight w:val="none"/>
        </w:rPr>
        <w:t>格式十一 项目管理机构组成表</w:t>
      </w:r>
      <w:bookmarkEnd w:id="251"/>
    </w:p>
    <w:p w14:paraId="72EA281F">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3BAB61AF">
      <w:pPr>
        <w:pStyle w:val="6"/>
        <w:keepNext w:val="0"/>
        <w:keepLines w:val="0"/>
        <w:pageBreakBefore w:val="0"/>
        <w:wordWrap w:val="0"/>
        <w:overflowPunct/>
        <w:topLinePunct w:val="0"/>
        <w:bidi w:val="0"/>
        <w:spacing w:line="351" w:lineRule="auto"/>
        <w:rPr>
          <w:rFonts w:hint="eastAsia" w:ascii="宋体" w:hAnsi="宋体" w:eastAsia="宋体" w:cs="宋体"/>
          <w:color w:val="auto"/>
          <w:spacing w:val="0"/>
          <w:highlight w:val="none"/>
        </w:rPr>
      </w:pPr>
    </w:p>
    <w:p w14:paraId="3A5B9122">
      <w:pPr>
        <w:keepNext w:val="0"/>
        <w:keepLines w:val="0"/>
        <w:pageBreakBefore w:val="0"/>
        <w:wordWrap w:val="0"/>
        <w:overflowPunct/>
        <w:topLinePunct w:val="0"/>
        <w:bidi w:val="0"/>
        <w:spacing w:before="97" w:line="219" w:lineRule="auto"/>
        <w:ind w:left="3200"/>
        <w:outlineLvl w:val="9"/>
        <w:rPr>
          <w:rFonts w:hint="eastAsia" w:ascii="宋体" w:hAnsi="宋体" w:eastAsia="宋体" w:cs="宋体"/>
          <w:color w:val="auto"/>
          <w:spacing w:val="0"/>
          <w:sz w:val="30"/>
          <w:szCs w:val="30"/>
          <w:highlight w:val="none"/>
        </w:rPr>
      </w:pPr>
      <w:bookmarkStart w:id="252" w:name="bookmark158"/>
      <w:bookmarkEnd w:id="252"/>
      <w:bookmarkStart w:id="253" w:name="_Toc19973"/>
      <w:bookmarkStart w:id="254" w:name="_Toc28765"/>
      <w:r>
        <w:rPr>
          <w:rFonts w:hint="eastAsia" w:ascii="宋体" w:hAnsi="宋体" w:eastAsia="宋体" w:cs="宋体"/>
          <w:b/>
          <w:bCs/>
          <w:color w:val="auto"/>
          <w:spacing w:val="0"/>
          <w:sz w:val="30"/>
          <w:szCs w:val="30"/>
          <w:highlight w:val="none"/>
        </w:rPr>
        <w:t>项目管理机构组成表</w:t>
      </w:r>
      <w:bookmarkEnd w:id="253"/>
      <w:bookmarkEnd w:id="254"/>
    </w:p>
    <w:p w14:paraId="6443FF59">
      <w:pPr>
        <w:keepNext w:val="0"/>
        <w:keepLines w:val="0"/>
        <w:pageBreakBefore w:val="0"/>
        <w:wordWrap w:val="0"/>
        <w:overflowPunct/>
        <w:topLinePunct w:val="0"/>
        <w:bidi w:val="0"/>
        <w:spacing w:before="7"/>
        <w:rPr>
          <w:rFonts w:hint="eastAsia" w:ascii="宋体" w:hAnsi="宋体" w:eastAsia="宋体" w:cs="宋体"/>
          <w:color w:val="auto"/>
          <w:spacing w:val="0"/>
          <w:highlight w:val="none"/>
        </w:rPr>
      </w:pPr>
    </w:p>
    <w:tbl>
      <w:tblPr>
        <w:tblStyle w:val="15"/>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62123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center"/>
          </w:tcPr>
          <w:p w14:paraId="6E3F51CF">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序号</w:t>
            </w:r>
          </w:p>
        </w:tc>
        <w:tc>
          <w:tcPr>
            <w:tcW w:w="1939" w:type="dxa"/>
            <w:vAlign w:val="center"/>
          </w:tcPr>
          <w:p w14:paraId="70840A8B">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岗位</w:t>
            </w:r>
          </w:p>
        </w:tc>
        <w:tc>
          <w:tcPr>
            <w:tcW w:w="1567" w:type="dxa"/>
            <w:vAlign w:val="center"/>
          </w:tcPr>
          <w:p w14:paraId="32A36FDF">
            <w:pPr>
              <w:keepNext w:val="0"/>
              <w:keepLines w:val="0"/>
              <w:pageBreakBefore w:val="0"/>
              <w:widowControl/>
              <w:kinsoku w:val="0"/>
              <w:wordWrap w:val="0"/>
              <w:overflowPunct/>
              <w:topLinePunct w:val="0"/>
              <w:autoSpaceDE w:val="0"/>
              <w:autoSpaceDN w:val="0"/>
              <w:bidi w:val="0"/>
              <w:adjustRightInd w:val="0"/>
              <w:snapToGrid w:val="0"/>
              <w:spacing w:before="228"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姓名</w:t>
            </w:r>
          </w:p>
        </w:tc>
        <w:tc>
          <w:tcPr>
            <w:tcW w:w="1017" w:type="dxa"/>
            <w:vAlign w:val="center"/>
          </w:tcPr>
          <w:p w14:paraId="46CA79C0">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性别</w:t>
            </w:r>
          </w:p>
        </w:tc>
        <w:tc>
          <w:tcPr>
            <w:tcW w:w="1002" w:type="dxa"/>
            <w:vAlign w:val="center"/>
          </w:tcPr>
          <w:p w14:paraId="7DFB693F">
            <w:pPr>
              <w:keepNext w:val="0"/>
              <w:keepLines w:val="0"/>
              <w:pageBreakBefore w:val="0"/>
              <w:widowControl/>
              <w:kinsoku w:val="0"/>
              <w:wordWrap w:val="0"/>
              <w:overflowPunct/>
              <w:topLinePunct w:val="0"/>
              <w:autoSpaceDE w:val="0"/>
              <w:autoSpaceDN w:val="0"/>
              <w:bidi w:val="0"/>
              <w:adjustRightInd w:val="0"/>
              <w:snapToGrid w:val="0"/>
              <w:spacing w:before="229" w:line="231"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年龄</w:t>
            </w:r>
          </w:p>
        </w:tc>
        <w:tc>
          <w:tcPr>
            <w:tcW w:w="1551" w:type="dxa"/>
            <w:vAlign w:val="center"/>
          </w:tcPr>
          <w:p w14:paraId="0DFD0FC9">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职称</w:t>
            </w:r>
          </w:p>
        </w:tc>
        <w:tc>
          <w:tcPr>
            <w:tcW w:w="1926" w:type="dxa"/>
            <w:vAlign w:val="center"/>
          </w:tcPr>
          <w:p w14:paraId="55F7EA65">
            <w:pPr>
              <w:keepNext w:val="0"/>
              <w:keepLines w:val="0"/>
              <w:pageBreakBefore w:val="0"/>
              <w:widowControl/>
              <w:kinsoku w:val="0"/>
              <w:wordWrap w:val="0"/>
              <w:overflowPunct/>
              <w:topLinePunct w:val="0"/>
              <w:autoSpaceDE w:val="0"/>
              <w:autoSpaceDN w:val="0"/>
              <w:bidi w:val="0"/>
              <w:adjustRightInd w:val="0"/>
              <w:snapToGrid w:val="0"/>
              <w:spacing w:before="228" w:line="230" w:lineRule="auto"/>
              <w:ind w:left="0"/>
              <w:jc w:val="center"/>
              <w:textAlignment w:val="baseline"/>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t>备注</w:t>
            </w:r>
          </w:p>
        </w:tc>
      </w:tr>
      <w:tr w14:paraId="3C5E1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4847F33D">
            <w:pPr>
              <w:keepNext w:val="0"/>
              <w:keepLines w:val="0"/>
              <w:pageBreakBefore w:val="0"/>
              <w:widowControl/>
              <w:kinsoku w:val="0"/>
              <w:wordWrap w:val="0"/>
              <w:overflowPunct/>
              <w:topLinePunct w:val="0"/>
              <w:autoSpaceDE w:val="0"/>
              <w:autoSpaceDN w:val="0"/>
              <w:bidi w:val="0"/>
              <w:adjustRightInd w:val="0"/>
              <w:snapToGrid w:val="0"/>
              <w:spacing w:before="185"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1939" w:type="dxa"/>
            <w:vAlign w:val="center"/>
          </w:tcPr>
          <w:p w14:paraId="2FE7C559">
            <w:pPr>
              <w:keepNext w:val="0"/>
              <w:keepLines w:val="0"/>
              <w:pageBreakBefore w:val="0"/>
              <w:widowControl/>
              <w:kinsoku w:val="0"/>
              <w:wordWrap w:val="0"/>
              <w:overflowPunct/>
              <w:topLinePunct w:val="0"/>
              <w:autoSpaceDE w:val="0"/>
              <w:autoSpaceDN w:val="0"/>
              <w:bidi w:val="0"/>
              <w:adjustRightInd w:val="0"/>
              <w:snapToGrid w:val="0"/>
              <w:spacing w:before="150"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项目经理</w:t>
            </w:r>
          </w:p>
        </w:tc>
        <w:tc>
          <w:tcPr>
            <w:tcW w:w="1567" w:type="dxa"/>
            <w:vAlign w:val="center"/>
          </w:tcPr>
          <w:p w14:paraId="2D179AD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824F68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38FAF52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0EE0EF0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2C34DDD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93E6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center"/>
          </w:tcPr>
          <w:p w14:paraId="6DC38B23">
            <w:pPr>
              <w:keepNext w:val="0"/>
              <w:keepLines w:val="0"/>
              <w:pageBreakBefore w:val="0"/>
              <w:widowControl/>
              <w:kinsoku w:val="0"/>
              <w:wordWrap w:val="0"/>
              <w:overflowPunct/>
              <w:topLinePunct w:val="0"/>
              <w:autoSpaceDE w:val="0"/>
              <w:autoSpaceDN w:val="0"/>
              <w:bidi w:val="0"/>
              <w:adjustRightInd w:val="0"/>
              <w:snapToGrid w:val="0"/>
              <w:spacing w:before="187"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1939" w:type="dxa"/>
            <w:vAlign w:val="center"/>
          </w:tcPr>
          <w:p w14:paraId="5504BA64">
            <w:pPr>
              <w:keepNext w:val="0"/>
              <w:keepLines w:val="0"/>
              <w:pageBreakBefore w:val="0"/>
              <w:widowControl/>
              <w:kinsoku w:val="0"/>
              <w:wordWrap w:val="0"/>
              <w:overflowPunct/>
              <w:topLinePunct w:val="0"/>
              <w:autoSpaceDE w:val="0"/>
              <w:autoSpaceDN w:val="0"/>
              <w:bidi w:val="0"/>
              <w:adjustRightInd w:val="0"/>
              <w:snapToGrid w:val="0"/>
              <w:spacing w:before="152"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项目技术负责人</w:t>
            </w:r>
          </w:p>
        </w:tc>
        <w:tc>
          <w:tcPr>
            <w:tcW w:w="1567" w:type="dxa"/>
            <w:vAlign w:val="center"/>
          </w:tcPr>
          <w:p w14:paraId="39D0A69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0B5E02F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543BE36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35D293A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4F9B82A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D1F3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0114A82A">
            <w:pPr>
              <w:keepNext w:val="0"/>
              <w:keepLines w:val="0"/>
              <w:pageBreakBefore w:val="0"/>
              <w:widowControl/>
              <w:kinsoku w:val="0"/>
              <w:wordWrap w:val="0"/>
              <w:overflowPunct/>
              <w:topLinePunct w:val="0"/>
              <w:autoSpaceDE w:val="0"/>
              <w:autoSpaceDN w:val="0"/>
              <w:bidi w:val="0"/>
              <w:adjustRightInd w:val="0"/>
              <w:snapToGrid w:val="0"/>
              <w:spacing w:before="189" w:line="195" w:lineRule="auto"/>
              <w:ind w:left="0"/>
              <w:jc w:val="center"/>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3</w:t>
            </w:r>
          </w:p>
        </w:tc>
        <w:tc>
          <w:tcPr>
            <w:tcW w:w="1939" w:type="dxa"/>
            <w:vAlign w:val="center"/>
          </w:tcPr>
          <w:p w14:paraId="342D613A">
            <w:pPr>
              <w:keepNext w:val="0"/>
              <w:keepLines w:val="0"/>
              <w:pageBreakBefore w:val="0"/>
              <w:widowControl/>
              <w:kinsoku w:val="0"/>
              <w:wordWrap w:val="0"/>
              <w:overflowPunct/>
              <w:topLinePunct w:val="0"/>
              <w:autoSpaceDE w:val="0"/>
              <w:autoSpaceDN w:val="0"/>
              <w:bidi w:val="0"/>
              <w:adjustRightInd w:val="0"/>
              <w:snapToGrid w:val="0"/>
              <w:spacing w:before="153"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专职安全员</w:t>
            </w:r>
          </w:p>
        </w:tc>
        <w:tc>
          <w:tcPr>
            <w:tcW w:w="1567" w:type="dxa"/>
            <w:vAlign w:val="center"/>
          </w:tcPr>
          <w:p w14:paraId="713505E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0FBE079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3091553A">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404815E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63FA1459">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715E3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center"/>
          </w:tcPr>
          <w:p w14:paraId="6D81841D">
            <w:pPr>
              <w:keepNext w:val="0"/>
              <w:keepLines w:val="0"/>
              <w:pageBreakBefore w:val="0"/>
              <w:widowControl/>
              <w:kinsoku w:val="0"/>
              <w:wordWrap w:val="0"/>
              <w:overflowPunct/>
              <w:topLinePunct w:val="0"/>
              <w:autoSpaceDE w:val="0"/>
              <w:autoSpaceDN w:val="0"/>
              <w:bidi w:val="0"/>
              <w:adjustRightInd w:val="0"/>
              <w:snapToGrid w:val="0"/>
              <w:spacing w:before="188"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w:t>
            </w:r>
          </w:p>
        </w:tc>
        <w:tc>
          <w:tcPr>
            <w:tcW w:w="1939" w:type="dxa"/>
            <w:vAlign w:val="center"/>
          </w:tcPr>
          <w:p w14:paraId="68BF5D12">
            <w:pPr>
              <w:keepNext w:val="0"/>
              <w:keepLines w:val="0"/>
              <w:pageBreakBefore w:val="0"/>
              <w:widowControl/>
              <w:kinsoku w:val="0"/>
              <w:wordWrap w:val="0"/>
              <w:overflowPunct/>
              <w:topLinePunct w:val="0"/>
              <w:autoSpaceDE w:val="0"/>
              <w:autoSpaceDN w:val="0"/>
              <w:bidi w:val="0"/>
              <w:adjustRightInd w:val="0"/>
              <w:snapToGrid w:val="0"/>
              <w:spacing w:before="152" w:line="230"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施工员</w:t>
            </w:r>
          </w:p>
        </w:tc>
        <w:tc>
          <w:tcPr>
            <w:tcW w:w="1567" w:type="dxa"/>
            <w:vAlign w:val="center"/>
          </w:tcPr>
          <w:p w14:paraId="5381625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6C90DAA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CE3B76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0461373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84D418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74C6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65F3A49E">
            <w:pPr>
              <w:keepNext w:val="0"/>
              <w:keepLines w:val="0"/>
              <w:pageBreakBefore w:val="0"/>
              <w:widowControl/>
              <w:kinsoku w:val="0"/>
              <w:wordWrap w:val="0"/>
              <w:overflowPunct/>
              <w:topLinePunct w:val="0"/>
              <w:autoSpaceDE w:val="0"/>
              <w:autoSpaceDN w:val="0"/>
              <w:bidi w:val="0"/>
              <w:adjustRightInd w:val="0"/>
              <w:snapToGrid w:val="0"/>
              <w:spacing w:before="193"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5</w:t>
            </w:r>
          </w:p>
        </w:tc>
        <w:tc>
          <w:tcPr>
            <w:tcW w:w="1939" w:type="dxa"/>
            <w:vAlign w:val="center"/>
          </w:tcPr>
          <w:p w14:paraId="71A9343D">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质量员</w:t>
            </w:r>
          </w:p>
        </w:tc>
        <w:tc>
          <w:tcPr>
            <w:tcW w:w="1567" w:type="dxa"/>
            <w:vAlign w:val="center"/>
          </w:tcPr>
          <w:p w14:paraId="4FFD4F7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4A9577DC">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01D2346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541E883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2D22F9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0FB6B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0357985B">
            <w:pPr>
              <w:keepNext w:val="0"/>
              <w:keepLines w:val="0"/>
              <w:pageBreakBefore w:val="0"/>
              <w:widowControl/>
              <w:kinsoku w:val="0"/>
              <w:wordWrap w:val="0"/>
              <w:overflowPunct/>
              <w:topLinePunct w:val="0"/>
              <w:autoSpaceDE w:val="0"/>
              <w:autoSpaceDN w:val="0"/>
              <w:bidi w:val="0"/>
              <w:adjustRightInd w:val="0"/>
              <w:snapToGrid w:val="0"/>
              <w:spacing w:before="191" w:line="195"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6</w:t>
            </w:r>
          </w:p>
        </w:tc>
        <w:tc>
          <w:tcPr>
            <w:tcW w:w="1939" w:type="dxa"/>
            <w:vAlign w:val="center"/>
          </w:tcPr>
          <w:p w14:paraId="134FEF29">
            <w:pPr>
              <w:keepNext w:val="0"/>
              <w:keepLines w:val="0"/>
              <w:pageBreakBefore w:val="0"/>
              <w:widowControl/>
              <w:kinsoku w:val="0"/>
              <w:wordWrap w:val="0"/>
              <w:overflowPunct/>
              <w:topLinePunct w:val="0"/>
              <w:autoSpaceDE w:val="0"/>
              <w:autoSpaceDN w:val="0"/>
              <w:bidi w:val="0"/>
              <w:adjustRightInd w:val="0"/>
              <w:snapToGrid w:val="0"/>
              <w:spacing w:before="155" w:line="228"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材料员</w:t>
            </w:r>
          </w:p>
        </w:tc>
        <w:tc>
          <w:tcPr>
            <w:tcW w:w="1567" w:type="dxa"/>
            <w:vAlign w:val="center"/>
          </w:tcPr>
          <w:p w14:paraId="5EED7FC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33246CC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546455F0">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54B6B2D">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76F5763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5680B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center"/>
          </w:tcPr>
          <w:p w14:paraId="6902E730">
            <w:pPr>
              <w:keepNext w:val="0"/>
              <w:keepLines w:val="0"/>
              <w:pageBreakBefore w:val="0"/>
              <w:widowControl/>
              <w:kinsoku w:val="0"/>
              <w:wordWrap w:val="0"/>
              <w:overflowPunct/>
              <w:topLinePunct w:val="0"/>
              <w:autoSpaceDE w:val="0"/>
              <w:autoSpaceDN w:val="0"/>
              <w:bidi w:val="0"/>
              <w:adjustRightInd w:val="0"/>
              <w:snapToGrid w:val="0"/>
              <w:spacing w:before="192" w:line="192"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7</w:t>
            </w:r>
          </w:p>
        </w:tc>
        <w:tc>
          <w:tcPr>
            <w:tcW w:w="1939" w:type="dxa"/>
            <w:vAlign w:val="center"/>
          </w:tcPr>
          <w:p w14:paraId="0F420679">
            <w:pPr>
              <w:keepNext w:val="0"/>
              <w:keepLines w:val="0"/>
              <w:pageBreakBefore w:val="0"/>
              <w:widowControl/>
              <w:kinsoku w:val="0"/>
              <w:wordWrap w:val="0"/>
              <w:overflowPunct/>
              <w:topLinePunct w:val="0"/>
              <w:autoSpaceDE w:val="0"/>
              <w:autoSpaceDN w:val="0"/>
              <w:bidi w:val="0"/>
              <w:adjustRightInd w:val="0"/>
              <w:snapToGrid w:val="0"/>
              <w:spacing w:before="154" w:line="229" w:lineRule="auto"/>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资料员</w:t>
            </w:r>
          </w:p>
        </w:tc>
        <w:tc>
          <w:tcPr>
            <w:tcW w:w="1567" w:type="dxa"/>
            <w:vAlign w:val="center"/>
          </w:tcPr>
          <w:p w14:paraId="3622BE2B">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5CE65BB8">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7EDECF2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2C9FB1A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1552BC96">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r w14:paraId="6CEBA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center"/>
          </w:tcPr>
          <w:p w14:paraId="7C25D031">
            <w:pPr>
              <w:keepNext w:val="0"/>
              <w:keepLines w:val="0"/>
              <w:pageBreakBefore w:val="0"/>
              <w:widowControl/>
              <w:kinsoku w:val="0"/>
              <w:wordWrap w:val="0"/>
              <w:overflowPunct/>
              <w:topLinePunct w:val="0"/>
              <w:autoSpaceDE w:val="0"/>
              <w:autoSpaceDN w:val="0"/>
              <w:bidi w:val="0"/>
              <w:adjustRightInd w:val="0"/>
              <w:snapToGrid w:val="0"/>
              <w:spacing w:before="154" w:line="325" w:lineRule="exact"/>
              <w:ind w:left="0"/>
              <w:jc w:val="center"/>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3"/>
                <w:sz w:val="24"/>
                <w:szCs w:val="24"/>
                <w:highlight w:val="none"/>
              </w:rPr>
              <w:t>……</w:t>
            </w:r>
          </w:p>
        </w:tc>
        <w:tc>
          <w:tcPr>
            <w:tcW w:w="1939" w:type="dxa"/>
            <w:vAlign w:val="center"/>
          </w:tcPr>
          <w:p w14:paraId="644CBD8F">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67" w:type="dxa"/>
            <w:vAlign w:val="center"/>
          </w:tcPr>
          <w:p w14:paraId="41B050F2">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17" w:type="dxa"/>
            <w:vAlign w:val="center"/>
          </w:tcPr>
          <w:p w14:paraId="7FE3CAC4">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002" w:type="dxa"/>
            <w:vAlign w:val="center"/>
          </w:tcPr>
          <w:p w14:paraId="207D0393">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551" w:type="dxa"/>
            <w:vAlign w:val="center"/>
          </w:tcPr>
          <w:p w14:paraId="35ACA057">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c>
          <w:tcPr>
            <w:tcW w:w="1926" w:type="dxa"/>
            <w:vAlign w:val="center"/>
          </w:tcPr>
          <w:p w14:paraId="5B617A51">
            <w:pPr>
              <w:pStyle w:val="28"/>
              <w:keepNext w:val="0"/>
              <w:keepLines w:val="0"/>
              <w:pageBreakBefore w:val="0"/>
              <w:widowControl/>
              <w:kinsoku w:val="0"/>
              <w:wordWrap w:val="0"/>
              <w:overflowPunct/>
              <w:topLinePunct w:val="0"/>
              <w:autoSpaceDE w:val="0"/>
              <w:autoSpaceDN w:val="0"/>
              <w:bidi w:val="0"/>
              <w:adjustRightInd w:val="0"/>
              <w:snapToGrid w:val="0"/>
              <w:ind w:left="0"/>
              <w:jc w:val="center"/>
              <w:textAlignment w:val="baseline"/>
              <w:rPr>
                <w:rFonts w:hint="eastAsia" w:ascii="宋体" w:hAnsi="宋体" w:eastAsia="宋体" w:cs="宋体"/>
                <w:color w:val="auto"/>
                <w:spacing w:val="0"/>
                <w:sz w:val="24"/>
                <w:szCs w:val="24"/>
                <w:highlight w:val="none"/>
              </w:rPr>
            </w:pPr>
          </w:p>
        </w:tc>
      </w:tr>
    </w:tbl>
    <w:p w14:paraId="66ACBDC5">
      <w:pPr>
        <w:pStyle w:val="6"/>
        <w:keepNext w:val="0"/>
        <w:keepLines w:val="0"/>
        <w:pageBreakBefore w:val="0"/>
        <w:wordWrap w:val="0"/>
        <w:overflowPunct/>
        <w:topLinePunct w:val="0"/>
        <w:bidi w:val="0"/>
        <w:spacing w:line="395" w:lineRule="auto"/>
        <w:rPr>
          <w:rFonts w:hint="eastAsia" w:ascii="宋体" w:hAnsi="宋体" w:eastAsia="宋体" w:cs="宋体"/>
          <w:color w:val="auto"/>
          <w:spacing w:val="0"/>
          <w:sz w:val="24"/>
          <w:szCs w:val="24"/>
          <w:highlight w:val="none"/>
        </w:rPr>
      </w:pPr>
    </w:p>
    <w:p w14:paraId="0B9B1778">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说明：</w:t>
      </w:r>
    </w:p>
    <w:p w14:paraId="5103CD51">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 ．《项目管理机构组成表》后应附表中拟派人员（项目经理、项目技术负责人除外）以下资料：</w:t>
      </w:r>
    </w:p>
    <w:p w14:paraId="2943384B">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jc w:val="left"/>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身份证彩色扫描件；</w:t>
      </w:r>
    </w:p>
    <w:p w14:paraId="780E60F3">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57B11674">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rPr>
        <w:t>在本单位缴纳社保的证明（</w:t>
      </w:r>
      <w:r>
        <w:rPr>
          <w:rFonts w:hint="eastAsia" w:ascii="宋体" w:hAnsi="宋体" w:eastAsia="宋体" w:cs="宋体"/>
          <w:color w:val="auto"/>
          <w:spacing w:val="0"/>
          <w:sz w:val="24"/>
          <w:szCs w:val="24"/>
          <w:highlight w:val="none"/>
          <w:lang w:eastAsia="zh-CN"/>
        </w:rPr>
        <w:t>至少3个月，其中必须有2026 年</w:t>
      </w: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lang w:eastAsia="zh-CN"/>
        </w:rPr>
        <w:t>月</w:t>
      </w:r>
      <w:r>
        <w:rPr>
          <w:rFonts w:hint="eastAsia" w:ascii="宋体" w:hAnsi="宋体" w:eastAsia="宋体" w:cs="宋体"/>
          <w:color w:val="auto"/>
          <w:spacing w:val="0"/>
          <w:sz w:val="24"/>
          <w:szCs w:val="24"/>
          <w:highlight w:val="none"/>
        </w:rPr>
        <w:t>）扫描件</w:t>
      </w:r>
      <w:r>
        <w:rPr>
          <w:rFonts w:hint="eastAsia" w:ascii="宋体" w:hAnsi="宋体" w:eastAsia="宋体" w:cs="宋体"/>
          <w:color w:val="auto"/>
          <w:spacing w:val="0"/>
          <w:sz w:val="24"/>
          <w:szCs w:val="24"/>
          <w:highlight w:val="none"/>
          <w:lang w:val="en-US" w:eastAsia="zh-CN"/>
        </w:rPr>
        <w:t>或打印件</w:t>
      </w:r>
      <w:r>
        <w:rPr>
          <w:rFonts w:hint="eastAsia" w:ascii="宋体" w:hAnsi="宋体" w:eastAsia="宋体" w:cs="宋体"/>
          <w:color w:val="auto"/>
          <w:spacing w:val="0"/>
          <w:sz w:val="24"/>
          <w:szCs w:val="24"/>
          <w:highlight w:val="none"/>
        </w:rPr>
        <w:t>。拟派</w:t>
      </w:r>
      <w:r>
        <w:rPr>
          <w:rFonts w:hint="eastAsia" w:ascii="宋体" w:hAnsi="宋体" w:eastAsia="宋体" w:cs="宋体"/>
          <w:color w:val="auto"/>
          <w:spacing w:val="0"/>
          <w:sz w:val="24"/>
          <w:szCs w:val="24"/>
          <w:highlight w:val="none"/>
          <w:lang w:val="en-US" w:eastAsia="zh-CN"/>
        </w:rPr>
        <w:t>人员</w:t>
      </w:r>
      <w:r>
        <w:rPr>
          <w:rFonts w:hint="eastAsia" w:ascii="宋体" w:hAnsi="宋体" w:eastAsia="宋体" w:cs="宋体"/>
          <w:color w:val="auto"/>
          <w:spacing w:val="0"/>
          <w:sz w:val="24"/>
          <w:szCs w:val="24"/>
          <w:highlight w:val="none"/>
        </w:rPr>
        <w:t>为退休返聘人员无法提供社保证明的，提供退休证和劳动合同彩色扫描件。</w:t>
      </w:r>
    </w:p>
    <w:p w14:paraId="51AFC6E4">
      <w:pPr>
        <w:keepNext w:val="0"/>
        <w:keepLines w:val="0"/>
        <w:pageBreakBefore w:val="0"/>
        <w:widowControl/>
        <w:kinsoku w:val="0"/>
        <w:wordWrap w:val="0"/>
        <w:overflowPunct/>
        <w:topLinePunct w:val="0"/>
        <w:autoSpaceDE w:val="0"/>
        <w:autoSpaceDN w:val="0"/>
        <w:bidi w:val="0"/>
        <w:adjustRightInd/>
        <w:snapToGrid/>
        <w:spacing w:line="360" w:lineRule="auto"/>
        <w:ind w:left="0" w:leftChars="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（4）“进粤企业和人员诚信信息登记平台 ”个人信息情况截图。（适用于省外建筑企业）</w:t>
      </w:r>
    </w:p>
    <w:p w14:paraId="25A18113">
      <w:pPr>
        <w:keepNext w:val="0"/>
        <w:keepLines w:val="0"/>
        <w:pageBreakBefore w:val="0"/>
        <w:widowControl/>
        <w:kinsoku w:val="0"/>
        <w:wordWrap w:val="0"/>
        <w:overflowPunct/>
        <w:topLinePunct w:val="0"/>
        <w:autoSpaceDE w:val="0"/>
        <w:autoSpaceDN w:val="0"/>
        <w:bidi w:val="0"/>
        <w:adjustRightInd/>
        <w:snapToGrid/>
        <w:spacing w:line="360" w:lineRule="auto"/>
        <w:ind w:left="0" w:right="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2.</w:t>
      </w:r>
      <w:r>
        <w:rPr>
          <w:rFonts w:hint="eastAsia" w:ascii="宋体" w:hAnsi="宋体" w:eastAsia="宋体" w:cs="宋体"/>
          <w:color w:val="auto"/>
          <w:spacing w:val="0"/>
          <w:sz w:val="24"/>
          <w:szCs w:val="24"/>
          <w:highlight w:val="none"/>
        </w:rPr>
        <w:t>联合体投标的，《项目管理机构组成表》应包括联合体成员单位参与项目管理机构的人员，并提供以上所需资料。</w:t>
      </w:r>
    </w:p>
    <w:p w14:paraId="148E55D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5" w:name="_Toc15844"/>
      <w:r>
        <w:rPr>
          <w:rFonts w:hint="eastAsia" w:ascii="宋体" w:hAnsi="宋体" w:eastAsia="宋体" w:cs="宋体"/>
          <w:b/>
          <w:bCs/>
          <w:color w:val="auto"/>
          <w:spacing w:val="0"/>
          <w:sz w:val="24"/>
          <w:szCs w:val="24"/>
          <w:highlight w:val="none"/>
        </w:rPr>
        <w:t>格式十二 建造师查询页（有效期+建造师签字）</w:t>
      </w:r>
      <w:bookmarkEnd w:id="255"/>
    </w:p>
    <w:p w14:paraId="3F74BE56">
      <w:pPr>
        <w:keepNext w:val="0"/>
        <w:keepLines w:val="0"/>
        <w:pageBreakBefore w:val="0"/>
        <w:wordWrap w:val="0"/>
        <w:overflowPunct/>
        <w:topLinePunct w:val="0"/>
        <w:bidi w:val="0"/>
        <w:outlineLvl w:val="9"/>
        <w:rPr>
          <w:rFonts w:hint="eastAsia" w:ascii="宋体" w:hAnsi="宋体" w:eastAsia="宋体" w:cs="宋体"/>
          <w:color w:val="auto"/>
          <w:spacing w:val="0"/>
          <w:highlight w:val="none"/>
        </w:rPr>
      </w:pPr>
      <w:r>
        <w:rPr>
          <w:rFonts w:hint="eastAsia" w:ascii="宋体" w:hAnsi="宋体" w:eastAsia="宋体" w:cs="宋体"/>
          <w:color w:val="auto"/>
          <w:spacing w:val="0"/>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9"/>
                    <a:stretch>
                      <a:fillRect/>
                    </a:stretch>
                  </pic:blipFill>
                  <pic:spPr>
                    <a:xfrm>
                      <a:off x="0" y="0"/>
                      <a:ext cx="6239510" cy="8013700"/>
                    </a:xfrm>
                    <a:prstGeom prst="rect">
                      <a:avLst/>
                    </a:prstGeom>
                    <a:noFill/>
                    <a:ln>
                      <a:noFill/>
                    </a:ln>
                  </pic:spPr>
                </pic:pic>
              </a:graphicData>
            </a:graphic>
          </wp:inline>
        </w:drawing>
      </w:r>
    </w:p>
    <w:p w14:paraId="0911E9E5">
      <w:pPr>
        <w:keepNext w:val="0"/>
        <w:keepLines w:val="0"/>
        <w:pageBreakBefore w:val="0"/>
        <w:wordWrap w:val="0"/>
        <w:overflowPunct/>
        <w:topLinePunct w:val="0"/>
        <w:bidi w:val="0"/>
        <w:spacing w:line="220" w:lineRule="auto"/>
        <w:rPr>
          <w:rFonts w:hint="eastAsia" w:ascii="宋体" w:hAnsi="宋体" w:eastAsia="宋体" w:cs="宋体"/>
          <w:color w:val="auto"/>
          <w:spacing w:val="0"/>
          <w:sz w:val="24"/>
          <w:szCs w:val="24"/>
          <w:highlight w:val="none"/>
        </w:rPr>
        <w:sectPr>
          <w:footerReference r:id="rId26"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2DC03463">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pPr>
      <w:r>
        <w:rPr>
          <w:rFonts w:hint="eastAsia" w:ascii="宋体" w:hAnsi="宋体" w:eastAsia="宋体" w:cs="宋体"/>
          <w:color w:val="auto"/>
          <w:spacing w:val="0"/>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60"/>
                    <a:stretch>
                      <a:fillRect/>
                    </a:stretch>
                  </pic:blipFill>
                  <pic:spPr>
                    <a:xfrm>
                      <a:off x="0" y="0"/>
                      <a:ext cx="6285865" cy="6925310"/>
                    </a:xfrm>
                    <a:prstGeom prst="rect">
                      <a:avLst/>
                    </a:prstGeom>
                    <a:noFill/>
                    <a:ln>
                      <a:noFill/>
                    </a:ln>
                  </pic:spPr>
                </pic:pic>
              </a:graphicData>
            </a:graphic>
          </wp:inline>
        </w:drawing>
      </w:r>
    </w:p>
    <w:p w14:paraId="75F69AC8">
      <w:pPr>
        <w:keepNext w:val="0"/>
        <w:keepLines w:val="0"/>
        <w:pageBreakBefore w:val="0"/>
        <w:wordWrap w:val="0"/>
        <w:overflowPunct/>
        <w:topLinePunct w:val="0"/>
        <w:bidi w:val="0"/>
        <w:spacing w:line="10744" w:lineRule="exact"/>
        <w:rPr>
          <w:rFonts w:hint="eastAsia" w:ascii="宋体" w:hAnsi="宋体" w:eastAsia="宋体" w:cs="宋体"/>
          <w:color w:val="auto"/>
          <w:spacing w:val="0"/>
          <w:highlight w:val="none"/>
        </w:rPr>
        <w:sectPr>
          <w:footerReference r:id="rId27"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69562F6F">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56" w:name="_Toc17831"/>
      <w:r>
        <w:rPr>
          <w:rFonts w:hint="eastAsia" w:ascii="宋体" w:hAnsi="宋体" w:eastAsia="宋体" w:cs="宋体"/>
          <w:b/>
          <w:bCs/>
          <w:color w:val="auto"/>
          <w:spacing w:val="0"/>
          <w:sz w:val="24"/>
          <w:szCs w:val="24"/>
          <w:highlight w:val="none"/>
        </w:rPr>
        <w:t>格式十三</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sz w:val="22"/>
          <w:szCs w:val="22"/>
          <w:highlight w:val="none"/>
        </w:rPr>
        <w:t>危险性较大的分部分项工程清单及超过一定规模的危险性较大的分部分项工程清单</w:t>
      </w:r>
      <w:bookmarkEnd w:id="256"/>
    </w:p>
    <w:p w14:paraId="50907F9F">
      <w:pPr>
        <w:pStyle w:val="6"/>
        <w:keepNext w:val="0"/>
        <w:keepLines w:val="0"/>
        <w:pageBreakBefore w:val="0"/>
        <w:wordWrap w:val="0"/>
        <w:overflowPunct/>
        <w:topLinePunct w:val="0"/>
        <w:bidi w:val="0"/>
        <w:spacing w:line="269" w:lineRule="auto"/>
        <w:rPr>
          <w:rFonts w:hint="eastAsia" w:ascii="宋体" w:hAnsi="宋体" w:eastAsia="宋体" w:cs="宋体"/>
          <w:color w:val="auto"/>
          <w:spacing w:val="0"/>
          <w:highlight w:val="none"/>
        </w:rPr>
      </w:pPr>
    </w:p>
    <w:p w14:paraId="7607D11B">
      <w:pPr>
        <w:keepNext w:val="0"/>
        <w:keepLines w:val="0"/>
        <w:pageBreakBefore w:val="0"/>
        <w:tabs>
          <w:tab w:val="left" w:pos="2940"/>
        </w:tabs>
        <w:wordWrap w:val="0"/>
        <w:overflowPunct/>
        <w:topLinePunct w:val="0"/>
        <w:bidi w:val="0"/>
        <w:spacing w:before="101" w:line="377" w:lineRule="auto"/>
        <w:ind w:left="3179" w:leftChars="0" w:right="41" w:hanging="3133" w:firstLineChars="0"/>
        <w:rPr>
          <w:rFonts w:hint="eastAsia" w:ascii="宋体" w:hAnsi="宋体" w:eastAsia="宋体" w:cs="宋体"/>
          <w:color w:val="auto"/>
          <w:spacing w:val="0"/>
          <w:sz w:val="31"/>
          <w:szCs w:val="31"/>
          <w:highlight w:val="none"/>
        </w:rPr>
      </w:pPr>
      <w:bookmarkStart w:id="257" w:name="bookmark160"/>
      <w:bookmarkEnd w:id="257"/>
      <w:bookmarkStart w:id="258" w:name="OLE_LINK41"/>
      <w:r>
        <w:rPr>
          <w:rFonts w:hint="eastAsia" w:ascii="宋体" w:hAnsi="宋体" w:eastAsia="宋体" w:cs="宋体"/>
          <w:b/>
          <w:bCs/>
          <w:color w:val="auto"/>
          <w:spacing w:val="0"/>
          <w:sz w:val="31"/>
          <w:szCs w:val="31"/>
          <w:highlight w:val="none"/>
        </w:rPr>
        <w:t>危险性较大的分部分项工程清单及超过一定规模的危险性较大的分部分项工程清单</w:t>
      </w:r>
    </w:p>
    <w:bookmarkEnd w:id="258"/>
    <w:p w14:paraId="662AF9AF">
      <w:pPr>
        <w:keepNext w:val="0"/>
        <w:keepLines w:val="0"/>
        <w:pageBreakBefore w:val="0"/>
        <w:wordWrap w:val="0"/>
        <w:overflowPunct/>
        <w:topLinePunct w:val="0"/>
        <w:bidi w:val="0"/>
        <w:spacing w:before="6" w:line="326" w:lineRule="auto"/>
        <w:ind w:left="5"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1、根据中华人民共和国住房和城乡建设部令第37号《危险性较大的分部分项工程安全管理规定》（以下简称“37号文 ”），投标人在投标时须补充完善危大工程清单并明确相应的安全管理措施。</w:t>
      </w:r>
    </w:p>
    <w:p w14:paraId="67ED7BDA">
      <w:pPr>
        <w:keepNext w:val="0"/>
        <w:keepLines w:val="0"/>
        <w:pageBreakBefore w:val="0"/>
        <w:wordWrap w:val="0"/>
        <w:overflowPunct/>
        <w:topLinePunct w:val="0"/>
        <w:bidi w:val="0"/>
        <w:spacing w:before="208" w:line="326" w:lineRule="auto"/>
        <w:ind w:left="1" w:firstLine="48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2、招标人根据设计文件的要求及37号文、粤建规范〔2019〕2号文的规定列出“危险性较大的分部分项工程清单及超过一定规模的危险性较大的分部分项工程清单 ”中与 本招标项目相关的清单项，具体详见第5点“打 √ ”标识。</w:t>
      </w:r>
    </w:p>
    <w:p w14:paraId="1009AAD2">
      <w:pPr>
        <w:keepNext w:val="0"/>
        <w:keepLines w:val="0"/>
        <w:pageBreakBefore w:val="0"/>
        <w:wordWrap w:val="0"/>
        <w:overflowPunct/>
        <w:topLinePunct w:val="0"/>
        <w:bidi w:val="0"/>
        <w:spacing w:before="209" w:line="299" w:lineRule="auto"/>
        <w:ind w:left="3" w:right="72" w:firstLine="48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（1）投标单位同意建设单位在清单中标识的该项请在对应项打“ √ ”标识，并与投标文件中提供相应的安全管理措施。</w:t>
      </w:r>
    </w:p>
    <w:p w14:paraId="4E637A4E">
      <w:pPr>
        <w:keepNext w:val="0"/>
        <w:keepLines w:val="0"/>
        <w:pageBreakBefore w:val="0"/>
        <w:wordWrap w:val="0"/>
        <w:overflowPunct/>
        <w:topLinePunct w:val="0"/>
        <w:bidi w:val="0"/>
        <w:spacing w:before="208" w:line="299" w:lineRule="auto"/>
        <w:ind w:left="2" w:right="72" w:firstLine="48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（2）投标单位对清单中认为需要补充的该项请在对应项打“ √ ”标识，并与投标文件中提供相应的安全管理措施。</w:t>
      </w:r>
    </w:p>
    <w:p w14:paraId="33208B45">
      <w:pPr>
        <w:keepNext w:val="0"/>
        <w:keepLines w:val="0"/>
        <w:pageBreakBefore w:val="0"/>
        <w:wordWrap w:val="0"/>
        <w:overflowPunct/>
        <w:topLinePunct w:val="0"/>
        <w:bidi w:val="0"/>
        <w:spacing w:before="210" w:line="300" w:lineRule="auto"/>
        <w:ind w:right="72" w:firstLine="4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（3）投标单位不同意建设单位在清单中标识的该项请在对应项打“ × ”标识，并在备注栏填上相关说明。</w:t>
      </w:r>
    </w:p>
    <w:p w14:paraId="7EE27B78">
      <w:pPr>
        <w:keepNext w:val="0"/>
        <w:keepLines w:val="0"/>
        <w:pageBreakBefore w:val="0"/>
        <w:wordWrap w:val="0"/>
        <w:overflowPunct/>
        <w:topLinePunct w:val="0"/>
        <w:bidi w:val="0"/>
        <w:spacing w:before="207" w:line="371" w:lineRule="auto"/>
        <w:ind w:firstLine="484"/>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u w:val="single"/>
        </w:rPr>
        <w:t>3、投标单位应当在投标时根据招标人提供的下述第5点清单，在投标施工组织中回应建设单位提供的危大工程清单，补充相应的安全管理措施。（为减轻标书编制的工作量，投标单位回应的危大工程清单该部分的页数应控制在3页内）</w:t>
      </w:r>
    </w:p>
    <w:p w14:paraId="74717CD9">
      <w:pPr>
        <w:keepNext w:val="0"/>
        <w:keepLines w:val="0"/>
        <w:pageBreakBefore w:val="0"/>
        <w:wordWrap w:val="0"/>
        <w:overflowPunct/>
        <w:topLinePunct w:val="0"/>
        <w:bidi w:val="0"/>
        <w:spacing w:before="33" w:line="326" w:lineRule="auto"/>
        <w:ind w:left="1" w:firstLine="47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7CC55829">
      <w:pPr>
        <w:keepNext w:val="0"/>
        <w:keepLines w:val="0"/>
        <w:pageBreakBefore w:val="0"/>
        <w:wordWrap w:val="0"/>
        <w:overflowPunct/>
        <w:topLinePunct w:val="0"/>
        <w:bidi w:val="0"/>
        <w:spacing w:before="208" w:line="301" w:lineRule="auto"/>
        <w:ind w:firstLine="484"/>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5、危险性较大的分部分项工程清单及超过一定规模的危险性较大的分部分项工程清单</w:t>
      </w:r>
    </w:p>
    <w:p w14:paraId="09191A05">
      <w:pPr>
        <w:keepNext w:val="0"/>
        <w:keepLines w:val="0"/>
        <w:pageBreakBefore w:val="0"/>
        <w:wordWrap w:val="0"/>
        <w:overflowPunct/>
        <w:topLinePunct w:val="0"/>
        <w:bidi w:val="0"/>
        <w:spacing w:before="40"/>
        <w:rPr>
          <w:rFonts w:hint="eastAsia" w:ascii="宋体" w:hAnsi="宋体" w:eastAsia="宋体" w:cs="宋体"/>
          <w:color w:val="auto"/>
          <w:spacing w:val="0"/>
          <w:highlight w:val="none"/>
        </w:rPr>
      </w:pPr>
    </w:p>
    <w:tbl>
      <w:tblPr>
        <w:tblStyle w:val="15"/>
        <w:tblW w:w="9947" w:type="dxa"/>
        <w:tblInd w:w="-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
        <w:gridCol w:w="2"/>
        <w:gridCol w:w="4862"/>
        <w:gridCol w:w="1294"/>
        <w:gridCol w:w="1294"/>
        <w:gridCol w:w="2428"/>
      </w:tblGrid>
      <w:tr w14:paraId="0EB2F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5C37D55F">
            <w:pPr>
              <w:keepNext w:val="0"/>
              <w:keepLines w:val="0"/>
              <w:pageBreakBefore w:val="0"/>
              <w:wordWrap w:val="0"/>
              <w:overflowPunct/>
              <w:topLinePunct w:val="0"/>
              <w:bidi w:val="0"/>
              <w:spacing w:before="133" w:line="220" w:lineRule="auto"/>
              <w:ind w:firstLine="241" w:firstLineChars="100"/>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一、危险性较大的分部分项工程清单</w:t>
            </w:r>
          </w:p>
        </w:tc>
        <w:tc>
          <w:tcPr>
            <w:tcW w:w="1294" w:type="dxa"/>
            <w:vAlign w:val="top"/>
          </w:tcPr>
          <w:p w14:paraId="67D9179E">
            <w:pPr>
              <w:keepNext w:val="0"/>
              <w:keepLines w:val="0"/>
              <w:pageBreakBefore w:val="0"/>
              <w:wordWrap w:val="0"/>
              <w:overflowPunct/>
              <w:topLinePunct w:val="0"/>
              <w:bidi w:val="0"/>
              <w:spacing w:before="133" w:line="221" w:lineRule="auto"/>
              <w:ind w:left="20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03288055">
            <w:pPr>
              <w:keepNext w:val="0"/>
              <w:keepLines w:val="0"/>
              <w:pageBreakBefore w:val="0"/>
              <w:wordWrap w:val="0"/>
              <w:overflowPunct/>
              <w:topLinePunct w:val="0"/>
              <w:bidi w:val="0"/>
              <w:spacing w:before="133" w:line="221" w:lineRule="auto"/>
              <w:ind w:left="205" w:leftChars="0"/>
              <w:rPr>
                <w:rFonts w:hint="eastAsia" w:ascii="宋体" w:hAnsi="宋体" w:eastAsia="宋体" w:cs="宋体"/>
                <w:color w:val="auto"/>
                <w:spacing w:val="0"/>
                <w:w w:val="94"/>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0F75FE62">
            <w:pPr>
              <w:keepNext w:val="0"/>
              <w:keepLines w:val="0"/>
              <w:pageBreakBefore w:val="0"/>
              <w:wordWrap w:val="0"/>
              <w:overflowPunct/>
              <w:topLinePunct w:val="0"/>
              <w:bidi w:val="0"/>
              <w:spacing w:before="133" w:line="222" w:lineRule="auto"/>
              <w:ind w:left="360" w:leftChars="0"/>
              <w:rPr>
                <w:rFonts w:hint="eastAsia" w:ascii="宋体" w:hAnsi="宋体" w:eastAsia="宋体" w:cs="宋体"/>
                <w:color w:val="auto"/>
                <w:spacing w:val="0"/>
                <w:highlight w:val="none"/>
              </w:rPr>
            </w:pPr>
            <w:r>
              <w:rPr>
                <w:rFonts w:hint="eastAsia" w:ascii="宋体" w:hAnsi="宋体" w:eastAsia="宋体" w:cs="宋体"/>
                <w:color w:val="auto"/>
                <w:spacing w:val="0"/>
                <w:sz w:val="24"/>
                <w:szCs w:val="24"/>
                <w:highlight w:val="none"/>
              </w:rPr>
              <w:t>备注</w:t>
            </w:r>
          </w:p>
        </w:tc>
      </w:tr>
      <w:tr w14:paraId="09153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6EA5278F">
            <w:pPr>
              <w:keepNext w:val="0"/>
              <w:keepLines w:val="0"/>
              <w:pageBreakBefore w:val="0"/>
              <w:wordWrap w:val="0"/>
              <w:overflowPunct/>
              <w:topLinePunct w:val="0"/>
              <w:bidi w:val="0"/>
              <w:spacing w:before="128" w:line="221" w:lineRule="auto"/>
              <w:ind w:left="120" w:left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一、基坑支护</w:t>
            </w:r>
          </w:p>
        </w:tc>
        <w:tc>
          <w:tcPr>
            <w:tcW w:w="1294" w:type="dxa"/>
            <w:vAlign w:val="top"/>
          </w:tcPr>
          <w:p w14:paraId="015BF65A">
            <w:pPr>
              <w:keepNext w:val="0"/>
              <w:keepLines w:val="0"/>
              <w:pageBreakBefore w:val="0"/>
              <w:wordWrap w:val="0"/>
              <w:overflowPunct/>
              <w:topLinePunct w:val="0"/>
              <w:bidi w:val="0"/>
              <w:spacing w:before="128" w:line="223" w:lineRule="auto"/>
              <w:jc w:val="center"/>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bookmarkStart w:id="259" w:name="OLE_LINK39"/>
            <w:r>
              <w:rPr>
                <w:rFonts w:hint="eastAsia" w:ascii="宋体" w:hAnsi="宋体" w:eastAsia="宋体" w:cs="宋体"/>
                <w:color w:val="auto"/>
                <w:spacing w:val="0"/>
                <w:sz w:val="24"/>
                <w:szCs w:val="24"/>
                <w:highlight w:val="none"/>
              </w:rPr>
              <w:t xml:space="preserve">  </w:t>
            </w:r>
            <w:bookmarkEnd w:id="259"/>
            <w:r>
              <w:rPr>
                <w:rFonts w:hint="eastAsia" w:ascii="宋体" w:hAnsi="宋体" w:eastAsia="宋体" w:cs="宋体"/>
                <w:color w:val="auto"/>
                <w:spacing w:val="0"/>
                <w:w w:val="94"/>
                <w:sz w:val="24"/>
                <w:szCs w:val="24"/>
                <w:highlight w:val="none"/>
              </w:rPr>
              <w:t>)</w:t>
            </w:r>
          </w:p>
        </w:tc>
        <w:tc>
          <w:tcPr>
            <w:tcW w:w="1294" w:type="dxa"/>
            <w:vAlign w:val="top"/>
          </w:tcPr>
          <w:p w14:paraId="08C13183">
            <w:pPr>
              <w:keepNext w:val="0"/>
              <w:keepLines w:val="0"/>
              <w:pageBreakBefore w:val="0"/>
              <w:wordWrap w:val="0"/>
              <w:overflowPunct/>
              <w:topLinePunct w:val="0"/>
              <w:bidi w:val="0"/>
              <w:spacing w:before="12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F78762E">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F395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19713150">
            <w:pPr>
              <w:keepNext w:val="0"/>
              <w:keepLines w:val="0"/>
              <w:pageBreakBefore w:val="0"/>
              <w:wordWrap w:val="0"/>
              <w:overflowPunct/>
              <w:topLinePunct w:val="0"/>
              <w:bidi w:val="0"/>
              <w:spacing w:before="129" w:line="328" w:lineRule="auto"/>
              <w:ind w:left="135" w:leftChars="0" w:right="68" w:rightChars="0" w:hanging="8" w:firstLineChars="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（一）开挖深度超过 3m（含 3m）的基坑（槽） 的土方开挖、支护、降水工程。</w:t>
            </w:r>
          </w:p>
        </w:tc>
        <w:tc>
          <w:tcPr>
            <w:tcW w:w="1294" w:type="dxa"/>
            <w:vAlign w:val="top"/>
          </w:tcPr>
          <w:p w14:paraId="64D282F4">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10C20D5">
            <w:pPr>
              <w:keepNext w:val="0"/>
              <w:keepLines w:val="0"/>
              <w:pageBreakBefore w:val="0"/>
              <w:wordWrap w:val="0"/>
              <w:overflowPunct/>
              <w:topLinePunct w:val="0"/>
              <w:bidi w:val="0"/>
              <w:spacing w:before="78" w:line="223" w:lineRule="auto"/>
              <w:ind w:left="396"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A791DBC">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2DB9AA82">
            <w:pPr>
              <w:keepNext w:val="0"/>
              <w:keepLines w:val="0"/>
              <w:pageBreakBefore w:val="0"/>
              <w:wordWrap w:val="0"/>
              <w:overflowPunct/>
              <w:topLinePunct w:val="0"/>
              <w:bidi w:val="0"/>
              <w:spacing w:before="78" w:line="223" w:lineRule="auto"/>
              <w:ind w:left="367" w:leftChars="0"/>
              <w:rPr>
                <w:rFonts w:hint="eastAsia" w:ascii="宋体" w:hAnsi="宋体" w:eastAsia="宋体" w:cs="宋体"/>
                <w:color w:val="auto"/>
                <w:spacing w:val="0"/>
                <w:w w:val="94"/>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4610296">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8215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2C3A254E">
            <w:pPr>
              <w:keepNext w:val="0"/>
              <w:keepLines w:val="0"/>
              <w:pageBreakBefore w:val="0"/>
              <w:wordWrap w:val="0"/>
              <w:overflowPunct/>
              <w:topLinePunct w:val="0"/>
              <w:bidi w:val="0"/>
              <w:spacing w:before="132" w:line="354" w:lineRule="auto"/>
              <w:ind w:left="116" w:right="108" w:firstLine="11"/>
              <w:jc w:val="both"/>
              <w:rPr>
                <w:rFonts w:hint="eastAsia" w:ascii="宋体" w:hAnsi="宋体" w:eastAsia="宋体" w:cs="宋体"/>
                <w:color w:val="auto"/>
                <w:spacing w:val="0"/>
                <w:sz w:val="24"/>
                <w:szCs w:val="24"/>
                <w:highlight w:val="none"/>
              </w:rPr>
            </w:pPr>
            <w:bookmarkStart w:id="260" w:name="bookmark161"/>
            <w:bookmarkEnd w:id="260"/>
            <w:r>
              <w:rPr>
                <w:rFonts w:hint="eastAsia" w:ascii="宋体" w:hAnsi="宋体" w:eastAsia="宋体" w:cs="宋体"/>
                <w:color w:val="auto"/>
                <w:spacing w:val="0"/>
                <w:sz w:val="24"/>
                <w:szCs w:val="24"/>
                <w:highlight w:val="none"/>
              </w:rPr>
              <w:t>（二）开挖深度虽未超过 3m，但地质条件、周 围环境和地下管线复杂，或影响毗邻建、构筑 物安全的基坑（槽）的土方开挖、支护、降水 工程。</w:t>
            </w:r>
          </w:p>
        </w:tc>
        <w:tc>
          <w:tcPr>
            <w:tcW w:w="1294" w:type="dxa"/>
            <w:vAlign w:val="top"/>
          </w:tcPr>
          <w:p w14:paraId="3B931B4C">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77BD6AFD">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1A3552EE">
            <w:pPr>
              <w:pStyle w:val="28"/>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4582B41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bookmarkStart w:id="261" w:name="OLE_LINK40"/>
            <w:r>
              <w:rPr>
                <w:rFonts w:hint="eastAsia" w:ascii="宋体" w:hAnsi="宋体" w:eastAsia="宋体" w:cs="宋体"/>
                <w:color w:val="auto"/>
                <w:spacing w:val="0"/>
                <w:sz w:val="24"/>
                <w:szCs w:val="24"/>
                <w:highlight w:val="none"/>
              </w:rPr>
              <w:t xml:space="preserve">     </w:t>
            </w:r>
            <w:bookmarkEnd w:id="261"/>
            <w:r>
              <w:rPr>
                <w:rFonts w:hint="eastAsia" w:ascii="宋体" w:hAnsi="宋体" w:eastAsia="宋体" w:cs="宋体"/>
                <w:color w:val="auto"/>
                <w:spacing w:val="0"/>
                <w:w w:val="94"/>
                <w:sz w:val="24"/>
                <w:szCs w:val="24"/>
                <w:highlight w:val="none"/>
              </w:rPr>
              <w:t>)</w:t>
            </w:r>
          </w:p>
        </w:tc>
        <w:tc>
          <w:tcPr>
            <w:tcW w:w="1294" w:type="dxa"/>
            <w:vAlign w:val="top"/>
          </w:tcPr>
          <w:p w14:paraId="09D26D7C">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6AB11391">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780BA676">
            <w:pPr>
              <w:pStyle w:val="28"/>
              <w:keepNext w:val="0"/>
              <w:keepLines w:val="0"/>
              <w:pageBreakBefore w:val="0"/>
              <w:wordWrap w:val="0"/>
              <w:overflowPunct/>
              <w:topLinePunct w:val="0"/>
              <w:bidi w:val="0"/>
              <w:spacing w:line="264" w:lineRule="auto"/>
              <w:rPr>
                <w:rFonts w:hint="eastAsia" w:ascii="宋体" w:hAnsi="宋体" w:eastAsia="宋体" w:cs="宋体"/>
                <w:color w:val="auto"/>
                <w:spacing w:val="0"/>
                <w:highlight w:val="none"/>
              </w:rPr>
            </w:pPr>
          </w:p>
          <w:p w14:paraId="3F7FFB3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3782891">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DEE9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284D345A">
            <w:pPr>
              <w:keepNext w:val="0"/>
              <w:keepLines w:val="0"/>
              <w:pageBreakBefore w:val="0"/>
              <w:wordWrap w:val="0"/>
              <w:overflowPunct/>
              <w:topLinePunct w:val="0"/>
              <w:bidi w:val="0"/>
              <w:spacing w:before="128"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5DBDF86D">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F8DCF3A">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8428A05">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6278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69" w:type="dxa"/>
          <w:trHeight w:val="0" w:hRule="atLeast"/>
        </w:trPr>
        <w:tc>
          <w:tcPr>
            <w:tcW w:w="4862" w:type="dxa"/>
            <w:vAlign w:val="top"/>
          </w:tcPr>
          <w:p w14:paraId="4CD23F35">
            <w:pPr>
              <w:keepNext w:val="0"/>
              <w:keepLines w:val="0"/>
              <w:pageBreakBefore w:val="0"/>
              <w:wordWrap w:val="0"/>
              <w:overflowPunct/>
              <w:topLinePunct w:val="0"/>
              <w:bidi w:val="0"/>
              <w:spacing w:before="128" w:line="328"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3D6715B2">
            <w:pPr>
              <w:pStyle w:val="28"/>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52FE7F4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6412FE3">
            <w:pPr>
              <w:pStyle w:val="28"/>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BD9AD4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54CB921">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CF46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13367A19">
            <w:pPr>
              <w:keepNext w:val="0"/>
              <w:keepLines w:val="0"/>
              <w:pageBreakBefore w:val="0"/>
              <w:wordWrap w:val="0"/>
              <w:overflowPunct/>
              <w:topLinePunct w:val="0"/>
              <w:bidi w:val="0"/>
              <w:spacing w:before="131" w:line="362" w:lineRule="auto"/>
              <w:ind w:left="115" w:right="10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 5m 及以 上，或搭设跨度 10m 及以上，或施工总荷载（荷 载效应基本组合的设计值，以下简称设计值） 10kN/m2 及以上，或集中线荷载（设计值）15kN/m 及以上，或高度大于支撑水平投影宽度且相对 独立无联系构件的混凝土模板支撑工程。</w:t>
            </w:r>
          </w:p>
        </w:tc>
        <w:tc>
          <w:tcPr>
            <w:tcW w:w="1294" w:type="dxa"/>
            <w:vAlign w:val="top"/>
          </w:tcPr>
          <w:p w14:paraId="547CE5CE">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5F0097AB">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798FBC23">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1A433A05">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78EF4DB6">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3C19CBC0">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7C92272">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4BAAA3C9">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67D01ED8">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2E2A66D4">
            <w:pPr>
              <w:pStyle w:val="28"/>
              <w:keepNext w:val="0"/>
              <w:keepLines w:val="0"/>
              <w:pageBreakBefore w:val="0"/>
              <w:wordWrap w:val="0"/>
              <w:overflowPunct/>
              <w:topLinePunct w:val="0"/>
              <w:bidi w:val="0"/>
              <w:spacing w:line="255" w:lineRule="auto"/>
              <w:rPr>
                <w:rFonts w:hint="eastAsia" w:ascii="宋体" w:hAnsi="宋体" w:eastAsia="宋体" w:cs="宋体"/>
                <w:color w:val="auto"/>
                <w:spacing w:val="0"/>
                <w:highlight w:val="none"/>
              </w:rPr>
            </w:pPr>
          </w:p>
          <w:p w14:paraId="15185264">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highlight w:val="none"/>
              </w:rPr>
            </w:pPr>
          </w:p>
          <w:p w14:paraId="3F95B5D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1EA97B8">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1026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42B2F67">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 支撑体系。</w:t>
            </w:r>
          </w:p>
        </w:tc>
        <w:tc>
          <w:tcPr>
            <w:tcW w:w="1294" w:type="dxa"/>
            <w:vAlign w:val="top"/>
          </w:tcPr>
          <w:p w14:paraId="081A79A4">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31DBB299">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F1112BB">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2FA3B2E5">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BCC8089">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C170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2CD34E96">
            <w:pPr>
              <w:keepNext w:val="0"/>
              <w:keepLines w:val="0"/>
              <w:pageBreakBefore w:val="0"/>
              <w:wordWrap w:val="0"/>
              <w:overflowPunct/>
              <w:topLinePunct w:val="0"/>
              <w:bidi w:val="0"/>
              <w:spacing w:before="130"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38265AE9">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1147FBD">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603B3DD">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69FA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5BBE638F">
            <w:pPr>
              <w:keepNext w:val="0"/>
              <w:keepLines w:val="0"/>
              <w:pageBreakBefore w:val="0"/>
              <w:wordWrap w:val="0"/>
              <w:overflowPunct/>
              <w:topLinePunct w:val="0"/>
              <w:bidi w:val="0"/>
              <w:spacing w:before="131" w:line="327"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10kN 及以上的起重吊装工程。</w:t>
            </w:r>
          </w:p>
        </w:tc>
        <w:tc>
          <w:tcPr>
            <w:tcW w:w="1294" w:type="dxa"/>
            <w:vAlign w:val="top"/>
          </w:tcPr>
          <w:p w14:paraId="37A83AED">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4EE95335">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A34B457">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D76C92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E0D56F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A09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1A85FE26">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（二）采用起重机械进行安装的工程。</w:t>
            </w:r>
          </w:p>
        </w:tc>
        <w:tc>
          <w:tcPr>
            <w:tcW w:w="1294" w:type="dxa"/>
            <w:vAlign w:val="top"/>
          </w:tcPr>
          <w:p w14:paraId="767E6331">
            <w:pPr>
              <w:keepNext w:val="0"/>
              <w:keepLines w:val="0"/>
              <w:pageBreakBefore w:val="0"/>
              <w:wordWrap w:val="0"/>
              <w:overflowPunct/>
              <w:topLinePunct w:val="0"/>
              <w:bidi w:val="0"/>
              <w:spacing w:before="131"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D439AE7">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61EBE37">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F45D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5EAE4304">
            <w:pPr>
              <w:keepNext w:val="0"/>
              <w:keepLines w:val="0"/>
              <w:pageBreakBefore w:val="0"/>
              <w:wordWrap w:val="0"/>
              <w:overflowPunct/>
              <w:topLinePunct w:val="0"/>
              <w:bidi w:val="0"/>
              <w:spacing w:before="130"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（三）起重机械安装和拆卸工程。</w:t>
            </w:r>
          </w:p>
        </w:tc>
        <w:tc>
          <w:tcPr>
            <w:tcW w:w="1294" w:type="dxa"/>
            <w:vAlign w:val="top"/>
          </w:tcPr>
          <w:p w14:paraId="335991A7">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5F94CC4">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BB8D17E">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26090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95419C4">
            <w:pPr>
              <w:keepNext w:val="0"/>
              <w:keepLines w:val="0"/>
              <w:pageBreakBefore w:val="0"/>
              <w:wordWrap w:val="0"/>
              <w:overflowPunct/>
              <w:topLinePunct w:val="0"/>
              <w:bidi w:val="0"/>
              <w:spacing w:before="131"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1EC462CF">
            <w:pPr>
              <w:keepNext w:val="0"/>
              <w:keepLines w:val="0"/>
              <w:pageBreakBefore w:val="0"/>
              <w:wordWrap w:val="0"/>
              <w:overflowPunct/>
              <w:topLinePunct w:val="0"/>
              <w:bidi w:val="0"/>
              <w:spacing w:before="130"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2739BCA">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C631CE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1972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0CB2F8D3">
            <w:pPr>
              <w:keepNext w:val="0"/>
              <w:keepLines w:val="0"/>
              <w:pageBreakBefore w:val="0"/>
              <w:wordWrap w:val="0"/>
              <w:overflowPunct/>
              <w:topLinePunct w:val="0"/>
              <w:bidi w:val="0"/>
              <w:spacing w:before="130"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24m 及以上的落地式钢管脚手 架工程（包括采光井、电梯井脚手架）。</w:t>
            </w:r>
          </w:p>
        </w:tc>
        <w:tc>
          <w:tcPr>
            <w:tcW w:w="1294" w:type="dxa"/>
            <w:vAlign w:val="top"/>
          </w:tcPr>
          <w:p w14:paraId="6A2758E9">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39D015DE">
            <w:pPr>
              <w:keepNext w:val="0"/>
              <w:keepLines w:val="0"/>
              <w:pageBreakBefore w:val="0"/>
              <w:wordWrap w:val="0"/>
              <w:overflowPunct/>
              <w:topLinePunct w:val="0"/>
              <w:bidi w:val="0"/>
              <w:spacing w:before="7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08ED15F">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49B95D0">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8E598F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44DE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53DD46A8">
            <w:pPr>
              <w:keepNext w:val="0"/>
              <w:keepLines w:val="0"/>
              <w:pageBreakBefore w:val="0"/>
              <w:wordWrap w:val="0"/>
              <w:overflowPunct/>
              <w:topLinePunct w:val="0"/>
              <w:bidi w:val="0"/>
              <w:spacing w:before="131"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（二）附着式升降脚手架工程。</w:t>
            </w:r>
          </w:p>
        </w:tc>
        <w:tc>
          <w:tcPr>
            <w:tcW w:w="1294" w:type="dxa"/>
            <w:vAlign w:val="top"/>
          </w:tcPr>
          <w:p w14:paraId="135E9D9F">
            <w:pPr>
              <w:keepNext w:val="0"/>
              <w:keepLines w:val="0"/>
              <w:pageBreakBefore w:val="0"/>
              <w:wordWrap w:val="0"/>
              <w:overflowPunct/>
              <w:topLinePunct w:val="0"/>
              <w:bidi w:val="0"/>
              <w:spacing w:before="130"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54243DE">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DE81B0B">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740A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56A5CF2">
            <w:pPr>
              <w:keepNext w:val="0"/>
              <w:keepLines w:val="0"/>
              <w:pageBreakBefore w:val="0"/>
              <w:wordWrap w:val="0"/>
              <w:overflowPunct/>
              <w:topLinePunct w:val="0"/>
              <w:bidi w:val="0"/>
              <w:spacing w:before="132"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（三）悬挑式脚手架工程。</w:t>
            </w:r>
          </w:p>
        </w:tc>
        <w:tc>
          <w:tcPr>
            <w:tcW w:w="1294" w:type="dxa"/>
            <w:vAlign w:val="top"/>
          </w:tcPr>
          <w:p w14:paraId="1C9D5F37">
            <w:pPr>
              <w:keepNext w:val="0"/>
              <w:keepLines w:val="0"/>
              <w:pageBreakBefore w:val="0"/>
              <w:wordWrap w:val="0"/>
              <w:overflowPunct/>
              <w:topLinePunct w:val="0"/>
              <w:bidi w:val="0"/>
              <w:spacing w:before="131"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BB346B5">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FF48AF6">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E61F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4DE411B6">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（四）高处作业吊篮。</w:t>
            </w:r>
          </w:p>
        </w:tc>
        <w:tc>
          <w:tcPr>
            <w:tcW w:w="1294" w:type="dxa"/>
            <w:vAlign w:val="top"/>
          </w:tcPr>
          <w:p w14:paraId="078B20BE">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1EE5114">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2AC04AB">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02FA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3FFF77CC">
            <w:pPr>
              <w:keepNext w:val="0"/>
              <w:keepLines w:val="0"/>
              <w:pageBreakBefore w:val="0"/>
              <w:wordWrap w:val="0"/>
              <w:overflowPunct/>
              <w:topLinePunct w:val="0"/>
              <w:bidi w:val="0"/>
              <w:spacing w:before="132"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（五）卸料平台、操作平台工程。</w:t>
            </w:r>
          </w:p>
        </w:tc>
        <w:tc>
          <w:tcPr>
            <w:tcW w:w="1294" w:type="dxa"/>
            <w:vAlign w:val="top"/>
          </w:tcPr>
          <w:p w14:paraId="66FBDFAE">
            <w:pPr>
              <w:keepNext w:val="0"/>
              <w:keepLines w:val="0"/>
              <w:pageBreakBefore w:val="0"/>
              <w:wordWrap w:val="0"/>
              <w:overflowPunct/>
              <w:topLinePunct w:val="0"/>
              <w:bidi w:val="0"/>
              <w:spacing w:before="132" w:line="223" w:lineRule="auto"/>
              <w:ind w:left="2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D5596D9">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6D2943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8FD8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4931" w:type="dxa"/>
            <w:gridSpan w:val="3"/>
            <w:vAlign w:val="top"/>
          </w:tcPr>
          <w:p w14:paraId="7144B7CF">
            <w:pPr>
              <w:keepNext w:val="0"/>
              <w:keepLines w:val="0"/>
              <w:pageBreakBefore w:val="0"/>
              <w:wordWrap w:val="0"/>
              <w:overflowPunct/>
              <w:topLinePunct w:val="0"/>
              <w:bidi w:val="0"/>
              <w:spacing w:before="133"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（六）异型脚手架工程。</w:t>
            </w:r>
          </w:p>
        </w:tc>
        <w:tc>
          <w:tcPr>
            <w:tcW w:w="1294" w:type="dxa"/>
            <w:vAlign w:val="top"/>
          </w:tcPr>
          <w:p w14:paraId="1872A803">
            <w:pPr>
              <w:keepNext w:val="0"/>
              <w:keepLines w:val="0"/>
              <w:pageBreakBefore w:val="0"/>
              <w:wordWrap w:val="0"/>
              <w:overflowPunct/>
              <w:topLinePunct w:val="0"/>
              <w:bidi w:val="0"/>
              <w:spacing w:before="132"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452B405">
            <w:pPr>
              <w:keepNext w:val="0"/>
              <w:keepLines w:val="0"/>
              <w:pageBreakBefore w:val="0"/>
              <w:wordWrap w:val="0"/>
              <w:overflowPunct/>
              <w:topLinePunct w:val="0"/>
              <w:bidi w:val="0"/>
              <w:spacing w:before="132"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73EA998">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F81F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CB8C621">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bookmarkStart w:id="262" w:name="bookmark162"/>
            <w:bookmarkEnd w:id="262"/>
            <w:r>
              <w:rPr>
                <w:rFonts w:hint="eastAsia" w:ascii="宋体" w:hAnsi="宋体" w:eastAsia="宋体" w:cs="宋体"/>
                <w:color w:val="auto"/>
                <w:spacing w:val="0"/>
                <w:sz w:val="24"/>
                <w:szCs w:val="24"/>
                <w:highlight w:val="none"/>
              </w:rPr>
              <w:t>五、拆除工程</w:t>
            </w:r>
          </w:p>
        </w:tc>
        <w:tc>
          <w:tcPr>
            <w:tcW w:w="1294" w:type="dxa"/>
            <w:vAlign w:val="top"/>
          </w:tcPr>
          <w:p w14:paraId="314DA6C6">
            <w:pPr>
              <w:keepNext w:val="0"/>
              <w:keepLines w:val="0"/>
              <w:pageBreakBefore w:val="0"/>
              <w:wordWrap w:val="0"/>
              <w:overflowPunct/>
              <w:topLinePunct w:val="0"/>
              <w:bidi w:val="0"/>
              <w:spacing w:before="131" w:line="223" w:lineRule="auto"/>
              <w:ind w:left="48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05E20C3">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04364A3">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AAFE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30BC19F">
            <w:pPr>
              <w:keepNext w:val="0"/>
              <w:keepLines w:val="0"/>
              <w:pageBreakBefore w:val="0"/>
              <w:wordWrap w:val="0"/>
              <w:overflowPunct/>
              <w:topLinePunct w:val="0"/>
              <w:bidi w:val="0"/>
              <w:spacing w:before="126" w:line="329" w:lineRule="auto"/>
              <w:ind w:left="117" w:right="16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可能影响行人、交通、电力设施、通讯设施或 其它建、构筑物安全的拆除工程。</w:t>
            </w:r>
          </w:p>
        </w:tc>
        <w:tc>
          <w:tcPr>
            <w:tcW w:w="1294" w:type="dxa"/>
            <w:vAlign w:val="top"/>
          </w:tcPr>
          <w:p w14:paraId="1BCA91F0">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2D4B74AE">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 </w:t>
            </w:r>
            <w:r>
              <w:rPr>
                <w:rFonts w:hint="eastAsia" w:ascii="宋体" w:hAnsi="宋体" w:eastAsia="宋体" w:cs="宋体"/>
                <w:color w:val="auto"/>
                <w:spacing w:val="0"/>
                <w:w w:val="94"/>
                <w:sz w:val="24"/>
                <w:szCs w:val="24"/>
                <w:highlight w:val="none"/>
              </w:rPr>
              <w:t>)</w:t>
            </w:r>
          </w:p>
        </w:tc>
        <w:tc>
          <w:tcPr>
            <w:tcW w:w="1294" w:type="dxa"/>
            <w:vAlign w:val="top"/>
          </w:tcPr>
          <w:p w14:paraId="44F414D8">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9EE3C4E">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D46AC81">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58E6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EB1B3F0">
            <w:pPr>
              <w:keepNext w:val="0"/>
              <w:keepLines w:val="0"/>
              <w:pageBreakBefore w:val="0"/>
              <w:wordWrap w:val="0"/>
              <w:overflowPunct/>
              <w:topLinePunct w:val="0"/>
              <w:bidi w:val="0"/>
              <w:spacing w:before="126" w:line="221" w:lineRule="auto"/>
              <w:ind w:left="35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3C43A09F">
            <w:pPr>
              <w:keepNext w:val="0"/>
              <w:keepLines w:val="0"/>
              <w:pageBreakBefore w:val="0"/>
              <w:wordWrap w:val="0"/>
              <w:overflowPunct/>
              <w:topLinePunct w:val="0"/>
              <w:bidi w:val="0"/>
              <w:spacing w:before="126"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2D14A29">
            <w:pPr>
              <w:keepNext w:val="0"/>
              <w:keepLines w:val="0"/>
              <w:pageBreakBefore w:val="0"/>
              <w:wordWrap w:val="0"/>
              <w:overflowPunct/>
              <w:topLinePunct w:val="0"/>
              <w:bidi w:val="0"/>
              <w:spacing w:before="126"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807B357">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DA76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12744928">
            <w:pPr>
              <w:keepNext w:val="0"/>
              <w:keepLines w:val="0"/>
              <w:pageBreakBefore w:val="0"/>
              <w:wordWrap w:val="0"/>
              <w:overflowPunct/>
              <w:topLinePunct w:val="0"/>
              <w:bidi w:val="0"/>
              <w:spacing w:before="128" w:line="328"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65033D15">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6DB8904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B972FC4">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58A11C01">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67C60E5">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06B4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2FD7C2C">
            <w:pPr>
              <w:keepNext w:val="0"/>
              <w:keepLines w:val="0"/>
              <w:pageBreakBefore w:val="0"/>
              <w:wordWrap w:val="0"/>
              <w:overflowPunct/>
              <w:topLinePunct w:val="0"/>
              <w:bidi w:val="0"/>
              <w:spacing w:before="129"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6BE6643A">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6575A55">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14F856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DE89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FFB6826">
            <w:pPr>
              <w:keepNext w:val="0"/>
              <w:keepLines w:val="0"/>
              <w:pageBreakBefore w:val="0"/>
              <w:wordWrap w:val="0"/>
              <w:overflowPunct/>
              <w:topLinePunct w:val="0"/>
              <w:bidi w:val="0"/>
              <w:spacing w:before="128" w:line="219"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（一）建筑幕墙安装工程。</w:t>
            </w:r>
          </w:p>
        </w:tc>
        <w:tc>
          <w:tcPr>
            <w:tcW w:w="1294" w:type="dxa"/>
            <w:vAlign w:val="top"/>
          </w:tcPr>
          <w:p w14:paraId="5ECCB1D8">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8880CC1">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05609F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271DD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B2E6F65">
            <w:pPr>
              <w:keepNext w:val="0"/>
              <w:keepLines w:val="0"/>
              <w:pageBreakBefore w:val="0"/>
              <w:wordWrap w:val="0"/>
              <w:overflowPunct/>
              <w:topLinePunct w:val="0"/>
              <w:bidi w:val="0"/>
              <w:spacing w:before="128"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（二）钢结构、网架和索膜结构安装工程。</w:t>
            </w:r>
          </w:p>
        </w:tc>
        <w:tc>
          <w:tcPr>
            <w:tcW w:w="1294" w:type="dxa"/>
            <w:vAlign w:val="top"/>
          </w:tcPr>
          <w:p w14:paraId="019141C0">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8B37526">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BD4C91E">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8AF1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6EA6A21">
            <w:pPr>
              <w:keepNext w:val="0"/>
              <w:keepLines w:val="0"/>
              <w:pageBreakBefore w:val="0"/>
              <w:wordWrap w:val="0"/>
              <w:overflowPunct/>
              <w:topLinePunct w:val="0"/>
              <w:bidi w:val="0"/>
              <w:spacing w:before="128"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（三）人工挖孔桩工程。</w:t>
            </w:r>
          </w:p>
        </w:tc>
        <w:tc>
          <w:tcPr>
            <w:tcW w:w="1294" w:type="dxa"/>
            <w:vAlign w:val="top"/>
          </w:tcPr>
          <w:p w14:paraId="30B94CD0">
            <w:pPr>
              <w:keepNext w:val="0"/>
              <w:keepLines w:val="0"/>
              <w:pageBreakBefore w:val="0"/>
              <w:wordWrap w:val="0"/>
              <w:overflowPunct/>
              <w:topLinePunct w:val="0"/>
              <w:bidi w:val="0"/>
              <w:spacing w:before="12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4CA6864">
            <w:pPr>
              <w:keepNext w:val="0"/>
              <w:keepLines w:val="0"/>
              <w:pageBreakBefore w:val="0"/>
              <w:wordWrap w:val="0"/>
              <w:overflowPunct/>
              <w:topLinePunct w:val="0"/>
              <w:bidi w:val="0"/>
              <w:spacing w:before="12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FD897F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9674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C5EBA8B">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07F1B48E">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40E8354">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D84828A">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F40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0A20609">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（五）装配式建筑混凝土预制构件安装工程。</w:t>
            </w:r>
          </w:p>
        </w:tc>
        <w:tc>
          <w:tcPr>
            <w:tcW w:w="1294" w:type="dxa"/>
            <w:vAlign w:val="top"/>
          </w:tcPr>
          <w:p w14:paraId="1D69D2E9">
            <w:pPr>
              <w:keepNext w:val="0"/>
              <w:keepLines w:val="0"/>
              <w:pageBreakBefore w:val="0"/>
              <w:wordWrap w:val="0"/>
              <w:overflowPunct/>
              <w:topLinePunct w:val="0"/>
              <w:bidi w:val="0"/>
              <w:spacing w:before="129"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w w:val="94"/>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1651258">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5B3F741">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0149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5B86778">
            <w:pPr>
              <w:keepNext w:val="0"/>
              <w:keepLines w:val="0"/>
              <w:pageBreakBefore w:val="0"/>
              <w:wordWrap w:val="0"/>
              <w:overflowPunct/>
              <w:topLinePunct w:val="0"/>
              <w:bidi w:val="0"/>
              <w:spacing w:before="129" w:line="345"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385B5113">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73DD2831">
            <w:pPr>
              <w:pStyle w:val="28"/>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4AAAB3A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CDDABEA">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67B31CAE">
            <w:pPr>
              <w:pStyle w:val="28"/>
              <w:keepNext w:val="0"/>
              <w:keepLines w:val="0"/>
              <w:pageBreakBefore w:val="0"/>
              <w:wordWrap w:val="0"/>
              <w:overflowPunct/>
              <w:topLinePunct w:val="0"/>
              <w:bidi w:val="0"/>
              <w:spacing w:line="271" w:lineRule="auto"/>
              <w:rPr>
                <w:rFonts w:hint="eastAsia" w:ascii="宋体" w:hAnsi="宋体" w:eastAsia="宋体" w:cs="宋体"/>
                <w:color w:val="auto"/>
                <w:spacing w:val="0"/>
                <w:highlight w:val="none"/>
              </w:rPr>
            </w:pPr>
          </w:p>
          <w:p w14:paraId="6C0040D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E969598">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A114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B3BF150">
            <w:pPr>
              <w:keepNext w:val="0"/>
              <w:keepLines w:val="0"/>
              <w:pageBreakBefore w:val="0"/>
              <w:wordWrap w:val="0"/>
              <w:overflowPunct/>
              <w:topLinePunct w:val="0"/>
              <w:bidi w:val="0"/>
              <w:spacing w:before="129" w:line="328" w:lineRule="auto"/>
              <w:ind w:left="115" w:right="108" w:firstLine="4"/>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二、超过一定规模的危险性较大的分部分项工程清单</w:t>
            </w:r>
          </w:p>
        </w:tc>
        <w:tc>
          <w:tcPr>
            <w:tcW w:w="1294" w:type="dxa"/>
            <w:vAlign w:val="top"/>
          </w:tcPr>
          <w:p w14:paraId="19226B35">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3659575A">
            <w:pPr>
              <w:keepNext w:val="0"/>
              <w:keepLines w:val="0"/>
              <w:pageBreakBefore w:val="0"/>
              <w:wordWrap w:val="0"/>
              <w:overflowPunct/>
              <w:topLinePunct w:val="0"/>
              <w:bidi w:val="0"/>
              <w:spacing w:before="78" w:line="221" w:lineRule="auto"/>
              <w:ind w:left="20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建设单位</w:t>
            </w:r>
          </w:p>
        </w:tc>
        <w:tc>
          <w:tcPr>
            <w:tcW w:w="1294" w:type="dxa"/>
            <w:vAlign w:val="top"/>
          </w:tcPr>
          <w:p w14:paraId="4A4FC379">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42AC6981">
            <w:pPr>
              <w:keepNext w:val="0"/>
              <w:keepLines w:val="0"/>
              <w:pageBreakBefore w:val="0"/>
              <w:wordWrap w:val="0"/>
              <w:overflowPunct/>
              <w:topLinePunct w:val="0"/>
              <w:bidi w:val="0"/>
              <w:spacing w:before="78" w:line="221" w:lineRule="auto"/>
              <w:ind w:left="119"/>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投标单位</w:t>
            </w:r>
          </w:p>
        </w:tc>
        <w:tc>
          <w:tcPr>
            <w:tcW w:w="2428" w:type="dxa"/>
            <w:vAlign w:val="top"/>
          </w:tcPr>
          <w:p w14:paraId="00138FC3">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02FF7559">
            <w:pPr>
              <w:keepNext w:val="0"/>
              <w:keepLines w:val="0"/>
              <w:pageBreakBefore w:val="0"/>
              <w:wordWrap w:val="0"/>
              <w:overflowPunct/>
              <w:topLinePunct w:val="0"/>
              <w:bidi w:val="0"/>
              <w:spacing w:before="78" w:line="222" w:lineRule="auto"/>
              <w:ind w:left="3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备注</w:t>
            </w:r>
          </w:p>
        </w:tc>
      </w:tr>
      <w:tr w14:paraId="7F3D0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1E0D3C6D">
            <w:pPr>
              <w:keepNext w:val="0"/>
              <w:keepLines w:val="0"/>
              <w:pageBreakBefore w:val="0"/>
              <w:wordWrap w:val="0"/>
              <w:overflowPunct/>
              <w:topLinePunct w:val="0"/>
              <w:bidi w:val="0"/>
              <w:spacing w:before="129" w:line="221"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一、深基坑工程</w:t>
            </w:r>
          </w:p>
        </w:tc>
        <w:tc>
          <w:tcPr>
            <w:tcW w:w="1294" w:type="dxa"/>
            <w:vAlign w:val="top"/>
          </w:tcPr>
          <w:p w14:paraId="1CE00CFE">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774A846">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E51A0B1">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AF2DD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5A4E17A">
            <w:pPr>
              <w:keepNext w:val="0"/>
              <w:keepLines w:val="0"/>
              <w:pageBreakBefore w:val="0"/>
              <w:wordWrap w:val="0"/>
              <w:overflowPunct/>
              <w:topLinePunct w:val="0"/>
              <w:bidi w:val="0"/>
              <w:spacing w:before="131" w:line="327" w:lineRule="auto"/>
              <w:ind w:left="117" w:right="1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开挖深度超过 5m（含 5m）的基坑（槽）的土方 开挖、支护、降水工程。</w:t>
            </w:r>
          </w:p>
        </w:tc>
        <w:tc>
          <w:tcPr>
            <w:tcW w:w="1294" w:type="dxa"/>
            <w:vAlign w:val="top"/>
          </w:tcPr>
          <w:p w14:paraId="3F89BB15">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6B1FFCA1">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AB60A7B">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5268F17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93BBC77">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D734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7699922">
            <w:pPr>
              <w:keepNext w:val="0"/>
              <w:keepLines w:val="0"/>
              <w:pageBreakBefore w:val="0"/>
              <w:wordWrap w:val="0"/>
              <w:overflowPunct/>
              <w:topLinePunct w:val="0"/>
              <w:bidi w:val="0"/>
              <w:spacing w:before="130" w:line="219"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二、模板工程及支撑体系</w:t>
            </w:r>
          </w:p>
        </w:tc>
        <w:tc>
          <w:tcPr>
            <w:tcW w:w="1294" w:type="dxa"/>
            <w:vAlign w:val="top"/>
          </w:tcPr>
          <w:p w14:paraId="083558CF">
            <w:pPr>
              <w:keepNext w:val="0"/>
              <w:keepLines w:val="0"/>
              <w:pageBreakBefore w:val="0"/>
              <w:wordWrap w:val="0"/>
              <w:overflowPunct/>
              <w:topLinePunct w:val="0"/>
              <w:bidi w:val="0"/>
              <w:spacing w:before="129"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default" w:ascii="宋体" w:hAnsi="宋体" w:eastAsia="宋体" w:cs="宋体"/>
                <w:color w:val="auto"/>
                <w:spacing w:val="0"/>
                <w:sz w:val="24"/>
                <w:szCs w:val="24"/>
                <w:highlight w:val="none"/>
                <w:lang w:val="en-US"/>
              </w:rPr>
              <w:t xml:space="preserve">  </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4A4C90B">
            <w:pPr>
              <w:keepNext w:val="0"/>
              <w:keepLines w:val="0"/>
              <w:pageBreakBefore w:val="0"/>
              <w:wordWrap w:val="0"/>
              <w:overflowPunct/>
              <w:topLinePunct w:val="0"/>
              <w:bidi w:val="0"/>
              <w:spacing w:before="129"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521241E">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0BB3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A0E47CA">
            <w:pPr>
              <w:keepNext w:val="0"/>
              <w:keepLines w:val="0"/>
              <w:pageBreakBefore w:val="0"/>
              <w:wordWrap w:val="0"/>
              <w:overflowPunct/>
              <w:topLinePunct w:val="0"/>
              <w:bidi w:val="0"/>
              <w:spacing w:before="130" w:line="327" w:lineRule="auto"/>
              <w:ind w:left="123" w:right="25" w:firstLine="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（一）各类工具式模板工程：包括滑模、爬模、 飞模、隧道模等工程。</w:t>
            </w:r>
          </w:p>
        </w:tc>
        <w:tc>
          <w:tcPr>
            <w:tcW w:w="1294" w:type="dxa"/>
            <w:vAlign w:val="top"/>
          </w:tcPr>
          <w:p w14:paraId="3BE7CE5F">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22FCE1A7">
            <w:pPr>
              <w:keepNext w:val="0"/>
              <w:keepLines w:val="0"/>
              <w:pageBreakBefore w:val="0"/>
              <w:wordWrap w:val="0"/>
              <w:overflowPunct/>
              <w:topLinePunct w:val="0"/>
              <w:bidi w:val="0"/>
              <w:spacing w:before="78" w:line="223" w:lineRule="auto"/>
              <w:ind w:left="30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9A14FA9">
            <w:pPr>
              <w:pStyle w:val="28"/>
              <w:keepNext w:val="0"/>
              <w:keepLines w:val="0"/>
              <w:pageBreakBefore w:val="0"/>
              <w:wordWrap w:val="0"/>
              <w:overflowPunct/>
              <w:topLinePunct w:val="0"/>
              <w:bidi w:val="0"/>
              <w:spacing w:line="294" w:lineRule="auto"/>
              <w:rPr>
                <w:rFonts w:hint="eastAsia" w:ascii="宋体" w:hAnsi="宋体" w:eastAsia="宋体" w:cs="宋体"/>
                <w:color w:val="auto"/>
                <w:spacing w:val="0"/>
                <w:highlight w:val="none"/>
              </w:rPr>
            </w:pPr>
          </w:p>
          <w:p w14:paraId="3C6FD786">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99834BD">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1C15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127B194F">
            <w:pPr>
              <w:keepNext w:val="0"/>
              <w:keepLines w:val="0"/>
              <w:pageBreakBefore w:val="0"/>
              <w:wordWrap w:val="0"/>
              <w:overflowPunct/>
              <w:topLinePunct w:val="0"/>
              <w:bidi w:val="0"/>
              <w:spacing w:before="132" w:line="353" w:lineRule="auto"/>
              <w:ind w:left="116" w:right="6" w:firstLine="11"/>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（二）混凝土模板支撑工程：搭设高度8m 及以 上，或搭设跨度 18m 及以上，或施工总荷载（设计值）15kN/m2 及以上，或集中线荷载（设计值） 20kN/m 及以上。</w:t>
            </w:r>
          </w:p>
        </w:tc>
        <w:tc>
          <w:tcPr>
            <w:tcW w:w="1294" w:type="dxa"/>
            <w:vAlign w:val="top"/>
          </w:tcPr>
          <w:p w14:paraId="1E22CC31">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34C26A5C">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1186E44E">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4B6460D6">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93DC849">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B3B5DE6">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2E1BD604">
            <w:pPr>
              <w:pStyle w:val="28"/>
              <w:keepNext w:val="0"/>
              <w:keepLines w:val="0"/>
              <w:pageBreakBefore w:val="0"/>
              <w:wordWrap w:val="0"/>
              <w:overflowPunct/>
              <w:topLinePunct w:val="0"/>
              <w:bidi w:val="0"/>
              <w:spacing w:line="263" w:lineRule="auto"/>
              <w:rPr>
                <w:rFonts w:hint="eastAsia" w:ascii="宋体" w:hAnsi="宋体" w:eastAsia="宋体" w:cs="宋体"/>
                <w:color w:val="auto"/>
                <w:spacing w:val="0"/>
                <w:highlight w:val="none"/>
              </w:rPr>
            </w:pPr>
          </w:p>
          <w:p w14:paraId="4BB44FF4">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08A7FE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3CB1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817" w:hRule="atLeast"/>
          <w:jc w:val="center"/>
        </w:trPr>
        <w:tc>
          <w:tcPr>
            <w:tcW w:w="4864" w:type="dxa"/>
            <w:gridSpan w:val="2"/>
            <w:vAlign w:val="top"/>
          </w:tcPr>
          <w:p w14:paraId="0F1BFB7C">
            <w:pPr>
              <w:keepNext w:val="0"/>
              <w:keepLines w:val="0"/>
              <w:pageBreakBefore w:val="0"/>
              <w:wordWrap w:val="0"/>
              <w:overflowPunct/>
              <w:topLinePunct w:val="0"/>
              <w:bidi w:val="0"/>
              <w:spacing w:before="131"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（三）承重支撑体系：用于钢结构安装等满堂</w:t>
            </w:r>
          </w:p>
          <w:p w14:paraId="21D4B2D4">
            <w:pPr>
              <w:keepNext w:val="0"/>
              <w:keepLines w:val="0"/>
              <w:pageBreakBefore w:val="0"/>
              <w:wordWrap w:val="0"/>
              <w:overflowPunct/>
              <w:topLinePunct w:val="0"/>
              <w:bidi w:val="0"/>
              <w:spacing w:before="131" w:line="220" w:lineRule="auto"/>
              <w:ind w:left="1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支撑体系，承受单点集中荷载 7kN 及以上。</w:t>
            </w:r>
          </w:p>
        </w:tc>
        <w:tc>
          <w:tcPr>
            <w:tcW w:w="1294" w:type="dxa"/>
            <w:vAlign w:val="top"/>
          </w:tcPr>
          <w:p w14:paraId="37CA6230">
            <w:pPr>
              <w:keepNext w:val="0"/>
              <w:keepLines w:val="0"/>
              <w:pageBreakBefore w:val="0"/>
              <w:wordWrap w:val="0"/>
              <w:overflowPunct/>
              <w:topLinePunct w:val="0"/>
              <w:bidi w:val="0"/>
              <w:spacing w:before="131"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F95A620">
            <w:pPr>
              <w:keepNext w:val="0"/>
              <w:keepLines w:val="0"/>
              <w:pageBreakBefore w:val="0"/>
              <w:wordWrap w:val="0"/>
              <w:overflowPunct/>
              <w:topLinePunct w:val="0"/>
              <w:bidi w:val="0"/>
              <w:spacing w:before="131"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126430C">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A4D9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83DF3D2">
            <w:pPr>
              <w:keepNext w:val="0"/>
              <w:keepLines w:val="0"/>
              <w:pageBreakBefore w:val="0"/>
              <w:wordWrap w:val="0"/>
              <w:overflowPunct/>
              <w:topLinePunct w:val="0"/>
              <w:bidi w:val="0"/>
              <w:spacing w:before="128" w:line="219" w:lineRule="auto"/>
              <w:ind w:left="3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三、起重吊装及起重机械安装拆卸工程</w:t>
            </w:r>
          </w:p>
        </w:tc>
        <w:tc>
          <w:tcPr>
            <w:tcW w:w="1294" w:type="dxa"/>
            <w:vAlign w:val="top"/>
          </w:tcPr>
          <w:p w14:paraId="7F32CCA7">
            <w:pPr>
              <w:keepNext w:val="0"/>
              <w:keepLines w:val="0"/>
              <w:pageBreakBefore w:val="0"/>
              <w:wordWrap w:val="0"/>
              <w:overflowPunct/>
              <w:topLinePunct w:val="0"/>
              <w:bidi w:val="0"/>
              <w:spacing w:before="127"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1DA0918">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76EAF11">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8E29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06E53A3">
            <w:pPr>
              <w:keepNext w:val="0"/>
              <w:keepLines w:val="0"/>
              <w:pageBreakBefore w:val="0"/>
              <w:wordWrap w:val="0"/>
              <w:overflowPunct/>
              <w:topLinePunct w:val="0"/>
              <w:bidi w:val="0"/>
              <w:spacing w:before="129" w:line="328" w:lineRule="auto"/>
              <w:ind w:left="144" w:right="168" w:hanging="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（一）采用非常规起重设备、方法，且单件起 吊重量在 100kN 及以上的起重吊装工程。</w:t>
            </w:r>
          </w:p>
        </w:tc>
        <w:tc>
          <w:tcPr>
            <w:tcW w:w="1294" w:type="dxa"/>
            <w:vAlign w:val="top"/>
          </w:tcPr>
          <w:p w14:paraId="68B100EA">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6E39BEFB">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5BF8415">
            <w:pPr>
              <w:pStyle w:val="28"/>
              <w:keepNext w:val="0"/>
              <w:keepLines w:val="0"/>
              <w:pageBreakBefore w:val="0"/>
              <w:wordWrap w:val="0"/>
              <w:overflowPunct/>
              <w:topLinePunct w:val="0"/>
              <w:bidi w:val="0"/>
              <w:spacing w:line="295" w:lineRule="auto"/>
              <w:rPr>
                <w:rFonts w:hint="eastAsia" w:ascii="宋体" w:hAnsi="宋体" w:eastAsia="宋体" w:cs="宋体"/>
                <w:color w:val="auto"/>
                <w:spacing w:val="0"/>
                <w:highlight w:val="none"/>
              </w:rPr>
            </w:pPr>
          </w:p>
          <w:p w14:paraId="15D5865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0A9F4CB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523B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6CB9001">
            <w:pPr>
              <w:keepNext w:val="0"/>
              <w:keepLines w:val="0"/>
              <w:pageBreakBefore w:val="0"/>
              <w:wordWrap w:val="0"/>
              <w:overflowPunct/>
              <w:topLinePunct w:val="0"/>
              <w:bidi w:val="0"/>
              <w:spacing w:before="129" w:line="345" w:lineRule="auto"/>
              <w:ind w:left="115" w:right="105" w:firstLine="12"/>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（二）起重量 300kN 及以上，或搭设总高度 200m 及以上，或搭设基础标高在 200m 及以上的起重 机械安装和拆卸工程。</w:t>
            </w:r>
          </w:p>
        </w:tc>
        <w:tc>
          <w:tcPr>
            <w:tcW w:w="1294" w:type="dxa"/>
            <w:vAlign w:val="top"/>
          </w:tcPr>
          <w:p w14:paraId="2A95D8F6">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74A01809">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668A2E9F">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7FD327AE">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2FDE3886">
            <w:pPr>
              <w:pStyle w:val="28"/>
              <w:keepNext w:val="0"/>
              <w:keepLines w:val="0"/>
              <w:pageBreakBefore w:val="0"/>
              <w:wordWrap w:val="0"/>
              <w:overflowPunct/>
              <w:topLinePunct w:val="0"/>
              <w:bidi w:val="0"/>
              <w:spacing w:line="270" w:lineRule="auto"/>
              <w:rPr>
                <w:rFonts w:hint="eastAsia" w:ascii="宋体" w:hAnsi="宋体" w:eastAsia="宋体" w:cs="宋体"/>
                <w:color w:val="auto"/>
                <w:spacing w:val="0"/>
                <w:highlight w:val="none"/>
              </w:rPr>
            </w:pPr>
          </w:p>
          <w:p w14:paraId="3B809E99">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92F0646">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264EB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0F4F66D">
            <w:pPr>
              <w:keepNext w:val="0"/>
              <w:keepLines w:val="0"/>
              <w:pageBreakBefore w:val="0"/>
              <w:wordWrap w:val="0"/>
              <w:overflowPunct/>
              <w:topLinePunct w:val="0"/>
              <w:bidi w:val="0"/>
              <w:spacing w:before="128" w:line="219" w:lineRule="auto"/>
              <w:ind w:left="1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四、脚手架工程</w:t>
            </w:r>
          </w:p>
        </w:tc>
        <w:tc>
          <w:tcPr>
            <w:tcW w:w="1294" w:type="dxa"/>
            <w:vAlign w:val="top"/>
          </w:tcPr>
          <w:p w14:paraId="12B84D92">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CD7173E">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6CFB88CD">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7EEE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18FF82F">
            <w:pPr>
              <w:keepNext w:val="0"/>
              <w:keepLines w:val="0"/>
              <w:pageBreakBefore w:val="0"/>
              <w:wordWrap w:val="0"/>
              <w:overflowPunct/>
              <w:topLinePunct w:val="0"/>
              <w:bidi w:val="0"/>
              <w:spacing w:before="128" w:line="328"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（一）搭设高度 50m 及以上的落地式钢管脚手 架工程。</w:t>
            </w:r>
          </w:p>
        </w:tc>
        <w:tc>
          <w:tcPr>
            <w:tcW w:w="1294" w:type="dxa"/>
            <w:vAlign w:val="top"/>
          </w:tcPr>
          <w:p w14:paraId="6EE046A9">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1BC7ED0C">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132350E">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76B6C9B">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1336EE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E922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9C256F4">
            <w:pPr>
              <w:keepNext w:val="0"/>
              <w:keepLines w:val="0"/>
              <w:pageBreakBefore w:val="0"/>
              <w:wordWrap w:val="0"/>
              <w:overflowPunct/>
              <w:topLinePunct w:val="0"/>
              <w:bidi w:val="0"/>
              <w:spacing w:before="131" w:line="327" w:lineRule="auto"/>
              <w:ind w:left="116" w:right="105" w:firstLine="1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（二）提升高度在 </w:t>
            </w:r>
            <w:r>
              <w:rPr>
                <w:rFonts w:hint="eastAsia" w:ascii="宋体" w:hAnsi="宋体" w:eastAsia="宋体" w:cs="宋体"/>
                <w:color w:val="auto"/>
                <w:spacing w:val="0"/>
                <w:sz w:val="24"/>
                <w:szCs w:val="24"/>
                <w:highlight w:val="none"/>
                <w:lang w:eastAsia="zh-CN"/>
              </w:rPr>
              <w:t>450</w:t>
            </w:r>
            <w:r>
              <w:rPr>
                <w:rFonts w:hint="eastAsia" w:ascii="宋体" w:hAnsi="宋体" w:eastAsia="宋体" w:cs="宋体"/>
                <w:color w:val="auto"/>
                <w:spacing w:val="0"/>
                <w:sz w:val="24"/>
                <w:szCs w:val="24"/>
                <w:highlight w:val="none"/>
              </w:rPr>
              <w:t>m 及以上的附着式升降脚 手架工程或附着式升降操作平台工程。</w:t>
            </w:r>
          </w:p>
        </w:tc>
        <w:tc>
          <w:tcPr>
            <w:tcW w:w="1294" w:type="dxa"/>
            <w:vAlign w:val="top"/>
          </w:tcPr>
          <w:p w14:paraId="2EDF3F91">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1AD30D2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C214AE1">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B761F94">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4CBAA38B">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665C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5D1FBB95">
            <w:pPr>
              <w:keepNext w:val="0"/>
              <w:keepLines w:val="0"/>
              <w:pageBreakBefore w:val="0"/>
              <w:wordWrap w:val="0"/>
              <w:overflowPunct/>
              <w:topLinePunct w:val="0"/>
              <w:bidi w:val="0"/>
              <w:spacing w:before="129" w:line="328"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（三）分段架体搭设高度 20m 及以上的悬挑式 脚手架工程。</w:t>
            </w:r>
          </w:p>
        </w:tc>
        <w:tc>
          <w:tcPr>
            <w:tcW w:w="1294" w:type="dxa"/>
            <w:vAlign w:val="top"/>
          </w:tcPr>
          <w:p w14:paraId="2811C0F1">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72884A72">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1A991DC">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24D41DF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C0B029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E3A1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gridBefore w:val="1"/>
          <w:wBefore w:w="67" w:type="dxa"/>
          <w:trHeight w:val="0" w:hRule="atLeast"/>
          <w:jc w:val="center"/>
        </w:trPr>
        <w:tc>
          <w:tcPr>
            <w:tcW w:w="4864" w:type="dxa"/>
            <w:gridSpan w:val="2"/>
            <w:vAlign w:val="top"/>
          </w:tcPr>
          <w:p w14:paraId="0F39C5AD">
            <w:pPr>
              <w:keepNext w:val="0"/>
              <w:keepLines w:val="0"/>
              <w:pageBreakBefore w:val="0"/>
              <w:wordWrap w:val="0"/>
              <w:overflowPunct/>
              <w:topLinePunct w:val="0"/>
              <w:bidi w:val="0"/>
              <w:spacing w:before="131" w:line="220" w:lineRule="auto"/>
              <w:ind w:left="12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五、拆除工程</w:t>
            </w:r>
          </w:p>
        </w:tc>
        <w:tc>
          <w:tcPr>
            <w:tcW w:w="1294" w:type="dxa"/>
            <w:vAlign w:val="top"/>
          </w:tcPr>
          <w:p w14:paraId="2961FAB7">
            <w:pPr>
              <w:keepNext w:val="0"/>
              <w:keepLines w:val="0"/>
              <w:pageBreakBefore w:val="0"/>
              <w:wordWrap w:val="0"/>
              <w:overflowPunct/>
              <w:topLinePunct w:val="0"/>
              <w:bidi w:val="0"/>
              <w:spacing w:before="158" w:line="223" w:lineRule="auto"/>
              <w:ind w:left="42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3EF9D608">
            <w:pPr>
              <w:keepNext w:val="0"/>
              <w:keepLines w:val="0"/>
              <w:pageBreakBefore w:val="0"/>
              <w:wordWrap w:val="0"/>
              <w:overflowPunct/>
              <w:topLinePunct w:val="0"/>
              <w:bidi w:val="0"/>
              <w:spacing w:before="15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12998A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CE1B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6691481">
            <w:pPr>
              <w:keepNext w:val="0"/>
              <w:keepLines w:val="0"/>
              <w:pageBreakBefore w:val="0"/>
              <w:wordWrap w:val="0"/>
              <w:overflowPunct/>
              <w:topLinePunct w:val="0"/>
              <w:bidi w:val="0"/>
              <w:spacing w:before="132" w:line="353"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（一）码头、桥梁、高架、烟囱、水塔或拆除 中容易引起有毒有害气（液）体或粉尘扩散、 易燃易爆事故发生的特殊建、构筑物的拆除工 程。</w:t>
            </w:r>
          </w:p>
        </w:tc>
        <w:tc>
          <w:tcPr>
            <w:tcW w:w="1294" w:type="dxa"/>
            <w:vAlign w:val="top"/>
          </w:tcPr>
          <w:p w14:paraId="6B145A87">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7A51EBA">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E188BF7">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3DF183E1">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23AA663F">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4956A9FB">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0D7EE95F">
            <w:pPr>
              <w:pStyle w:val="28"/>
              <w:keepNext w:val="0"/>
              <w:keepLines w:val="0"/>
              <w:pageBreakBefore w:val="0"/>
              <w:wordWrap w:val="0"/>
              <w:overflowPunct/>
              <w:topLinePunct w:val="0"/>
              <w:bidi w:val="0"/>
              <w:spacing w:line="262" w:lineRule="auto"/>
              <w:rPr>
                <w:rFonts w:hint="eastAsia" w:ascii="宋体" w:hAnsi="宋体" w:eastAsia="宋体" w:cs="宋体"/>
                <w:color w:val="auto"/>
                <w:spacing w:val="0"/>
                <w:highlight w:val="none"/>
              </w:rPr>
            </w:pPr>
          </w:p>
          <w:p w14:paraId="11EB225F">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1148F09">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586A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B4295D1">
            <w:pPr>
              <w:keepNext w:val="0"/>
              <w:keepLines w:val="0"/>
              <w:pageBreakBefore w:val="0"/>
              <w:wordWrap w:val="0"/>
              <w:overflowPunct/>
              <w:topLinePunct w:val="0"/>
              <w:bidi w:val="0"/>
              <w:spacing w:before="131" w:line="327" w:lineRule="auto"/>
              <w:ind w:left="117" w:right="168" w:firstLine="1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（二）文物保护建筑、优秀历史建筑或历史文 化风貌区影响范围内的拆除工程。</w:t>
            </w:r>
          </w:p>
        </w:tc>
        <w:tc>
          <w:tcPr>
            <w:tcW w:w="1294" w:type="dxa"/>
            <w:vAlign w:val="top"/>
          </w:tcPr>
          <w:p w14:paraId="04F95FA7">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5A065F3">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489CCE3">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1252E2E0">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CBBF29E">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EACC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0E6408F1">
            <w:pPr>
              <w:keepNext w:val="0"/>
              <w:keepLines w:val="0"/>
              <w:pageBreakBefore w:val="0"/>
              <w:wordWrap w:val="0"/>
              <w:overflowPunct/>
              <w:topLinePunct w:val="0"/>
              <w:bidi w:val="0"/>
              <w:spacing w:before="131" w:line="221" w:lineRule="auto"/>
              <w:ind w:left="11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六、暗挖工程</w:t>
            </w:r>
          </w:p>
        </w:tc>
        <w:tc>
          <w:tcPr>
            <w:tcW w:w="1294" w:type="dxa"/>
            <w:vAlign w:val="top"/>
          </w:tcPr>
          <w:p w14:paraId="20D91E9F">
            <w:pPr>
              <w:keepNext w:val="0"/>
              <w:keepLines w:val="0"/>
              <w:pageBreakBefore w:val="0"/>
              <w:wordWrap w:val="0"/>
              <w:overflowPunct/>
              <w:topLinePunct w:val="0"/>
              <w:bidi w:val="0"/>
              <w:spacing w:before="14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1D16D57">
            <w:pPr>
              <w:keepNext w:val="0"/>
              <w:keepLines w:val="0"/>
              <w:pageBreakBefore w:val="0"/>
              <w:wordWrap w:val="0"/>
              <w:overflowPunct/>
              <w:topLinePunct w:val="0"/>
              <w:bidi w:val="0"/>
              <w:spacing w:before="14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5A9BA3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178B6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0652EEF">
            <w:pPr>
              <w:keepNext w:val="0"/>
              <w:keepLines w:val="0"/>
              <w:pageBreakBefore w:val="0"/>
              <w:wordWrap w:val="0"/>
              <w:overflowPunct/>
              <w:topLinePunct w:val="0"/>
              <w:bidi w:val="0"/>
              <w:spacing w:before="131" w:line="327" w:lineRule="auto"/>
              <w:ind w:left="119" w:right="168" w:hanging="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采用矿山法、盾构法、顶管法施工的隧道、洞 室工程。</w:t>
            </w:r>
          </w:p>
        </w:tc>
        <w:tc>
          <w:tcPr>
            <w:tcW w:w="1294" w:type="dxa"/>
            <w:vAlign w:val="top"/>
          </w:tcPr>
          <w:p w14:paraId="75E5A7E4">
            <w:pPr>
              <w:pStyle w:val="28"/>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5DE4826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F86BF86">
            <w:pPr>
              <w:pStyle w:val="28"/>
              <w:keepNext w:val="0"/>
              <w:keepLines w:val="0"/>
              <w:pageBreakBefore w:val="0"/>
              <w:wordWrap w:val="0"/>
              <w:overflowPunct/>
              <w:topLinePunct w:val="0"/>
              <w:bidi w:val="0"/>
              <w:spacing w:line="298" w:lineRule="auto"/>
              <w:rPr>
                <w:rFonts w:hint="eastAsia" w:ascii="宋体" w:hAnsi="宋体" w:eastAsia="宋体" w:cs="宋体"/>
                <w:color w:val="auto"/>
                <w:spacing w:val="0"/>
                <w:highlight w:val="none"/>
              </w:rPr>
            </w:pPr>
          </w:p>
          <w:p w14:paraId="2A42FCB3">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7E902C75">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012E7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2270B566">
            <w:pPr>
              <w:keepNext w:val="0"/>
              <w:keepLines w:val="0"/>
              <w:pageBreakBefore w:val="0"/>
              <w:wordWrap w:val="0"/>
              <w:overflowPunct/>
              <w:topLinePunct w:val="0"/>
              <w:bidi w:val="0"/>
              <w:spacing w:before="130" w:line="222" w:lineRule="auto"/>
              <w:ind w:left="1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七、其它</w:t>
            </w:r>
          </w:p>
        </w:tc>
        <w:tc>
          <w:tcPr>
            <w:tcW w:w="1294" w:type="dxa"/>
            <w:vAlign w:val="top"/>
          </w:tcPr>
          <w:p w14:paraId="53FD2371">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5E11FF32">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2D190708">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F21A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7BAD8DF1">
            <w:pPr>
              <w:keepNext w:val="0"/>
              <w:keepLines w:val="0"/>
              <w:pageBreakBefore w:val="0"/>
              <w:wordWrap w:val="0"/>
              <w:overflowPunct/>
              <w:topLinePunct w:val="0"/>
              <w:bidi w:val="0"/>
              <w:spacing w:before="130" w:line="327" w:lineRule="auto"/>
              <w:ind w:left="115" w:right="168"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（一）施工高度 50m 及以上的建筑幕墙安装工 程。</w:t>
            </w:r>
          </w:p>
        </w:tc>
        <w:tc>
          <w:tcPr>
            <w:tcW w:w="1294" w:type="dxa"/>
            <w:vAlign w:val="top"/>
          </w:tcPr>
          <w:p w14:paraId="3E09E110">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64857814">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EA58C26">
            <w:pPr>
              <w:pStyle w:val="28"/>
              <w:keepNext w:val="0"/>
              <w:keepLines w:val="0"/>
              <w:pageBreakBefore w:val="0"/>
              <w:wordWrap w:val="0"/>
              <w:overflowPunct/>
              <w:topLinePunct w:val="0"/>
              <w:bidi w:val="0"/>
              <w:spacing w:line="297" w:lineRule="auto"/>
              <w:rPr>
                <w:rFonts w:hint="eastAsia" w:ascii="宋体" w:hAnsi="宋体" w:eastAsia="宋体" w:cs="宋体"/>
                <w:color w:val="auto"/>
                <w:spacing w:val="0"/>
                <w:highlight w:val="none"/>
              </w:rPr>
            </w:pPr>
          </w:p>
          <w:p w14:paraId="5ADCAA67">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80D88CC">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7832B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FDC97CD">
            <w:pPr>
              <w:keepNext w:val="0"/>
              <w:keepLines w:val="0"/>
              <w:pageBreakBefore w:val="0"/>
              <w:wordWrap w:val="0"/>
              <w:overflowPunct/>
              <w:topLinePunct w:val="0"/>
              <w:bidi w:val="0"/>
              <w:spacing w:before="130" w:line="221"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（二）跨度 36m 及以上的钢结构安装工程，或</w:t>
            </w:r>
          </w:p>
        </w:tc>
        <w:tc>
          <w:tcPr>
            <w:tcW w:w="1294" w:type="dxa"/>
            <w:vAlign w:val="top"/>
          </w:tcPr>
          <w:p w14:paraId="687160DD">
            <w:pPr>
              <w:keepNext w:val="0"/>
              <w:keepLines w:val="0"/>
              <w:pageBreakBefore w:val="0"/>
              <w:wordWrap w:val="0"/>
              <w:overflowPunct/>
              <w:topLinePunct w:val="0"/>
              <w:bidi w:val="0"/>
              <w:spacing w:before="130"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96002C5">
            <w:pPr>
              <w:keepNext w:val="0"/>
              <w:keepLines w:val="0"/>
              <w:pageBreakBefore w:val="0"/>
              <w:wordWrap w:val="0"/>
              <w:overflowPunct/>
              <w:topLinePunct w:val="0"/>
              <w:bidi w:val="0"/>
              <w:spacing w:before="130"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D9D3E24">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6AF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7A539FC">
            <w:pPr>
              <w:keepNext w:val="0"/>
              <w:keepLines w:val="0"/>
              <w:pageBreakBefore w:val="0"/>
              <w:wordWrap w:val="0"/>
              <w:overflowPunct/>
              <w:topLinePunct w:val="0"/>
              <w:bidi w:val="0"/>
              <w:spacing w:before="131" w:line="221" w:lineRule="auto"/>
              <w:ind w:left="11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跨度 60m 及以上的网架和索膜结构安装工程。</w:t>
            </w:r>
          </w:p>
        </w:tc>
        <w:tc>
          <w:tcPr>
            <w:tcW w:w="1294" w:type="dxa"/>
            <w:vAlign w:val="top"/>
          </w:tcPr>
          <w:p w14:paraId="1082325C">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1294" w:type="dxa"/>
            <w:vAlign w:val="top"/>
          </w:tcPr>
          <w:p w14:paraId="620018C5">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c>
          <w:tcPr>
            <w:tcW w:w="2428" w:type="dxa"/>
            <w:vAlign w:val="top"/>
          </w:tcPr>
          <w:p w14:paraId="4A38579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30FEF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0374C66">
            <w:pPr>
              <w:keepNext w:val="0"/>
              <w:keepLines w:val="0"/>
              <w:pageBreakBefore w:val="0"/>
              <w:wordWrap w:val="0"/>
              <w:overflowPunct/>
              <w:topLinePunct w:val="0"/>
              <w:bidi w:val="0"/>
              <w:spacing w:before="127" w:line="220" w:lineRule="auto"/>
              <w:jc w:val="righ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（三）开挖深度 16m 及以上的人工挖孔桩工程。</w:t>
            </w:r>
          </w:p>
        </w:tc>
        <w:tc>
          <w:tcPr>
            <w:tcW w:w="1294" w:type="dxa"/>
            <w:vAlign w:val="top"/>
          </w:tcPr>
          <w:p w14:paraId="01270E08">
            <w:pPr>
              <w:keepNext w:val="0"/>
              <w:keepLines w:val="0"/>
              <w:pageBreakBefore w:val="0"/>
              <w:wordWrap w:val="0"/>
              <w:overflowPunct/>
              <w:topLinePunct w:val="0"/>
              <w:bidi w:val="0"/>
              <w:spacing w:before="127"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6BE371DC">
            <w:pPr>
              <w:keepNext w:val="0"/>
              <w:keepLines w:val="0"/>
              <w:pageBreakBefore w:val="0"/>
              <w:wordWrap w:val="0"/>
              <w:overflowPunct/>
              <w:topLinePunct w:val="0"/>
              <w:bidi w:val="0"/>
              <w:spacing w:before="127"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3FB6DAA2">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559BF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67086321">
            <w:pPr>
              <w:keepNext w:val="0"/>
              <w:keepLines w:val="0"/>
              <w:pageBreakBefore w:val="0"/>
              <w:wordWrap w:val="0"/>
              <w:overflowPunct/>
              <w:topLinePunct w:val="0"/>
              <w:bidi w:val="0"/>
              <w:spacing w:before="129" w:line="220" w:lineRule="auto"/>
              <w:ind w:left="12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（四）水下作业工程。</w:t>
            </w:r>
          </w:p>
        </w:tc>
        <w:tc>
          <w:tcPr>
            <w:tcW w:w="1294" w:type="dxa"/>
            <w:vAlign w:val="top"/>
          </w:tcPr>
          <w:p w14:paraId="54BE52D1">
            <w:pPr>
              <w:keepNext w:val="0"/>
              <w:keepLines w:val="0"/>
              <w:pageBreakBefore w:val="0"/>
              <w:wordWrap w:val="0"/>
              <w:overflowPunct/>
              <w:topLinePunct w:val="0"/>
              <w:bidi w:val="0"/>
              <w:spacing w:before="163"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1BA2A96F">
            <w:pPr>
              <w:keepNext w:val="0"/>
              <w:keepLines w:val="0"/>
              <w:pageBreakBefore w:val="0"/>
              <w:wordWrap w:val="0"/>
              <w:overflowPunct/>
              <w:topLinePunct w:val="0"/>
              <w:bidi w:val="0"/>
              <w:spacing w:before="163"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584FFF13">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48BF09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4AFD5895">
            <w:pPr>
              <w:keepNext w:val="0"/>
              <w:keepLines w:val="0"/>
              <w:pageBreakBefore w:val="0"/>
              <w:wordWrap w:val="0"/>
              <w:overflowPunct/>
              <w:topLinePunct w:val="0"/>
              <w:bidi w:val="0"/>
              <w:spacing w:before="130" w:line="327" w:lineRule="auto"/>
              <w:ind w:left="115" w:right="25" w:firstLine="1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（五）重量 1000kN及以上的大型结构整体顶升、 平移、转体等施工工艺。</w:t>
            </w:r>
          </w:p>
        </w:tc>
        <w:tc>
          <w:tcPr>
            <w:tcW w:w="1294" w:type="dxa"/>
            <w:vAlign w:val="top"/>
          </w:tcPr>
          <w:p w14:paraId="5D755CF4">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51DF4FD7">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0264A5D5">
            <w:pPr>
              <w:pStyle w:val="28"/>
              <w:keepNext w:val="0"/>
              <w:keepLines w:val="0"/>
              <w:pageBreakBefore w:val="0"/>
              <w:wordWrap w:val="0"/>
              <w:overflowPunct/>
              <w:topLinePunct w:val="0"/>
              <w:bidi w:val="0"/>
              <w:spacing w:line="296" w:lineRule="auto"/>
              <w:rPr>
                <w:rFonts w:hint="eastAsia" w:ascii="宋体" w:hAnsi="宋体" w:eastAsia="宋体" w:cs="宋体"/>
                <w:color w:val="auto"/>
                <w:spacing w:val="0"/>
                <w:highlight w:val="none"/>
              </w:rPr>
            </w:pPr>
          </w:p>
          <w:p w14:paraId="75FC3D7A">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C0D1E4F">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r w14:paraId="640E7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67" w:type="dxa"/>
          <w:trHeight w:val="0" w:hRule="atLeast"/>
          <w:jc w:val="center"/>
        </w:trPr>
        <w:tc>
          <w:tcPr>
            <w:tcW w:w="4864" w:type="dxa"/>
            <w:gridSpan w:val="2"/>
            <w:vAlign w:val="top"/>
          </w:tcPr>
          <w:p w14:paraId="34E874D5">
            <w:pPr>
              <w:keepNext w:val="0"/>
              <w:keepLines w:val="0"/>
              <w:pageBreakBefore w:val="0"/>
              <w:wordWrap w:val="0"/>
              <w:overflowPunct/>
              <w:topLinePunct w:val="0"/>
              <w:bidi w:val="0"/>
              <w:spacing w:before="129" w:line="346" w:lineRule="auto"/>
              <w:ind w:left="117" w:right="168" w:firstLine="10"/>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（六）采用新技术、新工艺、新材料、新设备 可能影响工程施工安全，尚无国家、行业及地 方技术标准的分部分项工程。</w:t>
            </w:r>
          </w:p>
        </w:tc>
        <w:tc>
          <w:tcPr>
            <w:tcW w:w="1294" w:type="dxa"/>
            <w:vAlign w:val="top"/>
          </w:tcPr>
          <w:p w14:paraId="1A520949">
            <w:pPr>
              <w:pStyle w:val="2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7F1A9BA9">
            <w:pPr>
              <w:pStyle w:val="2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2347AA80">
            <w:pPr>
              <w:keepNext w:val="0"/>
              <w:keepLines w:val="0"/>
              <w:pageBreakBefore w:val="0"/>
              <w:wordWrap w:val="0"/>
              <w:overflowPunct/>
              <w:topLinePunct w:val="0"/>
              <w:bidi w:val="0"/>
              <w:spacing w:before="78" w:line="223" w:lineRule="auto"/>
              <w:ind w:left="3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1294" w:type="dxa"/>
            <w:vAlign w:val="top"/>
          </w:tcPr>
          <w:p w14:paraId="4E18931D">
            <w:pPr>
              <w:pStyle w:val="2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447D3D23">
            <w:pPr>
              <w:pStyle w:val="28"/>
              <w:keepNext w:val="0"/>
              <w:keepLines w:val="0"/>
              <w:pageBreakBefore w:val="0"/>
              <w:wordWrap w:val="0"/>
              <w:overflowPunct/>
              <w:topLinePunct w:val="0"/>
              <w:bidi w:val="0"/>
              <w:spacing w:line="272" w:lineRule="auto"/>
              <w:rPr>
                <w:rFonts w:hint="eastAsia" w:ascii="宋体" w:hAnsi="宋体" w:eastAsia="宋体" w:cs="宋体"/>
                <w:color w:val="auto"/>
                <w:spacing w:val="0"/>
                <w:highlight w:val="none"/>
              </w:rPr>
            </w:pPr>
          </w:p>
          <w:p w14:paraId="13AD6E02">
            <w:pPr>
              <w:keepNext w:val="0"/>
              <w:keepLines w:val="0"/>
              <w:pageBreakBefore w:val="0"/>
              <w:wordWrap w:val="0"/>
              <w:overflowPunct/>
              <w:topLinePunct w:val="0"/>
              <w:bidi w:val="0"/>
              <w:spacing w:before="78" w:line="223" w:lineRule="auto"/>
              <w:ind w:left="36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w w:val="94"/>
                <w:sz w:val="24"/>
                <w:szCs w:val="24"/>
                <w:highlight w:val="none"/>
              </w:rPr>
              <w:t>(</w:t>
            </w:r>
            <w:r>
              <w:rPr>
                <w:rFonts w:hint="eastAsia" w:ascii="宋体" w:hAnsi="宋体" w:eastAsia="宋体" w:cs="宋体"/>
                <w:color w:val="auto"/>
                <w:spacing w:val="0"/>
                <w:sz w:val="24"/>
                <w:szCs w:val="24"/>
                <w:highlight w:val="none"/>
              </w:rPr>
              <w:t xml:space="preserve">    </w:t>
            </w:r>
            <w:r>
              <w:rPr>
                <w:rFonts w:hint="eastAsia" w:ascii="宋体" w:hAnsi="宋体" w:eastAsia="宋体" w:cs="宋体"/>
                <w:color w:val="auto"/>
                <w:spacing w:val="0"/>
                <w:w w:val="94"/>
                <w:sz w:val="24"/>
                <w:szCs w:val="24"/>
                <w:highlight w:val="none"/>
              </w:rPr>
              <w:t>)</w:t>
            </w:r>
          </w:p>
        </w:tc>
        <w:tc>
          <w:tcPr>
            <w:tcW w:w="2428" w:type="dxa"/>
            <w:vAlign w:val="top"/>
          </w:tcPr>
          <w:p w14:paraId="13D8AFE0">
            <w:pPr>
              <w:pStyle w:val="28"/>
              <w:keepNext w:val="0"/>
              <w:keepLines w:val="0"/>
              <w:pageBreakBefore w:val="0"/>
              <w:wordWrap w:val="0"/>
              <w:overflowPunct/>
              <w:topLinePunct w:val="0"/>
              <w:bidi w:val="0"/>
              <w:rPr>
                <w:rFonts w:hint="eastAsia" w:ascii="宋体" w:hAnsi="宋体" w:eastAsia="宋体" w:cs="宋体"/>
                <w:color w:val="auto"/>
                <w:spacing w:val="0"/>
                <w:highlight w:val="none"/>
              </w:rPr>
            </w:pPr>
          </w:p>
        </w:tc>
      </w:tr>
    </w:tbl>
    <w:p w14:paraId="658D3124">
      <w:pPr>
        <w:pStyle w:val="6"/>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199F441F">
      <w:pPr>
        <w:pStyle w:val="6"/>
        <w:keepNext w:val="0"/>
        <w:keepLines w:val="0"/>
        <w:pageBreakBefore w:val="0"/>
        <w:wordWrap w:val="0"/>
        <w:overflowPunct/>
        <w:topLinePunct w:val="0"/>
        <w:bidi w:val="0"/>
        <w:spacing w:line="288" w:lineRule="auto"/>
        <w:rPr>
          <w:rFonts w:hint="eastAsia" w:ascii="宋体" w:hAnsi="宋体" w:eastAsia="宋体" w:cs="宋体"/>
          <w:color w:val="auto"/>
          <w:spacing w:val="0"/>
          <w:highlight w:val="none"/>
        </w:rPr>
      </w:pPr>
    </w:p>
    <w:p w14:paraId="2D7986C2">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备注：1.根据《危险性较大的分部分项工程安全管理规定》，该《危险性较大的分部分项工程清单及超过一定规模的危险性较大的分部分项工程清单》</w:t>
      </w:r>
      <w:r>
        <w:rPr>
          <w:rFonts w:hint="eastAsia" w:ascii="宋体" w:hAnsi="宋体" w:eastAsia="宋体" w:cs="宋体"/>
          <w:color w:val="auto"/>
          <w:spacing w:val="0"/>
          <w:sz w:val="21"/>
          <w:szCs w:val="21"/>
          <w:highlight w:val="none"/>
          <w:lang w:eastAsia="zh-CN"/>
        </w:rPr>
        <w:t>应由建设单位组织勘察、设计等单位在招标文件中“勾选（对应项打“√”标识”危险性较大的分部分项工程。</w:t>
      </w:r>
    </w:p>
    <w:p w14:paraId="761BB22D">
      <w:pPr>
        <w:keepNext w:val="0"/>
        <w:keepLines w:val="0"/>
        <w:pageBreakBefore w:val="0"/>
        <w:wordWrap w:val="0"/>
        <w:overflowPunct/>
        <w:topLinePunct w:val="0"/>
        <w:bidi w:val="0"/>
        <w:spacing w:before="21" w:line="360" w:lineRule="auto"/>
        <w:ind w:firstLine="420" w:firstLineChars="20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2.该《危险性较大的分部分项工程清单及超过一定规模的危险性较大的分部分项工程清单》在办理建设项目施工许可时必须提供，且各地建设行政主管部门可按照《广东省建设工程项目招标中标后监督 检查办法》相关规定开展检查。</w:t>
      </w:r>
    </w:p>
    <w:p w14:paraId="3CA43F8B">
      <w:pPr>
        <w:keepNext w:val="0"/>
        <w:keepLines w:val="0"/>
        <w:pageBreakBefore w:val="0"/>
        <w:wordWrap w:val="0"/>
        <w:overflowPunct/>
        <w:topLinePunct w:val="0"/>
        <w:bidi w:val="0"/>
        <w:spacing w:before="28" w:line="360" w:lineRule="auto"/>
        <w:ind w:left="545" w:leftChars="244" w:hanging="33" w:hangingChars="16"/>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3.如果需要（如需要通过计算编制专项方案，或者需要专家论证），可中标后提供</w:t>
      </w:r>
      <w:r>
        <w:rPr>
          <w:rFonts w:hint="eastAsia" w:ascii="宋体" w:hAnsi="宋体" w:eastAsia="宋体" w:cs="宋体"/>
          <w:color w:val="auto"/>
          <w:spacing w:val="0"/>
          <w:sz w:val="21"/>
          <w:szCs w:val="21"/>
          <w:highlight w:val="none"/>
          <w:lang w:eastAsia="zh-CN"/>
        </w:rPr>
        <w:t>详细版。</w:t>
      </w:r>
    </w:p>
    <w:p w14:paraId="181EE1C9">
      <w:pPr>
        <w:keepNext w:val="0"/>
        <w:keepLines w:val="0"/>
        <w:pageBreakBefore w:val="0"/>
        <w:wordWrap w:val="0"/>
        <w:overflowPunct/>
        <w:topLinePunct w:val="0"/>
        <w:bidi w:val="0"/>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2C79ABA9">
      <w:pPr>
        <w:keepNext w:val="0"/>
        <w:keepLines w:val="0"/>
        <w:pageBreakBefore w:val="0"/>
        <w:wordWrap w:val="0"/>
        <w:overflowPunct/>
        <w:topLinePunct w:val="0"/>
        <w:bidi w:val="0"/>
        <w:spacing w:before="78" w:line="220" w:lineRule="auto"/>
        <w:jc w:val="both"/>
        <w:outlineLvl w:val="2"/>
        <w:rPr>
          <w:rFonts w:hint="default" w:ascii="宋体" w:hAnsi="宋体" w:eastAsia="宋体" w:cs="宋体"/>
          <w:b/>
          <w:bCs/>
          <w:color w:val="auto"/>
          <w:spacing w:val="0"/>
          <w:sz w:val="24"/>
          <w:szCs w:val="24"/>
          <w:highlight w:val="none"/>
          <w:lang w:val="en-US" w:eastAsia="zh-CN"/>
        </w:rPr>
      </w:pPr>
      <w:bookmarkStart w:id="263" w:name="_Toc12132"/>
      <w:r>
        <w:rPr>
          <w:rFonts w:hint="eastAsia" w:ascii="宋体" w:hAnsi="宋体" w:eastAsia="宋体" w:cs="宋体"/>
          <w:b/>
          <w:bCs/>
          <w:color w:val="auto"/>
          <w:spacing w:val="0"/>
          <w:sz w:val="24"/>
          <w:szCs w:val="24"/>
          <w:highlight w:val="none"/>
        </w:rPr>
        <w:t>格式十四</w:t>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pacing w:val="0"/>
          <w:position w:val="3"/>
          <w:sz w:val="21"/>
          <w:szCs w:val="21"/>
          <w:highlight w:val="none"/>
        </w:rPr>
        <w:t>投标保证金信用承诺函</w:t>
      </w:r>
      <w:bookmarkEnd w:id="263"/>
    </w:p>
    <w:p w14:paraId="2D2A2C48">
      <w:pPr>
        <w:keepNext w:val="0"/>
        <w:keepLines w:val="0"/>
        <w:pageBreakBefore w:val="0"/>
        <w:wordWrap w:val="0"/>
        <w:overflowPunct/>
        <w:topLinePunct w:val="0"/>
        <w:bidi w:val="0"/>
        <w:spacing w:before="140" w:line="604" w:lineRule="exact"/>
        <w:jc w:val="center"/>
        <w:rPr>
          <w:rFonts w:hint="eastAsia" w:ascii="宋体" w:hAnsi="宋体" w:eastAsia="宋体" w:cs="宋体"/>
          <w:color w:val="auto"/>
          <w:spacing w:val="0"/>
          <w:sz w:val="28"/>
          <w:szCs w:val="28"/>
          <w:highlight w:val="none"/>
        </w:rPr>
      </w:pPr>
      <w:r>
        <w:rPr>
          <w:rFonts w:hint="eastAsia" w:ascii="宋体" w:hAnsi="宋体" w:eastAsia="宋体" w:cs="宋体"/>
          <w:b/>
          <w:bCs/>
          <w:color w:val="auto"/>
          <w:spacing w:val="0"/>
          <w:position w:val="3"/>
          <w:sz w:val="28"/>
          <w:szCs w:val="28"/>
          <w:highlight w:val="none"/>
        </w:rPr>
        <w:t>投标保证金信用承诺函</w:t>
      </w:r>
    </w:p>
    <w:p w14:paraId="66DF5DE4">
      <w:pPr>
        <w:pStyle w:val="6"/>
        <w:keepNext w:val="0"/>
        <w:keepLines w:val="0"/>
        <w:pageBreakBefore w:val="0"/>
        <w:wordWrap w:val="0"/>
        <w:overflowPunct/>
        <w:topLinePunct w:val="0"/>
        <w:bidi w:val="0"/>
        <w:spacing w:line="408" w:lineRule="auto"/>
        <w:rPr>
          <w:rFonts w:hint="eastAsia" w:ascii="宋体" w:hAnsi="宋体" w:eastAsia="宋体" w:cs="宋体"/>
          <w:color w:val="auto"/>
          <w:spacing w:val="0"/>
          <w:highlight w:val="none"/>
        </w:rPr>
      </w:pPr>
    </w:p>
    <w:p w14:paraId="69D0BF15">
      <w:pPr>
        <w:keepNext w:val="0"/>
        <w:keepLines w:val="0"/>
        <w:pageBreakBefore w:val="0"/>
        <w:wordWrap w:val="0"/>
        <w:overflowPunct/>
        <w:topLinePunct w:val="0"/>
        <w:bidi w:val="0"/>
        <w:spacing w:before="101" w:line="257" w:lineRule="auto"/>
        <w:ind w:left="3" w:firstLine="965"/>
        <w:jc w:val="both"/>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一、</w:t>
      </w:r>
      <w:r>
        <w:rPr>
          <w:rFonts w:hint="eastAsia" w:ascii="宋体" w:hAnsi="宋体" w:eastAsia="宋体" w:cs="宋体"/>
          <w:color w:val="auto"/>
          <w:spacing w:val="0"/>
          <w:sz w:val="24"/>
          <w:szCs w:val="24"/>
          <w:highlight w:val="none"/>
        </w:rPr>
        <w:t>我单位参加</w:t>
      </w:r>
      <w:r>
        <w:rPr>
          <w:rFonts w:hint="eastAsia" w:ascii="宋体" w:hAnsi="宋体" w:eastAsia="宋体" w:cs="宋体"/>
          <w:color w:val="auto"/>
          <w:spacing w:val="0"/>
          <w:sz w:val="24"/>
          <w:szCs w:val="24"/>
          <w:highlight w:val="none"/>
          <w:u w:val="single"/>
        </w:rPr>
        <w:t xml:space="preserve">  （工程项目名称）  </w:t>
      </w:r>
      <w:r>
        <w:rPr>
          <w:rFonts w:hint="eastAsia" w:ascii="宋体" w:hAnsi="宋体" w:eastAsia="宋体" w:cs="宋体"/>
          <w:color w:val="auto"/>
          <w:spacing w:val="0"/>
          <w:sz w:val="24"/>
          <w:szCs w:val="24"/>
          <w:highlight w:val="none"/>
        </w:rPr>
        <w:t xml:space="preserve"> 的投标活动，现承诺：将严格按照法律法规规定参与交易活动，按照招标文件要求 依法履行投标人义务；我方若出现违反《中华人民共和国招标投标法》、《中华人民共和国招标投标法实施条例》、《电子招标 投标办法》等有关法律法规的行为，将于投标有效期内全额付清 招标文件规定的投标保证金 </w:t>
      </w:r>
      <w:r>
        <w:rPr>
          <w:rFonts w:hint="eastAsia" w:ascii="宋体" w:hAnsi="宋体" w:eastAsia="宋体" w:cs="宋体"/>
          <w:color w:val="auto"/>
          <w:spacing w:val="0"/>
          <w:sz w:val="24"/>
          <w:szCs w:val="24"/>
          <w:highlight w:val="none"/>
          <w:u w:val="single"/>
        </w:rPr>
        <w:t xml:space="preserve">     </w:t>
      </w:r>
      <w:r>
        <w:rPr>
          <w:rFonts w:hint="eastAsia" w:ascii="宋体" w:hAnsi="宋体" w:eastAsia="宋体" w:cs="宋体"/>
          <w:color w:val="auto"/>
          <w:spacing w:val="0"/>
          <w:sz w:val="24"/>
          <w:szCs w:val="24"/>
          <w:highlight w:val="none"/>
        </w:rPr>
        <w:t xml:space="preserve"> 元。</w:t>
      </w:r>
    </w:p>
    <w:p w14:paraId="704B9A28">
      <w:pPr>
        <w:keepNext w:val="0"/>
        <w:keepLines w:val="0"/>
        <w:pageBreakBefore w:val="0"/>
        <w:wordWrap w:val="0"/>
        <w:overflowPunct/>
        <w:topLinePunct w:val="0"/>
        <w:bidi w:val="0"/>
        <w:spacing w:before="48" w:line="252" w:lineRule="auto"/>
        <w:ind w:left="1" w:firstLine="647"/>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二、至投标文件提交当天，本公司无严重不良信用记录或存在曾作出虚假承诺的情形，且不属于韶关市建筑市场信用管理平 台公布的信用等级为 B 级、C 级、D 级的企业。</w:t>
      </w:r>
    </w:p>
    <w:p w14:paraId="1700F061">
      <w:pPr>
        <w:keepNext w:val="0"/>
        <w:keepLines w:val="0"/>
        <w:pageBreakBefore w:val="0"/>
        <w:wordWrap w:val="0"/>
        <w:overflowPunct/>
        <w:topLinePunct w:val="0"/>
        <w:bidi w:val="0"/>
        <w:spacing w:before="52" w:line="247" w:lineRule="auto"/>
        <w:ind w:left="6" w:right="2" w:firstLine="638"/>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本企业对以上承诺和声明负责。如有虚假，愿接受行政主管部门作出的处罚，并承担以下后果：</w:t>
      </w:r>
    </w:p>
    <w:p w14:paraId="619E1090">
      <w:pPr>
        <w:keepNext w:val="0"/>
        <w:keepLines w:val="0"/>
        <w:pageBreakBefore w:val="0"/>
        <w:wordWrap w:val="0"/>
        <w:overflowPunct/>
        <w:topLinePunct w:val="0"/>
        <w:bidi w:val="0"/>
        <w:spacing w:before="48"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（一）取消本单位在本项目中的投标资格或中标资格；</w:t>
      </w:r>
    </w:p>
    <w:p w14:paraId="646C0B43">
      <w:pPr>
        <w:keepNext w:val="0"/>
        <w:keepLines w:val="0"/>
        <w:pageBreakBefore w:val="0"/>
        <w:wordWrap w:val="0"/>
        <w:overflowPunct/>
        <w:topLinePunct w:val="0"/>
        <w:bidi w:val="0"/>
        <w:spacing w:before="64"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（二）将本单位不良行为纳入信用信息管理系统；</w:t>
      </w:r>
    </w:p>
    <w:p w14:paraId="6A98DF32">
      <w:pPr>
        <w:keepNext w:val="0"/>
        <w:keepLines w:val="0"/>
        <w:pageBreakBefore w:val="0"/>
        <w:wordWrap w:val="0"/>
        <w:overflowPunct/>
        <w:topLinePunct w:val="0"/>
        <w:bidi w:val="0"/>
        <w:spacing w:before="60" w:line="244" w:lineRule="auto"/>
        <w:ind w:left="41" w:right="2" w:firstLine="6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（三）主动在产生不良行为所在的各县（市、区）行政区域内不参加房建市政工程项目的投标活动一年；</w:t>
      </w:r>
    </w:p>
    <w:p w14:paraId="4917FCE5">
      <w:pPr>
        <w:keepNext w:val="0"/>
        <w:keepLines w:val="0"/>
        <w:pageBreakBefore w:val="0"/>
        <w:wordWrap w:val="0"/>
        <w:overflowPunct/>
        <w:topLinePunct w:val="0"/>
        <w:bidi w:val="0"/>
        <w:spacing w:before="63" w:line="225" w:lineRule="auto"/>
        <w:ind w:left="65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（四）应付的赔偿责任和相应法律责任。</w:t>
      </w:r>
    </w:p>
    <w:p w14:paraId="59535642">
      <w:pPr>
        <w:pStyle w:val="6"/>
        <w:keepNext w:val="0"/>
        <w:keepLines w:val="0"/>
        <w:pageBreakBefore w:val="0"/>
        <w:wordWrap w:val="0"/>
        <w:overflowPunct/>
        <w:topLinePunct w:val="0"/>
        <w:bidi w:val="0"/>
        <w:spacing w:line="329" w:lineRule="auto"/>
        <w:rPr>
          <w:rFonts w:hint="eastAsia" w:ascii="宋体" w:hAnsi="宋体" w:eastAsia="宋体" w:cs="宋体"/>
          <w:color w:val="auto"/>
          <w:spacing w:val="0"/>
          <w:sz w:val="24"/>
          <w:szCs w:val="24"/>
          <w:highlight w:val="none"/>
        </w:rPr>
      </w:pPr>
    </w:p>
    <w:p w14:paraId="1690E963">
      <w:pPr>
        <w:keepNext w:val="0"/>
        <w:keepLines w:val="0"/>
        <w:pageBreakBefore w:val="0"/>
        <w:wordWrap w:val="0"/>
        <w:overflowPunct/>
        <w:topLinePunct w:val="0"/>
        <w:bidi w:val="0"/>
        <w:spacing w:before="102" w:line="225" w:lineRule="auto"/>
        <w:ind w:left="84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单位名称（公章）：</w:t>
      </w:r>
    </w:p>
    <w:p w14:paraId="75190ACB">
      <w:pPr>
        <w:pStyle w:val="6"/>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02A9FEC8">
      <w:pPr>
        <w:keepNext w:val="0"/>
        <w:keepLines w:val="0"/>
        <w:pageBreakBefore w:val="0"/>
        <w:wordWrap w:val="0"/>
        <w:overflowPunct/>
        <w:topLinePunct w:val="0"/>
        <w:bidi w:val="0"/>
        <w:spacing w:before="100" w:line="225" w:lineRule="auto"/>
        <w:ind w:left="85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统一社会信用代码：</w:t>
      </w:r>
    </w:p>
    <w:p w14:paraId="47162351">
      <w:pPr>
        <w:pStyle w:val="6"/>
        <w:keepNext w:val="0"/>
        <w:keepLines w:val="0"/>
        <w:pageBreakBefore w:val="0"/>
        <w:wordWrap w:val="0"/>
        <w:overflowPunct/>
        <w:topLinePunct w:val="0"/>
        <w:bidi w:val="0"/>
        <w:spacing w:line="457" w:lineRule="auto"/>
        <w:rPr>
          <w:rFonts w:hint="eastAsia" w:ascii="宋体" w:hAnsi="宋体" w:eastAsia="宋体" w:cs="宋体"/>
          <w:color w:val="auto"/>
          <w:spacing w:val="0"/>
          <w:sz w:val="24"/>
          <w:szCs w:val="24"/>
          <w:highlight w:val="none"/>
        </w:rPr>
      </w:pPr>
    </w:p>
    <w:p w14:paraId="074D0F90">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法定代表人（签字）：</w:t>
      </w:r>
    </w:p>
    <w:p w14:paraId="3B1E9974">
      <w:pPr>
        <w:keepNext w:val="0"/>
        <w:keepLines w:val="0"/>
        <w:pageBreakBefore w:val="0"/>
        <w:wordWrap w:val="0"/>
        <w:overflowPunct/>
        <w:topLinePunct w:val="0"/>
        <w:bidi w:val="0"/>
        <w:spacing w:before="102" w:line="543" w:lineRule="auto"/>
        <w:ind w:left="844" w:right="50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 xml:space="preserve"> 年   月 </w:t>
      </w:r>
      <w:r>
        <w:rPr>
          <w:rFonts w:hint="eastAsia" w:ascii="宋体" w:hAnsi="宋体" w:eastAsia="宋体" w:cs="宋体"/>
          <w:color w:val="auto"/>
          <w:spacing w:val="0"/>
          <w:sz w:val="24"/>
          <w:szCs w:val="24"/>
          <w:highlight w:val="none"/>
          <w:lang w:val="en-US" w:eastAsia="zh-CN"/>
        </w:rPr>
        <w:t xml:space="preserve">  </w:t>
      </w:r>
      <w:r>
        <w:rPr>
          <w:rFonts w:hint="eastAsia" w:ascii="宋体" w:hAnsi="宋体" w:eastAsia="宋体" w:cs="宋体"/>
          <w:color w:val="auto"/>
          <w:spacing w:val="0"/>
          <w:sz w:val="24"/>
          <w:szCs w:val="24"/>
          <w:highlight w:val="none"/>
        </w:rPr>
        <w:t>日</w:t>
      </w:r>
    </w:p>
    <w:p w14:paraId="08FA8EAC">
      <w:pPr>
        <w:pStyle w:val="14"/>
        <w:keepNext w:val="0"/>
        <w:keepLines w:val="0"/>
        <w:pageBreakBefore w:val="0"/>
        <w:wordWrap w:val="0"/>
        <w:overflowPunct/>
        <w:topLinePunct w:val="0"/>
        <w:bidi w:val="0"/>
        <w:rPr>
          <w:rFonts w:hint="eastAsia" w:ascii="宋体" w:hAnsi="宋体" w:eastAsia="宋体" w:cs="宋体"/>
          <w:color w:val="auto"/>
          <w:spacing w:val="0"/>
          <w:highlight w:val="none"/>
        </w:rPr>
      </w:pPr>
    </w:p>
    <w:p w14:paraId="4A8B10DA">
      <w:pPr>
        <w:pStyle w:val="14"/>
        <w:keepNext w:val="0"/>
        <w:keepLines w:val="0"/>
        <w:pageBreakBefore w:val="0"/>
        <w:wordWrap w:val="0"/>
        <w:overflowPunct/>
        <w:topLinePunct w:val="0"/>
        <w:bidi w:val="0"/>
        <w:rPr>
          <w:rFonts w:hint="eastAsia" w:ascii="宋体" w:hAnsi="宋体" w:eastAsia="宋体" w:cs="宋体"/>
          <w:color w:val="auto"/>
          <w:spacing w:val="0"/>
          <w:sz w:val="24"/>
          <w:szCs w:val="24"/>
          <w:highlight w:val="none"/>
          <w:lang w:eastAsia="zh-CN"/>
        </w:rPr>
        <w:sectPr>
          <w:footerReference r:id="rId28"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pPr>
    </w:p>
    <w:p w14:paraId="5954FFED">
      <w:pPr>
        <w:keepNext w:val="0"/>
        <w:keepLines w:val="0"/>
        <w:pageBreakBefore w:val="0"/>
        <w:wordWrap w:val="0"/>
        <w:overflowPunct/>
        <w:topLinePunct w:val="0"/>
        <w:bidi w:val="0"/>
        <w:spacing w:before="78" w:line="220" w:lineRule="auto"/>
        <w:outlineLvl w:val="2"/>
        <w:rPr>
          <w:rFonts w:hint="eastAsia" w:ascii="宋体" w:hAnsi="宋体" w:eastAsia="宋体" w:cs="宋体"/>
          <w:b/>
          <w:bCs/>
          <w:color w:val="auto"/>
          <w:spacing w:val="0"/>
          <w:sz w:val="24"/>
          <w:szCs w:val="24"/>
          <w:highlight w:val="none"/>
        </w:rPr>
      </w:pPr>
      <w:bookmarkStart w:id="264" w:name="_Toc7178"/>
      <w:r>
        <w:rPr>
          <w:rFonts w:hint="eastAsia" w:ascii="宋体" w:hAnsi="宋体" w:eastAsia="宋体" w:cs="宋体"/>
          <w:b/>
          <w:bCs/>
          <w:color w:val="auto"/>
          <w:spacing w:val="0"/>
          <w:sz w:val="24"/>
          <w:szCs w:val="24"/>
          <w:highlight w:val="none"/>
        </w:rPr>
        <w:t>格式十</w:t>
      </w:r>
      <w:r>
        <w:rPr>
          <w:rFonts w:hint="eastAsia" w:ascii="宋体" w:hAnsi="宋体" w:eastAsia="宋体" w:cs="宋体"/>
          <w:b/>
          <w:bCs/>
          <w:color w:val="auto"/>
          <w:spacing w:val="0"/>
          <w:sz w:val="24"/>
          <w:szCs w:val="24"/>
          <w:highlight w:val="none"/>
          <w:lang w:eastAsia="zh-CN"/>
        </w:rPr>
        <w:t>五</w:t>
      </w:r>
      <w:r>
        <w:rPr>
          <w:rFonts w:hint="eastAsia" w:ascii="宋体" w:hAnsi="宋体" w:eastAsia="宋体" w:cs="宋体"/>
          <w:b/>
          <w:bCs/>
          <w:color w:val="auto"/>
          <w:spacing w:val="0"/>
          <w:sz w:val="24"/>
          <w:szCs w:val="24"/>
          <w:highlight w:val="none"/>
        </w:rPr>
        <w:t xml:space="preserve">  原件一览表</w:t>
      </w:r>
      <w:bookmarkEnd w:id="264"/>
    </w:p>
    <w:tbl>
      <w:tblPr>
        <w:tblStyle w:val="15"/>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6673F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2C9A0FE6">
            <w:pPr>
              <w:keepNext w:val="0"/>
              <w:keepLines w:val="0"/>
              <w:pageBreakBefore w:val="0"/>
              <w:wordWrap w:val="0"/>
              <w:overflowPunct/>
              <w:topLinePunct w:val="0"/>
              <w:bidi w:val="0"/>
              <w:spacing w:before="132" w:line="220" w:lineRule="auto"/>
              <w:ind w:left="3965"/>
              <w:rPr>
                <w:rFonts w:hint="eastAsia" w:ascii="宋体" w:hAnsi="宋体" w:eastAsia="宋体" w:cs="宋体"/>
                <w:color w:val="auto"/>
                <w:spacing w:val="0"/>
                <w:sz w:val="24"/>
                <w:szCs w:val="24"/>
                <w:highlight w:val="none"/>
              </w:rPr>
            </w:pPr>
            <w:r>
              <w:rPr>
                <w:rFonts w:hint="eastAsia" w:ascii="宋体" w:hAnsi="宋体" w:eastAsia="宋体" w:cs="宋体"/>
                <w:b/>
                <w:bCs/>
                <w:color w:val="auto"/>
                <w:spacing w:val="0"/>
                <w:sz w:val="24"/>
                <w:szCs w:val="24"/>
                <w:highlight w:val="none"/>
              </w:rPr>
              <w:t>原件一览表</w:t>
            </w:r>
          </w:p>
        </w:tc>
      </w:tr>
      <w:tr w14:paraId="6E7B6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center"/>
          </w:tcPr>
          <w:p w14:paraId="5E648395">
            <w:pPr>
              <w:keepNext w:val="0"/>
              <w:keepLines w:val="0"/>
              <w:pageBreakBefore w:val="0"/>
              <w:wordWrap w:val="0"/>
              <w:overflowPunct/>
              <w:topLinePunct w:val="0"/>
              <w:bidi w:val="0"/>
              <w:spacing w:before="62" w:line="230" w:lineRule="auto"/>
              <w:jc w:val="center"/>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工程名称</w:t>
            </w:r>
          </w:p>
        </w:tc>
        <w:tc>
          <w:tcPr>
            <w:tcW w:w="6816" w:type="dxa"/>
            <w:gridSpan w:val="6"/>
            <w:vAlign w:val="top"/>
          </w:tcPr>
          <w:p w14:paraId="2BC3E548">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1BF0E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7966F17F">
            <w:pPr>
              <w:keepNext w:val="0"/>
              <w:keepLines w:val="0"/>
              <w:pageBreakBefore w:val="0"/>
              <w:wordWrap w:val="0"/>
              <w:overflowPunct/>
              <w:topLinePunct w:val="0"/>
              <w:bidi w:val="0"/>
              <w:spacing w:before="150" w:line="230" w:lineRule="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投标人名称(请务必填写单位全称)</w:t>
            </w:r>
          </w:p>
        </w:tc>
        <w:tc>
          <w:tcPr>
            <w:tcW w:w="6816" w:type="dxa"/>
            <w:gridSpan w:val="6"/>
            <w:vAlign w:val="top"/>
          </w:tcPr>
          <w:p w14:paraId="4B21757D">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3FBD0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4DF9074B">
            <w:pPr>
              <w:keepNext w:val="0"/>
              <w:keepLines w:val="0"/>
              <w:pageBreakBefore w:val="0"/>
              <w:wordWrap w:val="0"/>
              <w:overflowPunct/>
              <w:topLinePunct w:val="0"/>
              <w:bidi w:val="0"/>
              <w:spacing w:before="151"/>
              <w:ind w:right="14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投标人法定代表人或其委托代理人签名</w:t>
            </w:r>
          </w:p>
        </w:tc>
        <w:tc>
          <w:tcPr>
            <w:tcW w:w="2689" w:type="dxa"/>
            <w:gridSpan w:val="2"/>
            <w:vAlign w:val="top"/>
          </w:tcPr>
          <w:p w14:paraId="57D7E207">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499" w:type="dxa"/>
            <w:gridSpan w:val="2"/>
            <w:vAlign w:val="top"/>
          </w:tcPr>
          <w:p w14:paraId="2FDC98C5">
            <w:pPr>
              <w:keepNext w:val="0"/>
              <w:keepLines w:val="0"/>
              <w:pageBreakBefore w:val="0"/>
              <w:wordWrap w:val="0"/>
              <w:overflowPunct/>
              <w:topLinePunct w:val="0"/>
              <w:bidi w:val="0"/>
              <w:spacing w:before="151" w:line="312" w:lineRule="auto"/>
              <w:ind w:right="17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手机号码</w:t>
            </w:r>
          </w:p>
        </w:tc>
        <w:tc>
          <w:tcPr>
            <w:tcW w:w="2628" w:type="dxa"/>
            <w:gridSpan w:val="2"/>
            <w:vAlign w:val="top"/>
          </w:tcPr>
          <w:p w14:paraId="21C4D805">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656DC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70139CF0">
            <w:pPr>
              <w:keepNext w:val="0"/>
              <w:keepLines w:val="0"/>
              <w:pageBreakBefore w:val="0"/>
              <w:wordWrap w:val="0"/>
              <w:overflowPunct/>
              <w:topLinePunct w:val="0"/>
              <w:bidi w:val="0"/>
              <w:spacing w:before="62" w:line="228" w:lineRule="auto"/>
              <w:ind w:left="3361"/>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递交的证明材料原件如下：</w:t>
            </w:r>
          </w:p>
        </w:tc>
      </w:tr>
      <w:tr w14:paraId="485AE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29EDD5ED">
            <w:pPr>
              <w:pStyle w:val="28"/>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1CFDD221">
            <w:pPr>
              <w:keepNext w:val="0"/>
              <w:keepLines w:val="0"/>
              <w:pageBreakBefore w:val="0"/>
              <w:wordWrap w:val="0"/>
              <w:overflowPunct/>
              <w:topLinePunct w:val="0"/>
              <w:bidi w:val="0"/>
              <w:spacing w:before="62" w:line="230" w:lineRule="auto"/>
              <w:ind w:left="15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序号</w:t>
            </w:r>
          </w:p>
        </w:tc>
        <w:tc>
          <w:tcPr>
            <w:tcW w:w="5304" w:type="dxa"/>
            <w:gridSpan w:val="4"/>
            <w:vAlign w:val="top"/>
          </w:tcPr>
          <w:p w14:paraId="5D17C77A">
            <w:pPr>
              <w:pStyle w:val="28"/>
              <w:keepNext w:val="0"/>
              <w:keepLines w:val="0"/>
              <w:pageBreakBefore w:val="0"/>
              <w:wordWrap w:val="0"/>
              <w:overflowPunct/>
              <w:topLinePunct w:val="0"/>
              <w:bidi w:val="0"/>
              <w:spacing w:line="257" w:lineRule="auto"/>
              <w:rPr>
                <w:rFonts w:hint="eastAsia" w:ascii="宋体" w:hAnsi="宋体" w:eastAsia="宋体" w:cs="宋体"/>
                <w:color w:val="auto"/>
                <w:spacing w:val="0"/>
                <w:sz w:val="24"/>
                <w:szCs w:val="24"/>
                <w:highlight w:val="none"/>
              </w:rPr>
            </w:pPr>
          </w:p>
          <w:p w14:paraId="5B061FB8">
            <w:pPr>
              <w:keepNext w:val="0"/>
              <w:keepLines w:val="0"/>
              <w:pageBreakBefore w:val="0"/>
              <w:wordWrap w:val="0"/>
              <w:overflowPunct/>
              <w:topLinePunct w:val="0"/>
              <w:bidi w:val="0"/>
              <w:spacing w:before="61" w:line="228" w:lineRule="auto"/>
              <w:ind w:left="176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证明材料原件名称</w:t>
            </w:r>
          </w:p>
        </w:tc>
        <w:tc>
          <w:tcPr>
            <w:tcW w:w="1771" w:type="dxa"/>
            <w:gridSpan w:val="2"/>
            <w:vAlign w:val="top"/>
          </w:tcPr>
          <w:p w14:paraId="422BA98A">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41C47200">
            <w:pPr>
              <w:keepNext w:val="0"/>
              <w:keepLines w:val="0"/>
              <w:pageBreakBefore w:val="0"/>
              <w:wordWrap w:val="0"/>
              <w:overflowPunct/>
              <w:topLinePunct w:val="0"/>
              <w:bidi w:val="0"/>
              <w:spacing w:before="62" w:line="230" w:lineRule="auto"/>
              <w:ind w:left="66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单位</w:t>
            </w:r>
          </w:p>
        </w:tc>
        <w:tc>
          <w:tcPr>
            <w:tcW w:w="1637" w:type="dxa"/>
            <w:vAlign w:val="top"/>
          </w:tcPr>
          <w:p w14:paraId="5F1312ED">
            <w:pPr>
              <w:pStyle w:val="28"/>
              <w:keepNext w:val="0"/>
              <w:keepLines w:val="0"/>
              <w:pageBreakBefore w:val="0"/>
              <w:wordWrap w:val="0"/>
              <w:overflowPunct/>
              <w:topLinePunct w:val="0"/>
              <w:bidi w:val="0"/>
              <w:spacing w:line="256" w:lineRule="auto"/>
              <w:rPr>
                <w:rFonts w:hint="eastAsia" w:ascii="宋体" w:hAnsi="宋体" w:eastAsia="宋体" w:cs="宋体"/>
                <w:color w:val="auto"/>
                <w:spacing w:val="0"/>
                <w:sz w:val="24"/>
                <w:szCs w:val="24"/>
                <w:highlight w:val="none"/>
              </w:rPr>
            </w:pPr>
          </w:p>
          <w:p w14:paraId="2DE0B9E4">
            <w:pPr>
              <w:keepNext w:val="0"/>
              <w:keepLines w:val="0"/>
              <w:pageBreakBefore w:val="0"/>
              <w:wordWrap w:val="0"/>
              <w:overflowPunct/>
              <w:topLinePunct w:val="0"/>
              <w:bidi w:val="0"/>
              <w:spacing w:before="62" w:line="229" w:lineRule="auto"/>
              <w:ind w:left="59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数量</w:t>
            </w:r>
          </w:p>
        </w:tc>
      </w:tr>
      <w:tr w14:paraId="60BE5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FE0613A">
            <w:pPr>
              <w:keepNext w:val="0"/>
              <w:keepLines w:val="0"/>
              <w:pageBreakBefore w:val="0"/>
              <w:wordWrap w:val="0"/>
              <w:overflowPunct/>
              <w:topLinePunct w:val="0"/>
              <w:bidi w:val="0"/>
              <w:spacing w:before="287" w:line="184"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1</w:t>
            </w:r>
          </w:p>
        </w:tc>
        <w:tc>
          <w:tcPr>
            <w:tcW w:w="5304" w:type="dxa"/>
            <w:gridSpan w:val="4"/>
            <w:vAlign w:val="top"/>
          </w:tcPr>
          <w:p w14:paraId="166DC365">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290AC910">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35C9C364">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57936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1D20AE0D">
            <w:pPr>
              <w:keepNext w:val="0"/>
              <w:keepLines w:val="0"/>
              <w:pageBreakBefore w:val="0"/>
              <w:wordWrap w:val="0"/>
              <w:overflowPunct/>
              <w:topLinePunct w:val="0"/>
              <w:bidi w:val="0"/>
              <w:spacing w:before="288" w:line="183" w:lineRule="auto"/>
              <w:ind w:left="302"/>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2</w:t>
            </w:r>
          </w:p>
        </w:tc>
        <w:tc>
          <w:tcPr>
            <w:tcW w:w="5304" w:type="dxa"/>
            <w:gridSpan w:val="4"/>
            <w:vAlign w:val="top"/>
          </w:tcPr>
          <w:p w14:paraId="406B9462">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2A131F30">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5197C04B">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A66B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36F860A0">
            <w:pPr>
              <w:keepNext w:val="0"/>
              <w:keepLines w:val="0"/>
              <w:pageBreakBefore w:val="0"/>
              <w:wordWrap w:val="0"/>
              <w:overflowPunct/>
              <w:topLinePunct w:val="0"/>
              <w:bidi w:val="0"/>
              <w:spacing w:before="287" w:line="183" w:lineRule="auto"/>
              <w:ind w:left="304"/>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3</w:t>
            </w:r>
          </w:p>
        </w:tc>
        <w:tc>
          <w:tcPr>
            <w:tcW w:w="5304" w:type="dxa"/>
            <w:gridSpan w:val="4"/>
            <w:vAlign w:val="top"/>
          </w:tcPr>
          <w:p w14:paraId="1B9B38B5">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77CAD3D1">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1E1A04AD">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7489D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1AE45D10">
            <w:pPr>
              <w:pStyle w:val="28"/>
              <w:keepNext w:val="0"/>
              <w:keepLines w:val="0"/>
              <w:pageBreakBefore w:val="0"/>
              <w:wordWrap w:val="0"/>
              <w:overflowPunct/>
              <w:topLinePunct w:val="0"/>
              <w:bidi w:val="0"/>
              <w:spacing w:line="348" w:lineRule="auto"/>
              <w:rPr>
                <w:rFonts w:hint="eastAsia" w:ascii="宋体" w:hAnsi="宋体" w:eastAsia="宋体" w:cs="宋体"/>
                <w:color w:val="auto"/>
                <w:spacing w:val="0"/>
                <w:sz w:val="24"/>
                <w:szCs w:val="24"/>
                <w:highlight w:val="none"/>
              </w:rPr>
            </w:pPr>
          </w:p>
          <w:p w14:paraId="547ADE5A">
            <w:pPr>
              <w:keepNext w:val="0"/>
              <w:keepLines w:val="0"/>
              <w:pageBreakBefore w:val="0"/>
              <w:wordWrap w:val="0"/>
              <w:overflowPunct/>
              <w:topLinePunct w:val="0"/>
              <w:bidi w:val="0"/>
              <w:spacing w:before="78" w:line="99" w:lineRule="exact"/>
              <w:ind w:left="186"/>
              <w:rPr>
                <w:rFonts w:hint="eastAsia" w:ascii="宋体" w:hAnsi="宋体" w:eastAsia="宋体" w:cs="宋体"/>
                <w:color w:val="auto"/>
                <w:spacing w:val="0"/>
                <w:sz w:val="24"/>
                <w:szCs w:val="24"/>
                <w:highlight w:val="none"/>
              </w:rPr>
            </w:pPr>
            <w:r>
              <w:rPr>
                <w:rFonts w:hint="eastAsia" w:ascii="宋体" w:hAnsi="宋体" w:eastAsia="宋体" w:cs="宋体"/>
                <w:color w:val="auto"/>
                <w:spacing w:val="0"/>
                <w:position w:val="1"/>
                <w:sz w:val="24"/>
                <w:szCs w:val="24"/>
                <w:highlight w:val="none"/>
              </w:rPr>
              <w:t>...</w:t>
            </w:r>
          </w:p>
        </w:tc>
        <w:tc>
          <w:tcPr>
            <w:tcW w:w="5304" w:type="dxa"/>
            <w:gridSpan w:val="4"/>
            <w:vAlign w:val="top"/>
          </w:tcPr>
          <w:p w14:paraId="4B81671A">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771" w:type="dxa"/>
            <w:gridSpan w:val="2"/>
            <w:vAlign w:val="top"/>
          </w:tcPr>
          <w:p w14:paraId="5388A7E4">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37" w:type="dxa"/>
            <w:vAlign w:val="top"/>
          </w:tcPr>
          <w:p w14:paraId="5AC54456">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r>
      <w:tr w14:paraId="0411D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3EAB39C7">
            <w:pPr>
              <w:pStyle w:val="28"/>
              <w:keepNext w:val="0"/>
              <w:keepLines w:val="0"/>
              <w:pageBreakBefore w:val="0"/>
              <w:wordWrap w:val="0"/>
              <w:overflowPunct/>
              <w:topLinePunct w:val="0"/>
              <w:bidi w:val="0"/>
              <w:spacing w:line="274" w:lineRule="auto"/>
              <w:rPr>
                <w:rFonts w:hint="eastAsia" w:ascii="宋体" w:hAnsi="宋体" w:eastAsia="宋体" w:cs="宋体"/>
                <w:color w:val="auto"/>
                <w:spacing w:val="0"/>
                <w:sz w:val="24"/>
                <w:szCs w:val="24"/>
                <w:highlight w:val="none"/>
              </w:rPr>
            </w:pPr>
          </w:p>
          <w:p w14:paraId="55FD760D">
            <w:pPr>
              <w:pStyle w:val="28"/>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6FFCD2F6">
            <w:pPr>
              <w:pStyle w:val="28"/>
              <w:keepNext w:val="0"/>
              <w:keepLines w:val="0"/>
              <w:pageBreakBefore w:val="0"/>
              <w:wordWrap w:val="0"/>
              <w:overflowPunct/>
              <w:topLinePunct w:val="0"/>
              <w:bidi w:val="0"/>
              <w:spacing w:line="275" w:lineRule="auto"/>
              <w:rPr>
                <w:rFonts w:hint="eastAsia" w:ascii="宋体" w:hAnsi="宋体" w:eastAsia="宋体" w:cs="宋体"/>
                <w:color w:val="auto"/>
                <w:spacing w:val="0"/>
                <w:sz w:val="24"/>
                <w:szCs w:val="24"/>
                <w:highlight w:val="none"/>
              </w:rPr>
            </w:pPr>
          </w:p>
          <w:p w14:paraId="6DA8DAB2">
            <w:pPr>
              <w:keepNext w:val="0"/>
              <w:keepLines w:val="0"/>
              <w:pageBreakBefore w:val="0"/>
              <w:wordWrap w:val="0"/>
              <w:overflowPunct/>
              <w:topLinePunct w:val="0"/>
              <w:bidi w:val="0"/>
              <w:spacing w:before="62" w:line="233" w:lineRule="auto"/>
              <w:ind w:left="2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注意：</w:t>
            </w:r>
          </w:p>
        </w:tc>
        <w:tc>
          <w:tcPr>
            <w:tcW w:w="8712" w:type="dxa"/>
            <w:gridSpan w:val="7"/>
            <w:vAlign w:val="top"/>
          </w:tcPr>
          <w:p w14:paraId="1B3CF7FC">
            <w:pPr>
              <w:keepNext w:val="0"/>
              <w:keepLines w:val="0"/>
              <w:pageBreakBefore w:val="0"/>
              <w:wordWrap w:val="0"/>
              <w:overflowPunct/>
              <w:topLinePunct w:val="0"/>
              <w:bidi w:val="0"/>
              <w:spacing w:before="148"/>
              <w:ind w:left="111" w:right="107" w:firstLine="483"/>
              <w:jc w:val="both"/>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 内容及真实性负责。</w:t>
            </w:r>
          </w:p>
        </w:tc>
      </w:tr>
      <w:tr w14:paraId="59276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690ED03F">
            <w:pPr>
              <w:pStyle w:val="28"/>
              <w:keepNext w:val="0"/>
              <w:keepLines w:val="0"/>
              <w:pageBreakBefore w:val="0"/>
              <w:wordWrap w:val="0"/>
              <w:overflowPunct/>
              <w:topLinePunct w:val="0"/>
              <w:bidi w:val="0"/>
              <w:spacing w:line="240" w:lineRule="auto"/>
              <w:rPr>
                <w:rFonts w:hint="eastAsia" w:ascii="宋体" w:hAnsi="宋体" w:eastAsia="宋体" w:cs="宋体"/>
                <w:color w:val="auto"/>
                <w:spacing w:val="0"/>
                <w:sz w:val="24"/>
                <w:szCs w:val="24"/>
                <w:highlight w:val="none"/>
              </w:rPr>
            </w:pPr>
          </w:p>
          <w:p w14:paraId="1307DA3D">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接收原件经办人</w:t>
            </w:r>
          </w:p>
          <w:p w14:paraId="6B7C6436">
            <w:pPr>
              <w:keepNext w:val="0"/>
              <w:keepLines w:val="0"/>
              <w:pageBreakBefore w:val="0"/>
              <w:wordWrap w:val="0"/>
              <w:overflowPunct/>
              <w:topLinePunct w:val="0"/>
              <w:bidi w:val="0"/>
              <w:spacing w:before="61" w:line="240" w:lineRule="auto"/>
              <w:ind w:left="760" w:right="153" w:hanging="6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(招标代理)：</w:t>
            </w:r>
          </w:p>
        </w:tc>
        <w:tc>
          <w:tcPr>
            <w:tcW w:w="1725" w:type="dxa"/>
            <w:vAlign w:val="top"/>
          </w:tcPr>
          <w:p w14:paraId="44805BA6">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1B9C22A3">
            <w:pPr>
              <w:pStyle w:val="28"/>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47465BCA">
            <w:pPr>
              <w:pStyle w:val="28"/>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6AA094DD">
            <w:pPr>
              <w:keepNext w:val="0"/>
              <w:keepLines w:val="0"/>
              <w:pageBreakBefore w:val="0"/>
              <w:wordWrap w:val="0"/>
              <w:overflowPunct/>
              <w:topLinePunct w:val="0"/>
              <w:bidi w:val="0"/>
              <w:spacing w:before="62" w:line="229" w:lineRule="auto"/>
              <w:ind w:left="315"/>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接收时间：</w:t>
            </w:r>
          </w:p>
        </w:tc>
        <w:tc>
          <w:tcPr>
            <w:tcW w:w="3408" w:type="dxa"/>
            <w:gridSpan w:val="3"/>
            <w:vAlign w:val="top"/>
          </w:tcPr>
          <w:p w14:paraId="3C673D5F">
            <w:pPr>
              <w:pStyle w:val="28"/>
              <w:keepNext w:val="0"/>
              <w:keepLines w:val="0"/>
              <w:pageBreakBefore w:val="0"/>
              <w:wordWrap w:val="0"/>
              <w:overflowPunct/>
              <w:topLinePunct w:val="0"/>
              <w:bidi w:val="0"/>
              <w:spacing w:line="288" w:lineRule="auto"/>
              <w:rPr>
                <w:rFonts w:hint="eastAsia" w:ascii="宋体" w:hAnsi="宋体" w:eastAsia="宋体" w:cs="宋体"/>
                <w:color w:val="auto"/>
                <w:spacing w:val="0"/>
                <w:sz w:val="24"/>
                <w:szCs w:val="24"/>
                <w:highlight w:val="none"/>
              </w:rPr>
            </w:pPr>
          </w:p>
          <w:p w14:paraId="42F4F575">
            <w:pPr>
              <w:pStyle w:val="28"/>
              <w:keepNext w:val="0"/>
              <w:keepLines w:val="0"/>
              <w:pageBreakBefore w:val="0"/>
              <w:wordWrap w:val="0"/>
              <w:overflowPunct/>
              <w:topLinePunct w:val="0"/>
              <w:bidi w:val="0"/>
              <w:spacing w:line="289" w:lineRule="auto"/>
              <w:rPr>
                <w:rFonts w:hint="eastAsia" w:ascii="宋体" w:hAnsi="宋体" w:eastAsia="宋体" w:cs="宋体"/>
                <w:color w:val="auto"/>
                <w:spacing w:val="0"/>
                <w:sz w:val="24"/>
                <w:szCs w:val="24"/>
                <w:highlight w:val="none"/>
              </w:rPr>
            </w:pPr>
          </w:p>
          <w:p w14:paraId="08459939">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r w14:paraId="35BD9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7D643159">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退还原件接收人</w:t>
            </w:r>
          </w:p>
          <w:p w14:paraId="025ED4CA">
            <w:pPr>
              <w:keepNext w:val="0"/>
              <w:keepLines w:val="0"/>
              <w:pageBreakBefore w:val="0"/>
              <w:wordWrap w:val="0"/>
              <w:overflowPunct/>
              <w:topLinePunct w:val="0"/>
              <w:bidi w:val="0"/>
              <w:spacing w:before="155" w:line="240" w:lineRule="auto"/>
              <w:ind w:left="861" w:right="153" w:hanging="699"/>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w:t>
            </w:r>
          </w:p>
        </w:tc>
        <w:tc>
          <w:tcPr>
            <w:tcW w:w="1725" w:type="dxa"/>
            <w:vAlign w:val="top"/>
          </w:tcPr>
          <w:p w14:paraId="026764E9">
            <w:pPr>
              <w:pStyle w:val="28"/>
              <w:keepNext w:val="0"/>
              <w:keepLines w:val="0"/>
              <w:pageBreakBefore w:val="0"/>
              <w:wordWrap w:val="0"/>
              <w:overflowPunct/>
              <w:topLinePunct w:val="0"/>
              <w:bidi w:val="0"/>
              <w:rPr>
                <w:rFonts w:hint="eastAsia" w:ascii="宋体" w:hAnsi="宋体" w:eastAsia="宋体" w:cs="宋体"/>
                <w:color w:val="auto"/>
                <w:spacing w:val="0"/>
                <w:sz w:val="24"/>
                <w:szCs w:val="24"/>
                <w:highlight w:val="none"/>
              </w:rPr>
            </w:pPr>
          </w:p>
        </w:tc>
        <w:tc>
          <w:tcPr>
            <w:tcW w:w="1683" w:type="dxa"/>
            <w:gridSpan w:val="2"/>
            <w:vAlign w:val="top"/>
          </w:tcPr>
          <w:p w14:paraId="00ECCFF5">
            <w:pPr>
              <w:pStyle w:val="28"/>
              <w:keepNext w:val="0"/>
              <w:keepLines w:val="0"/>
              <w:pageBreakBefore w:val="0"/>
              <w:wordWrap w:val="0"/>
              <w:overflowPunct/>
              <w:topLinePunct w:val="0"/>
              <w:bidi w:val="0"/>
              <w:spacing w:line="336" w:lineRule="auto"/>
              <w:rPr>
                <w:rFonts w:hint="eastAsia" w:ascii="宋体" w:hAnsi="宋体" w:eastAsia="宋体" w:cs="宋体"/>
                <w:color w:val="auto"/>
                <w:spacing w:val="0"/>
                <w:sz w:val="24"/>
                <w:szCs w:val="24"/>
                <w:highlight w:val="none"/>
              </w:rPr>
            </w:pPr>
          </w:p>
          <w:p w14:paraId="7CF0543D">
            <w:pPr>
              <w:keepNext w:val="0"/>
              <w:keepLines w:val="0"/>
              <w:pageBreakBefore w:val="0"/>
              <w:wordWrap w:val="0"/>
              <w:overflowPunct/>
              <w:topLinePunct w:val="0"/>
              <w:bidi w:val="0"/>
              <w:spacing w:before="61" w:line="231" w:lineRule="auto"/>
              <w:ind w:left="317"/>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退还时间：</w:t>
            </w:r>
          </w:p>
        </w:tc>
        <w:tc>
          <w:tcPr>
            <w:tcW w:w="3408" w:type="dxa"/>
            <w:gridSpan w:val="3"/>
            <w:vAlign w:val="top"/>
          </w:tcPr>
          <w:p w14:paraId="1881D9EA">
            <w:pPr>
              <w:pStyle w:val="28"/>
              <w:keepNext w:val="0"/>
              <w:keepLines w:val="0"/>
              <w:pageBreakBefore w:val="0"/>
              <w:wordWrap w:val="0"/>
              <w:overflowPunct/>
              <w:topLinePunct w:val="0"/>
              <w:bidi w:val="0"/>
              <w:spacing w:line="335" w:lineRule="auto"/>
              <w:rPr>
                <w:rFonts w:hint="eastAsia" w:ascii="宋体" w:hAnsi="宋体" w:eastAsia="宋体" w:cs="宋体"/>
                <w:color w:val="auto"/>
                <w:spacing w:val="0"/>
                <w:sz w:val="24"/>
                <w:szCs w:val="24"/>
                <w:highlight w:val="none"/>
              </w:rPr>
            </w:pPr>
          </w:p>
          <w:p w14:paraId="2253F5EA">
            <w:pPr>
              <w:keepNext w:val="0"/>
              <w:keepLines w:val="0"/>
              <w:pageBreakBefore w:val="0"/>
              <w:wordWrap w:val="0"/>
              <w:overflowPunct/>
              <w:topLinePunct w:val="0"/>
              <w:bidi w:val="0"/>
              <w:spacing w:before="62" w:line="229" w:lineRule="auto"/>
              <w:ind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年   月   日  时   分</w:t>
            </w:r>
          </w:p>
        </w:tc>
      </w:tr>
    </w:tbl>
    <w:p w14:paraId="1BC6BFE4">
      <w:pPr>
        <w:keepNext w:val="0"/>
        <w:keepLines w:val="0"/>
        <w:pageBreakBefore w:val="0"/>
        <w:wordWrap w:val="0"/>
        <w:overflowPunct/>
        <w:topLinePunct w:val="0"/>
        <w:bidi w:val="0"/>
        <w:spacing w:before="78" w:line="220" w:lineRule="auto"/>
        <w:outlineLvl w:val="2"/>
        <w:rPr>
          <w:rFonts w:hint="eastAsia" w:ascii="宋体" w:hAnsi="宋体" w:eastAsia="宋体" w:cs="宋体"/>
          <w:color w:val="auto"/>
          <w:spacing w:val="0"/>
          <w:sz w:val="24"/>
          <w:szCs w:val="24"/>
          <w:highlight w:val="none"/>
        </w:rPr>
      </w:pPr>
      <w:bookmarkStart w:id="265" w:name="bookmark107"/>
      <w:bookmarkEnd w:id="265"/>
      <w:r>
        <w:rPr>
          <w:rFonts w:hint="eastAsia" w:ascii="宋体" w:hAnsi="宋体" w:eastAsia="宋体" w:cs="宋体"/>
          <w:b/>
          <w:bCs/>
          <w:color w:val="auto"/>
          <w:spacing w:val="0"/>
          <w:sz w:val="24"/>
          <w:szCs w:val="24"/>
          <w:highlight w:val="none"/>
        </w:rPr>
        <w:br w:type="page"/>
      </w:r>
      <w:bookmarkStart w:id="266" w:name="_Toc4531"/>
      <w:r>
        <w:rPr>
          <w:rFonts w:hint="eastAsia" w:ascii="宋体" w:hAnsi="宋体" w:eastAsia="宋体" w:cs="宋体"/>
          <w:b/>
          <w:bCs/>
          <w:color w:val="auto"/>
          <w:spacing w:val="0"/>
          <w:sz w:val="24"/>
          <w:szCs w:val="24"/>
          <w:highlight w:val="none"/>
        </w:rPr>
        <w:t>格式</w:t>
      </w:r>
      <w:r>
        <w:rPr>
          <w:rFonts w:hint="eastAsia" w:ascii="宋体" w:hAnsi="宋体" w:eastAsia="宋体" w:cs="宋体"/>
          <w:b/>
          <w:bCs/>
          <w:color w:val="auto"/>
          <w:spacing w:val="0"/>
          <w:sz w:val="24"/>
          <w:szCs w:val="24"/>
          <w:highlight w:val="none"/>
          <w:lang w:val="en-US" w:eastAsia="zh-CN"/>
        </w:rPr>
        <w:t>十六</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定标文件</w:t>
      </w:r>
      <w:r>
        <w:rPr>
          <w:rFonts w:hint="eastAsia" w:ascii="宋体" w:hAnsi="宋体" w:eastAsia="宋体" w:cs="宋体"/>
          <w:b/>
          <w:bCs/>
          <w:color w:val="auto"/>
          <w:spacing w:val="0"/>
          <w:sz w:val="24"/>
          <w:szCs w:val="24"/>
          <w:highlight w:val="none"/>
        </w:rPr>
        <w:t>封面</w:t>
      </w:r>
      <w:bookmarkEnd w:id="266"/>
    </w:p>
    <w:p w14:paraId="5006DC9A">
      <w:pPr>
        <w:pStyle w:val="6"/>
        <w:keepNext w:val="0"/>
        <w:keepLines w:val="0"/>
        <w:pageBreakBefore w:val="0"/>
        <w:wordWrap w:val="0"/>
        <w:overflowPunct/>
        <w:topLinePunct w:val="0"/>
        <w:bidi w:val="0"/>
        <w:spacing w:line="258" w:lineRule="auto"/>
        <w:rPr>
          <w:rFonts w:hint="eastAsia" w:ascii="宋体" w:hAnsi="宋体" w:eastAsia="宋体" w:cs="宋体"/>
          <w:color w:val="auto"/>
          <w:spacing w:val="0"/>
          <w:highlight w:val="none"/>
        </w:rPr>
      </w:pPr>
    </w:p>
    <w:p w14:paraId="34B09997">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4A87BBC5">
      <w:pPr>
        <w:pStyle w:val="6"/>
        <w:keepNext w:val="0"/>
        <w:keepLines w:val="0"/>
        <w:pageBreakBefore w:val="0"/>
        <w:wordWrap w:val="0"/>
        <w:overflowPunct/>
        <w:topLinePunct w:val="0"/>
        <w:bidi w:val="0"/>
        <w:spacing w:line="259" w:lineRule="auto"/>
        <w:rPr>
          <w:rFonts w:hint="eastAsia" w:ascii="宋体" w:hAnsi="宋体" w:eastAsia="宋体" w:cs="宋体"/>
          <w:color w:val="auto"/>
          <w:spacing w:val="0"/>
          <w:highlight w:val="none"/>
        </w:rPr>
      </w:pPr>
    </w:p>
    <w:p w14:paraId="28D329B3">
      <w:pPr>
        <w:keepNext w:val="0"/>
        <w:keepLines w:val="0"/>
        <w:pageBreakBefore w:val="0"/>
        <w:wordWrap w:val="0"/>
        <w:overflowPunct/>
        <w:topLinePunct w:val="0"/>
        <w:bidi w:val="0"/>
        <w:spacing w:before="153" w:line="225" w:lineRule="auto"/>
        <w:ind w:left="-1" w:leftChars="0" w:firstLine="0" w:firstLineChars="0"/>
        <w:jc w:val="center"/>
        <w:rPr>
          <w:rFonts w:hint="eastAsia" w:ascii="宋体" w:hAnsi="宋体" w:eastAsia="宋体" w:cs="宋体"/>
          <w:color w:val="auto"/>
          <w:spacing w:val="0"/>
          <w:sz w:val="47"/>
          <w:szCs w:val="47"/>
          <w:highlight w:val="none"/>
        </w:rPr>
      </w:pPr>
      <w:r>
        <w:rPr>
          <w:rFonts w:hint="eastAsia" w:ascii="宋体" w:hAnsi="宋体" w:eastAsia="宋体" w:cs="宋体"/>
          <w:b/>
          <w:bCs/>
          <w:color w:val="auto"/>
          <w:spacing w:val="0"/>
          <w:sz w:val="47"/>
          <w:szCs w:val="47"/>
          <w:highlight w:val="none"/>
          <w:u w:val="single"/>
          <w:lang w:val="en-US" w:eastAsia="zh-CN"/>
        </w:rPr>
        <w:t xml:space="preserve">    </w:t>
      </w:r>
      <w:r>
        <w:rPr>
          <w:rFonts w:hint="eastAsia" w:ascii="宋体" w:hAnsi="宋体" w:eastAsia="宋体" w:cs="宋体"/>
          <w:b/>
          <w:bCs/>
          <w:color w:val="auto"/>
          <w:spacing w:val="0"/>
          <w:sz w:val="47"/>
          <w:szCs w:val="47"/>
          <w:highlight w:val="none"/>
          <w:u w:val="single"/>
        </w:rPr>
        <w:t>（项目名称）</w:t>
      </w:r>
      <w:r>
        <w:rPr>
          <w:rFonts w:hint="eastAsia" w:ascii="宋体" w:hAnsi="宋体" w:eastAsia="宋体" w:cs="宋体"/>
          <w:b/>
          <w:bCs/>
          <w:color w:val="auto"/>
          <w:spacing w:val="0"/>
          <w:sz w:val="47"/>
          <w:szCs w:val="47"/>
          <w:highlight w:val="none"/>
          <w:u w:val="none"/>
          <w:lang w:val="en-US" w:eastAsia="zh-CN"/>
        </w:rPr>
        <w:t>施工</w:t>
      </w:r>
      <w:r>
        <w:rPr>
          <w:rFonts w:hint="eastAsia" w:ascii="宋体" w:hAnsi="宋体" w:eastAsia="宋体" w:cs="宋体"/>
          <w:b/>
          <w:bCs/>
          <w:color w:val="auto"/>
          <w:spacing w:val="0"/>
          <w:sz w:val="47"/>
          <w:szCs w:val="47"/>
          <w:highlight w:val="none"/>
        </w:rPr>
        <w:t>招标</w:t>
      </w:r>
    </w:p>
    <w:p w14:paraId="3A78CA2F">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AD59DF3">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586F1425">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43C3E641">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C9D8589">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6AE0B3FF">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7CC6864C">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604705F4">
      <w:pPr>
        <w:pStyle w:val="6"/>
        <w:keepNext w:val="0"/>
        <w:keepLines w:val="0"/>
        <w:pageBreakBefore w:val="0"/>
        <w:wordWrap w:val="0"/>
        <w:overflowPunct/>
        <w:topLinePunct w:val="0"/>
        <w:bidi w:val="0"/>
        <w:spacing w:line="247" w:lineRule="auto"/>
        <w:rPr>
          <w:rFonts w:hint="eastAsia" w:ascii="宋体" w:hAnsi="宋体" w:eastAsia="宋体" w:cs="宋体"/>
          <w:color w:val="auto"/>
          <w:spacing w:val="0"/>
          <w:highlight w:val="none"/>
        </w:rPr>
      </w:pPr>
    </w:p>
    <w:p w14:paraId="03EF797F">
      <w:pPr>
        <w:pStyle w:val="6"/>
        <w:keepNext w:val="0"/>
        <w:keepLines w:val="0"/>
        <w:pageBreakBefore w:val="0"/>
        <w:wordWrap w:val="0"/>
        <w:overflowPunct/>
        <w:topLinePunct w:val="0"/>
        <w:bidi w:val="0"/>
        <w:spacing w:line="248" w:lineRule="auto"/>
        <w:rPr>
          <w:rFonts w:hint="eastAsia" w:ascii="宋体" w:hAnsi="宋体" w:eastAsia="宋体" w:cs="宋体"/>
          <w:color w:val="auto"/>
          <w:spacing w:val="0"/>
          <w:highlight w:val="none"/>
        </w:rPr>
      </w:pPr>
    </w:p>
    <w:p w14:paraId="4944BE40">
      <w:pPr>
        <w:keepNext w:val="0"/>
        <w:keepLines w:val="0"/>
        <w:pageBreakBefore w:val="0"/>
        <w:wordWrap w:val="0"/>
        <w:overflowPunct/>
        <w:topLinePunct w:val="0"/>
        <w:bidi w:val="0"/>
        <w:spacing w:before="231" w:line="223" w:lineRule="auto"/>
        <w:jc w:val="center"/>
        <w:rPr>
          <w:rFonts w:hint="eastAsia" w:ascii="宋体" w:hAnsi="宋体" w:eastAsia="宋体" w:cs="宋体"/>
          <w:color w:val="auto"/>
          <w:spacing w:val="0"/>
          <w:sz w:val="71"/>
          <w:szCs w:val="71"/>
          <w:highlight w:val="none"/>
        </w:rPr>
      </w:pPr>
      <w:r>
        <w:rPr>
          <w:rFonts w:hint="eastAsia" w:ascii="宋体" w:hAnsi="宋体" w:eastAsia="宋体" w:cs="宋体"/>
          <w:b/>
          <w:bCs/>
          <w:color w:val="auto"/>
          <w:spacing w:val="0"/>
          <w:sz w:val="71"/>
          <w:szCs w:val="71"/>
          <w:highlight w:val="none"/>
          <w:lang w:val="en-US" w:eastAsia="zh-CN"/>
        </w:rPr>
        <w:t>定</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文</w:t>
      </w:r>
      <w:r>
        <w:rPr>
          <w:rFonts w:hint="eastAsia" w:ascii="宋体" w:hAnsi="宋体" w:eastAsia="宋体" w:cs="宋体"/>
          <w:color w:val="auto"/>
          <w:spacing w:val="0"/>
          <w:sz w:val="71"/>
          <w:szCs w:val="71"/>
          <w:highlight w:val="none"/>
        </w:rPr>
        <w:t xml:space="preserve">  </w:t>
      </w:r>
      <w:r>
        <w:rPr>
          <w:rFonts w:hint="eastAsia" w:ascii="宋体" w:hAnsi="宋体" w:eastAsia="宋体" w:cs="宋体"/>
          <w:b/>
          <w:bCs/>
          <w:color w:val="auto"/>
          <w:spacing w:val="0"/>
          <w:sz w:val="71"/>
          <w:szCs w:val="71"/>
          <w:highlight w:val="none"/>
        </w:rPr>
        <w:t>件</w:t>
      </w:r>
    </w:p>
    <w:p w14:paraId="00A1771B">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0C409A07">
      <w:pPr>
        <w:pStyle w:val="6"/>
        <w:keepNext w:val="0"/>
        <w:keepLines w:val="0"/>
        <w:pageBreakBefore w:val="0"/>
        <w:wordWrap w:val="0"/>
        <w:overflowPunct/>
        <w:topLinePunct w:val="0"/>
        <w:bidi w:val="0"/>
        <w:spacing w:line="293" w:lineRule="auto"/>
        <w:rPr>
          <w:rFonts w:hint="eastAsia" w:ascii="宋体" w:hAnsi="宋体" w:eastAsia="宋体" w:cs="宋体"/>
          <w:color w:val="auto"/>
          <w:spacing w:val="0"/>
          <w:highlight w:val="none"/>
        </w:rPr>
      </w:pPr>
    </w:p>
    <w:p w14:paraId="49E76458">
      <w:pPr>
        <w:keepNext w:val="0"/>
        <w:keepLines w:val="0"/>
        <w:pageBreakBefore w:val="0"/>
        <w:wordWrap w:val="0"/>
        <w:overflowPunct/>
        <w:topLinePunct w:val="0"/>
        <w:bidi w:val="0"/>
        <w:rPr>
          <w:rFonts w:hint="eastAsia"/>
          <w:color w:val="auto"/>
          <w:spacing w:val="0"/>
          <w:highlight w:val="none"/>
        </w:rPr>
      </w:pPr>
    </w:p>
    <w:p w14:paraId="5472E38F">
      <w:pPr>
        <w:keepNext w:val="0"/>
        <w:keepLines w:val="0"/>
        <w:pageBreakBefore w:val="0"/>
        <w:wordWrap w:val="0"/>
        <w:overflowPunct/>
        <w:topLinePunct w:val="0"/>
        <w:bidi w:val="0"/>
        <w:rPr>
          <w:rFonts w:hint="eastAsia"/>
          <w:color w:val="auto"/>
          <w:spacing w:val="0"/>
          <w:highlight w:val="none"/>
        </w:rPr>
      </w:pPr>
    </w:p>
    <w:p w14:paraId="0834D83C">
      <w:pPr>
        <w:keepNext w:val="0"/>
        <w:keepLines w:val="0"/>
        <w:pageBreakBefore w:val="0"/>
        <w:wordWrap w:val="0"/>
        <w:overflowPunct/>
        <w:topLinePunct w:val="0"/>
        <w:bidi w:val="0"/>
        <w:rPr>
          <w:rFonts w:hint="eastAsia"/>
          <w:color w:val="auto"/>
          <w:spacing w:val="0"/>
          <w:highlight w:val="none"/>
        </w:rPr>
      </w:pPr>
    </w:p>
    <w:p w14:paraId="34D736C6">
      <w:pPr>
        <w:keepNext w:val="0"/>
        <w:keepLines w:val="0"/>
        <w:pageBreakBefore w:val="0"/>
        <w:wordWrap w:val="0"/>
        <w:overflowPunct/>
        <w:topLinePunct w:val="0"/>
        <w:bidi w:val="0"/>
        <w:rPr>
          <w:rFonts w:hint="eastAsia"/>
          <w:color w:val="auto"/>
          <w:spacing w:val="0"/>
          <w:highlight w:val="none"/>
        </w:rPr>
      </w:pPr>
    </w:p>
    <w:p w14:paraId="30D7943B">
      <w:pPr>
        <w:keepNext w:val="0"/>
        <w:keepLines w:val="0"/>
        <w:pageBreakBefore w:val="0"/>
        <w:wordWrap w:val="0"/>
        <w:overflowPunct/>
        <w:topLinePunct w:val="0"/>
        <w:bidi w:val="0"/>
        <w:rPr>
          <w:rFonts w:hint="eastAsia"/>
          <w:color w:val="auto"/>
          <w:spacing w:val="0"/>
          <w:highlight w:val="none"/>
        </w:rPr>
      </w:pPr>
    </w:p>
    <w:p w14:paraId="4FEE1ED6">
      <w:pPr>
        <w:keepNext w:val="0"/>
        <w:keepLines w:val="0"/>
        <w:pageBreakBefore w:val="0"/>
        <w:wordWrap w:val="0"/>
        <w:overflowPunct/>
        <w:topLinePunct w:val="0"/>
        <w:bidi w:val="0"/>
        <w:rPr>
          <w:rFonts w:hint="eastAsia"/>
          <w:color w:val="auto"/>
          <w:spacing w:val="0"/>
          <w:highlight w:val="none"/>
        </w:rPr>
      </w:pPr>
    </w:p>
    <w:p w14:paraId="27FDCF24">
      <w:pPr>
        <w:keepNext w:val="0"/>
        <w:keepLines w:val="0"/>
        <w:pageBreakBefore w:val="0"/>
        <w:wordWrap w:val="0"/>
        <w:overflowPunct/>
        <w:topLinePunct w:val="0"/>
        <w:bidi w:val="0"/>
        <w:rPr>
          <w:rFonts w:hint="eastAsia"/>
          <w:color w:val="auto"/>
          <w:spacing w:val="0"/>
          <w:highlight w:val="none"/>
        </w:rPr>
      </w:pPr>
    </w:p>
    <w:p w14:paraId="2B6F77E3">
      <w:pPr>
        <w:keepNext w:val="0"/>
        <w:keepLines w:val="0"/>
        <w:pageBreakBefore w:val="0"/>
        <w:wordWrap w:val="0"/>
        <w:overflowPunct/>
        <w:topLinePunct w:val="0"/>
        <w:bidi w:val="0"/>
        <w:rPr>
          <w:rFonts w:hint="eastAsia"/>
          <w:color w:val="auto"/>
          <w:spacing w:val="0"/>
          <w:highlight w:val="none"/>
        </w:rPr>
      </w:pPr>
    </w:p>
    <w:p w14:paraId="33769B22">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投标人：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（盖单位章）</w:t>
      </w:r>
    </w:p>
    <w:p w14:paraId="4A3C1EB5">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45CEE2D">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32283156">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r>
        <w:rPr>
          <w:rFonts w:hint="eastAsia" w:ascii="宋体" w:hAnsi="宋体" w:eastAsia="宋体" w:cs="宋体"/>
          <w:bCs/>
          <w:snapToGrid w:val="0"/>
          <w:color w:val="auto"/>
          <w:spacing w:val="0"/>
          <w:sz w:val="32"/>
          <w:highlight w:val="none"/>
        </w:rPr>
        <w:t>法定代表人或其委托代理人：</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（签字或盖章）</w:t>
      </w:r>
    </w:p>
    <w:p w14:paraId="7D3457AD">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rPr>
      </w:pPr>
    </w:p>
    <w:p w14:paraId="687E9E9D">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Cs/>
          <w:snapToGrid w:val="0"/>
          <w:color w:val="auto"/>
          <w:spacing w:val="0"/>
          <w:sz w:val="32"/>
          <w:highlight w:val="none"/>
          <w:u w:val="single"/>
        </w:rPr>
      </w:pPr>
    </w:p>
    <w:p w14:paraId="15EA410B">
      <w:pPr>
        <w:pStyle w:val="46"/>
        <w:keepNext w:val="0"/>
        <w:keepLines w:val="0"/>
        <w:pageBreakBefore w:val="0"/>
        <w:widowControl w:val="0"/>
        <w:wordWrap w:val="0"/>
        <w:overflowPunct/>
        <w:topLinePunct w:val="0"/>
        <w:bidi w:val="0"/>
        <w:adjustRightInd w:val="0"/>
        <w:snapToGrid w:val="0"/>
        <w:spacing w:line="360" w:lineRule="auto"/>
        <w:ind w:firstLine="0"/>
        <w:jc w:val="center"/>
        <w:rPr>
          <w:rFonts w:hint="eastAsia" w:ascii="宋体" w:hAnsi="宋体" w:eastAsia="宋体" w:cs="宋体"/>
          <w:b/>
          <w:snapToGrid w:val="0"/>
          <w:color w:val="auto"/>
          <w:spacing w:val="0"/>
          <w:highlight w:val="none"/>
        </w:rPr>
      </w:pP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年</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月</w:t>
      </w:r>
      <w:r>
        <w:rPr>
          <w:rFonts w:hint="eastAsia" w:ascii="宋体" w:hAnsi="宋体" w:eastAsia="宋体" w:cs="宋体"/>
          <w:bCs/>
          <w:snapToGrid w:val="0"/>
          <w:color w:val="auto"/>
          <w:spacing w:val="0"/>
          <w:sz w:val="32"/>
          <w:highlight w:val="none"/>
          <w:u w:val="single"/>
        </w:rPr>
        <w:t xml:space="preserve">      </w:t>
      </w:r>
      <w:r>
        <w:rPr>
          <w:rFonts w:hint="eastAsia" w:ascii="宋体" w:hAnsi="宋体" w:eastAsia="宋体" w:cs="宋体"/>
          <w:bCs/>
          <w:snapToGrid w:val="0"/>
          <w:color w:val="auto"/>
          <w:spacing w:val="0"/>
          <w:sz w:val="32"/>
          <w:highlight w:val="none"/>
        </w:rPr>
        <w:t>日</w:t>
      </w:r>
    </w:p>
    <w:p w14:paraId="25CDFBA3">
      <w:pPr>
        <w:spacing w:line="500" w:lineRule="exact"/>
        <w:jc w:val="left"/>
        <w:outlineLvl w:val="2"/>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pacing w:val="0"/>
          <w:sz w:val="24"/>
          <w:szCs w:val="24"/>
          <w:highlight w:val="none"/>
        </w:rPr>
        <w:br w:type="page"/>
      </w:r>
      <w:bookmarkStart w:id="267" w:name="_Toc4699"/>
      <w:r>
        <w:rPr>
          <w:rFonts w:hint="eastAsia" w:ascii="宋体" w:hAnsi="宋体" w:eastAsia="宋体" w:cs="宋体"/>
          <w:b/>
          <w:bCs/>
          <w:color w:val="auto"/>
          <w:spacing w:val="0"/>
          <w:sz w:val="24"/>
          <w:szCs w:val="24"/>
          <w:highlight w:val="none"/>
        </w:rPr>
        <w:t>格式</w:t>
      </w:r>
      <w:r>
        <w:rPr>
          <w:rFonts w:hint="eastAsia" w:ascii="宋体" w:hAnsi="宋体" w:eastAsia="宋体" w:cs="宋体"/>
          <w:b/>
          <w:bCs/>
          <w:color w:val="auto"/>
          <w:spacing w:val="0"/>
          <w:sz w:val="24"/>
          <w:szCs w:val="24"/>
          <w:highlight w:val="none"/>
          <w:lang w:val="en-US" w:eastAsia="zh-CN"/>
        </w:rPr>
        <w:t>十七</w:t>
      </w:r>
      <w:r>
        <w:rPr>
          <w:rFonts w:hint="eastAsia" w:ascii="宋体" w:hAnsi="宋体" w:eastAsia="宋体" w:cs="宋体"/>
          <w:b/>
          <w:bCs/>
          <w:color w:val="auto"/>
          <w:spacing w:val="0"/>
          <w:sz w:val="24"/>
          <w:szCs w:val="24"/>
          <w:highlight w:val="none"/>
        </w:rPr>
        <w:t xml:space="preserve"> </w:t>
      </w:r>
      <w:r>
        <w:rPr>
          <w:rFonts w:hint="eastAsia" w:ascii="宋体" w:hAnsi="宋体" w:eastAsia="宋体" w:cs="宋体"/>
          <w:b/>
          <w:bCs/>
          <w:color w:val="auto"/>
          <w:spacing w:val="0"/>
          <w:sz w:val="24"/>
          <w:szCs w:val="24"/>
          <w:highlight w:val="none"/>
          <w:lang w:val="en-US" w:eastAsia="zh-CN"/>
        </w:rPr>
        <w:t>定标因素评审资料</w:t>
      </w:r>
      <w:r>
        <w:rPr>
          <w:rFonts w:hint="eastAsia" w:ascii="宋体" w:hAnsi="宋体" w:eastAsia="宋体" w:cs="宋体"/>
          <w:b/>
          <w:bCs/>
          <w:color w:val="auto"/>
          <w:spacing w:val="0"/>
          <w:sz w:val="24"/>
          <w:szCs w:val="24"/>
          <w:highlight w:val="none"/>
        </w:rPr>
        <w:br w:type="textWrapping"/>
      </w:r>
      <w:r>
        <w:rPr>
          <w:rFonts w:hint="eastAsia" w:ascii="宋体" w:hAnsi="宋体" w:eastAsia="宋体" w:cs="宋体"/>
          <w:b/>
          <w:bCs/>
          <w:color w:val="auto"/>
          <w:spacing w:val="0"/>
          <w:sz w:val="24"/>
          <w:szCs w:val="24"/>
          <w:highlight w:val="none"/>
          <w:lang w:val="en-US" w:eastAsia="zh-CN"/>
        </w:rPr>
        <w:t xml:space="preserve">                             </w:t>
      </w:r>
      <w:r>
        <w:rPr>
          <w:rFonts w:hint="eastAsia" w:ascii="宋体" w:hAnsi="宋体" w:eastAsia="宋体" w:cs="宋体"/>
          <w:b/>
          <w:bCs/>
          <w:color w:val="auto"/>
          <w:sz w:val="30"/>
          <w:szCs w:val="30"/>
          <w:highlight w:val="none"/>
          <w:lang w:eastAsia="zh-CN"/>
        </w:rPr>
        <w:t>定标因素评审资料</w:t>
      </w:r>
      <w:bookmarkEnd w:id="267"/>
    </w:p>
    <w:p w14:paraId="5876F9F4">
      <w:pPr>
        <w:jc w:val="left"/>
        <w:rPr>
          <w:rFonts w:hint="eastAsia" w:ascii="宋体" w:hAnsi="宋体" w:eastAsia="宋体" w:cs="宋体"/>
          <w:color w:val="auto"/>
          <w:sz w:val="24"/>
          <w:highlight w:val="none"/>
          <w:lang w:eastAsia="zh-CN"/>
        </w:rPr>
      </w:pPr>
    </w:p>
    <w:p w14:paraId="3931FE62">
      <w:pPr>
        <w:spacing w:line="500" w:lineRule="exact"/>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 xml:space="preserve">章 </w:t>
      </w:r>
      <w:r>
        <w:rPr>
          <w:rFonts w:hint="eastAsia" w:ascii="宋体" w:hAnsi="宋体" w:eastAsia="宋体" w:cs="宋体"/>
          <w:b/>
          <w:bCs/>
          <w:color w:val="auto"/>
          <w:sz w:val="24"/>
          <w:szCs w:val="24"/>
          <w:highlight w:val="none"/>
          <w:lang w:val="en-US" w:eastAsia="zh-CN"/>
        </w:rPr>
        <w:t>第三节 16.5”载明的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r>
        <w:rPr>
          <w:rFonts w:hint="eastAsia" w:ascii="宋体" w:hAnsi="宋体" w:eastAsia="宋体" w:cs="宋体"/>
          <w:b/>
          <w:bCs/>
          <w:color w:val="auto"/>
          <w:sz w:val="24"/>
          <w:szCs w:val="24"/>
          <w:highlight w:val="none"/>
          <w:lang w:val="en-US" w:eastAsia="zh-CN"/>
        </w:rPr>
        <w:t>提交的评审资料包括但不限于以下内容</w:t>
      </w:r>
      <w:r>
        <w:rPr>
          <w:rFonts w:hint="eastAsia" w:ascii="宋体" w:hAnsi="宋体" w:eastAsia="宋体" w:cs="宋体"/>
          <w:b/>
          <w:bCs/>
          <w:color w:val="auto"/>
          <w:sz w:val="24"/>
          <w:szCs w:val="24"/>
          <w:highlight w:val="none"/>
          <w:lang w:eastAsia="zh-CN"/>
        </w:rPr>
        <w:t>。</w:t>
      </w:r>
    </w:p>
    <w:p w14:paraId="5B088A77">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6523790B">
      <w:pPr>
        <w:keepNext w:val="0"/>
        <w:keepLines w:val="0"/>
        <w:pageBreakBefore w:val="0"/>
        <w:widowControl w:val="0"/>
        <w:kinsoku/>
        <w:wordWrap/>
        <w:overflowPunct/>
        <w:topLinePunct w:val="0"/>
        <w:autoSpaceDE/>
        <w:autoSpaceDN/>
        <w:bidi w:val="0"/>
        <w:adjustRightInd/>
        <w:snapToGrid/>
        <w:spacing w:line="400" w:lineRule="exact"/>
        <w:ind w:left="479" w:leftChars="228" w:right="0" w:rightChars="0" w:firstLine="0" w:firstLineChars="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（3）农民工工资保障情况</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（4）企业实力</w:t>
      </w:r>
    </w:p>
    <w:p w14:paraId="726FFF1A">
      <w:pPr>
        <w:keepNext w:val="0"/>
        <w:keepLines w:val="0"/>
        <w:pageBreakBefore w:val="0"/>
        <w:widowControl w:val="0"/>
        <w:kinsoku/>
        <w:wordWrap/>
        <w:overflowPunct/>
        <w:topLinePunct w:val="0"/>
        <w:autoSpaceDE/>
        <w:autoSpaceDN/>
        <w:bidi w:val="0"/>
        <w:adjustRightInd/>
        <w:snapToGrid/>
        <w:spacing w:line="400" w:lineRule="exact"/>
        <w:ind w:left="479" w:leftChars="228" w:right="0" w:rightChars="0" w:firstLine="0" w:firstLineChars="0"/>
        <w:jc w:val="both"/>
        <w:textAlignment w:val="auto"/>
        <w:outlineLvl w:val="9"/>
        <w:rPr>
          <w:rFonts w:hint="eastAsia"/>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（5）技术方案</w:t>
      </w:r>
      <w:r>
        <w:rPr>
          <w:rFonts w:hint="eastAsia" w:ascii="宋体" w:hAnsi="宋体" w:eastAsia="宋体" w:cs="宋体"/>
          <w:b w:val="0"/>
          <w:bCs w:val="0"/>
          <w:color w:val="auto"/>
          <w:spacing w:val="0"/>
          <w:position w:val="0"/>
          <w:sz w:val="24"/>
          <w:szCs w:val="24"/>
          <w:highlight w:val="none"/>
          <w:u w:val="none" w:color="auto"/>
          <w:lang w:val="en-US" w:eastAsia="zh-CN"/>
        </w:rPr>
        <w:br w:type="textWrapping"/>
      </w:r>
      <w:r>
        <w:rPr>
          <w:rFonts w:hint="eastAsia" w:ascii="宋体" w:hAnsi="宋体" w:eastAsia="宋体" w:cs="宋体"/>
          <w:b w:val="0"/>
          <w:bCs w:val="0"/>
          <w:color w:val="auto"/>
          <w:spacing w:val="0"/>
          <w:position w:val="0"/>
          <w:sz w:val="24"/>
          <w:szCs w:val="24"/>
          <w:highlight w:val="none"/>
          <w:u w:val="none" w:color="auto"/>
          <w:lang w:val="en-US" w:eastAsia="zh-CN"/>
        </w:rPr>
        <w:t>（6）</w:t>
      </w:r>
      <w:r>
        <w:rPr>
          <w:rFonts w:hint="eastAsia" w:ascii="宋体" w:hAnsi="宋体" w:eastAsia="宋体" w:cs="宋体"/>
          <w:color w:val="auto"/>
          <w:spacing w:val="0"/>
          <w:sz w:val="24"/>
          <w:szCs w:val="24"/>
          <w:highlight w:val="none"/>
        </w:rPr>
        <w:t>投标人认为有必要补充的其他资料</w:t>
      </w:r>
    </w:p>
    <w:p w14:paraId="328C5C4C">
      <w:pPr>
        <w:spacing w:line="540" w:lineRule="exact"/>
        <w:ind w:firstLine="862" w:firstLineChars="308"/>
        <w:rPr>
          <w:rFonts w:hint="eastAsia" w:ascii="宋体" w:hAnsi="宋体" w:eastAsia="宋体" w:cs="宋体"/>
          <w:color w:val="auto"/>
          <w:sz w:val="28"/>
          <w:szCs w:val="28"/>
          <w:highlight w:val="none"/>
        </w:rPr>
      </w:pPr>
    </w:p>
    <w:p w14:paraId="34E430AE">
      <w:pPr>
        <w:rPr>
          <w:rFonts w:hint="eastAsia" w:ascii="宋体" w:hAnsi="宋体" w:eastAsia="宋体" w:cs="宋体"/>
          <w:b/>
          <w:bCs/>
          <w:color w:val="auto"/>
          <w:spacing w:val="0"/>
          <w:sz w:val="24"/>
          <w:szCs w:val="24"/>
          <w:highlight w:val="none"/>
        </w:rPr>
      </w:pPr>
      <w:r>
        <w:rPr>
          <w:rFonts w:hint="eastAsia" w:ascii="宋体" w:hAnsi="宋体" w:eastAsia="宋体" w:cs="宋体"/>
          <w:b/>
          <w:bCs/>
          <w:color w:val="auto"/>
          <w:spacing w:val="0"/>
          <w:sz w:val="24"/>
          <w:szCs w:val="24"/>
          <w:highlight w:val="none"/>
        </w:rPr>
        <w:br w:type="page"/>
      </w:r>
    </w:p>
    <w:p w14:paraId="72D2B1B2">
      <w:pPr>
        <w:keepNext w:val="0"/>
        <w:keepLines w:val="0"/>
        <w:pageBreakBefore w:val="0"/>
        <w:wordWrap w:val="0"/>
        <w:overflowPunct/>
        <w:topLinePunct w:val="0"/>
        <w:bidi w:val="0"/>
        <w:spacing w:before="78" w:line="219" w:lineRule="auto"/>
        <w:jc w:val="center"/>
        <w:outlineLvl w:val="1"/>
        <w:rPr>
          <w:rFonts w:hint="eastAsia" w:ascii="宋体" w:hAnsi="宋体" w:eastAsia="宋体" w:cs="宋体"/>
          <w:color w:val="auto"/>
          <w:spacing w:val="0"/>
          <w:highlight w:val="none"/>
        </w:rPr>
      </w:pPr>
      <w:bookmarkStart w:id="268" w:name="_Toc28207"/>
      <w:r>
        <w:rPr>
          <w:rFonts w:hint="eastAsia" w:ascii="宋体" w:hAnsi="宋体" w:eastAsia="宋体" w:cs="宋体"/>
          <w:b/>
          <w:bCs/>
          <w:color w:val="auto"/>
          <w:spacing w:val="0"/>
          <w:sz w:val="24"/>
          <w:szCs w:val="24"/>
          <w:highlight w:val="none"/>
        </w:rPr>
        <w:t>第七章</w:t>
      </w:r>
      <w:r>
        <w:rPr>
          <w:rFonts w:hint="eastAsia" w:ascii="宋体" w:hAnsi="宋体" w:eastAsia="宋体" w:cs="宋体"/>
          <w:color w:val="auto"/>
          <w:spacing w:val="0"/>
          <w:sz w:val="24"/>
          <w:szCs w:val="24"/>
          <w:highlight w:val="none"/>
        </w:rPr>
        <w:t xml:space="preserve"> </w:t>
      </w:r>
      <w:r>
        <w:rPr>
          <w:rFonts w:hint="eastAsia" w:ascii="宋体" w:hAnsi="宋体" w:eastAsia="宋体" w:cs="宋体"/>
          <w:b/>
          <w:bCs/>
          <w:color w:val="auto"/>
          <w:spacing w:val="0"/>
          <w:sz w:val="24"/>
          <w:szCs w:val="24"/>
          <w:highlight w:val="none"/>
        </w:rPr>
        <w:t>建设工程施工合同</w:t>
      </w:r>
      <w:bookmarkEnd w:id="268"/>
    </w:p>
    <w:p w14:paraId="5FE97F1E">
      <w:pPr>
        <w:pStyle w:val="6"/>
        <w:keepNext w:val="0"/>
        <w:keepLines w:val="0"/>
        <w:pageBreakBefore w:val="0"/>
        <w:wordWrap w:val="0"/>
        <w:overflowPunct/>
        <w:topLinePunct w:val="0"/>
        <w:bidi w:val="0"/>
        <w:spacing w:line="257" w:lineRule="auto"/>
        <w:rPr>
          <w:rFonts w:hint="eastAsia" w:ascii="宋体" w:hAnsi="宋体" w:eastAsia="宋体" w:cs="宋体"/>
          <w:color w:val="auto"/>
          <w:spacing w:val="0"/>
          <w:highlight w:val="none"/>
        </w:rPr>
      </w:pPr>
    </w:p>
    <w:p w14:paraId="4DF00718">
      <w:pPr>
        <w:keepNext w:val="0"/>
        <w:keepLines w:val="0"/>
        <w:pageBreakBefore w:val="0"/>
        <w:wordWrap w:val="0"/>
        <w:overflowPunct/>
        <w:topLinePunct w:val="0"/>
        <w:bidi w:val="0"/>
        <w:spacing w:before="78" w:line="324" w:lineRule="auto"/>
        <w:ind w:firstLine="48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（略），按《广东省建设工程标准施工合同》（2009 年版）或《建设工程施工合同（示范文本）》（GF—2017—0201）执行。</w:t>
      </w:r>
    </w:p>
    <w:p w14:paraId="17E5A5FF">
      <w:pPr>
        <w:keepNext w:val="0"/>
        <w:keepLines w:val="0"/>
        <w:pageBreakBefore w:val="0"/>
        <w:wordWrap w:val="0"/>
        <w:overflowPunct/>
        <w:topLinePunct w:val="0"/>
        <w:bidi w:val="0"/>
        <w:rPr>
          <w:rFonts w:hint="eastAsia" w:ascii="宋体" w:hAnsi="宋体" w:eastAsia="宋体" w:cs="宋体"/>
          <w:color w:val="auto"/>
          <w:spacing w:val="0"/>
          <w:highlight w:val="none"/>
        </w:rPr>
      </w:pPr>
    </w:p>
    <w:sectPr>
      <w:footerReference r:id="rId29" w:type="default"/>
      <w:pgSz w:w="11906" w:h="16839"/>
      <w:pgMar w:top="1440" w:right="1080" w:bottom="1440" w:left="1080" w:header="0"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00B27">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02D07">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E35F95">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E35F95">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77F1C">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66B2F">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5366B2F">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D432E">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A84CC">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0A84CC">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4E865">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D4C48">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5CD4C48">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E5101">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1B8FB">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5C1B8FB">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D7779">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09FC0">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F909FC0">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7E2F">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CA1F44">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1CA1F44">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0DAE6">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3F0FB">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333F0FB">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D648">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5B4F5">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725B4F5">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D3B5A">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7C545">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4F7C545">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9C96F">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6228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C6228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5CED2">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9A156">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1599A156">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5637A">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E01E5">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CEE01E5">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596B4">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ADB12">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A0ADB12">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0FBF8">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3CE9E7">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13CE9E7">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30323">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64830">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C64830">
                    <w:pPr>
                      <w:pStyle w:val="9"/>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D807">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75912">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75912">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B9B40">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A9F09">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7BA9F09">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27702">
    <w:pPr>
      <w:pStyle w:val="6"/>
      <w:spacing w:line="176" w:lineRule="auto"/>
      <w:ind w:left="4502"/>
      <w:rPr>
        <w:rFonts w:hint="default" w:eastAsia="宋体"/>
        <w:sz w:val="20"/>
        <w:szCs w:val="20"/>
        <w:lang w:val="en-US" w:eastAsia="zh-CN"/>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6F9C">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3686F9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992A4">
    <w:pPr>
      <w:pStyle w:val="6"/>
      <w:spacing w:line="176" w:lineRule="auto"/>
      <w:ind w:left="4502"/>
      <w:rPr>
        <w:sz w:val="20"/>
        <w:szCs w:val="20"/>
      </w:rPr>
    </w:pPr>
    <w:r>
      <w:rPr>
        <w:sz w:val="20"/>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FCD9E6">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9FCD9E6">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AA10D">
    <w:pPr>
      <w:pStyle w:val="6"/>
      <w:spacing w:line="176" w:lineRule="auto"/>
      <w:ind w:left="4502"/>
      <w:rPr>
        <w:sz w:val="20"/>
        <w:szCs w:val="20"/>
      </w:rPr>
    </w:pPr>
    <w:r>
      <w:rPr>
        <w:sz w:val="20"/>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E1A9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8EE1A9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1F7DF">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D06BD">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BBD06BD">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3199E">
    <w:pPr>
      <w:pStyle w:val="6"/>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8D8C">
    <w:pPr>
      <w:pStyle w:val="6"/>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E2CB">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CB1C2">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ZmUxYzUwZTk0YWQ4OWIxZDY5YjRhZmIwMjUzNzMifQ=="/>
  </w:docVars>
  <w:rsids>
    <w:rsidRoot w:val="4F582EF7"/>
    <w:rsid w:val="000D6A89"/>
    <w:rsid w:val="0012211A"/>
    <w:rsid w:val="003F512F"/>
    <w:rsid w:val="00473031"/>
    <w:rsid w:val="004F4B45"/>
    <w:rsid w:val="00D61DC8"/>
    <w:rsid w:val="00F661CB"/>
    <w:rsid w:val="01203FAE"/>
    <w:rsid w:val="012A2737"/>
    <w:rsid w:val="013F232E"/>
    <w:rsid w:val="014B09BB"/>
    <w:rsid w:val="014C6B51"/>
    <w:rsid w:val="016471F9"/>
    <w:rsid w:val="01916C5A"/>
    <w:rsid w:val="01B841E6"/>
    <w:rsid w:val="01C26E13"/>
    <w:rsid w:val="01D95F0B"/>
    <w:rsid w:val="02337D11"/>
    <w:rsid w:val="026E699E"/>
    <w:rsid w:val="0273635F"/>
    <w:rsid w:val="02AA30B8"/>
    <w:rsid w:val="02B7625C"/>
    <w:rsid w:val="02BF0C55"/>
    <w:rsid w:val="02F76F90"/>
    <w:rsid w:val="03091250"/>
    <w:rsid w:val="03130FFF"/>
    <w:rsid w:val="032C4E8C"/>
    <w:rsid w:val="0358304C"/>
    <w:rsid w:val="03696A9E"/>
    <w:rsid w:val="037C563F"/>
    <w:rsid w:val="039E06FB"/>
    <w:rsid w:val="03B524C9"/>
    <w:rsid w:val="03C5042E"/>
    <w:rsid w:val="04021749"/>
    <w:rsid w:val="04200D92"/>
    <w:rsid w:val="04361E9A"/>
    <w:rsid w:val="043C0BB8"/>
    <w:rsid w:val="04540333"/>
    <w:rsid w:val="048719B2"/>
    <w:rsid w:val="04B51863"/>
    <w:rsid w:val="04B67F25"/>
    <w:rsid w:val="04B91C32"/>
    <w:rsid w:val="04BF763A"/>
    <w:rsid w:val="04C07235"/>
    <w:rsid w:val="04C93D12"/>
    <w:rsid w:val="04CE00F8"/>
    <w:rsid w:val="05654685"/>
    <w:rsid w:val="05E732EC"/>
    <w:rsid w:val="05EC614B"/>
    <w:rsid w:val="05FE0636"/>
    <w:rsid w:val="06342423"/>
    <w:rsid w:val="063C112F"/>
    <w:rsid w:val="066642EF"/>
    <w:rsid w:val="066C1D20"/>
    <w:rsid w:val="066E18CA"/>
    <w:rsid w:val="069B537E"/>
    <w:rsid w:val="06B156A8"/>
    <w:rsid w:val="06C70A28"/>
    <w:rsid w:val="06C929F2"/>
    <w:rsid w:val="06E67100"/>
    <w:rsid w:val="06EE2458"/>
    <w:rsid w:val="07133987"/>
    <w:rsid w:val="073360BD"/>
    <w:rsid w:val="074B3407"/>
    <w:rsid w:val="0784404A"/>
    <w:rsid w:val="07A1396F"/>
    <w:rsid w:val="07A71DAB"/>
    <w:rsid w:val="07B90CB8"/>
    <w:rsid w:val="07EC510E"/>
    <w:rsid w:val="08000695"/>
    <w:rsid w:val="082A5712"/>
    <w:rsid w:val="083D3697"/>
    <w:rsid w:val="08C55606"/>
    <w:rsid w:val="08CD7283"/>
    <w:rsid w:val="08D544D0"/>
    <w:rsid w:val="08DB07BA"/>
    <w:rsid w:val="08EB6C4F"/>
    <w:rsid w:val="092D5890"/>
    <w:rsid w:val="09532A47"/>
    <w:rsid w:val="09C339A8"/>
    <w:rsid w:val="09F06AB0"/>
    <w:rsid w:val="09FA34EB"/>
    <w:rsid w:val="0A182626"/>
    <w:rsid w:val="0A2763AD"/>
    <w:rsid w:val="0A62467A"/>
    <w:rsid w:val="0A7D4664"/>
    <w:rsid w:val="0AD33307"/>
    <w:rsid w:val="0AEE3BCC"/>
    <w:rsid w:val="0AFB0342"/>
    <w:rsid w:val="0B3866B7"/>
    <w:rsid w:val="0B3B5F5C"/>
    <w:rsid w:val="0B644CDF"/>
    <w:rsid w:val="0BAE2588"/>
    <w:rsid w:val="0BD240F7"/>
    <w:rsid w:val="0C120997"/>
    <w:rsid w:val="0C350433"/>
    <w:rsid w:val="0C3D67FB"/>
    <w:rsid w:val="0C4153D2"/>
    <w:rsid w:val="0C4E3A2A"/>
    <w:rsid w:val="0C7C281F"/>
    <w:rsid w:val="0CA07D76"/>
    <w:rsid w:val="0CA247B5"/>
    <w:rsid w:val="0CC51EAD"/>
    <w:rsid w:val="0CEB3524"/>
    <w:rsid w:val="0CFE2CC9"/>
    <w:rsid w:val="0D03679A"/>
    <w:rsid w:val="0D046532"/>
    <w:rsid w:val="0D410E67"/>
    <w:rsid w:val="0D786450"/>
    <w:rsid w:val="0DB97443"/>
    <w:rsid w:val="0DCB0DFD"/>
    <w:rsid w:val="0DD203DE"/>
    <w:rsid w:val="0DDC125D"/>
    <w:rsid w:val="0DED346A"/>
    <w:rsid w:val="0DF525DE"/>
    <w:rsid w:val="0DF61CE0"/>
    <w:rsid w:val="0E122ED0"/>
    <w:rsid w:val="0E1E1875"/>
    <w:rsid w:val="0E8E37ED"/>
    <w:rsid w:val="0EAF2E14"/>
    <w:rsid w:val="0EDB59B8"/>
    <w:rsid w:val="0EF30E7F"/>
    <w:rsid w:val="0F1B4006"/>
    <w:rsid w:val="0F312AB7"/>
    <w:rsid w:val="0FA826FB"/>
    <w:rsid w:val="0FB775B8"/>
    <w:rsid w:val="0FD56EE5"/>
    <w:rsid w:val="0FF44D8A"/>
    <w:rsid w:val="103425BC"/>
    <w:rsid w:val="10433815"/>
    <w:rsid w:val="10484987"/>
    <w:rsid w:val="105858FC"/>
    <w:rsid w:val="1069143D"/>
    <w:rsid w:val="108403E2"/>
    <w:rsid w:val="109275A9"/>
    <w:rsid w:val="10945E1E"/>
    <w:rsid w:val="10C15734"/>
    <w:rsid w:val="110D36CE"/>
    <w:rsid w:val="11183B29"/>
    <w:rsid w:val="11533574"/>
    <w:rsid w:val="11785740"/>
    <w:rsid w:val="117874EE"/>
    <w:rsid w:val="11862732"/>
    <w:rsid w:val="118F278E"/>
    <w:rsid w:val="119105B0"/>
    <w:rsid w:val="11994D85"/>
    <w:rsid w:val="11A47985"/>
    <w:rsid w:val="11A830C4"/>
    <w:rsid w:val="11D80D88"/>
    <w:rsid w:val="11F50B3F"/>
    <w:rsid w:val="12906AB9"/>
    <w:rsid w:val="12B46AE6"/>
    <w:rsid w:val="12C7072D"/>
    <w:rsid w:val="12E7492B"/>
    <w:rsid w:val="12E74FC1"/>
    <w:rsid w:val="12F27F6E"/>
    <w:rsid w:val="12F53397"/>
    <w:rsid w:val="131A26A8"/>
    <w:rsid w:val="132A4818"/>
    <w:rsid w:val="13313DF9"/>
    <w:rsid w:val="133D279D"/>
    <w:rsid w:val="13842E04"/>
    <w:rsid w:val="1385172F"/>
    <w:rsid w:val="13B36C86"/>
    <w:rsid w:val="13C438FA"/>
    <w:rsid w:val="13E34C75"/>
    <w:rsid w:val="14141B79"/>
    <w:rsid w:val="148650F4"/>
    <w:rsid w:val="1505553D"/>
    <w:rsid w:val="150D2643"/>
    <w:rsid w:val="15192D96"/>
    <w:rsid w:val="15446098"/>
    <w:rsid w:val="155663AB"/>
    <w:rsid w:val="15674B8D"/>
    <w:rsid w:val="15793835"/>
    <w:rsid w:val="157955E3"/>
    <w:rsid w:val="15DC13FE"/>
    <w:rsid w:val="15F3699E"/>
    <w:rsid w:val="16005D04"/>
    <w:rsid w:val="161F618A"/>
    <w:rsid w:val="16223ECC"/>
    <w:rsid w:val="16351E52"/>
    <w:rsid w:val="16505471"/>
    <w:rsid w:val="16737FC1"/>
    <w:rsid w:val="16B80D6A"/>
    <w:rsid w:val="16C60CFC"/>
    <w:rsid w:val="16DF591A"/>
    <w:rsid w:val="1722468F"/>
    <w:rsid w:val="172C4685"/>
    <w:rsid w:val="173157BB"/>
    <w:rsid w:val="1767428D"/>
    <w:rsid w:val="1776627E"/>
    <w:rsid w:val="17C50FB3"/>
    <w:rsid w:val="18226406"/>
    <w:rsid w:val="182A472E"/>
    <w:rsid w:val="1862610F"/>
    <w:rsid w:val="18710487"/>
    <w:rsid w:val="18C06D07"/>
    <w:rsid w:val="190B3062"/>
    <w:rsid w:val="192D6E10"/>
    <w:rsid w:val="192E77AB"/>
    <w:rsid w:val="19355CC5"/>
    <w:rsid w:val="19597C05"/>
    <w:rsid w:val="1963464B"/>
    <w:rsid w:val="197764F6"/>
    <w:rsid w:val="1A200723"/>
    <w:rsid w:val="1A2C70C8"/>
    <w:rsid w:val="1A3A6836"/>
    <w:rsid w:val="1A4A3FE0"/>
    <w:rsid w:val="1A5B5BFF"/>
    <w:rsid w:val="1A6040D2"/>
    <w:rsid w:val="1A8E7D82"/>
    <w:rsid w:val="1AE57555"/>
    <w:rsid w:val="1B297585"/>
    <w:rsid w:val="1B2B0B2B"/>
    <w:rsid w:val="1B726CF2"/>
    <w:rsid w:val="1BB32838"/>
    <w:rsid w:val="1BC25F36"/>
    <w:rsid w:val="1BCD48DA"/>
    <w:rsid w:val="1BF24C7D"/>
    <w:rsid w:val="1C116575"/>
    <w:rsid w:val="1C2A3ADB"/>
    <w:rsid w:val="1C324211"/>
    <w:rsid w:val="1C623275"/>
    <w:rsid w:val="1C7F3E27"/>
    <w:rsid w:val="1C8938BE"/>
    <w:rsid w:val="1C977356"/>
    <w:rsid w:val="1CEE68B6"/>
    <w:rsid w:val="1CFE11EF"/>
    <w:rsid w:val="1D012A8E"/>
    <w:rsid w:val="1D1C4C74"/>
    <w:rsid w:val="1D4666F2"/>
    <w:rsid w:val="1DED3012"/>
    <w:rsid w:val="1DFB74DD"/>
    <w:rsid w:val="1E02178A"/>
    <w:rsid w:val="1E3B5065"/>
    <w:rsid w:val="1E3B5B2B"/>
    <w:rsid w:val="1E491296"/>
    <w:rsid w:val="1E504393"/>
    <w:rsid w:val="1E5D49E3"/>
    <w:rsid w:val="1E6432D4"/>
    <w:rsid w:val="1E9F430C"/>
    <w:rsid w:val="1EB53B18"/>
    <w:rsid w:val="1EBD4792"/>
    <w:rsid w:val="1EE461C3"/>
    <w:rsid w:val="1F2465AE"/>
    <w:rsid w:val="1F2962CC"/>
    <w:rsid w:val="1F297E9B"/>
    <w:rsid w:val="1F3C3740"/>
    <w:rsid w:val="1F487665"/>
    <w:rsid w:val="1F4E5D32"/>
    <w:rsid w:val="1F683A66"/>
    <w:rsid w:val="1F721A21"/>
    <w:rsid w:val="1F793D64"/>
    <w:rsid w:val="1F82221D"/>
    <w:rsid w:val="1FA6791C"/>
    <w:rsid w:val="1FB65DB1"/>
    <w:rsid w:val="1FDA1374"/>
    <w:rsid w:val="20210F16"/>
    <w:rsid w:val="206770AC"/>
    <w:rsid w:val="208714FC"/>
    <w:rsid w:val="20AD4C4C"/>
    <w:rsid w:val="20B41F4E"/>
    <w:rsid w:val="20B73CE8"/>
    <w:rsid w:val="20CB1F07"/>
    <w:rsid w:val="20E76E0C"/>
    <w:rsid w:val="21244F9D"/>
    <w:rsid w:val="216E1E9C"/>
    <w:rsid w:val="222C2B90"/>
    <w:rsid w:val="22457E73"/>
    <w:rsid w:val="2248233E"/>
    <w:rsid w:val="22592440"/>
    <w:rsid w:val="227D2BB6"/>
    <w:rsid w:val="22881D9F"/>
    <w:rsid w:val="229E3272"/>
    <w:rsid w:val="22E70030"/>
    <w:rsid w:val="22EC3898"/>
    <w:rsid w:val="22F866E1"/>
    <w:rsid w:val="23260E04"/>
    <w:rsid w:val="233953DA"/>
    <w:rsid w:val="234F2844"/>
    <w:rsid w:val="23515DF1"/>
    <w:rsid w:val="237613B4"/>
    <w:rsid w:val="23790749"/>
    <w:rsid w:val="237B4B25"/>
    <w:rsid w:val="2388353B"/>
    <w:rsid w:val="23931F66"/>
    <w:rsid w:val="239A2C36"/>
    <w:rsid w:val="23A208C4"/>
    <w:rsid w:val="23D61A4F"/>
    <w:rsid w:val="24782AD4"/>
    <w:rsid w:val="249C3951"/>
    <w:rsid w:val="249F17D3"/>
    <w:rsid w:val="24A10C0D"/>
    <w:rsid w:val="24C11F9C"/>
    <w:rsid w:val="250C7A19"/>
    <w:rsid w:val="251B6E45"/>
    <w:rsid w:val="251E59E0"/>
    <w:rsid w:val="254479BB"/>
    <w:rsid w:val="254C2D14"/>
    <w:rsid w:val="256D06AE"/>
    <w:rsid w:val="2582242A"/>
    <w:rsid w:val="259077D0"/>
    <w:rsid w:val="25AF7A72"/>
    <w:rsid w:val="25B20381"/>
    <w:rsid w:val="25DB33C1"/>
    <w:rsid w:val="25E42581"/>
    <w:rsid w:val="25F25669"/>
    <w:rsid w:val="260357AC"/>
    <w:rsid w:val="26081331"/>
    <w:rsid w:val="260B6FC2"/>
    <w:rsid w:val="264763B7"/>
    <w:rsid w:val="268B2A3A"/>
    <w:rsid w:val="268B3DAD"/>
    <w:rsid w:val="26A61FB0"/>
    <w:rsid w:val="26B11081"/>
    <w:rsid w:val="26B13700"/>
    <w:rsid w:val="26BE379D"/>
    <w:rsid w:val="26E1530D"/>
    <w:rsid w:val="275131CB"/>
    <w:rsid w:val="27644345"/>
    <w:rsid w:val="277025E4"/>
    <w:rsid w:val="27734537"/>
    <w:rsid w:val="279B1E5B"/>
    <w:rsid w:val="282B4E63"/>
    <w:rsid w:val="282B6C11"/>
    <w:rsid w:val="28541BD2"/>
    <w:rsid w:val="28884FF7"/>
    <w:rsid w:val="28B60B0F"/>
    <w:rsid w:val="28E16404"/>
    <w:rsid w:val="28F60FCD"/>
    <w:rsid w:val="290F389D"/>
    <w:rsid w:val="291572CF"/>
    <w:rsid w:val="29181BE3"/>
    <w:rsid w:val="293033DF"/>
    <w:rsid w:val="293D2CA4"/>
    <w:rsid w:val="293E21D3"/>
    <w:rsid w:val="29567CBD"/>
    <w:rsid w:val="2962542C"/>
    <w:rsid w:val="296F1102"/>
    <w:rsid w:val="29A9794B"/>
    <w:rsid w:val="2A58372E"/>
    <w:rsid w:val="2A7228D5"/>
    <w:rsid w:val="2AD73080"/>
    <w:rsid w:val="2B160E6F"/>
    <w:rsid w:val="2B351DFD"/>
    <w:rsid w:val="2B367172"/>
    <w:rsid w:val="2B394379"/>
    <w:rsid w:val="2B784A6E"/>
    <w:rsid w:val="2B790267"/>
    <w:rsid w:val="2B9A7B07"/>
    <w:rsid w:val="2BAE2033"/>
    <w:rsid w:val="2BB37649"/>
    <w:rsid w:val="2BB82A63"/>
    <w:rsid w:val="2BC730F4"/>
    <w:rsid w:val="2BDE23BD"/>
    <w:rsid w:val="2BE42462"/>
    <w:rsid w:val="2BFA2F81"/>
    <w:rsid w:val="2BFD3113"/>
    <w:rsid w:val="2BFD6B16"/>
    <w:rsid w:val="2C0003B4"/>
    <w:rsid w:val="2C15160E"/>
    <w:rsid w:val="2C3A068B"/>
    <w:rsid w:val="2CA156F3"/>
    <w:rsid w:val="2D236108"/>
    <w:rsid w:val="2D906B09"/>
    <w:rsid w:val="2D9C5EBB"/>
    <w:rsid w:val="2DAC0A59"/>
    <w:rsid w:val="2DCE076A"/>
    <w:rsid w:val="2E9A689E"/>
    <w:rsid w:val="2ED7388A"/>
    <w:rsid w:val="2EDD4BB1"/>
    <w:rsid w:val="2EE212D0"/>
    <w:rsid w:val="2F2729AC"/>
    <w:rsid w:val="2F3C0F4C"/>
    <w:rsid w:val="2F5A6566"/>
    <w:rsid w:val="2FAB20EE"/>
    <w:rsid w:val="2FAD2601"/>
    <w:rsid w:val="2FB82F9F"/>
    <w:rsid w:val="2FE5383E"/>
    <w:rsid w:val="30E67B79"/>
    <w:rsid w:val="313C778B"/>
    <w:rsid w:val="319C13AD"/>
    <w:rsid w:val="31D9592F"/>
    <w:rsid w:val="31E85B72"/>
    <w:rsid w:val="32105FF7"/>
    <w:rsid w:val="321A2D0F"/>
    <w:rsid w:val="322E1126"/>
    <w:rsid w:val="324D664C"/>
    <w:rsid w:val="32504AC8"/>
    <w:rsid w:val="32BE6EB2"/>
    <w:rsid w:val="32C616FD"/>
    <w:rsid w:val="32C7154E"/>
    <w:rsid w:val="32D46E8A"/>
    <w:rsid w:val="3317207A"/>
    <w:rsid w:val="331A6B7B"/>
    <w:rsid w:val="33204F95"/>
    <w:rsid w:val="33396D39"/>
    <w:rsid w:val="33643EF5"/>
    <w:rsid w:val="33D80BF4"/>
    <w:rsid w:val="33E57C5B"/>
    <w:rsid w:val="34124B0B"/>
    <w:rsid w:val="346F60D7"/>
    <w:rsid w:val="348F605A"/>
    <w:rsid w:val="34A357B5"/>
    <w:rsid w:val="34AA1521"/>
    <w:rsid w:val="34B1049E"/>
    <w:rsid w:val="34C22379"/>
    <w:rsid w:val="34EF2E71"/>
    <w:rsid w:val="34F206CA"/>
    <w:rsid w:val="34F51A33"/>
    <w:rsid w:val="35233259"/>
    <w:rsid w:val="35486713"/>
    <w:rsid w:val="357E4769"/>
    <w:rsid w:val="357F67EE"/>
    <w:rsid w:val="358636D8"/>
    <w:rsid w:val="35B20971"/>
    <w:rsid w:val="35F03248"/>
    <w:rsid w:val="361E1B63"/>
    <w:rsid w:val="365D08DD"/>
    <w:rsid w:val="369E2DBA"/>
    <w:rsid w:val="369F27CF"/>
    <w:rsid w:val="36B60605"/>
    <w:rsid w:val="36C73FA8"/>
    <w:rsid w:val="36CF7301"/>
    <w:rsid w:val="36DB3EF8"/>
    <w:rsid w:val="3701395E"/>
    <w:rsid w:val="3727713D"/>
    <w:rsid w:val="375B08FF"/>
    <w:rsid w:val="375C07A8"/>
    <w:rsid w:val="37704A11"/>
    <w:rsid w:val="379538CC"/>
    <w:rsid w:val="379D2F5B"/>
    <w:rsid w:val="37C45ACE"/>
    <w:rsid w:val="37E335F2"/>
    <w:rsid w:val="37E76AA3"/>
    <w:rsid w:val="38125B90"/>
    <w:rsid w:val="3835053A"/>
    <w:rsid w:val="387463B2"/>
    <w:rsid w:val="38BE1535"/>
    <w:rsid w:val="395A2DA3"/>
    <w:rsid w:val="397A7B42"/>
    <w:rsid w:val="39B4157B"/>
    <w:rsid w:val="39DF785B"/>
    <w:rsid w:val="3A0D43C8"/>
    <w:rsid w:val="3A1A0893"/>
    <w:rsid w:val="3A5C534F"/>
    <w:rsid w:val="3A5E69D2"/>
    <w:rsid w:val="3A60099C"/>
    <w:rsid w:val="3A751F07"/>
    <w:rsid w:val="3A8B1791"/>
    <w:rsid w:val="3AA16B06"/>
    <w:rsid w:val="3AD969A0"/>
    <w:rsid w:val="3ADB5466"/>
    <w:rsid w:val="3B20637D"/>
    <w:rsid w:val="3B2C2F74"/>
    <w:rsid w:val="3B351E28"/>
    <w:rsid w:val="3B78218B"/>
    <w:rsid w:val="3B8B205B"/>
    <w:rsid w:val="3BA174BE"/>
    <w:rsid w:val="3BAE1FDB"/>
    <w:rsid w:val="3BAE3989"/>
    <w:rsid w:val="3BC05FBD"/>
    <w:rsid w:val="3BCC3E0F"/>
    <w:rsid w:val="3BD258C9"/>
    <w:rsid w:val="3BDB4052"/>
    <w:rsid w:val="3C123FA5"/>
    <w:rsid w:val="3C242530"/>
    <w:rsid w:val="3C607CD7"/>
    <w:rsid w:val="3C8B7826"/>
    <w:rsid w:val="3C8D17F0"/>
    <w:rsid w:val="3CA078D1"/>
    <w:rsid w:val="3CCA02B2"/>
    <w:rsid w:val="3CE62383"/>
    <w:rsid w:val="3CEC7A2A"/>
    <w:rsid w:val="3D0433A8"/>
    <w:rsid w:val="3D15699B"/>
    <w:rsid w:val="3D6A66B2"/>
    <w:rsid w:val="3D867B10"/>
    <w:rsid w:val="3DA07301"/>
    <w:rsid w:val="3DA663C4"/>
    <w:rsid w:val="3DBF44D4"/>
    <w:rsid w:val="3DC207FD"/>
    <w:rsid w:val="3DCE35B6"/>
    <w:rsid w:val="3DD136B5"/>
    <w:rsid w:val="3DF14E3C"/>
    <w:rsid w:val="3DFC6C2D"/>
    <w:rsid w:val="3E043D34"/>
    <w:rsid w:val="3E0A3EC6"/>
    <w:rsid w:val="3E0D6740"/>
    <w:rsid w:val="3E256F9E"/>
    <w:rsid w:val="3E2609B2"/>
    <w:rsid w:val="3E371A14"/>
    <w:rsid w:val="3E7F6463"/>
    <w:rsid w:val="3EAF459C"/>
    <w:rsid w:val="3ECB4852"/>
    <w:rsid w:val="3EEB0292"/>
    <w:rsid w:val="3EF142B8"/>
    <w:rsid w:val="3EF313C9"/>
    <w:rsid w:val="3F281B00"/>
    <w:rsid w:val="3F3E0C3D"/>
    <w:rsid w:val="3F4D76DD"/>
    <w:rsid w:val="3F930BE9"/>
    <w:rsid w:val="3F952DC8"/>
    <w:rsid w:val="3FE15005"/>
    <w:rsid w:val="3FE77469"/>
    <w:rsid w:val="400E2C48"/>
    <w:rsid w:val="401B4FB0"/>
    <w:rsid w:val="401C11D4"/>
    <w:rsid w:val="40324B88"/>
    <w:rsid w:val="403D2804"/>
    <w:rsid w:val="40515615"/>
    <w:rsid w:val="40B21825"/>
    <w:rsid w:val="40BE641C"/>
    <w:rsid w:val="40C14BE6"/>
    <w:rsid w:val="40E85E9C"/>
    <w:rsid w:val="41173D7E"/>
    <w:rsid w:val="417778B2"/>
    <w:rsid w:val="419B675D"/>
    <w:rsid w:val="42056C09"/>
    <w:rsid w:val="428D039F"/>
    <w:rsid w:val="42D77BC6"/>
    <w:rsid w:val="42FC0E58"/>
    <w:rsid w:val="431379ED"/>
    <w:rsid w:val="4315253F"/>
    <w:rsid w:val="431B0D9A"/>
    <w:rsid w:val="436C6603"/>
    <w:rsid w:val="437454B8"/>
    <w:rsid w:val="43931A1E"/>
    <w:rsid w:val="43947908"/>
    <w:rsid w:val="43AA0EDA"/>
    <w:rsid w:val="43AC6A00"/>
    <w:rsid w:val="43CC2BFE"/>
    <w:rsid w:val="43D25E53"/>
    <w:rsid w:val="440138A0"/>
    <w:rsid w:val="44246EDE"/>
    <w:rsid w:val="44384737"/>
    <w:rsid w:val="44692B43"/>
    <w:rsid w:val="44740E09"/>
    <w:rsid w:val="44983428"/>
    <w:rsid w:val="44C47D79"/>
    <w:rsid w:val="450F07D9"/>
    <w:rsid w:val="451A208F"/>
    <w:rsid w:val="453170D2"/>
    <w:rsid w:val="453E5D7D"/>
    <w:rsid w:val="45464C32"/>
    <w:rsid w:val="45AD2F03"/>
    <w:rsid w:val="45BE2A1A"/>
    <w:rsid w:val="45D60635"/>
    <w:rsid w:val="460B7B64"/>
    <w:rsid w:val="4612476D"/>
    <w:rsid w:val="46276812"/>
    <w:rsid w:val="462F50FB"/>
    <w:rsid w:val="46617E0B"/>
    <w:rsid w:val="4688254A"/>
    <w:rsid w:val="468F5CB4"/>
    <w:rsid w:val="46953618"/>
    <w:rsid w:val="46C027C2"/>
    <w:rsid w:val="46E75FA1"/>
    <w:rsid w:val="474820C5"/>
    <w:rsid w:val="475B13E7"/>
    <w:rsid w:val="476B2262"/>
    <w:rsid w:val="477A7EE5"/>
    <w:rsid w:val="477C5396"/>
    <w:rsid w:val="47DD7AD0"/>
    <w:rsid w:val="47F0715F"/>
    <w:rsid w:val="47F51E94"/>
    <w:rsid w:val="481D611E"/>
    <w:rsid w:val="4851130F"/>
    <w:rsid w:val="485D476D"/>
    <w:rsid w:val="48665BDE"/>
    <w:rsid w:val="48B545A9"/>
    <w:rsid w:val="48B979EC"/>
    <w:rsid w:val="48D34790"/>
    <w:rsid w:val="494D6EBA"/>
    <w:rsid w:val="49557B3A"/>
    <w:rsid w:val="498C348F"/>
    <w:rsid w:val="49BA4655"/>
    <w:rsid w:val="49CD757C"/>
    <w:rsid w:val="49DA3B9B"/>
    <w:rsid w:val="49EF5898"/>
    <w:rsid w:val="49FA5FEB"/>
    <w:rsid w:val="4A3C6BE3"/>
    <w:rsid w:val="4A62606A"/>
    <w:rsid w:val="4A6F0787"/>
    <w:rsid w:val="4A7638C4"/>
    <w:rsid w:val="4AA76173"/>
    <w:rsid w:val="4AAE1013"/>
    <w:rsid w:val="4ADE1878"/>
    <w:rsid w:val="4ADE2E23"/>
    <w:rsid w:val="4AE64EED"/>
    <w:rsid w:val="4B380D6F"/>
    <w:rsid w:val="4BA47B1F"/>
    <w:rsid w:val="4BBC29D4"/>
    <w:rsid w:val="4C5145E8"/>
    <w:rsid w:val="4C560DCF"/>
    <w:rsid w:val="4C7503BA"/>
    <w:rsid w:val="4C7A50FE"/>
    <w:rsid w:val="4CA73452"/>
    <w:rsid w:val="4CBE77A4"/>
    <w:rsid w:val="4CC32763"/>
    <w:rsid w:val="4D0F1621"/>
    <w:rsid w:val="4D24354A"/>
    <w:rsid w:val="4D4E6D7A"/>
    <w:rsid w:val="4D785BA5"/>
    <w:rsid w:val="4DF97234"/>
    <w:rsid w:val="4E437F61"/>
    <w:rsid w:val="4E4C36AA"/>
    <w:rsid w:val="4E4F6531"/>
    <w:rsid w:val="4EB7021F"/>
    <w:rsid w:val="4EC409BC"/>
    <w:rsid w:val="4F005E52"/>
    <w:rsid w:val="4F377967"/>
    <w:rsid w:val="4F411EB6"/>
    <w:rsid w:val="4F42646A"/>
    <w:rsid w:val="4F582EF7"/>
    <w:rsid w:val="4F5F63A7"/>
    <w:rsid w:val="4FBA24A4"/>
    <w:rsid w:val="4FDA6E22"/>
    <w:rsid w:val="4FFD0EF1"/>
    <w:rsid w:val="502F4C40"/>
    <w:rsid w:val="50353716"/>
    <w:rsid w:val="50AC44E3"/>
    <w:rsid w:val="510E3C07"/>
    <w:rsid w:val="5135755A"/>
    <w:rsid w:val="514F12D7"/>
    <w:rsid w:val="51754B1B"/>
    <w:rsid w:val="517B73AD"/>
    <w:rsid w:val="518A5306"/>
    <w:rsid w:val="51986815"/>
    <w:rsid w:val="51A37E3C"/>
    <w:rsid w:val="51B66656"/>
    <w:rsid w:val="51D16F4E"/>
    <w:rsid w:val="51D610EC"/>
    <w:rsid w:val="521045FE"/>
    <w:rsid w:val="52534816"/>
    <w:rsid w:val="52634928"/>
    <w:rsid w:val="52E2243E"/>
    <w:rsid w:val="53117559"/>
    <w:rsid w:val="53277999"/>
    <w:rsid w:val="532F31A9"/>
    <w:rsid w:val="53353269"/>
    <w:rsid w:val="533B7DA0"/>
    <w:rsid w:val="536746F1"/>
    <w:rsid w:val="53764934"/>
    <w:rsid w:val="53A35FB7"/>
    <w:rsid w:val="53B536AF"/>
    <w:rsid w:val="53C80FD0"/>
    <w:rsid w:val="53E30294"/>
    <w:rsid w:val="544B3A05"/>
    <w:rsid w:val="546E385E"/>
    <w:rsid w:val="5472334E"/>
    <w:rsid w:val="54856F9C"/>
    <w:rsid w:val="549269FE"/>
    <w:rsid w:val="54A86D6F"/>
    <w:rsid w:val="550F1330"/>
    <w:rsid w:val="556829A3"/>
    <w:rsid w:val="55782BE6"/>
    <w:rsid w:val="55A86DD0"/>
    <w:rsid w:val="55B415BA"/>
    <w:rsid w:val="55D46448"/>
    <w:rsid w:val="560E3442"/>
    <w:rsid w:val="56111251"/>
    <w:rsid w:val="56193729"/>
    <w:rsid w:val="56252ADC"/>
    <w:rsid w:val="56327239"/>
    <w:rsid w:val="56426E9F"/>
    <w:rsid w:val="564725B8"/>
    <w:rsid w:val="56652099"/>
    <w:rsid w:val="56680EAC"/>
    <w:rsid w:val="566D353C"/>
    <w:rsid w:val="569B3338"/>
    <w:rsid w:val="56DE5A63"/>
    <w:rsid w:val="56F269C8"/>
    <w:rsid w:val="57095F85"/>
    <w:rsid w:val="576176AA"/>
    <w:rsid w:val="5765355C"/>
    <w:rsid w:val="57690BD0"/>
    <w:rsid w:val="57CA1153"/>
    <w:rsid w:val="58460B49"/>
    <w:rsid w:val="584A495B"/>
    <w:rsid w:val="586675E4"/>
    <w:rsid w:val="58765D26"/>
    <w:rsid w:val="58947716"/>
    <w:rsid w:val="58B66C06"/>
    <w:rsid w:val="58D345D7"/>
    <w:rsid w:val="59152645"/>
    <w:rsid w:val="591F4A55"/>
    <w:rsid w:val="59407EBE"/>
    <w:rsid w:val="59495785"/>
    <w:rsid w:val="5962393D"/>
    <w:rsid w:val="59816B33"/>
    <w:rsid w:val="599C2C1B"/>
    <w:rsid w:val="59BE5287"/>
    <w:rsid w:val="59BF67D8"/>
    <w:rsid w:val="59BF6E54"/>
    <w:rsid w:val="59C96098"/>
    <w:rsid w:val="59CD22DC"/>
    <w:rsid w:val="5A2F2D66"/>
    <w:rsid w:val="5A9467BF"/>
    <w:rsid w:val="5AAE69DB"/>
    <w:rsid w:val="5AC261B4"/>
    <w:rsid w:val="5ACA056B"/>
    <w:rsid w:val="5AEC0684"/>
    <w:rsid w:val="5AF0582F"/>
    <w:rsid w:val="5B1B6AA6"/>
    <w:rsid w:val="5B224E28"/>
    <w:rsid w:val="5B9C02BE"/>
    <w:rsid w:val="5BAF7B56"/>
    <w:rsid w:val="5BF611E3"/>
    <w:rsid w:val="5C0E6052"/>
    <w:rsid w:val="5C313AEE"/>
    <w:rsid w:val="5C7D4F86"/>
    <w:rsid w:val="5C86208C"/>
    <w:rsid w:val="5CAC7619"/>
    <w:rsid w:val="5D072AA1"/>
    <w:rsid w:val="5D211242"/>
    <w:rsid w:val="5D2B49E2"/>
    <w:rsid w:val="5D435D1D"/>
    <w:rsid w:val="5D730EDB"/>
    <w:rsid w:val="5D7C18C6"/>
    <w:rsid w:val="5D902A97"/>
    <w:rsid w:val="5D916BB6"/>
    <w:rsid w:val="5DC32E6C"/>
    <w:rsid w:val="5DE3467B"/>
    <w:rsid w:val="5E000678"/>
    <w:rsid w:val="5E2F5EF2"/>
    <w:rsid w:val="5E61439A"/>
    <w:rsid w:val="5E634018"/>
    <w:rsid w:val="5EB639EA"/>
    <w:rsid w:val="5EDD1D0C"/>
    <w:rsid w:val="5EF54CCE"/>
    <w:rsid w:val="5F0537AA"/>
    <w:rsid w:val="5F1267B5"/>
    <w:rsid w:val="5F2B3E04"/>
    <w:rsid w:val="5F4A1A8C"/>
    <w:rsid w:val="5F760F40"/>
    <w:rsid w:val="5F7D58F2"/>
    <w:rsid w:val="5FC42B81"/>
    <w:rsid w:val="5FD9212E"/>
    <w:rsid w:val="5FFF5CB2"/>
    <w:rsid w:val="600532C8"/>
    <w:rsid w:val="60673F83"/>
    <w:rsid w:val="606E1F64"/>
    <w:rsid w:val="60CE0B25"/>
    <w:rsid w:val="61113EEE"/>
    <w:rsid w:val="61555832"/>
    <w:rsid w:val="6194560C"/>
    <w:rsid w:val="619C4100"/>
    <w:rsid w:val="61A30FEA"/>
    <w:rsid w:val="61BE5E24"/>
    <w:rsid w:val="61D5316E"/>
    <w:rsid w:val="61DB6D9C"/>
    <w:rsid w:val="623C3CCB"/>
    <w:rsid w:val="6277131B"/>
    <w:rsid w:val="62894736"/>
    <w:rsid w:val="62A274F4"/>
    <w:rsid w:val="62A72D5C"/>
    <w:rsid w:val="62BE63E3"/>
    <w:rsid w:val="62DC02C2"/>
    <w:rsid w:val="62E679C4"/>
    <w:rsid w:val="632E6FDA"/>
    <w:rsid w:val="6345292E"/>
    <w:rsid w:val="635D5082"/>
    <w:rsid w:val="63964B41"/>
    <w:rsid w:val="63CD05A1"/>
    <w:rsid w:val="6410048D"/>
    <w:rsid w:val="64392A67"/>
    <w:rsid w:val="64421F3D"/>
    <w:rsid w:val="64487C27"/>
    <w:rsid w:val="6449399F"/>
    <w:rsid w:val="647C3D75"/>
    <w:rsid w:val="648570CD"/>
    <w:rsid w:val="64AD03D2"/>
    <w:rsid w:val="64B66E59"/>
    <w:rsid w:val="64CC5E52"/>
    <w:rsid w:val="650F4B9B"/>
    <w:rsid w:val="654E657D"/>
    <w:rsid w:val="658630FD"/>
    <w:rsid w:val="65864EAB"/>
    <w:rsid w:val="65AC2438"/>
    <w:rsid w:val="65B768E4"/>
    <w:rsid w:val="65BF216B"/>
    <w:rsid w:val="65C57872"/>
    <w:rsid w:val="65DA0D53"/>
    <w:rsid w:val="65EF0F14"/>
    <w:rsid w:val="66042274"/>
    <w:rsid w:val="66043DF1"/>
    <w:rsid w:val="6614083B"/>
    <w:rsid w:val="661D46CA"/>
    <w:rsid w:val="667B0788"/>
    <w:rsid w:val="66887A48"/>
    <w:rsid w:val="669F48C5"/>
    <w:rsid w:val="66B94E0C"/>
    <w:rsid w:val="66BB1AFB"/>
    <w:rsid w:val="66C8643E"/>
    <w:rsid w:val="66CA0DC7"/>
    <w:rsid w:val="66D84B6C"/>
    <w:rsid w:val="66F0707E"/>
    <w:rsid w:val="66F127F8"/>
    <w:rsid w:val="66F20D2E"/>
    <w:rsid w:val="66F95B50"/>
    <w:rsid w:val="673D6A15"/>
    <w:rsid w:val="67960780"/>
    <w:rsid w:val="67BB2DBB"/>
    <w:rsid w:val="681B0B00"/>
    <w:rsid w:val="682E5386"/>
    <w:rsid w:val="683F57E5"/>
    <w:rsid w:val="68415A7C"/>
    <w:rsid w:val="688D47A2"/>
    <w:rsid w:val="68AF4719"/>
    <w:rsid w:val="68CD623B"/>
    <w:rsid w:val="68FD36D6"/>
    <w:rsid w:val="6908207B"/>
    <w:rsid w:val="694D7A8E"/>
    <w:rsid w:val="69562DE6"/>
    <w:rsid w:val="696012B6"/>
    <w:rsid w:val="69642093"/>
    <w:rsid w:val="6985191D"/>
    <w:rsid w:val="69BD2E65"/>
    <w:rsid w:val="69CA6B08"/>
    <w:rsid w:val="69E95A08"/>
    <w:rsid w:val="6A042666"/>
    <w:rsid w:val="6A9736F0"/>
    <w:rsid w:val="6AB26742"/>
    <w:rsid w:val="6ACF714E"/>
    <w:rsid w:val="6AF97ECD"/>
    <w:rsid w:val="6B680BAF"/>
    <w:rsid w:val="6B6C68F1"/>
    <w:rsid w:val="6BA17D14"/>
    <w:rsid w:val="6BCC55E2"/>
    <w:rsid w:val="6BE41292"/>
    <w:rsid w:val="6BF43D6E"/>
    <w:rsid w:val="6C3A781B"/>
    <w:rsid w:val="6C884442"/>
    <w:rsid w:val="6CEA7D28"/>
    <w:rsid w:val="6CF25FA0"/>
    <w:rsid w:val="6CF3094C"/>
    <w:rsid w:val="6CF3436B"/>
    <w:rsid w:val="6D1C04A5"/>
    <w:rsid w:val="6D257FA0"/>
    <w:rsid w:val="6D5B6316"/>
    <w:rsid w:val="6D77157D"/>
    <w:rsid w:val="6D9143ED"/>
    <w:rsid w:val="6DC40A12"/>
    <w:rsid w:val="6DC74A88"/>
    <w:rsid w:val="6DDD7C5D"/>
    <w:rsid w:val="6DEA2117"/>
    <w:rsid w:val="6E003EDB"/>
    <w:rsid w:val="6E026AF3"/>
    <w:rsid w:val="6E113780"/>
    <w:rsid w:val="6E2178BF"/>
    <w:rsid w:val="6E6C4C84"/>
    <w:rsid w:val="6E8C1058"/>
    <w:rsid w:val="6EBF142E"/>
    <w:rsid w:val="6F02798D"/>
    <w:rsid w:val="6F0F5F11"/>
    <w:rsid w:val="6F120DB6"/>
    <w:rsid w:val="6F2946DA"/>
    <w:rsid w:val="6F550DE0"/>
    <w:rsid w:val="6F694185"/>
    <w:rsid w:val="6FD1766A"/>
    <w:rsid w:val="70294E19"/>
    <w:rsid w:val="707443AD"/>
    <w:rsid w:val="70990122"/>
    <w:rsid w:val="70C60851"/>
    <w:rsid w:val="70D00980"/>
    <w:rsid w:val="70E51DA8"/>
    <w:rsid w:val="71213150"/>
    <w:rsid w:val="712D267F"/>
    <w:rsid w:val="712F47EA"/>
    <w:rsid w:val="713C6679"/>
    <w:rsid w:val="714802B0"/>
    <w:rsid w:val="71812600"/>
    <w:rsid w:val="71946BA2"/>
    <w:rsid w:val="719C15B2"/>
    <w:rsid w:val="71A843FB"/>
    <w:rsid w:val="71D82792"/>
    <w:rsid w:val="71F94EA8"/>
    <w:rsid w:val="721E450C"/>
    <w:rsid w:val="72514A93"/>
    <w:rsid w:val="7262278F"/>
    <w:rsid w:val="730C2768"/>
    <w:rsid w:val="7329331A"/>
    <w:rsid w:val="732A300A"/>
    <w:rsid w:val="73A429A0"/>
    <w:rsid w:val="73BE1CB4"/>
    <w:rsid w:val="73CC7691"/>
    <w:rsid w:val="73D85A6B"/>
    <w:rsid w:val="740861C7"/>
    <w:rsid w:val="74AE1D28"/>
    <w:rsid w:val="74C2331D"/>
    <w:rsid w:val="74CF1255"/>
    <w:rsid w:val="74E7523A"/>
    <w:rsid w:val="74FB54A4"/>
    <w:rsid w:val="751610E2"/>
    <w:rsid w:val="751A7B05"/>
    <w:rsid w:val="751C63E4"/>
    <w:rsid w:val="75611CC1"/>
    <w:rsid w:val="759233F8"/>
    <w:rsid w:val="75D25EEA"/>
    <w:rsid w:val="75DD731F"/>
    <w:rsid w:val="75FE283B"/>
    <w:rsid w:val="764B039C"/>
    <w:rsid w:val="766641C7"/>
    <w:rsid w:val="766656C3"/>
    <w:rsid w:val="76740D50"/>
    <w:rsid w:val="768014A2"/>
    <w:rsid w:val="768D4B1F"/>
    <w:rsid w:val="76B352F7"/>
    <w:rsid w:val="76B7148E"/>
    <w:rsid w:val="76C22210"/>
    <w:rsid w:val="76CA7E5A"/>
    <w:rsid w:val="77120FDD"/>
    <w:rsid w:val="77214368"/>
    <w:rsid w:val="77490EAB"/>
    <w:rsid w:val="775C2950"/>
    <w:rsid w:val="77610F13"/>
    <w:rsid w:val="776B3787"/>
    <w:rsid w:val="778C37F8"/>
    <w:rsid w:val="77903967"/>
    <w:rsid w:val="779D7E32"/>
    <w:rsid w:val="77B12E34"/>
    <w:rsid w:val="77B32EDF"/>
    <w:rsid w:val="77BF5FFA"/>
    <w:rsid w:val="77CA451A"/>
    <w:rsid w:val="77D46CD2"/>
    <w:rsid w:val="77D83D50"/>
    <w:rsid w:val="77F50340"/>
    <w:rsid w:val="78056103"/>
    <w:rsid w:val="780F6F82"/>
    <w:rsid w:val="781D0CC1"/>
    <w:rsid w:val="7823193A"/>
    <w:rsid w:val="78264F05"/>
    <w:rsid w:val="782E61C7"/>
    <w:rsid w:val="7836235A"/>
    <w:rsid w:val="783B33E4"/>
    <w:rsid w:val="78534B66"/>
    <w:rsid w:val="787B0197"/>
    <w:rsid w:val="787E1A12"/>
    <w:rsid w:val="789467E1"/>
    <w:rsid w:val="78A00DCC"/>
    <w:rsid w:val="78BE10F6"/>
    <w:rsid w:val="78BF6934"/>
    <w:rsid w:val="78C25DA2"/>
    <w:rsid w:val="78D43D28"/>
    <w:rsid w:val="78EE56C6"/>
    <w:rsid w:val="78FD502C"/>
    <w:rsid w:val="792275BE"/>
    <w:rsid w:val="79382508"/>
    <w:rsid w:val="794672BF"/>
    <w:rsid w:val="79532E9E"/>
    <w:rsid w:val="79797086"/>
    <w:rsid w:val="797A5F8B"/>
    <w:rsid w:val="79B42ADE"/>
    <w:rsid w:val="79CA38C6"/>
    <w:rsid w:val="7A3C1D44"/>
    <w:rsid w:val="7A8B158A"/>
    <w:rsid w:val="7AB102CB"/>
    <w:rsid w:val="7ADD5362"/>
    <w:rsid w:val="7AF32002"/>
    <w:rsid w:val="7B1A0118"/>
    <w:rsid w:val="7B2723A2"/>
    <w:rsid w:val="7B62386D"/>
    <w:rsid w:val="7B6E2211"/>
    <w:rsid w:val="7BD217F3"/>
    <w:rsid w:val="7BDC1277"/>
    <w:rsid w:val="7C277454"/>
    <w:rsid w:val="7C594C70"/>
    <w:rsid w:val="7C7C270C"/>
    <w:rsid w:val="7C85264B"/>
    <w:rsid w:val="7CB63E70"/>
    <w:rsid w:val="7CC266CE"/>
    <w:rsid w:val="7CC76395"/>
    <w:rsid w:val="7D00333D"/>
    <w:rsid w:val="7D7A30EF"/>
    <w:rsid w:val="7D906276"/>
    <w:rsid w:val="7D9D293A"/>
    <w:rsid w:val="7DB41364"/>
    <w:rsid w:val="7DE44A0D"/>
    <w:rsid w:val="7E1E7F1F"/>
    <w:rsid w:val="7E2F667A"/>
    <w:rsid w:val="7E321E60"/>
    <w:rsid w:val="7E347D78"/>
    <w:rsid w:val="7E493D4F"/>
    <w:rsid w:val="7E5356EF"/>
    <w:rsid w:val="7E916B3D"/>
    <w:rsid w:val="7E9B65C0"/>
    <w:rsid w:val="7EA95725"/>
    <w:rsid w:val="7F1205F3"/>
    <w:rsid w:val="7F69341C"/>
    <w:rsid w:val="7F6B3277"/>
    <w:rsid w:val="7F7C3A97"/>
    <w:rsid w:val="7F8F2756"/>
    <w:rsid w:val="7FFA67D9"/>
    <w:rsid w:val="89FFB146"/>
    <w:rsid w:val="AF3DDE11"/>
    <w:rsid w:val="B9FE082A"/>
    <w:rsid w:val="FFBBC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2">
    <w:name w:val="heading 4"/>
    <w:basedOn w:val="1"/>
    <w:next w:val="1"/>
    <w:qFormat/>
    <w:uiPriority w:val="0"/>
    <w:pPr>
      <w:keepNext/>
      <w:keepLines/>
      <w:spacing w:line="374" w:lineRule="auto"/>
      <w:outlineLvl w:val="3"/>
    </w:pPr>
    <w:rPr>
      <w:rFonts w:ascii="Arial" w:hAnsi="Arial"/>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next w:val="1"/>
    <w:qFormat/>
    <w:uiPriority w:val="0"/>
    <w:pPr>
      <w:adjustRightInd w:val="0"/>
      <w:spacing w:line="360" w:lineRule="atLeast"/>
      <w:jc w:val="left"/>
      <w:textAlignment w:val="baseline"/>
    </w:pPr>
    <w:rPr>
      <w:kern w:val="0"/>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Body Text 2"/>
    <w:basedOn w:val="1"/>
    <w:next w:val="6"/>
    <w:qFormat/>
    <w:uiPriority w:val="0"/>
    <w:pPr>
      <w:spacing w:line="500" w:lineRule="exact"/>
    </w:pPr>
    <w:rPr>
      <w:rFonts w:ascii="宋体"/>
      <w:sz w:val="24"/>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Body Text First Indent"/>
    <w:basedOn w:val="6"/>
    <w:qFormat/>
    <w:uiPriority w:val="99"/>
    <w:pPr>
      <w:spacing w:line="240" w:lineRule="auto"/>
      <w:ind w:firstLine="420" w:firstLineChars="100"/>
    </w:pPr>
    <w:rPr>
      <w:rFonts w:ascii="Times New Roman" w:cs="Times New Roman"/>
      <w:sz w:val="20"/>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qFormat/>
    <w:uiPriority w:val="0"/>
    <w:rPr>
      <w:color w:val="333333"/>
      <w:u w:val="none"/>
    </w:rPr>
  </w:style>
  <w:style w:type="character" w:styleId="20">
    <w:name w:val="Emphasis"/>
    <w:basedOn w:val="17"/>
    <w:qFormat/>
    <w:uiPriority w:val="0"/>
    <w:rPr>
      <w:i/>
    </w:rPr>
  </w:style>
  <w:style w:type="character" w:styleId="21">
    <w:name w:val="HTML Variable"/>
    <w:basedOn w:val="17"/>
    <w:qFormat/>
    <w:uiPriority w:val="0"/>
    <w:rPr>
      <w:i/>
    </w:rPr>
  </w:style>
  <w:style w:type="character" w:styleId="22">
    <w:name w:val="Hyperlink"/>
    <w:basedOn w:val="17"/>
    <w:qFormat/>
    <w:uiPriority w:val="0"/>
    <w:rPr>
      <w:color w:val="333333"/>
      <w:u w:val="none"/>
    </w:rPr>
  </w:style>
  <w:style w:type="character" w:styleId="23">
    <w:name w:val="HTML Code"/>
    <w:basedOn w:val="17"/>
    <w:qFormat/>
    <w:uiPriority w:val="0"/>
    <w:rPr>
      <w:rFonts w:ascii="Courier New" w:hAnsi="Courier New"/>
      <w:sz w:val="20"/>
    </w:rPr>
  </w:style>
  <w:style w:type="character" w:styleId="24">
    <w:name w:val="HTML Cite"/>
    <w:basedOn w:val="17"/>
    <w:qFormat/>
    <w:uiPriority w:val="0"/>
    <w:rPr>
      <w:i/>
    </w:rPr>
  </w:style>
  <w:style w:type="paragraph" w:customStyle="1" w:styleId="25">
    <w:name w:val="样式 宋体 行距: 1.5 倍行距"/>
    <w:next w:val="1"/>
    <w:qFormat/>
    <w:uiPriority w:val="99"/>
    <w:pPr>
      <w:widowControl w:val="0"/>
      <w:jc w:val="center"/>
    </w:pPr>
    <w:rPr>
      <w:rFonts w:ascii="Times New Roman" w:hAnsi="Calibri" w:eastAsia="宋体" w:cs="Times New Roman"/>
      <w:b/>
      <w:bCs/>
      <w:kern w:val="2"/>
      <w:sz w:val="21"/>
      <w:szCs w:val="24"/>
      <w:lang w:val="en-US" w:eastAsia="zh-CN" w:bidi="ar-SA"/>
    </w:rPr>
  </w:style>
  <w:style w:type="paragraph" w:customStyle="1" w:styleId="26">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7">
    <w:name w:val="NormalCharacter"/>
    <w:qFormat/>
    <w:uiPriority w:val="99"/>
  </w:style>
  <w:style w:type="paragraph" w:customStyle="1" w:styleId="28">
    <w:name w:val="Table Text"/>
    <w:basedOn w:val="1"/>
    <w:semiHidden/>
    <w:qFormat/>
    <w:uiPriority w:val="0"/>
    <w:rPr>
      <w:rFonts w:ascii="Arial" w:hAnsi="Arial" w:eastAsia="Arial" w:cs="Arial"/>
      <w:sz w:val="21"/>
      <w:szCs w:val="21"/>
      <w:lang w:val="en-US" w:eastAsia="en-US" w:bidi="ar-SA"/>
    </w:rPr>
  </w:style>
  <w:style w:type="paragraph" w:customStyle="1" w:styleId="29">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正文缩进1"/>
    <w:basedOn w:val="1"/>
    <w:qFormat/>
    <w:uiPriority w:val="0"/>
    <w:pPr>
      <w:widowControl/>
      <w:ind w:firstLine="420"/>
      <w:jc w:val="left"/>
    </w:pPr>
    <w:rPr>
      <w:kern w:val="0"/>
    </w:rPr>
  </w:style>
  <w:style w:type="paragraph" w:customStyle="1" w:styleId="31">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2">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3">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5">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6">
    <w:name w:val="Heading2"/>
    <w:basedOn w:val="1"/>
    <w:next w:val="1"/>
    <w:qFormat/>
    <w:uiPriority w:val="99"/>
    <w:pPr>
      <w:jc w:val="left"/>
    </w:pPr>
    <w:rPr>
      <w:kern w:val="0"/>
    </w:rPr>
  </w:style>
  <w:style w:type="paragraph" w:customStyle="1" w:styleId="37">
    <w:name w:val="AnnotationText"/>
    <w:basedOn w:val="1"/>
    <w:qFormat/>
    <w:uiPriority w:val="99"/>
    <w:pPr>
      <w:spacing w:line="360" w:lineRule="atLeast"/>
      <w:jc w:val="left"/>
    </w:pPr>
    <w:rPr>
      <w:kern w:val="0"/>
    </w:rPr>
  </w:style>
  <w:style w:type="paragraph" w:customStyle="1" w:styleId="38">
    <w:name w:val="UserStyle_44"/>
    <w:basedOn w:val="39"/>
    <w:qFormat/>
    <w:uiPriority w:val="99"/>
    <w:rPr>
      <w:sz w:val="24"/>
      <w:szCs w:val="24"/>
    </w:rPr>
  </w:style>
  <w:style w:type="paragraph" w:customStyle="1" w:styleId="39">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40">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1">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42">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43">
    <w:name w:val="BodyText"/>
    <w:basedOn w:val="1"/>
    <w:next w:val="44"/>
    <w:qFormat/>
    <w:uiPriority w:val="99"/>
    <w:pPr>
      <w:spacing w:after="120"/>
    </w:pPr>
  </w:style>
  <w:style w:type="paragraph" w:customStyle="1" w:styleId="44">
    <w:name w:val="BodyText2"/>
    <w:basedOn w:val="1"/>
    <w:qFormat/>
    <w:uiPriority w:val="99"/>
    <w:pPr>
      <w:spacing w:line="500" w:lineRule="exact"/>
    </w:pPr>
  </w:style>
  <w:style w:type="paragraph" w:customStyle="1" w:styleId="45">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6">
    <w:name w:val="正文缩进 New"/>
    <w:basedOn w:val="47"/>
    <w:qFormat/>
    <w:uiPriority w:val="0"/>
    <w:pPr>
      <w:widowControl/>
      <w:ind w:firstLine="420"/>
      <w:jc w:val="left"/>
    </w:pPr>
    <w:rPr>
      <w:kern w:val="0"/>
      <w:sz w:val="20"/>
    </w:rPr>
  </w:style>
  <w:style w:type="paragraph" w:customStyle="1" w:styleId="47">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48">
    <w:name w:val="正文文本 (2) + 间距 0 pt3"/>
    <w:basedOn w:val="17"/>
    <w:qFormat/>
    <w:uiPriority w:val="0"/>
    <w:rPr>
      <w:rFonts w:ascii="MingLiU" w:hAnsi="Times New Roman" w:eastAsia="MingLiU" w:cs="MingLiU"/>
      <w:spacing w:val="0"/>
      <w:sz w:val="22"/>
      <w:szCs w:val="22"/>
      <w:u w:val="none"/>
    </w:rPr>
  </w:style>
  <w:style w:type="character" w:customStyle="1" w:styleId="49">
    <w:name w:val="hover21"/>
    <w:basedOn w:val="17"/>
    <w:qFormat/>
    <w:uiPriority w:val="0"/>
    <w:rPr>
      <w:color w:val="5FB878"/>
    </w:rPr>
  </w:style>
  <w:style w:type="character" w:customStyle="1" w:styleId="50">
    <w:name w:val="hover22"/>
    <w:basedOn w:val="17"/>
    <w:qFormat/>
    <w:uiPriority w:val="0"/>
    <w:rPr>
      <w:color w:val="FFFFFF"/>
    </w:rPr>
  </w:style>
  <w:style w:type="character" w:customStyle="1" w:styleId="51">
    <w:name w:val="hover23"/>
    <w:basedOn w:val="17"/>
    <w:qFormat/>
    <w:uiPriority w:val="0"/>
    <w:rPr>
      <w:color w:val="5FB878"/>
    </w:rPr>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25"/>
    <w:qFormat/>
    <w:uiPriority w:val="0"/>
    <w:pPr>
      <w:widowControl w:val="0"/>
      <w:jc w:val="both"/>
    </w:pPr>
    <w:rPr>
      <w:rFonts w:ascii="Calibri" w:hAnsi="Calibri" w:eastAsia="宋体" w:cs="黑体"/>
      <w:kern w:val="2"/>
      <w:sz w:val="21"/>
      <w:szCs w:val="24"/>
      <w:lang w:val="en-US" w:eastAsia="zh-CN" w:bidi="ar-SA"/>
    </w:rPr>
  </w:style>
  <w:style w:type="paragraph" w:customStyle="1" w:styleId="53">
    <w:name w:val="Default"/>
    <w:qFormat/>
    <w:uiPriority w:val="0"/>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54">
    <w:name w:val="标题 2 New New"/>
    <w:basedOn w:val="55"/>
    <w:next w:val="55"/>
    <w:qFormat/>
    <w:uiPriority w:val="0"/>
    <w:pPr>
      <w:autoSpaceDE w:val="0"/>
      <w:autoSpaceDN w:val="0"/>
      <w:adjustRightInd w:val="0"/>
      <w:jc w:val="left"/>
      <w:outlineLvl w:val="1"/>
    </w:pPr>
    <w:rPr>
      <w:kern w:val="0"/>
    </w:rPr>
  </w:style>
  <w:style w:type="paragraph" w:customStyle="1" w:styleId="55">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image" Target="media/image18.png"/><Relationship Id="rId6" Type="http://schemas.openxmlformats.org/officeDocument/2006/relationships/footer" Target="footer2.xml"/><Relationship Id="rId59" Type="http://schemas.openxmlformats.org/officeDocument/2006/relationships/image" Target="media/image17.jpeg"/><Relationship Id="rId58" Type="http://schemas.openxmlformats.org/officeDocument/2006/relationships/image" Target="media/image16.png"/><Relationship Id="rId57" Type="http://schemas.openxmlformats.org/officeDocument/2006/relationships/image" Target="media/image15.png"/><Relationship Id="rId56" Type="http://schemas.openxmlformats.org/officeDocument/2006/relationships/image" Target="media/image14.wmf"/><Relationship Id="rId55" Type="http://schemas.openxmlformats.org/officeDocument/2006/relationships/oleObject" Target="embeddings/oleObject12.bin"/><Relationship Id="rId54" Type="http://schemas.openxmlformats.org/officeDocument/2006/relationships/image" Target="media/image13.wmf"/><Relationship Id="rId53" Type="http://schemas.openxmlformats.org/officeDocument/2006/relationships/oleObject" Target="embeddings/oleObject11.bin"/><Relationship Id="rId52" Type="http://schemas.openxmlformats.org/officeDocument/2006/relationships/image" Target="media/image12.wmf"/><Relationship Id="rId51" Type="http://schemas.openxmlformats.org/officeDocument/2006/relationships/oleObject" Target="embeddings/oleObject10.bin"/><Relationship Id="rId50" Type="http://schemas.openxmlformats.org/officeDocument/2006/relationships/image" Target="media/image11.wmf"/><Relationship Id="rId5" Type="http://schemas.openxmlformats.org/officeDocument/2006/relationships/footer" Target="footer1.xml"/><Relationship Id="rId49" Type="http://schemas.openxmlformats.org/officeDocument/2006/relationships/oleObject" Target="embeddings/oleObject9.bin"/><Relationship Id="rId48" Type="http://schemas.openxmlformats.org/officeDocument/2006/relationships/image" Target="media/image10.wmf"/><Relationship Id="rId47" Type="http://schemas.openxmlformats.org/officeDocument/2006/relationships/oleObject" Target="embeddings/oleObject8.bin"/><Relationship Id="rId46" Type="http://schemas.openxmlformats.org/officeDocument/2006/relationships/image" Target="media/image9.wmf"/><Relationship Id="rId45" Type="http://schemas.openxmlformats.org/officeDocument/2006/relationships/oleObject" Target="embeddings/oleObject7.bin"/><Relationship Id="rId44" Type="http://schemas.openxmlformats.org/officeDocument/2006/relationships/image" Target="media/image8.wmf"/><Relationship Id="rId43" Type="http://schemas.openxmlformats.org/officeDocument/2006/relationships/oleObject" Target="embeddings/oleObject6.bin"/><Relationship Id="rId42" Type="http://schemas.openxmlformats.org/officeDocument/2006/relationships/image" Target="media/image7.wmf"/><Relationship Id="rId41" Type="http://schemas.openxmlformats.org/officeDocument/2006/relationships/oleObject" Target="embeddings/oleObject5.bin"/><Relationship Id="rId40" Type="http://schemas.openxmlformats.org/officeDocument/2006/relationships/image" Target="media/image6.wmf"/><Relationship Id="rId4" Type="http://schemas.openxmlformats.org/officeDocument/2006/relationships/header" Target="header2.xml"/><Relationship Id="rId39" Type="http://schemas.openxmlformats.org/officeDocument/2006/relationships/oleObject" Target="embeddings/oleObject4.bin"/><Relationship Id="rId38" Type="http://schemas.openxmlformats.org/officeDocument/2006/relationships/image" Target="media/image5.wmf"/><Relationship Id="rId37" Type="http://schemas.openxmlformats.org/officeDocument/2006/relationships/oleObject" Target="embeddings/oleObject3.bin"/><Relationship Id="rId36" Type="http://schemas.openxmlformats.org/officeDocument/2006/relationships/image" Target="media/image4.wmf"/><Relationship Id="rId35" Type="http://schemas.openxmlformats.org/officeDocument/2006/relationships/oleObject" Target="embeddings/oleObject2.bin"/><Relationship Id="rId34" Type="http://schemas.openxmlformats.org/officeDocument/2006/relationships/image" Target="media/image3.wmf"/><Relationship Id="rId33" Type="http://schemas.openxmlformats.org/officeDocument/2006/relationships/oleObject" Target="embeddings/oleObject1.bin"/><Relationship Id="rId32" Type="http://schemas.openxmlformats.org/officeDocument/2006/relationships/image" Target="media/image2.png"/><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91</Pages>
  <Words>19420</Words>
  <Characters>21065</Characters>
  <Lines>0</Lines>
  <Paragraphs>0</Paragraphs>
  <TotalTime>0</TotalTime>
  <ScaleCrop>false</ScaleCrop>
  <LinksUpToDate>false</LinksUpToDate>
  <CharactersWithSpaces>21813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2024-09-29T04:36:00Z</dcterms:created>
  <dc:creator>Administrator</dc:creator>
  <cp:lastModifiedBy>wisvhnoiwnvl</cp:lastModifiedBy>
  <cp:lastPrinted>2024-09-30T01:33:00Z</cp:lastPrinted>
  <dcterms:modified xsi:type="dcterms:W3CDTF">2026-03-16T07:27:58Z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B57029E5C83C430AB84131123B4C7A5B_13</vt:lpwstr>
  </property>
  <property fmtid="{D5CDD505-2E9C-101B-9397-08002B2CF9AE}" pid="4" name="KSOTemplateDocerSaveRecord">
    <vt:lpwstr>eyJoZGlkIjoiMjgzYmU5OThlZjM2MDdhYmRjZTMzNjQ0NzZlYTFhMWQiLCJ1c2VySWQiOiIzMzc1OTIyNzgifQ==</vt:lpwstr>
  </property>
</Properties>
</file>