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15FFFB">
      <w:pPr>
        <w:pStyle w:val="139"/>
        <w:shd w:val="clear" w:color="auto" w:fill="auto"/>
        <w:wordWrap w:val="0"/>
        <w:adjustRightInd w:val="0"/>
        <w:snapToGrid w:val="0"/>
        <w:spacing w:line="360" w:lineRule="auto"/>
        <w:jc w:val="center"/>
        <w:rPr>
          <w:rFonts w:hint="default" w:ascii="宋体" w:hAnsi="宋体" w:eastAsia="宋体" w:cs="宋体"/>
          <w:b/>
          <w:snapToGrid w:val="0"/>
          <w:color w:val="auto"/>
          <w:kern w:val="0"/>
          <w:sz w:val="44"/>
          <w:szCs w:val="44"/>
          <w:highlight w:val="none"/>
          <w:lang w:val="en-US" w:eastAsia="zh-CN"/>
        </w:rPr>
      </w:pPr>
      <w:r>
        <w:rPr>
          <w:rFonts w:hint="eastAsia" w:ascii="宋体" w:hAnsi="宋体" w:eastAsia="宋体" w:cs="宋体"/>
          <w:b/>
          <w:snapToGrid w:val="0"/>
          <w:color w:val="auto"/>
          <w:kern w:val="0"/>
          <w:sz w:val="48"/>
          <w:szCs w:val="48"/>
          <w:highlight w:val="none"/>
          <w:lang w:eastAsia="zh-CN"/>
        </w:rPr>
        <w:t>仁化产业转移工业园区基础建设(二期)-韶关仁化产业园区大岭片区配套道路(G535线至新粮仓段)扩建项目监理</w:t>
      </w:r>
    </w:p>
    <w:p w14:paraId="4D975719">
      <w:pPr>
        <w:pStyle w:val="139"/>
        <w:shd w:val="clear" w:color="auto" w:fill="auto"/>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4F2AB17A">
      <w:pPr>
        <w:pStyle w:val="139"/>
        <w:shd w:val="clear" w:color="auto" w:fill="auto"/>
        <w:wordWrap w:val="0"/>
        <w:adjustRightInd w:val="0"/>
        <w:snapToGrid w:val="0"/>
        <w:spacing w:line="360" w:lineRule="auto"/>
        <w:jc w:val="center"/>
        <w:rPr>
          <w:rFonts w:hint="eastAsia" w:ascii="宋体" w:hAnsi="宋体" w:eastAsia="宋体" w:cs="宋体"/>
          <w:b/>
          <w:bCs/>
          <w:snapToGrid w:val="0"/>
          <w:color w:val="auto"/>
          <w:kern w:val="0"/>
          <w:sz w:val="52"/>
          <w:szCs w:val="52"/>
          <w:highlight w:val="none"/>
          <w:lang w:val="en-US" w:eastAsia="zh-CN"/>
        </w:rPr>
      </w:pPr>
      <w:r>
        <w:rPr>
          <w:rFonts w:hint="eastAsia" w:ascii="宋体" w:hAnsi="宋体" w:eastAsia="宋体" w:cs="宋体"/>
          <w:b/>
          <w:bCs/>
          <w:snapToGrid w:val="0"/>
          <w:color w:val="auto"/>
          <w:kern w:val="0"/>
          <w:sz w:val="96"/>
          <w:szCs w:val="96"/>
          <w:highlight w:val="none"/>
        </w:rPr>
        <w:t>招标文件</w:t>
      </w:r>
    </w:p>
    <w:p w14:paraId="2A9EC3E3">
      <w:pPr>
        <w:pStyle w:val="9"/>
        <w:shd w:val="clear" w:color="auto" w:fill="auto"/>
        <w:rPr>
          <w:rFonts w:hint="eastAsia" w:hAnsi="宋体" w:cs="宋体"/>
          <w:b/>
          <w:bCs/>
          <w:snapToGrid w:val="0"/>
          <w:color w:val="auto"/>
          <w:sz w:val="48"/>
          <w:szCs w:val="48"/>
          <w:highlight w:val="none"/>
        </w:rPr>
      </w:pPr>
    </w:p>
    <w:p w14:paraId="39FEE712">
      <w:pPr>
        <w:rPr>
          <w:rFonts w:hint="eastAsia"/>
          <w:color w:val="auto"/>
          <w:highlight w:val="none"/>
        </w:rPr>
      </w:pPr>
    </w:p>
    <w:tbl>
      <w:tblPr>
        <w:tblStyle w:val="31"/>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58"/>
              <w:spacing w:line="240" w:lineRule="auto"/>
              <w:rPr>
                <w:rFonts w:hint="eastAsia" w:hAnsi="宋体" w:cs="宋体"/>
                <w:color w:val="auto"/>
                <w:sz w:val="28"/>
                <w:szCs w:val="28"/>
                <w:highlight w:val="none"/>
              </w:rPr>
            </w:pPr>
            <w:r>
              <w:rPr>
                <w:rFonts w:hint="eastAsia" w:hAnsi="宋体" w:cs="宋体"/>
                <w:color w:val="auto"/>
                <w:sz w:val="28"/>
                <w:szCs w:val="28"/>
                <w:highlight w:val="none"/>
              </w:rPr>
              <w:t>招        标        人（盖 章）：</w:t>
            </w:r>
          </w:p>
        </w:tc>
        <w:tc>
          <w:tcPr>
            <w:tcW w:w="4844" w:type="dxa"/>
            <w:noWrap w:val="0"/>
            <w:vAlign w:val="center"/>
          </w:tcPr>
          <w:p w14:paraId="29B0B35A">
            <w:pPr>
              <w:pStyle w:val="5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仁化县市政工程公司</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5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5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5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5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5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5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5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6</w:t>
            </w:r>
            <w:r>
              <w:rPr>
                <w:rFonts w:hint="eastAsia" w:hAnsi="宋体" w:cs="宋体"/>
                <w:color w:val="auto"/>
                <w:sz w:val="28"/>
                <w:highlight w:val="none"/>
              </w:rPr>
              <w:t>月</w:t>
            </w:r>
          </w:p>
        </w:tc>
      </w:tr>
    </w:tbl>
    <w:p w14:paraId="7EA4ECD4">
      <w:pPr>
        <w:pStyle w:val="117"/>
        <w:tabs>
          <w:tab w:val="left" w:pos="1890"/>
          <w:tab w:val="left" w:pos="4935"/>
        </w:tabs>
        <w:rPr>
          <w:rFonts w:hint="eastAsia" w:ascii="宋体" w:hAnsi="宋体" w:eastAsia="宋体" w:cs="宋体"/>
          <w:b/>
          <w:color w:val="auto"/>
          <w:sz w:val="28"/>
          <w:szCs w:val="28"/>
          <w:highlight w:val="none"/>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p>
    <w:p w14:paraId="5622FE62">
      <w:pPr>
        <w:spacing w:line="240" w:lineRule="auto"/>
        <w:jc w:val="center"/>
        <w:rPr>
          <w:rFonts w:hAnsi="宋体"/>
          <w:b/>
          <w:bCs/>
          <w:color w:val="auto"/>
          <w:sz w:val="36"/>
          <w:szCs w:val="32"/>
          <w:highlight w:val="none"/>
        </w:rPr>
      </w:pPr>
    </w:p>
    <w:p w14:paraId="69F1A1E8">
      <w:pPr>
        <w:spacing w:line="240" w:lineRule="auto"/>
        <w:jc w:val="center"/>
        <w:rPr>
          <w:rFonts w:hAnsi="宋体"/>
          <w:b/>
          <w:bCs/>
          <w:color w:val="auto"/>
          <w:sz w:val="36"/>
          <w:szCs w:val="32"/>
          <w:highlight w:val="none"/>
        </w:rPr>
      </w:pPr>
    </w:p>
    <w:p w14:paraId="6E8E77DF">
      <w:pPr>
        <w:spacing w:line="240" w:lineRule="auto"/>
        <w:jc w:val="center"/>
        <w:rPr>
          <w:rFonts w:hAnsi="宋体"/>
          <w:b/>
          <w:bCs/>
          <w:color w:val="auto"/>
          <w:sz w:val="36"/>
          <w:szCs w:val="32"/>
          <w:highlight w:val="none"/>
        </w:rPr>
      </w:pPr>
    </w:p>
    <w:p w14:paraId="0673B8DD">
      <w:pPr>
        <w:spacing w:line="240" w:lineRule="auto"/>
        <w:jc w:val="center"/>
        <w:rPr>
          <w:rFonts w:hAnsi="宋体"/>
          <w:b/>
          <w:bCs/>
          <w:color w:val="auto"/>
          <w:sz w:val="36"/>
          <w:szCs w:val="32"/>
          <w:highlight w:val="none"/>
        </w:rPr>
      </w:pPr>
    </w:p>
    <w:p w14:paraId="066D72AA">
      <w:pPr>
        <w:spacing w:line="240" w:lineRule="auto"/>
        <w:jc w:val="center"/>
        <w:rPr>
          <w:rFonts w:hAnsi="宋体"/>
          <w:b/>
          <w:bCs/>
          <w:color w:val="auto"/>
          <w:sz w:val="36"/>
          <w:szCs w:val="32"/>
          <w:highlight w:val="none"/>
        </w:rPr>
      </w:pPr>
    </w:p>
    <w:p w14:paraId="06076F0C">
      <w:pPr>
        <w:spacing w:line="240" w:lineRule="auto"/>
        <w:jc w:val="center"/>
        <w:rPr>
          <w:rFonts w:hAnsi="宋体"/>
          <w:b/>
          <w:bCs/>
          <w:color w:val="auto"/>
          <w:sz w:val="36"/>
          <w:szCs w:val="32"/>
          <w:highlight w:val="none"/>
        </w:rPr>
      </w:pPr>
    </w:p>
    <w:p w14:paraId="4AA42975">
      <w:pPr>
        <w:spacing w:line="240" w:lineRule="auto"/>
        <w:jc w:val="center"/>
        <w:rPr>
          <w:rFonts w:hAnsi="宋体"/>
          <w:b/>
          <w:bCs/>
          <w:color w:val="auto"/>
          <w:sz w:val="36"/>
          <w:szCs w:val="32"/>
          <w:highlight w:val="none"/>
        </w:rPr>
      </w:pPr>
    </w:p>
    <w:p w14:paraId="712A9EE3">
      <w:pPr>
        <w:spacing w:line="240" w:lineRule="auto"/>
        <w:jc w:val="center"/>
        <w:rPr>
          <w:rFonts w:hAnsi="宋体"/>
          <w:b/>
          <w:bCs/>
          <w:color w:val="auto"/>
          <w:sz w:val="36"/>
          <w:szCs w:val="32"/>
          <w:highlight w:val="none"/>
        </w:rPr>
      </w:pPr>
    </w:p>
    <w:p w14:paraId="649DA885">
      <w:pPr>
        <w:spacing w:line="240" w:lineRule="auto"/>
        <w:jc w:val="center"/>
        <w:rPr>
          <w:rFonts w:hAnsi="宋体"/>
          <w:b/>
          <w:bCs/>
          <w:color w:val="auto"/>
          <w:sz w:val="36"/>
          <w:szCs w:val="32"/>
          <w:highlight w:val="none"/>
        </w:rPr>
      </w:pPr>
    </w:p>
    <w:p w14:paraId="7C72B544">
      <w:pPr>
        <w:spacing w:line="240" w:lineRule="auto"/>
        <w:jc w:val="center"/>
        <w:rPr>
          <w:rFonts w:hAnsi="宋体"/>
          <w:b/>
          <w:bCs/>
          <w:color w:val="auto"/>
          <w:sz w:val="36"/>
          <w:szCs w:val="32"/>
          <w:highlight w:val="none"/>
        </w:rPr>
      </w:pPr>
    </w:p>
    <w:p w14:paraId="0127A458">
      <w:pPr>
        <w:spacing w:line="240" w:lineRule="auto"/>
        <w:jc w:val="center"/>
        <w:rPr>
          <w:rFonts w:hAnsi="宋体"/>
          <w:b/>
          <w:bCs/>
          <w:color w:val="auto"/>
          <w:sz w:val="36"/>
          <w:szCs w:val="32"/>
          <w:highlight w:val="none"/>
        </w:rPr>
      </w:pPr>
    </w:p>
    <w:p w14:paraId="5807610B">
      <w:pPr>
        <w:spacing w:line="240" w:lineRule="auto"/>
        <w:jc w:val="center"/>
        <w:rPr>
          <w:rFonts w:hAnsi="宋体"/>
          <w:b/>
          <w:bCs/>
          <w:color w:val="auto"/>
          <w:sz w:val="36"/>
          <w:szCs w:val="32"/>
          <w:highlight w:val="none"/>
        </w:rPr>
      </w:pPr>
    </w:p>
    <w:p w14:paraId="377FA8EA">
      <w:pPr>
        <w:spacing w:line="240" w:lineRule="auto"/>
        <w:jc w:val="center"/>
        <w:rPr>
          <w:rFonts w:hAnsi="宋体"/>
          <w:b/>
          <w:bCs/>
          <w:color w:val="auto"/>
          <w:sz w:val="36"/>
          <w:szCs w:val="32"/>
          <w:highlight w:val="none"/>
        </w:rPr>
      </w:pPr>
    </w:p>
    <w:p w14:paraId="3A5D36E6">
      <w:pPr>
        <w:spacing w:line="240" w:lineRule="auto"/>
        <w:jc w:val="center"/>
        <w:rPr>
          <w:rFonts w:hAnsi="宋体"/>
          <w:b/>
          <w:bCs/>
          <w:color w:val="auto"/>
          <w:sz w:val="36"/>
          <w:szCs w:val="32"/>
          <w:highlight w:val="none"/>
        </w:rPr>
      </w:pPr>
    </w:p>
    <w:p w14:paraId="6BF51DFE">
      <w:pPr>
        <w:spacing w:line="240" w:lineRule="auto"/>
        <w:jc w:val="center"/>
        <w:rPr>
          <w:rFonts w:hAnsi="宋体"/>
          <w:b/>
          <w:bCs/>
          <w:color w:val="auto"/>
          <w:sz w:val="36"/>
          <w:szCs w:val="32"/>
          <w:highlight w:val="none"/>
        </w:rPr>
      </w:pPr>
    </w:p>
    <w:p w14:paraId="552BED8F">
      <w:pPr>
        <w:spacing w:line="240" w:lineRule="auto"/>
        <w:jc w:val="center"/>
        <w:rPr>
          <w:rFonts w:hAnsi="宋体"/>
          <w:b/>
          <w:bCs/>
          <w:color w:val="auto"/>
          <w:sz w:val="36"/>
          <w:szCs w:val="32"/>
          <w:highlight w:val="none"/>
        </w:rPr>
      </w:pPr>
    </w:p>
    <w:p w14:paraId="7D3D645E">
      <w:pPr>
        <w:spacing w:line="240" w:lineRule="auto"/>
        <w:jc w:val="center"/>
        <w:rPr>
          <w:rFonts w:hAnsi="宋体"/>
          <w:b/>
          <w:bCs/>
          <w:color w:val="auto"/>
          <w:sz w:val="36"/>
          <w:szCs w:val="32"/>
          <w:highlight w:val="none"/>
        </w:rPr>
      </w:pPr>
    </w:p>
    <w:p w14:paraId="76CE8816">
      <w:pPr>
        <w:spacing w:line="240" w:lineRule="auto"/>
        <w:jc w:val="center"/>
        <w:rPr>
          <w:rFonts w:hAnsi="宋体"/>
          <w:b/>
          <w:bCs/>
          <w:color w:val="auto"/>
          <w:sz w:val="36"/>
          <w:szCs w:val="32"/>
          <w:highlight w:val="none"/>
        </w:rPr>
      </w:pPr>
    </w:p>
    <w:p w14:paraId="38560CB3">
      <w:pPr>
        <w:spacing w:line="240" w:lineRule="auto"/>
        <w:jc w:val="center"/>
        <w:rPr>
          <w:rFonts w:hAnsi="宋体"/>
          <w:b/>
          <w:bCs/>
          <w:color w:val="auto"/>
          <w:sz w:val="36"/>
          <w:szCs w:val="32"/>
          <w:highlight w:val="none"/>
        </w:rPr>
      </w:pPr>
    </w:p>
    <w:p w14:paraId="731862A0">
      <w:pPr>
        <w:spacing w:line="240" w:lineRule="auto"/>
        <w:jc w:val="center"/>
        <w:rPr>
          <w:rFonts w:hAnsi="宋体"/>
          <w:b/>
          <w:bCs/>
          <w:color w:val="auto"/>
          <w:sz w:val="36"/>
          <w:szCs w:val="32"/>
          <w:highlight w:val="none"/>
        </w:rPr>
      </w:pPr>
    </w:p>
    <w:p w14:paraId="04151467">
      <w:pPr>
        <w:spacing w:line="240" w:lineRule="auto"/>
        <w:jc w:val="center"/>
        <w:rPr>
          <w:rFonts w:hAnsi="宋体"/>
          <w:b/>
          <w:bCs/>
          <w:color w:val="auto"/>
          <w:sz w:val="36"/>
          <w:szCs w:val="32"/>
          <w:highlight w:val="none"/>
        </w:rPr>
      </w:pPr>
    </w:p>
    <w:p w14:paraId="08CC9B48">
      <w:pPr>
        <w:spacing w:line="240" w:lineRule="auto"/>
        <w:jc w:val="center"/>
        <w:rPr>
          <w:rFonts w:hAnsi="宋体"/>
          <w:b/>
          <w:bCs/>
          <w:color w:val="auto"/>
          <w:sz w:val="36"/>
          <w:szCs w:val="32"/>
          <w:highlight w:val="none"/>
        </w:rPr>
      </w:pPr>
    </w:p>
    <w:p w14:paraId="28D3C11D">
      <w:pPr>
        <w:spacing w:line="240" w:lineRule="auto"/>
        <w:jc w:val="center"/>
        <w:rPr>
          <w:rFonts w:hAnsi="宋体"/>
          <w:b/>
          <w:bCs/>
          <w:color w:val="auto"/>
          <w:sz w:val="36"/>
          <w:szCs w:val="32"/>
          <w:highlight w:val="none"/>
        </w:rPr>
      </w:pPr>
    </w:p>
    <w:p w14:paraId="0B126239">
      <w:pPr>
        <w:spacing w:line="240" w:lineRule="auto"/>
        <w:jc w:val="center"/>
        <w:rPr>
          <w:rFonts w:hAnsi="宋体"/>
          <w:b/>
          <w:bCs/>
          <w:color w:val="auto"/>
          <w:sz w:val="36"/>
          <w:szCs w:val="32"/>
          <w:highlight w:val="none"/>
        </w:rPr>
      </w:pPr>
    </w:p>
    <w:p w14:paraId="0A444587">
      <w:pPr>
        <w:spacing w:line="240" w:lineRule="auto"/>
        <w:jc w:val="center"/>
        <w:rPr>
          <w:rFonts w:hAnsi="宋体"/>
          <w:b/>
          <w:bCs/>
          <w:color w:val="auto"/>
          <w:sz w:val="36"/>
          <w:szCs w:val="32"/>
          <w:highlight w:val="none"/>
        </w:rPr>
      </w:pPr>
    </w:p>
    <w:p w14:paraId="033CBDF4">
      <w:pPr>
        <w:spacing w:line="240" w:lineRule="auto"/>
        <w:jc w:val="center"/>
        <w:rPr>
          <w:rFonts w:hAnsi="宋体"/>
          <w:b/>
          <w:bCs/>
          <w:color w:val="auto"/>
          <w:sz w:val="36"/>
          <w:szCs w:val="32"/>
          <w:highlight w:val="none"/>
        </w:rPr>
      </w:pPr>
    </w:p>
    <w:p w14:paraId="3625DE91">
      <w:pPr>
        <w:spacing w:line="240" w:lineRule="auto"/>
        <w:jc w:val="center"/>
        <w:rPr>
          <w:rFonts w:hAnsi="宋体"/>
          <w:b/>
          <w:bCs/>
          <w:color w:val="auto"/>
          <w:sz w:val="36"/>
          <w:szCs w:val="32"/>
          <w:highlight w:val="none"/>
        </w:rPr>
      </w:pPr>
    </w:p>
    <w:p w14:paraId="7EEE2A6C">
      <w:pPr>
        <w:spacing w:line="240" w:lineRule="auto"/>
        <w:jc w:val="center"/>
        <w:rPr>
          <w:rFonts w:hAnsi="宋体"/>
          <w:b/>
          <w:bCs/>
          <w:color w:val="auto"/>
          <w:sz w:val="36"/>
          <w:szCs w:val="32"/>
          <w:highlight w:val="none"/>
        </w:rPr>
      </w:pPr>
    </w:p>
    <w:p w14:paraId="247BB27E">
      <w:pPr>
        <w:spacing w:line="240" w:lineRule="auto"/>
        <w:jc w:val="center"/>
        <w:rPr>
          <w:rFonts w:hAnsi="宋体"/>
          <w:b/>
          <w:bCs/>
          <w:color w:val="auto"/>
          <w:sz w:val="36"/>
          <w:szCs w:val="32"/>
          <w:highlight w:val="none"/>
        </w:r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019C3AC6">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_Toc18357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第一章 投标人须知</w:t>
      </w:r>
      <w:r>
        <w:rPr>
          <w:b/>
          <w:bCs/>
          <w:color w:val="auto"/>
          <w:highlight w:val="none"/>
        </w:rPr>
        <w:tab/>
      </w:r>
      <w:r>
        <w:rPr>
          <w:b/>
          <w:bCs/>
          <w:color w:val="auto"/>
          <w:highlight w:val="none"/>
        </w:rPr>
        <w:fldChar w:fldCharType="begin"/>
      </w:r>
      <w:r>
        <w:rPr>
          <w:b/>
          <w:bCs/>
          <w:color w:val="auto"/>
          <w:highlight w:val="none"/>
        </w:rPr>
        <w:instrText xml:space="preserve"> PAGEREF _Toc18357 \h </w:instrText>
      </w:r>
      <w:r>
        <w:rPr>
          <w:b/>
          <w:bCs/>
          <w:color w:val="auto"/>
          <w:highlight w:val="none"/>
        </w:rPr>
        <w:fldChar w:fldCharType="separate"/>
      </w:r>
      <w:r>
        <w:rPr>
          <w:b/>
          <w:bCs/>
          <w:color w:val="auto"/>
          <w:highlight w:val="none"/>
        </w:rPr>
        <w:t>4</w:t>
      </w:r>
      <w:r>
        <w:rPr>
          <w:b/>
          <w:bCs/>
          <w:color w:val="auto"/>
          <w:highlight w:val="none"/>
        </w:rPr>
        <w:fldChar w:fldCharType="end"/>
      </w:r>
      <w:r>
        <w:rPr>
          <w:rFonts w:hint="eastAsia" w:hAnsi="宋体" w:cs="宋体"/>
          <w:b/>
          <w:bCs/>
          <w:color w:val="auto"/>
          <w:szCs w:val="24"/>
          <w:highlight w:val="none"/>
        </w:rPr>
        <w:fldChar w:fldCharType="end"/>
      </w:r>
    </w:p>
    <w:p w14:paraId="57F1E274">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_Toc1463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_Toc1463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57CA3091">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_Toc10191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_Toc10191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504D8C73">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_Toc5529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_Toc5529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71379DBA">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_Toc22199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_Toc22199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71DA38F9">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_Toc8159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_Toc8159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6B2FC6EB">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_Toc23314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_Toc23314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5F073A21">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_Toc28899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_Toc28899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0F95C6F4">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_Toc30430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_Toc30430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147AADB3">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_Toc30102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_Toc30102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5D18F943">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_Toc21156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_Toc21156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15B49BBD">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_Toc20044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_Toc20044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4150DC79">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_Toc1935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_Toc1935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78516357">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_Toc26881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_Toc26881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49CC8296">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_Toc10022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_Toc10022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768D3F81">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_Toc26299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_Toc26299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36970615">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_Toc5536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_Toc5536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31500035">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_Toc27886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_Toc27886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05DDDFEF">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_Toc29759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_Toc29759 \h </w:instrText>
      </w:r>
      <w:r>
        <w:rPr>
          <w:color w:val="auto"/>
          <w:highlight w:val="none"/>
        </w:rPr>
        <w:fldChar w:fldCharType="separate"/>
      </w:r>
      <w:r>
        <w:rPr>
          <w:color w:val="auto"/>
          <w:highlight w:val="none"/>
        </w:rPr>
        <w:t>24</w:t>
      </w:r>
      <w:r>
        <w:rPr>
          <w:color w:val="auto"/>
          <w:highlight w:val="none"/>
        </w:rPr>
        <w:fldChar w:fldCharType="end"/>
      </w:r>
      <w:r>
        <w:rPr>
          <w:rFonts w:hint="eastAsia" w:hAnsi="宋体" w:cs="宋体"/>
          <w:color w:val="auto"/>
          <w:szCs w:val="24"/>
          <w:highlight w:val="none"/>
        </w:rPr>
        <w:fldChar w:fldCharType="end"/>
      </w:r>
    </w:p>
    <w:p w14:paraId="7B214CB0">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_Toc19214 </w:instrText>
      </w:r>
      <w:r>
        <w:rPr>
          <w:rFonts w:hint="eastAsia" w:hAnsi="宋体" w:cs="宋体"/>
          <w:color w:val="auto"/>
          <w:szCs w:val="24"/>
          <w:highlight w:val="none"/>
        </w:rPr>
        <w:fldChar w:fldCharType="separate"/>
      </w:r>
      <w:r>
        <w:rPr>
          <w:rFonts w:hint="eastAsia" w:ascii="宋体" w:hAnsi="宋体" w:eastAsia="宋体" w:cs="宋体"/>
          <w:bCs/>
          <w:color w:val="auto"/>
          <w:szCs w:val="22"/>
          <w:highlight w:val="none"/>
        </w:rPr>
        <w:t>表1 综合评分表</w:t>
      </w:r>
      <w:r>
        <w:rPr>
          <w:color w:val="auto"/>
          <w:highlight w:val="none"/>
        </w:rPr>
        <w:tab/>
      </w:r>
      <w:r>
        <w:rPr>
          <w:color w:val="auto"/>
          <w:highlight w:val="none"/>
        </w:rPr>
        <w:fldChar w:fldCharType="begin"/>
      </w:r>
      <w:r>
        <w:rPr>
          <w:color w:val="auto"/>
          <w:highlight w:val="none"/>
        </w:rPr>
        <w:instrText xml:space="preserve"> PAGEREF _Toc19214 \h </w:instrText>
      </w:r>
      <w:r>
        <w:rPr>
          <w:color w:val="auto"/>
          <w:highlight w:val="none"/>
        </w:rPr>
        <w:fldChar w:fldCharType="separate"/>
      </w:r>
      <w:r>
        <w:rPr>
          <w:color w:val="auto"/>
          <w:highlight w:val="none"/>
        </w:rPr>
        <w:t>28</w:t>
      </w:r>
      <w:r>
        <w:rPr>
          <w:color w:val="auto"/>
          <w:highlight w:val="none"/>
        </w:rPr>
        <w:fldChar w:fldCharType="end"/>
      </w:r>
      <w:r>
        <w:rPr>
          <w:rFonts w:hint="eastAsia" w:hAnsi="宋体" w:cs="宋体"/>
          <w:color w:val="auto"/>
          <w:szCs w:val="24"/>
          <w:highlight w:val="none"/>
        </w:rPr>
        <w:fldChar w:fldCharType="end"/>
      </w:r>
    </w:p>
    <w:p w14:paraId="611E66B8">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_Toc24046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_Toc24046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CBF7E85">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_Toc9239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_Toc9239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DA1461E">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_Toc22253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_Toc22253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419D1B88">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_Toc24939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_Toc24939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35E490C1">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_Toc31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22288D85">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_Toc13284 </w:instrText>
      </w:r>
      <w:r>
        <w:rPr>
          <w:rFonts w:hint="eastAsia" w:hAnsi="宋体" w:cs="宋体"/>
          <w:color w:val="auto"/>
          <w:szCs w:val="24"/>
          <w:highlight w:val="none"/>
        </w:rPr>
        <w:fldChar w:fldCharType="separate"/>
      </w:r>
      <w:r>
        <w:rPr>
          <w:rFonts w:hint="eastAsia" w:ascii="宋体" w:hAnsi="宋体" w:eastAsia="宋体" w:cs="宋体"/>
          <w:bCs/>
          <w:color w:val="auto"/>
          <w:highlight w:val="none"/>
          <w:lang w:val="en-US" w:eastAsia="zh-CN"/>
        </w:rPr>
        <w:t>第五节 定标规定及细则</w:t>
      </w:r>
      <w:r>
        <w:rPr>
          <w:color w:val="auto"/>
          <w:highlight w:val="none"/>
        </w:rPr>
        <w:tab/>
      </w:r>
      <w:r>
        <w:rPr>
          <w:color w:val="auto"/>
          <w:highlight w:val="none"/>
        </w:rPr>
        <w:fldChar w:fldCharType="begin"/>
      </w:r>
      <w:r>
        <w:rPr>
          <w:color w:val="auto"/>
          <w:highlight w:val="none"/>
        </w:rPr>
        <w:instrText xml:space="preserve"> PAGEREF _Toc13284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4BA8ECDE">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_Toc18852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1</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定标规定</w:t>
      </w:r>
      <w:r>
        <w:rPr>
          <w:color w:val="auto"/>
          <w:highlight w:val="none"/>
        </w:rPr>
        <w:tab/>
      </w:r>
      <w:r>
        <w:rPr>
          <w:color w:val="auto"/>
          <w:highlight w:val="none"/>
        </w:rPr>
        <w:fldChar w:fldCharType="begin"/>
      </w:r>
      <w:r>
        <w:rPr>
          <w:color w:val="auto"/>
          <w:highlight w:val="none"/>
        </w:rPr>
        <w:instrText xml:space="preserve"> PAGEREF _Toc18852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26934B04">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_Toc4905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2.定标细则</w:t>
      </w:r>
      <w:r>
        <w:rPr>
          <w:color w:val="auto"/>
          <w:highlight w:val="none"/>
        </w:rPr>
        <w:tab/>
      </w:r>
      <w:r>
        <w:rPr>
          <w:color w:val="auto"/>
          <w:highlight w:val="none"/>
        </w:rPr>
        <w:fldChar w:fldCharType="begin"/>
      </w:r>
      <w:r>
        <w:rPr>
          <w:color w:val="auto"/>
          <w:highlight w:val="none"/>
        </w:rPr>
        <w:instrText xml:space="preserve"> PAGEREF _Toc4905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715A5E73">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_Toc31869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3.定标结果公示</w:t>
      </w:r>
      <w:r>
        <w:rPr>
          <w:color w:val="auto"/>
          <w:highlight w:val="none"/>
        </w:rPr>
        <w:tab/>
      </w:r>
      <w:r>
        <w:rPr>
          <w:color w:val="auto"/>
          <w:highlight w:val="none"/>
        </w:rPr>
        <w:fldChar w:fldCharType="begin"/>
      </w:r>
      <w:r>
        <w:rPr>
          <w:color w:val="auto"/>
          <w:highlight w:val="none"/>
        </w:rPr>
        <w:instrText xml:space="preserve"> PAGEREF _Toc31869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5D51B13">
      <w:pPr>
        <w:pStyle w:val="1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_Toc31812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4.中标确认</w:t>
      </w:r>
      <w:r>
        <w:rPr>
          <w:color w:val="auto"/>
          <w:highlight w:val="none"/>
        </w:rPr>
        <w:tab/>
      </w:r>
      <w:r>
        <w:rPr>
          <w:color w:val="auto"/>
          <w:highlight w:val="none"/>
        </w:rPr>
        <w:fldChar w:fldCharType="begin"/>
      </w:r>
      <w:r>
        <w:rPr>
          <w:color w:val="auto"/>
          <w:highlight w:val="none"/>
        </w:rPr>
        <w:instrText xml:space="preserve"> PAGEREF _Toc31812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4799FF30">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_Toc24921 </w:instrText>
      </w:r>
      <w:r>
        <w:rPr>
          <w:rFonts w:hint="eastAsia" w:hAnsi="宋体" w:cs="宋体"/>
          <w:b/>
          <w:bCs/>
          <w:color w:val="auto"/>
          <w:szCs w:val="24"/>
          <w:highlight w:val="none"/>
        </w:rPr>
        <w:fldChar w:fldCharType="separate"/>
      </w:r>
      <w:r>
        <w:rPr>
          <w:rFonts w:hint="eastAsia" w:hAnsi="宋体" w:cs="宋体"/>
          <w:b/>
          <w:bCs/>
          <w:snapToGrid w:val="0"/>
          <w:color w:val="auto"/>
          <w:szCs w:val="22"/>
          <w:highlight w:val="none"/>
        </w:rPr>
        <w:t>第二章 中标人须知</w:t>
      </w:r>
      <w:r>
        <w:rPr>
          <w:b/>
          <w:bCs/>
          <w:color w:val="auto"/>
          <w:highlight w:val="none"/>
        </w:rPr>
        <w:tab/>
      </w:r>
      <w:r>
        <w:rPr>
          <w:b/>
          <w:bCs/>
          <w:color w:val="auto"/>
          <w:highlight w:val="none"/>
        </w:rPr>
        <w:fldChar w:fldCharType="begin"/>
      </w:r>
      <w:r>
        <w:rPr>
          <w:b/>
          <w:bCs/>
          <w:color w:val="auto"/>
          <w:highlight w:val="none"/>
        </w:rPr>
        <w:instrText xml:space="preserve"> PAGEREF _Toc24921 \h </w:instrText>
      </w:r>
      <w:r>
        <w:rPr>
          <w:b/>
          <w:bCs/>
          <w:color w:val="auto"/>
          <w:highlight w:val="none"/>
        </w:rPr>
        <w:fldChar w:fldCharType="separate"/>
      </w:r>
      <w:r>
        <w:rPr>
          <w:b/>
          <w:bCs/>
          <w:color w:val="auto"/>
          <w:highlight w:val="none"/>
        </w:rPr>
        <w:t>43</w:t>
      </w:r>
      <w:r>
        <w:rPr>
          <w:b/>
          <w:bCs/>
          <w:color w:val="auto"/>
          <w:highlight w:val="none"/>
        </w:rPr>
        <w:fldChar w:fldCharType="end"/>
      </w:r>
      <w:r>
        <w:rPr>
          <w:rFonts w:hint="eastAsia" w:hAnsi="宋体" w:cs="宋体"/>
          <w:b/>
          <w:bCs/>
          <w:color w:val="auto"/>
          <w:szCs w:val="24"/>
          <w:highlight w:val="none"/>
        </w:rPr>
        <w:fldChar w:fldCharType="end"/>
      </w:r>
    </w:p>
    <w:p w14:paraId="7444D212">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_Toc29124 </w:instrText>
      </w:r>
      <w:r>
        <w:rPr>
          <w:rFonts w:hint="eastAsia" w:hAnsi="宋体" w:cs="宋体"/>
          <w:b/>
          <w:bCs/>
          <w:color w:val="auto"/>
          <w:szCs w:val="24"/>
          <w:highlight w:val="none"/>
        </w:rPr>
        <w:fldChar w:fldCharType="separate"/>
      </w:r>
      <w:r>
        <w:rPr>
          <w:rFonts w:hint="eastAsia" w:hAnsi="宋体" w:cs="宋体"/>
          <w:b/>
          <w:bCs/>
          <w:snapToGrid w:val="0"/>
          <w:color w:val="auto"/>
          <w:szCs w:val="32"/>
          <w:highlight w:val="none"/>
        </w:rPr>
        <w:t>第三章 拟签订合同的主要条款</w:t>
      </w:r>
      <w:r>
        <w:rPr>
          <w:b/>
          <w:bCs/>
          <w:color w:val="auto"/>
          <w:highlight w:val="none"/>
        </w:rPr>
        <w:tab/>
      </w:r>
      <w:r>
        <w:rPr>
          <w:b/>
          <w:bCs/>
          <w:color w:val="auto"/>
          <w:highlight w:val="none"/>
        </w:rPr>
        <w:fldChar w:fldCharType="begin"/>
      </w:r>
      <w:r>
        <w:rPr>
          <w:b/>
          <w:bCs/>
          <w:color w:val="auto"/>
          <w:highlight w:val="none"/>
        </w:rPr>
        <w:instrText xml:space="preserve"> PAGEREF _Toc29124 \h </w:instrText>
      </w:r>
      <w:r>
        <w:rPr>
          <w:b/>
          <w:bCs/>
          <w:color w:val="auto"/>
          <w:highlight w:val="none"/>
        </w:rPr>
        <w:fldChar w:fldCharType="separate"/>
      </w:r>
      <w:r>
        <w:rPr>
          <w:b/>
          <w:bCs/>
          <w:color w:val="auto"/>
          <w:highlight w:val="none"/>
        </w:rPr>
        <w:t>47</w:t>
      </w:r>
      <w:r>
        <w:rPr>
          <w:b/>
          <w:bCs/>
          <w:color w:val="auto"/>
          <w:highlight w:val="none"/>
        </w:rPr>
        <w:fldChar w:fldCharType="end"/>
      </w:r>
      <w:r>
        <w:rPr>
          <w:rFonts w:hint="eastAsia" w:hAnsi="宋体" w:cs="宋体"/>
          <w:b/>
          <w:bCs/>
          <w:color w:val="auto"/>
          <w:szCs w:val="24"/>
          <w:highlight w:val="none"/>
        </w:rPr>
        <w:fldChar w:fldCharType="end"/>
      </w:r>
    </w:p>
    <w:p w14:paraId="38D358C6">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_Toc21170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第四章 技术要求</w:t>
      </w:r>
      <w:r>
        <w:rPr>
          <w:b/>
          <w:bCs/>
          <w:color w:val="auto"/>
          <w:highlight w:val="none"/>
        </w:rPr>
        <w:tab/>
      </w:r>
      <w:r>
        <w:rPr>
          <w:b/>
          <w:bCs/>
          <w:color w:val="auto"/>
          <w:highlight w:val="none"/>
        </w:rPr>
        <w:fldChar w:fldCharType="begin"/>
      </w:r>
      <w:r>
        <w:rPr>
          <w:b/>
          <w:bCs/>
          <w:color w:val="auto"/>
          <w:highlight w:val="none"/>
        </w:rPr>
        <w:instrText xml:space="preserve"> PAGEREF _Toc21170 \h </w:instrText>
      </w:r>
      <w:r>
        <w:rPr>
          <w:b/>
          <w:bCs/>
          <w:color w:val="auto"/>
          <w:highlight w:val="none"/>
        </w:rPr>
        <w:fldChar w:fldCharType="separate"/>
      </w:r>
      <w:r>
        <w:rPr>
          <w:b/>
          <w:bCs/>
          <w:color w:val="auto"/>
          <w:highlight w:val="none"/>
        </w:rPr>
        <w:t>61</w:t>
      </w:r>
      <w:r>
        <w:rPr>
          <w:b/>
          <w:bCs/>
          <w:color w:val="auto"/>
          <w:highlight w:val="none"/>
        </w:rPr>
        <w:fldChar w:fldCharType="end"/>
      </w:r>
      <w:r>
        <w:rPr>
          <w:rFonts w:hint="eastAsia" w:hAnsi="宋体" w:cs="宋体"/>
          <w:b/>
          <w:bCs/>
          <w:color w:val="auto"/>
          <w:szCs w:val="24"/>
          <w:highlight w:val="none"/>
        </w:rPr>
        <w:fldChar w:fldCharType="end"/>
      </w:r>
    </w:p>
    <w:p w14:paraId="57533698">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_Toc23308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第五章 投标文件格式</w:t>
      </w:r>
      <w:r>
        <w:rPr>
          <w:b/>
          <w:bCs/>
          <w:color w:val="auto"/>
          <w:highlight w:val="none"/>
        </w:rPr>
        <w:tab/>
      </w:r>
      <w:r>
        <w:rPr>
          <w:b/>
          <w:bCs/>
          <w:color w:val="auto"/>
          <w:highlight w:val="none"/>
        </w:rPr>
        <w:fldChar w:fldCharType="begin"/>
      </w:r>
      <w:r>
        <w:rPr>
          <w:b/>
          <w:bCs/>
          <w:color w:val="auto"/>
          <w:highlight w:val="none"/>
        </w:rPr>
        <w:instrText xml:space="preserve"> PAGEREF _Toc23308 \h </w:instrText>
      </w:r>
      <w:r>
        <w:rPr>
          <w:b/>
          <w:bCs/>
          <w:color w:val="auto"/>
          <w:highlight w:val="none"/>
        </w:rPr>
        <w:fldChar w:fldCharType="separate"/>
      </w:r>
      <w:r>
        <w:rPr>
          <w:b/>
          <w:bCs/>
          <w:color w:val="auto"/>
          <w:highlight w:val="none"/>
        </w:rPr>
        <w:t>63</w:t>
      </w:r>
      <w:r>
        <w:rPr>
          <w:b/>
          <w:bCs/>
          <w:color w:val="auto"/>
          <w:highlight w:val="none"/>
        </w:rPr>
        <w:fldChar w:fldCharType="end"/>
      </w:r>
      <w:r>
        <w:rPr>
          <w:rFonts w:hint="eastAsia" w:hAnsi="宋体" w:cs="宋体"/>
          <w:b/>
          <w:bCs/>
          <w:color w:val="auto"/>
          <w:szCs w:val="24"/>
          <w:highlight w:val="none"/>
        </w:rPr>
        <w:fldChar w:fldCharType="end"/>
      </w:r>
    </w:p>
    <w:p w14:paraId="432F9965">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_Toc3155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_Toc3155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06C583CB">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_Toc25707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_Toc25707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728E3431">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_Toc30600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_Toc30600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2C4AE918">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_Toc3697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_Toc3697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6FCE7461">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_Toc12713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_Toc12713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53617611">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_Toc17939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_Toc17939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7B29CECE">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_Toc11472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_Toc11472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79B3D443">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_Toc29211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_Toc29211 \h </w:instrText>
      </w:r>
      <w:r>
        <w:rPr>
          <w:color w:val="auto"/>
          <w:highlight w:val="none"/>
        </w:rPr>
        <w:fldChar w:fldCharType="separate"/>
      </w:r>
      <w:r>
        <w:rPr>
          <w:color w:val="auto"/>
          <w:highlight w:val="none"/>
        </w:rPr>
        <w:t>71</w:t>
      </w:r>
      <w:r>
        <w:rPr>
          <w:color w:val="auto"/>
          <w:highlight w:val="none"/>
        </w:rPr>
        <w:fldChar w:fldCharType="end"/>
      </w:r>
      <w:r>
        <w:rPr>
          <w:rFonts w:hint="eastAsia" w:hAnsi="宋体" w:cs="宋体"/>
          <w:color w:val="auto"/>
          <w:szCs w:val="24"/>
          <w:highlight w:val="none"/>
        </w:rPr>
        <w:fldChar w:fldCharType="end"/>
      </w:r>
    </w:p>
    <w:p w14:paraId="49BE3B47">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_Toc17768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_Toc17768 \h </w:instrText>
      </w:r>
      <w:r>
        <w:rPr>
          <w:color w:val="auto"/>
          <w:highlight w:val="none"/>
        </w:rPr>
        <w:fldChar w:fldCharType="separate"/>
      </w:r>
      <w:r>
        <w:rPr>
          <w:color w:val="auto"/>
          <w:highlight w:val="none"/>
        </w:rPr>
        <w:t>72</w:t>
      </w:r>
      <w:r>
        <w:rPr>
          <w:color w:val="auto"/>
          <w:highlight w:val="none"/>
        </w:rPr>
        <w:fldChar w:fldCharType="end"/>
      </w:r>
      <w:r>
        <w:rPr>
          <w:rFonts w:hint="eastAsia" w:hAnsi="宋体" w:cs="宋体"/>
          <w:color w:val="auto"/>
          <w:szCs w:val="24"/>
          <w:highlight w:val="none"/>
        </w:rPr>
        <w:fldChar w:fldCharType="end"/>
      </w:r>
    </w:p>
    <w:p w14:paraId="682398C7">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_Toc29412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_Toc29412 \h </w:instrText>
      </w:r>
      <w:r>
        <w:rPr>
          <w:color w:val="auto"/>
          <w:highlight w:val="none"/>
        </w:rPr>
        <w:fldChar w:fldCharType="separate"/>
      </w:r>
      <w:r>
        <w:rPr>
          <w:color w:val="auto"/>
          <w:highlight w:val="none"/>
        </w:rPr>
        <w:t>73</w:t>
      </w:r>
      <w:r>
        <w:rPr>
          <w:color w:val="auto"/>
          <w:highlight w:val="none"/>
        </w:rPr>
        <w:fldChar w:fldCharType="end"/>
      </w:r>
      <w:r>
        <w:rPr>
          <w:rFonts w:hint="eastAsia" w:hAnsi="宋体" w:cs="宋体"/>
          <w:color w:val="auto"/>
          <w:szCs w:val="24"/>
          <w:highlight w:val="none"/>
        </w:rPr>
        <w:fldChar w:fldCharType="end"/>
      </w:r>
    </w:p>
    <w:p w14:paraId="268DEB25">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_Toc379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_Toc379 \h </w:instrText>
      </w:r>
      <w:r>
        <w:rPr>
          <w:color w:val="auto"/>
          <w:highlight w:val="none"/>
        </w:rPr>
        <w:fldChar w:fldCharType="separate"/>
      </w:r>
      <w:r>
        <w:rPr>
          <w:color w:val="auto"/>
          <w:highlight w:val="none"/>
        </w:rPr>
        <w:t>74</w:t>
      </w:r>
      <w:r>
        <w:rPr>
          <w:color w:val="auto"/>
          <w:highlight w:val="none"/>
        </w:rPr>
        <w:fldChar w:fldCharType="end"/>
      </w:r>
      <w:r>
        <w:rPr>
          <w:rFonts w:hint="eastAsia" w:hAnsi="宋体" w:cs="宋体"/>
          <w:color w:val="auto"/>
          <w:szCs w:val="24"/>
          <w:highlight w:val="none"/>
        </w:rPr>
        <w:fldChar w:fldCharType="end"/>
      </w:r>
    </w:p>
    <w:p w14:paraId="4FEAE1BC">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_Toc10500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_Toc10500 \h </w:instrText>
      </w:r>
      <w:r>
        <w:rPr>
          <w:color w:val="auto"/>
          <w:highlight w:val="none"/>
        </w:rPr>
        <w:fldChar w:fldCharType="separate"/>
      </w:r>
      <w:r>
        <w:rPr>
          <w:color w:val="auto"/>
          <w:highlight w:val="none"/>
        </w:rPr>
        <w:t>75</w:t>
      </w:r>
      <w:r>
        <w:rPr>
          <w:color w:val="auto"/>
          <w:highlight w:val="none"/>
        </w:rPr>
        <w:fldChar w:fldCharType="end"/>
      </w:r>
      <w:r>
        <w:rPr>
          <w:rFonts w:hint="eastAsia" w:hAnsi="宋体" w:cs="宋体"/>
          <w:color w:val="auto"/>
          <w:szCs w:val="24"/>
          <w:highlight w:val="none"/>
        </w:rPr>
        <w:fldChar w:fldCharType="end"/>
      </w:r>
    </w:p>
    <w:p w14:paraId="4973C15D">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_Toc12078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_Toc12078 \h </w:instrText>
      </w:r>
      <w:r>
        <w:rPr>
          <w:color w:val="auto"/>
          <w:highlight w:val="none"/>
        </w:rPr>
        <w:fldChar w:fldCharType="separate"/>
      </w:r>
      <w:r>
        <w:rPr>
          <w:color w:val="auto"/>
          <w:highlight w:val="none"/>
        </w:rPr>
        <w:t>76</w:t>
      </w:r>
      <w:r>
        <w:rPr>
          <w:color w:val="auto"/>
          <w:highlight w:val="none"/>
        </w:rPr>
        <w:fldChar w:fldCharType="end"/>
      </w:r>
      <w:r>
        <w:rPr>
          <w:rFonts w:hint="eastAsia" w:hAnsi="宋体" w:cs="宋体"/>
          <w:color w:val="auto"/>
          <w:szCs w:val="24"/>
          <w:highlight w:val="none"/>
        </w:rPr>
        <w:fldChar w:fldCharType="end"/>
      </w:r>
    </w:p>
    <w:p w14:paraId="7DBC5EE5">
      <w:pPr>
        <w:pStyle w:val="2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_Toc591 </w:instrText>
      </w:r>
      <w:r>
        <w:rPr>
          <w:rFonts w:hint="eastAsia" w:hAnsi="宋体" w:cs="宋体"/>
          <w:color w:val="auto"/>
          <w:szCs w:val="24"/>
          <w:highlight w:val="none"/>
        </w:rPr>
        <w:fldChar w:fldCharType="separate"/>
      </w:r>
      <w:r>
        <w:rPr>
          <w:rFonts w:hint="eastAsia" w:ascii="宋体" w:hAnsi="Times New Roman" w:eastAsia="宋体" w:cs="Times New Roman"/>
          <w:bCs/>
          <w:color w:val="auto"/>
          <w:highlight w:val="none"/>
          <w:lang w:val="en-US" w:eastAsia="zh-CN"/>
        </w:rPr>
        <w:t>格式十四 定标因素评审资料</w:t>
      </w:r>
      <w:r>
        <w:rPr>
          <w:color w:val="auto"/>
          <w:highlight w:val="none"/>
        </w:rPr>
        <w:tab/>
      </w:r>
      <w:r>
        <w:rPr>
          <w:color w:val="auto"/>
          <w:highlight w:val="none"/>
        </w:rPr>
        <w:fldChar w:fldCharType="begin"/>
      </w:r>
      <w:r>
        <w:rPr>
          <w:color w:val="auto"/>
          <w:highlight w:val="none"/>
        </w:rPr>
        <w:instrText xml:space="preserve"> PAGEREF _Toc591 \h </w:instrText>
      </w:r>
      <w:r>
        <w:rPr>
          <w:color w:val="auto"/>
          <w:highlight w:val="none"/>
        </w:rPr>
        <w:fldChar w:fldCharType="separate"/>
      </w:r>
      <w:r>
        <w:rPr>
          <w:color w:val="auto"/>
          <w:highlight w:val="none"/>
        </w:rPr>
        <w:t>77</w:t>
      </w:r>
      <w:r>
        <w:rPr>
          <w:color w:val="auto"/>
          <w:highlight w:val="none"/>
        </w:rPr>
        <w:fldChar w:fldCharType="end"/>
      </w:r>
      <w:r>
        <w:rPr>
          <w:rFonts w:hint="eastAsia" w:hAnsi="宋体" w:cs="宋体"/>
          <w:color w:val="auto"/>
          <w:szCs w:val="24"/>
          <w:highlight w:val="none"/>
        </w:rPr>
        <w:fldChar w:fldCharType="end"/>
      </w:r>
    </w:p>
    <w:p w14:paraId="713CCA9B">
      <w:pPr>
        <w:pStyle w:val="21"/>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_Toc1091 </w:instrText>
      </w:r>
      <w:r>
        <w:rPr>
          <w:rFonts w:hint="eastAsia" w:hAnsi="宋体" w:cs="宋体"/>
          <w:b/>
          <w:bCs/>
          <w:color w:val="auto"/>
          <w:szCs w:val="24"/>
          <w:highlight w:val="none"/>
        </w:rPr>
        <w:fldChar w:fldCharType="separate"/>
      </w:r>
      <w:r>
        <w:rPr>
          <w:rFonts w:hint="eastAsia" w:ascii="宋体" w:hAnsi="宋体" w:cs="宋体"/>
          <w:b/>
          <w:bCs/>
          <w:color w:val="auto"/>
          <w:kern w:val="44"/>
          <w:szCs w:val="22"/>
          <w:highlight w:val="none"/>
        </w:rPr>
        <w:t>第六章 建设工程监理合同</w:t>
      </w:r>
      <w:r>
        <w:rPr>
          <w:b/>
          <w:bCs/>
          <w:color w:val="auto"/>
          <w:highlight w:val="none"/>
        </w:rPr>
        <w:tab/>
      </w:r>
      <w:r>
        <w:rPr>
          <w:b/>
          <w:bCs/>
          <w:color w:val="auto"/>
          <w:highlight w:val="none"/>
        </w:rPr>
        <w:fldChar w:fldCharType="begin"/>
      </w:r>
      <w:r>
        <w:rPr>
          <w:b/>
          <w:bCs/>
          <w:color w:val="auto"/>
          <w:highlight w:val="none"/>
        </w:rPr>
        <w:instrText xml:space="preserve"> PAGEREF _Toc1091 \h </w:instrText>
      </w:r>
      <w:r>
        <w:rPr>
          <w:b/>
          <w:bCs/>
          <w:color w:val="auto"/>
          <w:highlight w:val="none"/>
        </w:rPr>
        <w:fldChar w:fldCharType="separate"/>
      </w:r>
      <w:r>
        <w:rPr>
          <w:b/>
          <w:bCs/>
          <w:color w:val="auto"/>
          <w:highlight w:val="none"/>
        </w:rPr>
        <w:t>78</w:t>
      </w:r>
      <w:r>
        <w:rPr>
          <w:b/>
          <w:bCs/>
          <w:color w:val="auto"/>
          <w:highlight w:val="none"/>
        </w:rPr>
        <w:fldChar w:fldCharType="end"/>
      </w:r>
      <w:r>
        <w:rPr>
          <w:rFonts w:hint="eastAsia" w:hAnsi="宋体" w:cs="宋体"/>
          <w:b/>
          <w:bCs/>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11886F1D">
      <w:pPr>
        <w:pStyle w:val="5"/>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73AD38DD">
      <w:pPr>
        <w:pStyle w:val="2"/>
        <w:wordWrap w:val="0"/>
        <w:autoSpaceDE/>
        <w:autoSpaceDN/>
        <w:snapToGrid w:val="0"/>
        <w:spacing w:line="440" w:lineRule="exact"/>
        <w:jc w:val="center"/>
        <w:rPr>
          <w:rFonts w:ascii="Times New Roman"/>
          <w:b/>
          <w:snapToGrid w:val="0"/>
          <w:color w:val="auto"/>
          <w:sz w:val="32"/>
          <w:szCs w:val="22"/>
          <w:highlight w:val="none"/>
        </w:rPr>
      </w:pPr>
      <w:bookmarkStart w:id="0" w:name="_Toc18357"/>
      <w:r>
        <w:rPr>
          <w:rFonts w:hint="eastAsia" w:ascii="Times New Roman"/>
          <w:b/>
          <w:snapToGrid w:val="0"/>
          <w:color w:val="auto"/>
          <w:sz w:val="32"/>
          <w:szCs w:val="22"/>
          <w:highlight w:val="none"/>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4883"/>
      <w:bookmarkStart w:id="3" w:name="_Toc1463"/>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shd w:val="clear" w:color="auto" w:fill="auto"/>
              <w:tabs>
                <w:tab w:val="left" w:pos="1180"/>
              </w:tabs>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val="0"/>
                <w:snapToGrid w:val="0"/>
                <w:color w:val="auto"/>
                <w:kern w:val="0"/>
                <w:sz w:val="24"/>
                <w:szCs w:val="24"/>
                <w:highlight w:val="none"/>
                <w:lang w:eastAsia="zh-CN"/>
              </w:rPr>
              <w:t>仁化产业转移工业园区基础建设(二期)-韶关仁化产业园区大岭片区配套道路(G535线至新粮仓段)扩建项目监理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pStyle w:val="117"/>
              <w:shd w:val="clear" w:color="auto" w:fill="auto"/>
              <w:spacing w:line="240" w:lineRule="auto"/>
              <w:ind w:firstLine="240" w:firstLineChars="1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仁化县丹霞旅游经济开发试验区管理委员会</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802AB74">
            <w:pPr>
              <w:keepNext w:val="0"/>
              <w:keepLines w:val="0"/>
              <w:pageBreakBefore w:val="0"/>
              <w:widowControl w:val="0"/>
              <w:kinsoku/>
              <w:wordWrap w:val="0"/>
              <w:overflowPunct/>
              <w:topLinePunct w:val="0"/>
              <w:autoSpaceDE/>
              <w:autoSpaceDN/>
              <w:bidi w:val="0"/>
              <w:adjustRightInd w:val="0"/>
              <w:snapToGrid w:val="0"/>
              <w:spacing w:line="460" w:lineRule="exact"/>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仁化发展和改革局、仁化县</w:t>
            </w:r>
            <w:r>
              <w:rPr>
                <w:rFonts w:hint="eastAsia" w:ascii="宋体" w:hAnsi="宋体" w:eastAsia="宋体" w:cs="宋体"/>
                <w:color w:val="auto"/>
                <w:sz w:val="24"/>
                <w:szCs w:val="24"/>
                <w:highlight w:val="none"/>
                <w:lang w:val="en-US"/>
              </w:rPr>
              <w:t>发展改革</w:t>
            </w:r>
            <w:r>
              <w:rPr>
                <w:rFonts w:hint="eastAsia" w:ascii="宋体" w:hAnsi="宋体" w:eastAsia="宋体" w:cs="宋体"/>
                <w:color w:val="auto"/>
                <w:sz w:val="24"/>
                <w:szCs w:val="24"/>
                <w:highlight w:val="none"/>
                <w:lang w:val="en-US" w:eastAsia="zh-CN"/>
              </w:rPr>
              <w:t>和政务数据</w:t>
            </w:r>
            <w:r>
              <w:rPr>
                <w:rFonts w:hint="eastAsia" w:ascii="宋体" w:hAnsi="宋体" w:eastAsia="宋体" w:cs="宋体"/>
                <w:color w:val="auto"/>
                <w:sz w:val="24"/>
                <w:szCs w:val="24"/>
                <w:highlight w:val="none"/>
                <w:lang w:val="en-US"/>
              </w:rPr>
              <w:t>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keepNext w:val="0"/>
              <w:keepLines w:val="0"/>
              <w:pageBreakBefore w:val="0"/>
              <w:widowControl w:val="0"/>
              <w:kinsoku/>
              <w:overflowPunct/>
              <w:topLinePunct w:val="0"/>
              <w:autoSpaceDE/>
              <w:autoSpaceDN/>
              <w:bidi w:val="0"/>
              <w:spacing w:line="460" w:lineRule="exact"/>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仁发改投审【2022】84号、仁</w:t>
            </w:r>
            <w:r>
              <w:rPr>
                <w:rFonts w:hint="eastAsia" w:ascii="宋体" w:hAnsi="宋体" w:eastAsia="宋体" w:cs="宋体"/>
                <w:color w:val="auto"/>
                <w:sz w:val="24"/>
                <w:szCs w:val="24"/>
                <w:highlight w:val="none"/>
                <w:lang w:val="en-US"/>
              </w:rPr>
              <w:t>发改</w:t>
            </w:r>
            <w:r>
              <w:rPr>
                <w:rFonts w:hint="eastAsia" w:ascii="宋体" w:hAnsi="宋体" w:eastAsia="宋体" w:cs="宋体"/>
                <w:color w:val="auto"/>
                <w:sz w:val="24"/>
                <w:szCs w:val="24"/>
                <w:highlight w:val="none"/>
                <w:lang w:val="en-US" w:eastAsia="zh-CN"/>
              </w:rPr>
              <w:t>和政数</w:t>
            </w:r>
            <w:r>
              <w:rPr>
                <w:rFonts w:hint="eastAsia" w:ascii="宋体" w:hAnsi="宋体" w:eastAsia="宋体" w:cs="宋体"/>
                <w:color w:val="auto"/>
                <w:sz w:val="24"/>
                <w:szCs w:val="24"/>
                <w:highlight w:val="none"/>
                <w:lang w:val="en-US"/>
              </w:rPr>
              <w:t>投审</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7"/>
              <w:keepNext w:val="0"/>
              <w:keepLines w:val="0"/>
              <w:pageBreakBefore w:val="0"/>
              <w:widowControl w:val="0"/>
              <w:kinsoku/>
              <w:overflowPunct/>
              <w:topLinePunct w:val="0"/>
              <w:autoSpaceDE/>
              <w:autoSpaceDN/>
              <w:bidi w:val="0"/>
              <w:spacing w:line="460" w:lineRule="exact"/>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2208-440224-04-01-823973</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460" w:lineRule="exact"/>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bidi="ar-SA"/>
              </w:rPr>
              <w:t>由上级资金和县级财政资金安排解决</w:t>
            </w:r>
            <w:r>
              <w:rPr>
                <w:rFonts w:hint="eastAsia" w:ascii="宋体" w:hAnsi="宋体" w:eastAsia="宋体" w:cs="宋体"/>
                <w:color w:val="auto"/>
                <w:kern w:val="0"/>
                <w:sz w:val="24"/>
                <w:szCs w:val="24"/>
                <w:highlight w:val="none"/>
                <w:lang w:val="en-US" w:eastAsia="zh-CN" w:bidi="ar-SA"/>
              </w:rPr>
              <w:t>；100%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仁化县市政工程公司</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广东合正项目管理有限公司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设计单位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广东中颢工程设计有限公司</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rPr>
                <w:rFonts w:hint="eastAsia" w:ascii="宋体" w:hAnsi="宋体" w:eastAsia="宋体" w:cs="宋体"/>
                <w:bCs/>
                <w:snapToGrid w:val="0"/>
                <w:color w:val="auto"/>
                <w:kern w:val="0"/>
                <w:sz w:val="24"/>
                <w:szCs w:val="24"/>
                <w:highlight w:val="none"/>
                <w:lang w:val="en-US"/>
              </w:rPr>
            </w:pPr>
            <w:r>
              <w:rPr>
                <w:rFonts w:hint="eastAsia" w:ascii="宋体" w:hAnsi="宋体" w:eastAsia="宋体" w:cs="宋体"/>
                <w:color w:val="auto"/>
                <w:sz w:val="24"/>
                <w:szCs w:val="24"/>
                <w:highlight w:val="none"/>
                <w:lang w:val="en-US" w:eastAsia="zh-CN"/>
              </w:rPr>
              <w:t>韶关仁化产业园区大岭片区</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85"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78E28E24">
            <w:pPr>
              <w:keepNext w:val="0"/>
              <w:keepLines w:val="0"/>
              <w:pageBreakBefore w:val="0"/>
              <w:widowControl/>
              <w:suppressLineNumbers w:val="0"/>
              <w:shd w:val="clear" w:color="auto" w:fill="auto"/>
              <w:kinsoku/>
              <w:wordWrap/>
              <w:overflowPunct/>
              <w:topLinePunct w:val="0"/>
              <w:autoSpaceDE/>
              <w:autoSpaceDN/>
              <w:bidi w:val="0"/>
              <w:adjustRightInd/>
              <w:snapToGrid/>
              <w:spacing w:line="400" w:lineRule="exact"/>
              <w:ind w:left="0" w:leftChars="0" w:firstLine="240" w:firstLineChars="1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□建设规模：/</w:t>
            </w:r>
          </w:p>
          <w:p w14:paraId="2359EBA7">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☑建设内容：</w:t>
            </w:r>
            <w:r>
              <w:rPr>
                <w:rFonts w:hint="eastAsia" w:ascii="宋体" w:hAnsi="宋体" w:eastAsia="宋体" w:cs="宋体"/>
                <w:color w:val="auto"/>
                <w:sz w:val="24"/>
                <w:szCs w:val="24"/>
                <w:highlight w:val="none"/>
                <w:lang w:val="en-US" w:eastAsia="zh-CN"/>
              </w:rPr>
              <w:t>新建约621米道路，采用水泥混凝土路面上铺沥青，沿线完善相关交通标线及挡土墙、水渠、路灯等配套设施。</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8"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r>
              <w:rPr>
                <w:rFonts w:hint="eastAsia" w:ascii="宋体" w:hAnsi="宋体" w:eastAsia="宋体" w:cs="宋体"/>
                <w:color w:val="auto"/>
                <w:kern w:val="0"/>
                <w:sz w:val="24"/>
                <w:szCs w:val="24"/>
                <w:highlight w:val="none"/>
                <w:u w:val="none"/>
                <w:lang w:val="en-US" w:eastAsia="zh-CN"/>
              </w:rPr>
              <w:t>概算</w:t>
            </w:r>
            <w:r>
              <w:rPr>
                <w:rFonts w:hint="eastAsia" w:ascii="宋体" w:hAnsi="宋体" w:eastAsia="宋体" w:cs="宋体"/>
                <w:snapToGrid w:val="0"/>
                <w:color w:val="auto"/>
                <w:kern w:val="0"/>
                <w:sz w:val="24"/>
                <w:szCs w:val="24"/>
                <w:highlight w:val="none"/>
                <w:u w:val="none"/>
              </w:rPr>
              <w:t>投</w:t>
            </w:r>
            <w:r>
              <w:rPr>
                <w:rFonts w:hint="eastAsia" w:ascii="宋体" w:hAnsi="宋体" w:eastAsia="宋体" w:cs="宋体"/>
                <w:snapToGrid w:val="0"/>
                <w:color w:val="auto"/>
                <w:kern w:val="0"/>
                <w:sz w:val="24"/>
                <w:szCs w:val="24"/>
                <w:highlight w:val="none"/>
              </w:rPr>
              <w:t>资额</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rPr>
            </w:pPr>
            <w:r>
              <w:rPr>
                <w:rFonts w:hint="eastAsia" w:ascii="宋体" w:hAnsi="宋体" w:eastAsia="宋体" w:cs="宋体"/>
                <w:bCs/>
                <w:snapToGrid w:val="0"/>
                <w:color w:val="auto"/>
                <w:kern w:val="0"/>
                <w:sz w:val="24"/>
                <w:szCs w:val="24"/>
                <w:highlight w:val="none"/>
                <w:lang w:val="en-US" w:eastAsia="zh-CN" w:bidi="ar-SA"/>
              </w:rPr>
              <w:t>项目概算总投资966.81万元,其中工程费用643.73万元。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投标人须具备以下资质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工程监理综合资质或</w:t>
            </w:r>
            <w:r>
              <w:rPr>
                <w:rFonts w:hint="eastAsia" w:ascii="宋体" w:hAnsi="宋体" w:eastAsia="宋体" w:cs="宋体"/>
                <w:color w:val="auto"/>
                <w:sz w:val="24"/>
                <w:szCs w:val="24"/>
                <w:highlight w:val="none"/>
                <w:u w:val="single"/>
                <w:lang w:val="en-US" w:eastAsia="zh-CN"/>
              </w:rPr>
              <w:t>市政公用工程</w:t>
            </w:r>
            <w:r>
              <w:rPr>
                <w:rFonts w:hint="eastAsia" w:ascii="宋体" w:hAnsi="宋体" w:eastAsia="宋体" w:cs="宋体"/>
                <w:color w:val="auto"/>
                <w:sz w:val="24"/>
                <w:szCs w:val="24"/>
                <w:highlight w:val="none"/>
                <w:u w:val="single"/>
              </w:rPr>
              <w:t>专业监理乙级以上（含乙级）资质。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拟派总监理工程师为</w:t>
            </w:r>
            <w:r>
              <w:rPr>
                <w:rFonts w:hint="eastAsia" w:ascii="宋体" w:hAnsi="宋体" w:eastAsia="宋体" w:cs="宋体"/>
                <w:color w:val="auto"/>
                <w:sz w:val="24"/>
                <w:szCs w:val="24"/>
                <w:highlight w:val="none"/>
                <w:u w:val="single"/>
                <w:lang w:val="en-US" w:eastAsia="zh-CN"/>
              </w:rPr>
              <w:t>市政公用工程</w:t>
            </w:r>
            <w:r>
              <w:rPr>
                <w:rFonts w:hint="eastAsia" w:ascii="宋体" w:hAnsi="宋体" w:eastAsia="宋体" w:cs="宋体"/>
                <w:color w:val="auto"/>
                <w:sz w:val="24"/>
                <w:szCs w:val="24"/>
                <w:highlight w:val="none"/>
              </w:rPr>
              <w:t>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kern w:val="0"/>
                <w:sz w:val="24"/>
                <w:szCs w:val="24"/>
                <w:highlight w:val="none"/>
              </w:rPr>
              <w:t>被“信用中国”网站（https://www.creditchina.gov.cn）发布的《法人和非法人组织公共信用信息报告》列为严重失信主体名单的</w:t>
            </w:r>
            <w:r>
              <w:rPr>
                <w:rFonts w:hint="eastAsia" w:ascii="宋体" w:hAnsi="宋体" w:eastAsia="宋体" w:cs="宋体"/>
                <w:color w:val="auto"/>
                <w:sz w:val="24"/>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875"/>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75"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5B757AB9">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2875" w:type="dxa"/>
                  <w:noWrap w:val="0"/>
                  <w:vAlign w:val="center"/>
                </w:tcPr>
                <w:p w14:paraId="33309A4E">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仁化县丹霞旅游经济开发试验区管理委员会</w:t>
                  </w:r>
                </w:p>
              </w:tc>
              <w:tc>
                <w:tcPr>
                  <w:tcW w:w="2966" w:type="dxa"/>
                  <w:noWrap w:val="0"/>
                  <w:vAlign w:val="center"/>
                </w:tcPr>
                <w:p w14:paraId="3109F4A9">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eastAsia="zh-CN"/>
                    </w:rPr>
                    <w:t>业主</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28FEDDA3">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2875" w:type="dxa"/>
                  <w:noWrap w:val="0"/>
                  <w:vAlign w:val="center"/>
                </w:tcPr>
                <w:p w14:paraId="22B974FA">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仁化县市政工程公司</w:t>
                  </w:r>
                </w:p>
              </w:tc>
              <w:tc>
                <w:tcPr>
                  <w:tcW w:w="2966" w:type="dxa"/>
                  <w:noWrap w:val="0"/>
                  <w:vAlign w:val="center"/>
                </w:tcPr>
                <w:p w14:paraId="3A221F21">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74118216">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2875" w:type="dxa"/>
                  <w:noWrap w:val="0"/>
                  <w:vAlign w:val="center"/>
                </w:tcPr>
                <w:p w14:paraId="0A3FF80A">
                  <w:pPr>
                    <w:keepNext w:val="0"/>
                    <w:keepLines w:val="0"/>
                    <w:pageBreakBefore w:val="0"/>
                    <w:widowControl w:val="0"/>
                    <w:shd w:val="clear" w:color="auto" w:fill="auto"/>
                    <w:kinsoku/>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广东合正项目管理有限公司</w:t>
                  </w:r>
                </w:p>
              </w:tc>
              <w:tc>
                <w:tcPr>
                  <w:tcW w:w="2966" w:type="dxa"/>
                  <w:noWrap w:val="0"/>
                  <w:vAlign w:val="center"/>
                </w:tcPr>
                <w:p w14:paraId="5C95264F">
                  <w:pPr>
                    <w:keepNext w:val="0"/>
                    <w:keepLines w:val="0"/>
                    <w:pageBreakBefore w:val="0"/>
                    <w:widowControl w:val="0"/>
                    <w:shd w:val="clear" w:color="auto" w:fill="auto"/>
                    <w:kinsoku/>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0D97E1E8">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2875" w:type="dxa"/>
                  <w:noWrap w:val="0"/>
                  <w:vAlign w:val="center"/>
                </w:tcPr>
                <w:p w14:paraId="5DD32DF6">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广东加达工程咨询有限公司</w:t>
                  </w:r>
                </w:p>
              </w:tc>
              <w:tc>
                <w:tcPr>
                  <w:tcW w:w="2966" w:type="dxa"/>
                  <w:noWrap w:val="0"/>
                  <w:vAlign w:val="center"/>
                </w:tcPr>
                <w:p w14:paraId="0884CAA7">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为本招标项目的造价单位</w:t>
                  </w:r>
                </w:p>
              </w:tc>
            </w:tr>
            <w:tr w14:paraId="223D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2C6AB1E">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2875" w:type="dxa"/>
                  <w:noWrap w:val="0"/>
                  <w:vAlign w:val="center"/>
                </w:tcPr>
                <w:p w14:paraId="08C50894">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仁化县住房和城乡建设管理局</w:t>
                  </w:r>
                </w:p>
              </w:tc>
              <w:tc>
                <w:tcPr>
                  <w:tcW w:w="2966" w:type="dxa"/>
                  <w:noWrap w:val="0"/>
                  <w:vAlign w:val="center"/>
                </w:tcPr>
                <w:p w14:paraId="0F42C53D">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为本项目的监督部门</w:t>
                  </w:r>
                </w:p>
              </w:tc>
            </w:tr>
            <w:tr w14:paraId="760D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7A14A53A">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6</w:t>
                  </w:r>
                </w:p>
              </w:tc>
              <w:tc>
                <w:tcPr>
                  <w:tcW w:w="2875" w:type="dxa"/>
                  <w:noWrap w:val="0"/>
                  <w:vAlign w:val="center"/>
                </w:tcPr>
                <w:p w14:paraId="6505610A">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广东伟达工程咨询顾问有限公司</w:t>
                  </w:r>
                </w:p>
              </w:tc>
              <w:tc>
                <w:tcPr>
                  <w:tcW w:w="2966" w:type="dxa"/>
                  <w:noWrap w:val="0"/>
                  <w:vAlign w:val="center"/>
                </w:tcPr>
                <w:p w14:paraId="14B3F354">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为本项目的可行性研究报告编制单位</w:t>
                  </w:r>
                </w:p>
              </w:tc>
            </w:tr>
            <w:tr w14:paraId="3413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6FE6D4A0">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2875" w:type="dxa"/>
                  <w:noWrap w:val="0"/>
                  <w:vAlign w:val="center"/>
                </w:tcPr>
                <w:p w14:paraId="1451D410">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广东中颢工程设计有限公司</w:t>
                  </w:r>
                </w:p>
              </w:tc>
              <w:tc>
                <w:tcPr>
                  <w:tcW w:w="2966" w:type="dxa"/>
                  <w:noWrap w:val="0"/>
                  <w:vAlign w:val="center"/>
                </w:tcPr>
                <w:p w14:paraId="39DCEF28">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15C2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5893B72B">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8</w:t>
                  </w:r>
                </w:p>
              </w:tc>
              <w:tc>
                <w:tcPr>
                  <w:tcW w:w="2875" w:type="dxa"/>
                  <w:noWrap w:val="0"/>
                  <w:vAlign w:val="center"/>
                </w:tcPr>
                <w:p w14:paraId="172CD4DF">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仁化县振华建筑工程有限公司</w:t>
                  </w:r>
                </w:p>
              </w:tc>
              <w:tc>
                <w:tcPr>
                  <w:tcW w:w="2966" w:type="dxa"/>
                  <w:noWrap w:val="0"/>
                  <w:vAlign w:val="center"/>
                </w:tcPr>
                <w:p w14:paraId="669EA459">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为本项目的施工单位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本项目施工招标工期为60个日历天，</w:t>
            </w:r>
            <w:r>
              <w:rPr>
                <w:rFonts w:hint="eastAsia" w:ascii="宋体" w:hAnsi="宋体" w:eastAsia="宋体" w:cs="宋体"/>
                <w:snapToGrid w:val="0"/>
                <w:color w:val="auto"/>
                <w:kern w:val="0"/>
                <w:sz w:val="24"/>
                <w:szCs w:val="24"/>
                <w:highlight w:val="none"/>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color w:val="auto"/>
                <w:sz w:val="24"/>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1.投标人须缴纳金额为人民币</w:t>
            </w:r>
            <w:r>
              <w:rPr>
                <w:rFonts w:hint="eastAsia" w:ascii="宋体" w:hAnsi="宋体" w:eastAsia="宋体" w:cs="宋体"/>
                <w:color w:val="auto"/>
                <w:sz w:val="24"/>
                <w:szCs w:val="24"/>
                <w:highlight w:val="none"/>
                <w:u w:val="single"/>
                <w:lang w:val="en-US" w:eastAsia="zh-CN"/>
              </w:rPr>
              <w:t>贰仟</w:t>
            </w:r>
            <w:r>
              <w:rPr>
                <w:rFonts w:hint="eastAsia" w:ascii="宋体" w:hAnsi="宋体" w:eastAsia="宋体" w:cs="宋体"/>
                <w:color w:val="auto"/>
                <w:sz w:val="24"/>
                <w:szCs w:val="24"/>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single"/>
              </w:rPr>
              <w:t xml:space="preserve"> 90 </w:t>
            </w:r>
            <w:r>
              <w:rPr>
                <w:rFonts w:hint="eastAsia" w:ascii="宋体" w:hAnsi="宋体" w:eastAsia="宋体" w:cs="宋体"/>
                <w:snapToGrid w:val="0"/>
                <w:color w:val="auto"/>
                <w:kern w:val="0"/>
                <w:sz w:val="24"/>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8"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0A5EC3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投标文件包括商务标书、监理大纲</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定标文件三</w:t>
            </w:r>
            <w:r>
              <w:rPr>
                <w:rFonts w:hint="eastAsia" w:ascii="宋体" w:hAnsi="宋体" w:eastAsia="宋体" w:cs="宋体"/>
                <w:snapToGrid w:val="0"/>
                <w:color w:val="auto"/>
                <w:kern w:val="0"/>
                <w:sz w:val="24"/>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综合评估法</w:t>
            </w:r>
          </w:p>
        </w:tc>
      </w:tr>
      <w:tr w14:paraId="75B13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F2B9D9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w:t>
            </w:r>
          </w:p>
        </w:tc>
        <w:tc>
          <w:tcPr>
            <w:tcW w:w="1725" w:type="dxa"/>
            <w:tcBorders>
              <w:top w:val="single" w:color="auto" w:sz="4" w:space="0"/>
              <w:left w:val="single" w:color="auto" w:sz="4" w:space="0"/>
              <w:bottom w:val="single" w:color="auto" w:sz="4" w:space="0"/>
              <w:right w:val="single" w:color="auto" w:sz="4" w:space="0"/>
            </w:tcBorders>
            <w:vAlign w:val="center"/>
          </w:tcPr>
          <w:p w14:paraId="384C1EC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6856" w:type="dxa"/>
            <w:tcBorders>
              <w:top w:val="single" w:color="auto" w:sz="4" w:space="0"/>
              <w:left w:val="single" w:color="auto" w:sz="4" w:space="0"/>
              <w:bottom w:val="single" w:color="auto" w:sz="4" w:space="0"/>
              <w:right w:val="single" w:color="auto" w:sz="4" w:space="0"/>
            </w:tcBorders>
            <w:vAlign w:val="center"/>
          </w:tcPr>
          <w:p w14:paraId="3410BE91">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9B42425">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FCFF72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1F354B5D">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E66347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本次招标监理大纲</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w:t>
            </w:r>
            <w:r>
              <w:rPr>
                <w:rFonts w:hint="eastAsia" w:ascii="宋体" w:hAnsi="宋体" w:eastAsia="宋体" w:cs="宋体"/>
                <w:snapToGrid w:val="0"/>
                <w:color w:val="auto"/>
                <w:kern w:val="0"/>
                <w:sz w:val="24"/>
                <w:szCs w:val="24"/>
                <w:highlight w:val="non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4D4B4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7" w:hRule="atLeast"/>
        </w:trPr>
        <w:tc>
          <w:tcPr>
            <w:tcW w:w="721" w:type="dxa"/>
            <w:tcBorders>
              <w:top w:val="single" w:color="auto" w:sz="4" w:space="0"/>
              <w:left w:val="single" w:color="auto" w:sz="4" w:space="0"/>
              <w:bottom w:val="single" w:color="auto" w:sz="4" w:space="0"/>
              <w:right w:val="single" w:color="auto" w:sz="4" w:space="0"/>
            </w:tcBorders>
            <w:vAlign w:val="center"/>
          </w:tcPr>
          <w:p w14:paraId="4B5191B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26</w:t>
            </w:r>
          </w:p>
        </w:tc>
        <w:tc>
          <w:tcPr>
            <w:tcW w:w="1725" w:type="dxa"/>
            <w:tcBorders>
              <w:top w:val="single" w:color="auto" w:sz="4" w:space="0"/>
              <w:left w:val="single" w:color="auto" w:sz="4" w:space="0"/>
              <w:bottom w:val="single" w:color="auto" w:sz="4" w:space="0"/>
              <w:right w:val="single" w:color="auto" w:sz="4" w:space="0"/>
            </w:tcBorders>
            <w:vAlign w:val="center"/>
          </w:tcPr>
          <w:p w14:paraId="16D0E780">
            <w:pPr>
              <w:keepNext w:val="0"/>
              <w:keepLines w:val="0"/>
              <w:pageBreakBefore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0A9DB321">
            <w:pPr>
              <w:keepNext w:val="0"/>
              <w:keepLines w:val="0"/>
              <w:pageBreakBefore w:val="0"/>
              <w:kinsoku/>
              <w:wordWrap w:val="0"/>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ascii="宋体" w:hAnsi="宋体" w:eastAsia="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8</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2293D6F">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仁化县市政工程公司</w:t>
            </w:r>
          </w:p>
          <w:p w14:paraId="5EC322AB">
            <w:pPr>
              <w:keepNext w:val="0"/>
              <w:keepLines w:val="0"/>
              <w:pageBreakBefore w:val="0"/>
              <w:widowControl/>
              <w:suppressLineNumbers w:val="0"/>
              <w:overflowPunct/>
              <w:topLinePunct w:val="0"/>
              <w:bidi w:val="0"/>
              <w:spacing w:line="240" w:lineRule="auto"/>
              <w:ind w:firstLine="240" w:firstLineChars="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rPr>
              <w:t>办公地址：仁化县丹霞大道228号</w:t>
            </w:r>
          </w:p>
          <w:p w14:paraId="7CAE5FCA">
            <w:pPr>
              <w:keepNext w:val="0"/>
              <w:keepLines w:val="0"/>
              <w:pageBreakBefore w:val="0"/>
              <w:widowControl/>
              <w:suppressLineNumbers w:val="0"/>
              <w:overflowPunct/>
              <w:topLinePunct w:val="0"/>
              <w:bidi w:val="0"/>
              <w:spacing w:line="240" w:lineRule="auto"/>
              <w:ind w:firstLine="240" w:firstLineChars="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r>
              <w:rPr>
                <w:rFonts w:hint="eastAsia" w:ascii="宋体" w:hAnsi="宋体" w:eastAsia="宋体" w:cs="宋体"/>
                <w:snapToGrid w:val="0"/>
                <w:color w:val="auto"/>
                <w:kern w:val="0"/>
                <w:sz w:val="24"/>
                <w:szCs w:val="24"/>
                <w:highlight w:val="none"/>
              </w:rPr>
              <w:t>刘琼青</w:t>
            </w:r>
          </w:p>
          <w:p w14:paraId="62AFC57D">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联系电话：</w:t>
            </w:r>
            <w:r>
              <w:rPr>
                <w:rFonts w:hint="eastAsia" w:ascii="宋体" w:hAnsi="宋体" w:eastAsia="宋体" w:cs="宋体"/>
                <w:snapToGrid w:val="0"/>
                <w:color w:val="auto"/>
                <w:kern w:val="0"/>
                <w:sz w:val="24"/>
                <w:szCs w:val="24"/>
                <w:highlight w:val="none"/>
              </w:rPr>
              <w:t>0751-6341520</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18"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9</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51431EA3">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单位名称：</w:t>
            </w:r>
            <w:r>
              <w:rPr>
                <w:rFonts w:hint="eastAsia" w:ascii="宋体" w:hAnsi="宋体" w:eastAsia="宋体" w:cs="宋体"/>
                <w:color w:val="auto"/>
                <w:sz w:val="24"/>
                <w:szCs w:val="24"/>
                <w:highlight w:val="none"/>
                <w:lang w:val="en-US" w:eastAsia="zh-CN"/>
              </w:rPr>
              <w:t>广东合正项目管理有限公司</w:t>
            </w:r>
          </w:p>
          <w:p w14:paraId="2760DCF7">
            <w:pPr>
              <w:shd w:val="clear" w:color="auto" w:fill="auto"/>
              <w:wordWrap w:val="0"/>
              <w:adjustRightInd w:val="0"/>
              <w:snapToGrid w:val="0"/>
              <w:spacing w:line="400" w:lineRule="exact"/>
              <w:ind w:left="240" w:leftChars="10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办公地址：</w:t>
            </w:r>
            <w:r>
              <w:rPr>
                <w:rFonts w:hint="eastAsia" w:ascii="宋体" w:hAnsi="宋体" w:eastAsia="宋体" w:cs="宋体"/>
                <w:color w:val="auto"/>
                <w:sz w:val="24"/>
                <w:szCs w:val="24"/>
                <w:highlight w:val="none"/>
                <w:lang w:val="en-US" w:eastAsia="zh-CN"/>
              </w:rPr>
              <w:t>广东省韶关市武江区百旺大道42号莞韶双创中心研发办公楼5楼03号</w:t>
            </w:r>
          </w:p>
          <w:p w14:paraId="5F15B627">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联系人（部门）：</w:t>
            </w:r>
          </w:p>
          <w:p w14:paraId="0713395B">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项目负责人：张慧新</w:t>
            </w:r>
          </w:p>
          <w:p w14:paraId="05A96290">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经办人：蔡健</w:t>
            </w:r>
          </w:p>
          <w:p w14:paraId="4FFE322C">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联系电话：0751-8219991</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C90D62C">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w:t>
            </w:r>
          </w:p>
          <w:p w14:paraId="64E39F9E">
            <w:pPr>
              <w:shd w:val="clear" w:color="auto" w:fill="auto"/>
              <w:wordWrap w:val="0"/>
              <w:adjustRightInd w:val="0"/>
              <w:snapToGrid w:val="0"/>
              <w:spacing w:line="400" w:lineRule="exact"/>
              <w:ind w:left="240" w:leftChars="100" w:firstLine="0" w:firstLineChars="0"/>
              <w:jc w:val="left"/>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办公地址：仁化县丹霞大道228号12楼韶关市公共资源交易中心仁化分中心</w:t>
            </w:r>
          </w:p>
          <w:p w14:paraId="69FE8B51">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联系人（部门）：工程交易部</w:t>
            </w:r>
          </w:p>
          <w:p w14:paraId="0729A736">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w:t>
            </w:r>
            <w:r>
              <w:rPr>
                <w:rFonts w:hint="eastAsia" w:ascii="宋体" w:hAnsi="宋体" w:eastAsia="宋体" w:cs="宋体"/>
                <w:snapToGrid w:val="0"/>
                <w:color w:val="auto"/>
                <w:kern w:val="0"/>
                <w:sz w:val="24"/>
                <w:szCs w:val="24"/>
                <w:highlight w:val="none"/>
              </w:rPr>
              <w:t>0751-6354032</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74"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3AF5111">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单位名称：</w:t>
            </w:r>
            <w:r>
              <w:rPr>
                <w:rFonts w:hint="eastAsia" w:ascii="宋体" w:hAnsi="宋体" w:eastAsia="宋体" w:cs="宋体"/>
                <w:snapToGrid w:val="0"/>
                <w:color w:val="auto"/>
                <w:kern w:val="0"/>
                <w:sz w:val="24"/>
                <w:szCs w:val="24"/>
                <w:highlight w:val="none"/>
                <w:lang w:eastAsia="zh-CN"/>
              </w:rPr>
              <w:t>仁化县住房和城乡建设管理局</w:t>
            </w:r>
          </w:p>
          <w:p w14:paraId="2BD7DF47">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办公地址：仁化县丹霞大道228号仁化县行政服务中心6楼</w:t>
            </w:r>
          </w:p>
          <w:p w14:paraId="31C34B7D">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联系人（部门）：建筑业监督管理股</w:t>
            </w:r>
          </w:p>
          <w:p w14:paraId="02583E56">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 xml:space="preserve">联系电话：0751-6354573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769943"/>
            <w:bookmarkStart w:id="6" w:name="_Toc122859103"/>
            <w:bookmarkStart w:id="7" w:name="_Toc122671103"/>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2</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33</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招标代理费及评标专家酬劳</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kern w:val="0"/>
                <w:sz w:val="24"/>
                <w:szCs w:val="24"/>
                <w:highlight w:val="none"/>
                <w:lang w:val="en-US" w:eastAsia="zh-CN"/>
              </w:rPr>
              <w:t>本项目的招标代理服务费和评标专家酬劳（包括食宿费用、交通费、专家评审劳务费等）由中标人支付。该费用不再另行报价，由投标人在投标报价时综合考虑在内。招标代理服务费参照《招标代理服务收费管理暂行办法》计价格[2002]1980号文计算；不足柒仟元按柒仟元整收取。中标人在领取中标通知书前须向招标代理机构一次性支付（评标专家酬劳先由招标代理垫付）。</w:t>
            </w:r>
          </w:p>
        </w:tc>
      </w:tr>
    </w:tbl>
    <w:p w14:paraId="5B470B04">
      <w:pPr>
        <w:pStyle w:val="3"/>
        <w:wordWrap w:val="0"/>
        <w:autoSpaceDE/>
        <w:autoSpaceDN/>
        <w:snapToGrid w:val="0"/>
        <w:spacing w:before="260" w:after="260" w:line="440" w:lineRule="exact"/>
        <w:jc w:val="both"/>
        <w:rPr>
          <w:rFonts w:ascii="Times New Roman"/>
          <w:b/>
          <w:snapToGrid w:val="0"/>
          <w:color w:val="auto"/>
          <w:sz w:val="24"/>
          <w:szCs w:val="24"/>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10191"/>
      <w:r>
        <w:rPr>
          <w:rFonts w:hint="eastAsia" w:ascii="Times New Roman"/>
          <w:b/>
          <w:snapToGrid w:val="0"/>
          <w:color w:val="auto"/>
          <w:highlight w:val="none"/>
        </w:rPr>
        <w:t>第二节 重要事项时间地点一览表</w:t>
      </w:r>
      <w:bookmarkEnd w:id="8"/>
      <w:bookmarkEnd w:id="9"/>
    </w:p>
    <w:tbl>
      <w:tblPr>
        <w:tblStyle w:val="31"/>
        <w:tblW w:w="508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6"/>
        <w:gridCol w:w="1326"/>
        <w:gridCol w:w="7477"/>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3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6CF9F9BC">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88"/>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12</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4"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3B17BC0">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获取招标文件</w:t>
            </w: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4"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2BE90DC1">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8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00 </w:t>
            </w:r>
            <w:r>
              <w:rPr>
                <w:rFonts w:hint="eastAsia" w:ascii="宋体" w:hAnsi="宋体" w:eastAsia="宋体" w:cs="宋体"/>
                <w:color w:val="auto"/>
                <w:kern w:val="0"/>
                <w:sz w:val="24"/>
                <w:szCs w:val="24"/>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0A9C70E">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30 </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00</w:t>
            </w:r>
            <w:r>
              <w:rPr>
                <w:rFonts w:hint="eastAsia" w:ascii="宋体" w:hAnsi="宋体" w:eastAsia="宋体" w:cs="宋体"/>
                <w:color w:val="auto"/>
                <w:kern w:val="0"/>
                <w:sz w:val="24"/>
                <w:szCs w:val="24"/>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249647CA">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88"/>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w:t>
            </w:r>
          </w:p>
          <w:p w14:paraId="534D20EF">
            <w:pPr>
              <w:pStyle w:val="88"/>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w:t>
            </w:r>
          </w:p>
          <w:p w14:paraId="086C2F12">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3E473E72">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7F77CCD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3261A94D">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45C0668C">
            <w:pPr>
              <w:pStyle w:val="88"/>
              <w:widowControl/>
              <w:wordWrap w:val="0"/>
              <w:spacing w:line="400" w:lineRule="exact"/>
              <w:ind w:left="0"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u w:val="none"/>
                <w:lang w:val="en-US" w:eastAsia="zh-CN" w:bidi="ar-SA"/>
              </w:rPr>
              <w:t>递交场所：</w:t>
            </w:r>
            <w:r>
              <w:rPr>
                <w:rFonts w:hint="eastAsia" w:ascii="宋体" w:hAnsi="宋体" w:eastAsia="宋体" w:cs="宋体"/>
                <w:snapToGrid w:val="0"/>
                <w:color w:val="auto"/>
                <w:kern w:val="0"/>
                <w:sz w:val="24"/>
                <w:szCs w:val="24"/>
                <w:highlight w:val="none"/>
                <w:lang w:val="en-US" w:eastAsia="zh-CN" w:bidi="ar-SA"/>
              </w:rPr>
              <w:t>韶关市公共资源交易中心仁化分中心</w:t>
            </w:r>
          </w:p>
          <w:p w14:paraId="54D0F656">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SA"/>
              </w:rPr>
              <w:t>地址：仁化县丹霞大道228号11楼韶关市公共资源交易中心仁化分中心，具体房间号以当日现场通知为准。</w:t>
            </w:r>
            <w:r>
              <w:rPr>
                <w:rFonts w:hint="eastAsia" w:ascii="宋体" w:hAnsi="宋体" w:eastAsia="宋体" w:cs="宋体"/>
                <w:snapToGrid w:val="0"/>
                <w:color w:val="auto"/>
                <w:kern w:val="0"/>
                <w:sz w:val="24"/>
                <w:szCs w:val="24"/>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1"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8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45"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2212ABC">
            <w:pPr>
              <w:pStyle w:val="88"/>
              <w:widowControl/>
              <w:wordWrap w:val="0"/>
              <w:spacing w:line="400" w:lineRule="exact"/>
              <w:ind w:left="0"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u w:val="none"/>
                <w:lang w:val="en-US" w:eastAsia="zh-CN" w:bidi="ar-SA"/>
              </w:rPr>
              <w:t>开标场所：</w:t>
            </w:r>
            <w:r>
              <w:rPr>
                <w:rFonts w:hint="eastAsia" w:ascii="宋体" w:hAnsi="宋体" w:eastAsia="宋体" w:cs="宋体"/>
                <w:snapToGrid w:val="0"/>
                <w:color w:val="auto"/>
                <w:kern w:val="0"/>
                <w:sz w:val="24"/>
                <w:szCs w:val="24"/>
                <w:highlight w:val="none"/>
                <w:lang w:val="en-US" w:eastAsia="zh-CN" w:bidi="ar-SA"/>
              </w:rPr>
              <w:t>韶关市公共资源交易中心仁化分中心</w:t>
            </w:r>
          </w:p>
          <w:p w14:paraId="5B1376CB">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45"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59E6F630">
      <w:pPr>
        <w:pStyle w:val="40"/>
        <w:rPr>
          <w:color w:val="auto"/>
          <w:highlight w:val="none"/>
        </w:rPr>
        <w:sectPr>
          <w:endnotePr>
            <w:numFmt w:val="decimal"/>
          </w:endnotePr>
          <w:pgSz w:w="11906" w:h="16838"/>
          <w:pgMar w:top="1417" w:right="1417" w:bottom="1417" w:left="1417" w:header="850" w:footer="992" w:gutter="0"/>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29916"/>
      <w:bookmarkStart w:id="12" w:name="_Toc5529"/>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291C4E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bookmarkStart w:id="16" w:name="_Toc22199"/>
      <w:r>
        <w:rPr>
          <w:rFonts w:hint="eastAsia" w:ascii="宋体" w:hAnsi="宋体" w:eastAsia="宋体" w:cs="宋体"/>
          <w:color w:val="auto"/>
          <w:kern w:val="0"/>
          <w:sz w:val="24"/>
          <w:szCs w:val="24"/>
          <w:highlight w:val="none"/>
          <w:u w:val="single"/>
          <w:lang w:val="en-US" w:eastAsia="zh-CN"/>
        </w:rPr>
        <w:t>仁化产业转移工业园区基础建设(二期)</w:t>
      </w:r>
      <w:r>
        <w:rPr>
          <w:rFonts w:hint="eastAsia" w:ascii="宋体" w:hAnsi="宋体" w:eastAsia="宋体" w:cs="宋体"/>
          <w:color w:val="auto"/>
          <w:kern w:val="0"/>
          <w:sz w:val="24"/>
          <w:szCs w:val="24"/>
          <w:highlight w:val="none"/>
          <w:u w:val="none"/>
          <w:lang w:val="en-US" w:eastAsia="zh-CN"/>
        </w:rPr>
        <w:t>经</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仁化发展和改革局</w:t>
      </w:r>
      <w:r>
        <w:rPr>
          <w:rFonts w:hint="eastAsia" w:ascii="宋体" w:hAnsi="宋体" w:eastAsia="宋体" w:cs="宋体"/>
          <w:color w:val="auto"/>
          <w:kern w:val="0"/>
          <w:sz w:val="24"/>
          <w:szCs w:val="24"/>
          <w:highlight w:val="none"/>
          <w:u w:val="single"/>
        </w:rPr>
        <w:t>以</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lang w:val="en-US" w:eastAsia="zh-CN"/>
        </w:rPr>
        <w:t>关于仁化产业转移工业园区基础建设(二期)项目建议书的批复</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lang w:val="en-US" w:eastAsia="zh-CN"/>
        </w:rPr>
        <w:t>仁发改投审【2022】84号、</w:t>
      </w:r>
      <w:r>
        <w:rPr>
          <w:rFonts w:hint="eastAsia" w:ascii="宋体" w:hAnsi="宋体" w:eastAsia="宋体" w:cs="宋体"/>
          <w:color w:val="auto"/>
          <w:sz w:val="24"/>
          <w:szCs w:val="24"/>
          <w:highlight w:val="none"/>
          <w:u w:val="single"/>
          <w:lang w:val="en-US" w:eastAsia="zh-CN"/>
        </w:rPr>
        <w:t>仁化县</w:t>
      </w:r>
      <w:r>
        <w:rPr>
          <w:rFonts w:hint="eastAsia" w:ascii="宋体" w:hAnsi="宋体" w:eastAsia="宋体" w:cs="宋体"/>
          <w:color w:val="auto"/>
          <w:sz w:val="24"/>
          <w:szCs w:val="24"/>
          <w:highlight w:val="none"/>
          <w:u w:val="single"/>
          <w:lang w:val="en-US"/>
        </w:rPr>
        <w:t>发展改革</w:t>
      </w:r>
      <w:r>
        <w:rPr>
          <w:rFonts w:hint="eastAsia" w:ascii="宋体" w:hAnsi="宋体" w:eastAsia="宋体" w:cs="宋体"/>
          <w:color w:val="auto"/>
          <w:sz w:val="24"/>
          <w:szCs w:val="24"/>
          <w:highlight w:val="none"/>
          <w:u w:val="single"/>
          <w:lang w:val="en-US" w:eastAsia="zh-CN"/>
        </w:rPr>
        <w:t>和政务数据</w:t>
      </w:r>
      <w:r>
        <w:rPr>
          <w:rFonts w:hint="eastAsia" w:ascii="宋体" w:hAnsi="宋体" w:eastAsia="宋体" w:cs="宋体"/>
          <w:color w:val="auto"/>
          <w:sz w:val="24"/>
          <w:szCs w:val="24"/>
          <w:highlight w:val="none"/>
          <w:u w:val="single"/>
          <w:lang w:val="en-US"/>
        </w:rPr>
        <w:t>局</w:t>
      </w:r>
      <w:r>
        <w:rPr>
          <w:rFonts w:hint="eastAsia" w:ascii="宋体" w:hAnsi="宋体" w:eastAsia="宋体" w:cs="宋体"/>
          <w:b w:val="0"/>
          <w:bCs w:val="0"/>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以</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关于</w:t>
      </w:r>
      <w:r>
        <w:rPr>
          <w:rFonts w:hint="eastAsia" w:ascii="宋体" w:hAnsi="宋体" w:eastAsia="宋体" w:cs="宋体"/>
          <w:color w:val="auto"/>
          <w:kern w:val="0"/>
          <w:sz w:val="24"/>
          <w:szCs w:val="24"/>
          <w:highlight w:val="none"/>
          <w:u w:val="single"/>
          <w:lang w:val="en-US" w:eastAsia="zh-CN"/>
        </w:rPr>
        <w:t>仁化产业转移工业园区基础建设(二期)-</w:t>
      </w:r>
      <w:r>
        <w:rPr>
          <w:rFonts w:hint="eastAsia" w:ascii="宋体" w:hAnsi="宋体" w:eastAsia="宋体" w:cs="宋体"/>
          <w:i w:val="0"/>
          <w:iCs w:val="0"/>
          <w:caps w:val="0"/>
          <w:color w:val="auto"/>
          <w:spacing w:val="0"/>
          <w:sz w:val="24"/>
          <w:szCs w:val="24"/>
          <w:highlight w:val="none"/>
          <w:u w:val="single"/>
          <w:lang w:eastAsia="zh-CN"/>
        </w:rPr>
        <w:t>韶关仁化产业园区大岭片区配套道路(G535线至新粮仓段)扩建项目</w:t>
      </w:r>
      <w:r>
        <w:rPr>
          <w:rFonts w:hint="eastAsia" w:ascii="宋体" w:hAnsi="宋体" w:eastAsia="宋体" w:cs="宋体"/>
          <w:b w:val="0"/>
          <w:bCs w:val="0"/>
          <w:color w:val="auto"/>
          <w:kern w:val="0"/>
          <w:sz w:val="24"/>
          <w:szCs w:val="24"/>
          <w:highlight w:val="none"/>
          <w:u w:val="single"/>
          <w:lang w:val="en-US" w:eastAsia="zh-CN"/>
        </w:rPr>
        <w:t>初步设计概算的批复</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仁</w:t>
      </w:r>
      <w:r>
        <w:rPr>
          <w:rFonts w:hint="eastAsia" w:ascii="宋体" w:hAnsi="宋体" w:eastAsia="宋体" w:cs="宋体"/>
          <w:color w:val="auto"/>
          <w:sz w:val="24"/>
          <w:szCs w:val="24"/>
          <w:highlight w:val="none"/>
          <w:u w:val="single"/>
          <w:lang w:val="en-US"/>
        </w:rPr>
        <w:t>发改</w:t>
      </w:r>
      <w:r>
        <w:rPr>
          <w:rFonts w:hint="eastAsia" w:ascii="宋体" w:hAnsi="宋体" w:eastAsia="宋体" w:cs="宋体"/>
          <w:color w:val="auto"/>
          <w:sz w:val="24"/>
          <w:szCs w:val="24"/>
          <w:highlight w:val="none"/>
          <w:u w:val="single"/>
          <w:lang w:val="en-US" w:eastAsia="zh-CN"/>
        </w:rPr>
        <w:t>和政数</w:t>
      </w:r>
      <w:r>
        <w:rPr>
          <w:rFonts w:hint="eastAsia" w:ascii="宋体" w:hAnsi="宋体" w:eastAsia="宋体" w:cs="宋体"/>
          <w:color w:val="auto"/>
          <w:sz w:val="24"/>
          <w:szCs w:val="24"/>
          <w:highlight w:val="none"/>
          <w:u w:val="single"/>
          <w:lang w:val="en-US"/>
        </w:rPr>
        <w:t>投审〔202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val="en-US"/>
        </w:rPr>
        <w:t>〕2</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rPr>
        <w:t>号</w:t>
      </w:r>
      <w:r>
        <w:rPr>
          <w:rFonts w:hint="eastAsia" w:ascii="宋体" w:hAnsi="宋体" w:eastAsia="宋体" w:cs="宋体"/>
          <w:color w:val="auto"/>
          <w:kern w:val="0"/>
          <w:sz w:val="24"/>
          <w:szCs w:val="24"/>
          <w:highlight w:val="none"/>
        </w:rPr>
        <w:t>文批准建设，项目代码为</w:t>
      </w:r>
      <w:r>
        <w:rPr>
          <w:rFonts w:hint="eastAsia" w:ascii="宋体" w:hAnsi="宋体" w:eastAsia="宋体" w:cs="宋体"/>
          <w:color w:val="auto"/>
          <w:kern w:val="0"/>
          <w:sz w:val="24"/>
          <w:szCs w:val="24"/>
          <w:highlight w:val="none"/>
          <w:u w:val="single"/>
          <w:lang w:val="en-US" w:eastAsia="zh-CN"/>
        </w:rPr>
        <w:t>2208-440224-04-01-823973</w:t>
      </w:r>
      <w:r>
        <w:rPr>
          <w:rFonts w:hint="eastAsia" w:ascii="宋体" w:hAnsi="宋体" w:eastAsia="宋体" w:cs="宋体"/>
          <w:color w:val="auto"/>
          <w:kern w:val="0"/>
          <w:sz w:val="24"/>
          <w:szCs w:val="24"/>
          <w:highlight w:val="none"/>
        </w:rPr>
        <w:t>。本项目业主为</w:t>
      </w:r>
      <w:r>
        <w:rPr>
          <w:rFonts w:hint="eastAsia" w:ascii="宋体" w:hAnsi="宋体" w:eastAsia="宋体" w:cs="宋体"/>
          <w:color w:val="auto"/>
          <w:sz w:val="24"/>
          <w:szCs w:val="24"/>
          <w:highlight w:val="none"/>
          <w:u w:val="single"/>
          <w:lang w:val="en-US" w:eastAsia="zh-CN"/>
        </w:rPr>
        <w:t>仁化县丹霞旅游经济开发试验区管理委员会</w:t>
      </w:r>
      <w:r>
        <w:rPr>
          <w:rFonts w:hint="eastAsia" w:ascii="宋体" w:hAnsi="宋体" w:eastAsia="宋体" w:cs="宋体"/>
          <w:color w:val="auto"/>
          <w:kern w:val="0"/>
          <w:sz w:val="24"/>
          <w:szCs w:val="24"/>
          <w:highlight w:val="none"/>
        </w:rPr>
        <w:t>，建设资金</w:t>
      </w:r>
      <w:r>
        <w:rPr>
          <w:rFonts w:hint="eastAsia" w:ascii="宋体" w:hAnsi="宋体" w:eastAsia="宋体" w:cs="宋体"/>
          <w:bCs/>
          <w:snapToGrid w:val="0"/>
          <w:color w:val="auto"/>
          <w:kern w:val="0"/>
          <w:sz w:val="24"/>
          <w:szCs w:val="24"/>
          <w:highlight w:val="none"/>
          <w:u w:val="single"/>
          <w:lang w:val="en-US" w:eastAsia="zh-CN" w:bidi="ar-SA"/>
        </w:rPr>
        <w:t>由上级资金和县级财政资金安排解决</w:t>
      </w:r>
      <w:r>
        <w:rPr>
          <w:rFonts w:hint="eastAsia" w:ascii="宋体" w:hAnsi="宋体" w:eastAsia="宋体" w:cs="宋体"/>
          <w:color w:val="auto"/>
          <w:kern w:val="0"/>
          <w:sz w:val="24"/>
          <w:szCs w:val="24"/>
          <w:highlight w:val="none"/>
        </w:rPr>
        <w:t>，</w:t>
      </w:r>
      <w:r>
        <w:rPr>
          <w:rFonts w:hint="eastAsia" w:ascii="宋体" w:hAnsi="宋体" w:eastAsia="宋体" w:cs="宋体"/>
          <w:snapToGrid w:val="0"/>
          <w:color w:val="auto"/>
          <w:kern w:val="0"/>
          <w:sz w:val="24"/>
          <w:szCs w:val="24"/>
          <w:highlight w:val="none"/>
        </w:rPr>
        <w:t>出资比例为</w:t>
      </w:r>
      <w:r>
        <w:rPr>
          <w:rFonts w:hint="eastAsia" w:ascii="宋体" w:hAnsi="宋体" w:eastAsia="宋体" w:cs="宋体"/>
          <w:snapToGrid w:val="0"/>
          <w:color w:val="auto"/>
          <w:kern w:val="0"/>
          <w:sz w:val="24"/>
          <w:szCs w:val="24"/>
          <w:highlight w:val="none"/>
          <w:u w:val="single"/>
        </w:rPr>
        <w:t xml:space="preserve"> 100% </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仁化县市政工程公司</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招标代理机构为</w:t>
      </w:r>
      <w:r>
        <w:rPr>
          <w:rFonts w:hint="eastAsia" w:ascii="宋体" w:hAnsi="宋体" w:eastAsia="宋体" w:cs="宋体"/>
          <w:color w:val="auto"/>
          <w:sz w:val="24"/>
          <w:szCs w:val="24"/>
          <w:highlight w:val="none"/>
          <w:u w:val="single"/>
          <w:lang w:eastAsia="zh-CN"/>
        </w:rPr>
        <w:t>广东合正项目管理有限公司</w:t>
      </w:r>
      <w:r>
        <w:rPr>
          <w:rFonts w:hint="eastAsia" w:ascii="宋体" w:hAnsi="宋体" w:eastAsia="宋体" w:cs="宋体"/>
          <w:color w:val="auto"/>
          <w:sz w:val="24"/>
          <w:szCs w:val="24"/>
          <w:highlight w:val="none"/>
        </w:rPr>
        <w:t>。项目已具备招标条件，现对该项目的</w:t>
      </w:r>
      <w:r>
        <w:rPr>
          <w:rFonts w:hint="eastAsia" w:ascii="宋体" w:hAnsi="宋体" w:eastAsia="宋体" w:cs="宋体"/>
          <w:color w:val="auto"/>
          <w:sz w:val="24"/>
          <w:szCs w:val="24"/>
          <w:highlight w:val="none"/>
          <w:u w:val="single"/>
          <w:lang w:val="en-US" w:eastAsia="zh-CN"/>
        </w:rPr>
        <w:t>监理</w:t>
      </w:r>
      <w:r>
        <w:rPr>
          <w:rFonts w:hint="eastAsia" w:ascii="宋体" w:hAnsi="宋体" w:eastAsia="宋体" w:cs="宋体"/>
          <w:color w:val="auto"/>
          <w:sz w:val="24"/>
          <w:szCs w:val="24"/>
          <w:highlight w:val="none"/>
        </w:rPr>
        <w:t>进行公开招标。</w:t>
      </w:r>
    </w:p>
    <w:p w14:paraId="6E939B6A">
      <w:pPr>
        <w:pStyle w:val="88"/>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1．项目概况、招标范围和标段划分、投标费用</w:t>
      </w:r>
      <w:bookmarkEnd w:id="16"/>
    </w:p>
    <w:p w14:paraId="5A9B532C">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项目概况</w:t>
      </w:r>
    </w:p>
    <w:p w14:paraId="457EF3D7">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color w:val="auto"/>
          <w:sz w:val="24"/>
          <w:szCs w:val="24"/>
          <w:highlight w:val="none"/>
          <w:u w:val="single"/>
          <w:lang w:val="en-US" w:eastAsia="zh-CN"/>
        </w:rPr>
        <w:t>韶关仁化产业园区大岭片区。</w:t>
      </w:r>
    </w:p>
    <w:p w14:paraId="74BEFDF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1.1.2 </w:t>
      </w:r>
      <w:r>
        <w:rPr>
          <w:rFonts w:hint="eastAsia" w:ascii="宋体" w:hAnsi="宋体" w:eastAsia="宋体" w:cs="宋体"/>
          <w:b w:val="0"/>
          <w:bCs w:val="0"/>
          <w:snapToGrid w:val="0"/>
          <w:color w:val="auto"/>
          <w:kern w:val="0"/>
          <w:sz w:val="24"/>
          <w:szCs w:val="24"/>
          <w:highlight w:val="none"/>
          <w:lang w:val="en-US" w:eastAsia="zh-CN"/>
        </w:rPr>
        <w:t>建设内容和规模：</w:t>
      </w:r>
      <w:r>
        <w:rPr>
          <w:rFonts w:hint="eastAsia" w:ascii="宋体" w:hAnsi="宋体" w:eastAsia="宋体" w:cs="宋体"/>
          <w:color w:val="auto"/>
          <w:sz w:val="24"/>
          <w:szCs w:val="24"/>
          <w:highlight w:val="none"/>
          <w:u w:val="single"/>
          <w:lang w:val="en-US" w:eastAsia="zh-CN"/>
        </w:rPr>
        <w:t>新建约621米道路，采用水泥混凝土路面上铺沥青，沿线完善相关交通标线及挡土墙、水渠、路灯等配套设施。</w:t>
      </w:r>
    </w:p>
    <w:p w14:paraId="7FDC4FD4">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rPr>
        <w:t xml:space="preserve">1.1.3 </w:t>
      </w:r>
      <w:r>
        <w:rPr>
          <w:rFonts w:hint="eastAsia" w:ascii="宋体" w:hAnsi="宋体" w:eastAsia="宋体" w:cs="宋体"/>
          <w:snapToGrid w:val="0"/>
          <w:color w:val="auto"/>
          <w:kern w:val="0"/>
          <w:sz w:val="24"/>
          <w:szCs w:val="24"/>
          <w:highlight w:val="none"/>
        </w:rPr>
        <w:t>项</w:t>
      </w:r>
      <w:r>
        <w:rPr>
          <w:rFonts w:hint="eastAsia" w:ascii="宋体" w:hAnsi="宋体" w:eastAsia="宋体" w:cs="宋体"/>
          <w:snapToGrid w:val="0"/>
          <w:color w:val="auto"/>
          <w:kern w:val="0"/>
          <w:sz w:val="24"/>
          <w:szCs w:val="24"/>
          <w:highlight w:val="none"/>
          <w:u w:val="none"/>
        </w:rPr>
        <w:t>目</w:t>
      </w:r>
      <w:r>
        <w:rPr>
          <w:rFonts w:hint="eastAsia" w:ascii="宋体" w:hAnsi="宋体" w:eastAsia="宋体" w:cs="宋体"/>
          <w:snapToGrid w:val="0"/>
          <w:color w:val="auto"/>
          <w:kern w:val="0"/>
          <w:sz w:val="24"/>
          <w:szCs w:val="24"/>
          <w:highlight w:val="none"/>
          <w:u w:val="none"/>
          <w:lang w:eastAsia="zh-CN"/>
        </w:rPr>
        <w:t>概算</w:t>
      </w:r>
      <w:r>
        <w:rPr>
          <w:rFonts w:hint="eastAsia" w:ascii="宋体" w:hAnsi="宋体" w:eastAsia="宋体" w:cs="宋体"/>
          <w:snapToGrid w:val="0"/>
          <w:color w:val="auto"/>
          <w:kern w:val="0"/>
          <w:sz w:val="24"/>
          <w:szCs w:val="24"/>
          <w:highlight w:val="none"/>
        </w:rPr>
        <w:t>投资额：</w:t>
      </w:r>
      <w:r>
        <w:rPr>
          <w:rFonts w:hint="eastAsia" w:ascii="宋体" w:hAnsi="宋体" w:eastAsia="宋体" w:cs="宋体"/>
          <w:bCs/>
          <w:snapToGrid w:val="0"/>
          <w:color w:val="auto"/>
          <w:kern w:val="0"/>
          <w:sz w:val="24"/>
          <w:szCs w:val="24"/>
          <w:highlight w:val="none"/>
          <w:u w:val="single"/>
          <w:lang w:val="en-US" w:eastAsia="zh-CN" w:bidi="ar-SA"/>
        </w:rPr>
        <w:t>项目概算总投资966.81万元,其中工程费用643.73万元。</w:t>
      </w:r>
    </w:p>
    <w:p w14:paraId="737B5441">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 </w:t>
      </w:r>
      <w:r>
        <w:rPr>
          <w:rFonts w:hint="eastAsia" w:ascii="宋体" w:hAnsi="宋体" w:eastAsia="宋体" w:cs="宋体"/>
          <w:snapToGrid w:val="0"/>
          <w:color w:val="auto"/>
          <w:kern w:val="0"/>
          <w:sz w:val="24"/>
          <w:szCs w:val="24"/>
          <w:highlight w:val="none"/>
        </w:rPr>
        <w:t>招标范围和标段划分</w:t>
      </w:r>
    </w:p>
    <w:p w14:paraId="5C8BB66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 xml:space="preserve"> 招标范围</w:t>
      </w:r>
    </w:p>
    <w:p w14:paraId="0F812CFE">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1.2.2</w:t>
      </w:r>
      <w:r>
        <w:rPr>
          <w:rFonts w:hint="eastAsia" w:ascii="宋体" w:hAnsi="宋体" w:eastAsia="宋体" w:cs="宋体"/>
          <w:snapToGrid w:val="0"/>
          <w:color w:val="auto"/>
          <w:kern w:val="0"/>
          <w:sz w:val="24"/>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投标费用：投标人应承担所有准备和参加投标的相关费用，不论投标结果如何，招标人均无义务和责任承担这些费用。</w:t>
      </w:r>
    </w:p>
    <w:p w14:paraId="6BE91A1C">
      <w:pPr>
        <w:pStyle w:val="88"/>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szCs w:val="24"/>
          <w:highlight w:val="none"/>
        </w:rPr>
      </w:pPr>
      <w:bookmarkStart w:id="17" w:name="_Toc8159"/>
      <w:bookmarkStart w:id="18" w:name="_Toc31795"/>
      <w:r>
        <w:rPr>
          <w:rFonts w:hint="eastAsia" w:ascii="宋体" w:hAnsi="宋体" w:eastAsia="宋体" w:cs="宋体"/>
          <w:b/>
          <w:bCs/>
          <w:snapToGrid w:val="0"/>
          <w:color w:val="auto"/>
          <w:kern w:val="0"/>
          <w:sz w:val="24"/>
          <w:szCs w:val="24"/>
          <w:highlight w:val="none"/>
        </w:rPr>
        <w:t>2．投标人资格要求</w:t>
      </w:r>
      <w:bookmarkEnd w:id="17"/>
      <w:bookmarkEnd w:id="18"/>
      <w:bookmarkStart w:id="19" w:name="_Hlt74496495"/>
      <w:bookmarkEnd w:id="19"/>
    </w:p>
    <w:p w14:paraId="229AFBA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2.1</w:t>
      </w:r>
      <w:r>
        <w:rPr>
          <w:rFonts w:hint="eastAsia" w:ascii="宋体" w:hAnsi="宋体" w:eastAsia="宋体" w:cs="宋体"/>
          <w:snapToGrid w:val="0"/>
          <w:color w:val="auto"/>
          <w:kern w:val="0"/>
          <w:sz w:val="24"/>
          <w:szCs w:val="24"/>
          <w:highlight w:val="none"/>
        </w:rPr>
        <w:t xml:space="preserve"> 本次招标</w:t>
      </w:r>
      <w:r>
        <w:rPr>
          <w:rFonts w:hint="eastAsia" w:ascii="宋体" w:hAnsi="宋体" w:eastAsia="宋体" w:cs="宋体"/>
          <w:snapToGrid w:val="0"/>
          <w:color w:val="auto"/>
          <w:kern w:val="0"/>
          <w:sz w:val="24"/>
          <w:szCs w:val="24"/>
          <w:highlight w:val="none"/>
          <w:u w:val="single"/>
        </w:rPr>
        <w:t>不接受</w:t>
      </w:r>
      <w:r>
        <w:rPr>
          <w:rFonts w:hint="eastAsia" w:ascii="宋体" w:hAnsi="宋体" w:eastAsia="宋体" w:cs="宋体"/>
          <w:snapToGrid w:val="0"/>
          <w:color w:val="auto"/>
          <w:kern w:val="0"/>
          <w:sz w:val="24"/>
          <w:szCs w:val="24"/>
          <w:highlight w:val="none"/>
        </w:rPr>
        <w:t>联合体投标。</w:t>
      </w:r>
    </w:p>
    <w:p w14:paraId="376870ED">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资格资质要求</w:t>
      </w:r>
    </w:p>
    <w:p w14:paraId="296608D7">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2.2.2</w:t>
      </w:r>
      <w:r>
        <w:rPr>
          <w:rFonts w:hint="eastAsia" w:ascii="宋体" w:hAnsi="宋体" w:eastAsia="宋体" w:cs="宋体"/>
          <w:snapToGrid w:val="0"/>
          <w:color w:val="auto"/>
          <w:kern w:val="0"/>
          <w:sz w:val="24"/>
          <w:szCs w:val="24"/>
          <w:highlight w:val="none"/>
        </w:rPr>
        <w:t xml:space="preserve"> 投标人须具备以下资质：</w:t>
      </w:r>
      <w:r>
        <w:rPr>
          <w:rFonts w:hint="eastAsia" w:ascii="宋体" w:hAnsi="宋体" w:eastAsia="宋体" w:cs="宋体"/>
          <w:snapToGrid w:val="0"/>
          <w:color w:val="auto"/>
          <w:kern w:val="0"/>
          <w:sz w:val="24"/>
          <w:szCs w:val="24"/>
          <w:highlight w:val="none"/>
          <w:u w:val="single"/>
          <w:lang w:eastAsia="zh-CN"/>
        </w:rPr>
        <w:t>工程监理综合资质或</w:t>
      </w:r>
      <w:r>
        <w:rPr>
          <w:rFonts w:hint="eastAsia" w:ascii="宋体" w:hAnsi="宋体" w:eastAsia="宋体" w:cs="宋体"/>
          <w:snapToGrid w:val="0"/>
          <w:color w:val="auto"/>
          <w:kern w:val="0"/>
          <w:sz w:val="24"/>
          <w:szCs w:val="24"/>
          <w:highlight w:val="none"/>
          <w:u w:val="single"/>
          <w:lang w:val="en-US" w:eastAsia="zh-CN"/>
        </w:rPr>
        <w:t>市政公用</w:t>
      </w:r>
      <w:r>
        <w:rPr>
          <w:rFonts w:hint="eastAsia" w:ascii="宋体" w:hAnsi="宋体" w:eastAsia="宋体" w:cs="宋体"/>
          <w:snapToGrid w:val="0"/>
          <w:color w:val="auto"/>
          <w:kern w:val="0"/>
          <w:sz w:val="24"/>
          <w:szCs w:val="24"/>
          <w:highlight w:val="none"/>
          <w:u w:val="single"/>
          <w:lang w:eastAsia="zh-CN"/>
        </w:rPr>
        <w:t>工程专业监理乙级以上（含乙级）资质。</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2.2.3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投标人的企业相关证书、人员资质、资格有效期到期的，均按该证书的发证机构相关行业主管部门最新文件执行（如自动顺延或推迟办理延期业务的通知），</w:t>
      </w:r>
      <w:r>
        <w:rPr>
          <w:rFonts w:hint="eastAsia" w:ascii="宋体" w:hAnsi="宋体" w:eastAsia="宋体" w:cs="宋体"/>
          <w:b/>
          <w:bCs/>
          <w:color w:val="auto"/>
          <w:sz w:val="24"/>
          <w:szCs w:val="24"/>
          <w:highlight w:val="none"/>
        </w:rPr>
        <w:t>投标人必须将相关文件附在该证书后面中，证明在开标日继续有效。</w:t>
      </w:r>
    </w:p>
    <w:p w14:paraId="53EE323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2.3.1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拟派总监理工程师为</w:t>
      </w:r>
      <w:r>
        <w:rPr>
          <w:rFonts w:hint="eastAsia" w:ascii="宋体" w:hAnsi="宋体" w:eastAsia="宋体" w:cs="宋体"/>
          <w:snapToGrid w:val="0"/>
          <w:color w:val="auto"/>
          <w:kern w:val="0"/>
          <w:sz w:val="24"/>
          <w:szCs w:val="24"/>
          <w:highlight w:val="none"/>
          <w:u w:val="single"/>
          <w:lang w:val="en-US" w:eastAsia="zh-CN"/>
        </w:rPr>
        <w:t>市政公用工程</w:t>
      </w:r>
      <w:r>
        <w:rPr>
          <w:rFonts w:hint="eastAsia" w:ascii="宋体" w:hAnsi="宋体" w:eastAsia="宋体" w:cs="宋体"/>
          <w:color w:val="auto"/>
          <w:sz w:val="24"/>
          <w:szCs w:val="24"/>
          <w:highlight w:val="none"/>
        </w:rPr>
        <w:t>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个。</w:t>
      </w:r>
    </w:p>
    <w:p w14:paraId="1B937DB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拟派总监理工程师现阶段有担任其他在施建设工程项目总监理工程师职务的，须得到任职项目建设单位书面同意后方可担任本招标项目总监理工程师。</w:t>
      </w:r>
    </w:p>
    <w:p w14:paraId="729B3FC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w:t>
      </w:r>
      <w:r>
        <w:rPr>
          <w:rFonts w:hint="eastAsia" w:ascii="宋体" w:hAnsi="宋体" w:eastAsia="宋体" w:cs="宋体"/>
          <w:snapToGrid w:val="0"/>
          <w:color w:val="auto"/>
          <w:kern w:val="0"/>
          <w:sz w:val="24"/>
          <w:szCs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禁止投标条款</w:t>
      </w:r>
    </w:p>
    <w:p w14:paraId="7D7AD0E4">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2.4.1</w:t>
      </w:r>
      <w:r>
        <w:rPr>
          <w:rFonts w:hint="eastAsia" w:ascii="宋体" w:hAnsi="宋体" w:eastAsia="宋体" w:cs="宋体"/>
          <w:snapToGrid w:val="0"/>
          <w:color w:val="auto"/>
          <w:kern w:val="0"/>
          <w:sz w:val="24"/>
          <w:szCs w:val="24"/>
          <w:highlight w:val="none"/>
        </w:rPr>
        <w:t xml:space="preserve"> 投标人不得存在下列情形之一：</w:t>
      </w:r>
    </w:p>
    <w:p w14:paraId="23B2DC3C">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7B77E298">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（2）与招标人存在利害关系且可能影响招标公正性；</w:t>
      </w:r>
    </w:p>
    <w:p w14:paraId="66A8637F">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6445557B">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66EBD7D7">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（5）为本招标项目的代建人；</w:t>
      </w:r>
    </w:p>
    <w:p w14:paraId="2102A470">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（6）为本招标项目的招标代理机构；</w:t>
      </w:r>
    </w:p>
    <w:p w14:paraId="22A7EB6B">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（7）与本招标项目的代建人或招标代理机构同为一个法定代表人；</w:t>
      </w:r>
    </w:p>
    <w:p w14:paraId="3FC11BF5">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（8）与本招标项目的代建人或招标代理机构存在控股或参股关系；</w:t>
      </w:r>
    </w:p>
    <w:p w14:paraId="12857A0D">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（9）与本招标项目的施工承包人以及建筑材料、建筑构配件和设备供应商有隶属关系或者其他利害关系；</w:t>
      </w:r>
    </w:p>
    <w:p w14:paraId="4A6FC44A">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（10）被依法暂停或者取消投标资格；</w:t>
      </w:r>
    </w:p>
    <w:p w14:paraId="68E70B2D">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（11）被责令停产停业、暂扣或者吊销许可证、暂扣或者吊销执照；</w:t>
      </w:r>
    </w:p>
    <w:p w14:paraId="75517A3D">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（12）进入清算程序，或被宣告破产，或其他丧失履约能力的情形；</w:t>
      </w:r>
    </w:p>
    <w:p w14:paraId="40C303D7">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（13）在最近三年内发生重大监理质量问题（以相关行业主管部门的行政处罚决定或司法机关出具的有关法律文书为准）；</w:t>
      </w:r>
    </w:p>
    <w:p w14:paraId="331A83DA">
      <w:pPr>
        <w:pStyle w:val="88"/>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（14）</w:t>
      </w:r>
      <w:r>
        <w:rPr>
          <w:rFonts w:hint="eastAsia" w:ascii="宋体" w:hAnsi="宋体" w:eastAsia="宋体" w:cs="宋体"/>
          <w:color w:val="auto"/>
          <w:kern w:val="0"/>
          <w:sz w:val="24"/>
          <w:szCs w:val="24"/>
          <w:highlight w:val="none"/>
        </w:rPr>
        <w:t>被“信用中国”网站（https://www.creditchina.gov.cn）发布的《法人和非法人组织公共信用信息报告》列为严重失信主体名单的</w:t>
      </w:r>
      <w:r>
        <w:rPr>
          <w:rFonts w:hint="eastAsia" w:ascii="宋体" w:hAnsi="宋体" w:eastAsia="宋体" w:cs="宋体"/>
          <w:snapToGrid w:val="0"/>
          <w:color w:val="auto"/>
          <w:kern w:val="0"/>
          <w:sz w:val="24"/>
          <w:szCs w:val="24"/>
          <w:highlight w:val="none"/>
        </w:rPr>
        <w:t>。</w:t>
      </w:r>
    </w:p>
    <w:p w14:paraId="6D2A9BC1">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2.4.2</w:t>
      </w:r>
      <w:r>
        <w:rPr>
          <w:rFonts w:hint="eastAsia" w:ascii="宋体" w:hAnsi="宋体" w:eastAsia="宋体" w:cs="宋体"/>
          <w:snapToGrid w:val="0"/>
          <w:color w:val="auto"/>
          <w:kern w:val="0"/>
          <w:sz w:val="24"/>
          <w:szCs w:val="24"/>
          <w:highlight w:val="none"/>
        </w:rPr>
        <w:t xml:space="preserve"> 招标人拒绝以下名单中的单位参加本次投标：</w:t>
      </w:r>
    </w:p>
    <w:tbl>
      <w:tblPr>
        <w:tblStyle w:val="31"/>
        <w:tblW w:w="871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732"/>
        <w:gridCol w:w="4204"/>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83"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732"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204"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247CC67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732" w:type="dxa"/>
            <w:noWrap w:val="0"/>
            <w:vAlign w:val="center"/>
          </w:tcPr>
          <w:p w14:paraId="48F92AA4">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仁化县丹霞旅游经济开发试验区管理委员会</w:t>
            </w:r>
          </w:p>
        </w:tc>
        <w:tc>
          <w:tcPr>
            <w:tcW w:w="4204" w:type="dxa"/>
            <w:noWrap w:val="0"/>
            <w:vAlign w:val="center"/>
          </w:tcPr>
          <w:p w14:paraId="1CA7E40F">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eastAsia="zh-CN"/>
              </w:rPr>
              <w:t>业主</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308BACF3">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732" w:type="dxa"/>
            <w:noWrap w:val="0"/>
            <w:vAlign w:val="center"/>
          </w:tcPr>
          <w:p w14:paraId="2C7FB050">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仁化县市政工程公司</w:t>
            </w:r>
          </w:p>
        </w:tc>
        <w:tc>
          <w:tcPr>
            <w:tcW w:w="4204" w:type="dxa"/>
            <w:noWrap w:val="0"/>
            <w:vAlign w:val="center"/>
          </w:tcPr>
          <w:p w14:paraId="3659449E">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00828124">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732" w:type="dxa"/>
            <w:noWrap w:val="0"/>
            <w:vAlign w:val="center"/>
          </w:tcPr>
          <w:p w14:paraId="76EC56A5">
            <w:pPr>
              <w:keepNext w:val="0"/>
              <w:keepLines w:val="0"/>
              <w:pageBreakBefore w:val="0"/>
              <w:widowControl w:val="0"/>
              <w:shd w:val="clear" w:color="auto" w:fill="auto"/>
              <w:kinsoku/>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广东合正项目管理有限公司</w:t>
            </w:r>
          </w:p>
        </w:tc>
        <w:tc>
          <w:tcPr>
            <w:tcW w:w="4204" w:type="dxa"/>
            <w:noWrap w:val="0"/>
            <w:vAlign w:val="center"/>
          </w:tcPr>
          <w:p w14:paraId="7789CE8C">
            <w:pPr>
              <w:keepNext w:val="0"/>
              <w:keepLines w:val="0"/>
              <w:pageBreakBefore w:val="0"/>
              <w:widowControl w:val="0"/>
              <w:shd w:val="clear" w:color="auto" w:fill="auto"/>
              <w:kinsoku/>
              <w:overflowPunct/>
              <w:topLinePunct w:val="0"/>
              <w:autoSpaceDE/>
              <w:autoSpaceDN/>
              <w:bidi w:val="0"/>
              <w:adjustRightInd w:val="0"/>
              <w:snapToGrid/>
              <w:spacing w:line="240" w:lineRule="auto"/>
              <w:ind w:left="120" w:leftChars="50" w:right="120" w:rightChars="5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618896A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3732" w:type="dxa"/>
            <w:noWrap w:val="0"/>
            <w:vAlign w:val="center"/>
          </w:tcPr>
          <w:p w14:paraId="6D80ECC2">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广东加达工程咨询有限公司</w:t>
            </w:r>
          </w:p>
        </w:tc>
        <w:tc>
          <w:tcPr>
            <w:tcW w:w="4204" w:type="dxa"/>
            <w:noWrap w:val="0"/>
            <w:vAlign w:val="center"/>
          </w:tcPr>
          <w:p w14:paraId="0C8722C2">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为本招标项目的造价单位</w:t>
            </w:r>
          </w:p>
        </w:tc>
      </w:tr>
      <w:tr w14:paraId="0D27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83" w:type="dxa"/>
            <w:noWrap w:val="0"/>
            <w:vAlign w:val="center"/>
          </w:tcPr>
          <w:p w14:paraId="68376C47">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3732" w:type="dxa"/>
            <w:noWrap w:val="0"/>
            <w:vAlign w:val="center"/>
          </w:tcPr>
          <w:p w14:paraId="36D3299C">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仁化县住房和城乡建设管理局</w:t>
            </w:r>
          </w:p>
        </w:tc>
        <w:tc>
          <w:tcPr>
            <w:tcW w:w="4204" w:type="dxa"/>
            <w:noWrap w:val="0"/>
            <w:vAlign w:val="center"/>
          </w:tcPr>
          <w:p w14:paraId="6C823A43">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为本项目的监督部门</w:t>
            </w:r>
          </w:p>
        </w:tc>
      </w:tr>
      <w:tr w14:paraId="755E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83" w:type="dxa"/>
            <w:noWrap w:val="0"/>
            <w:vAlign w:val="center"/>
          </w:tcPr>
          <w:p w14:paraId="389B6806">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6</w:t>
            </w:r>
          </w:p>
        </w:tc>
        <w:tc>
          <w:tcPr>
            <w:tcW w:w="3732" w:type="dxa"/>
            <w:noWrap w:val="0"/>
            <w:vAlign w:val="center"/>
          </w:tcPr>
          <w:p w14:paraId="2F046477">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广东伟达工程咨询顾问有限公司</w:t>
            </w:r>
          </w:p>
        </w:tc>
        <w:tc>
          <w:tcPr>
            <w:tcW w:w="4204" w:type="dxa"/>
            <w:noWrap w:val="0"/>
            <w:vAlign w:val="center"/>
          </w:tcPr>
          <w:p w14:paraId="0FBA7D9D">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为本项目的可行性研究报告编制单位</w:t>
            </w:r>
          </w:p>
        </w:tc>
      </w:tr>
      <w:tr w14:paraId="2DC3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83" w:type="dxa"/>
            <w:noWrap w:val="0"/>
            <w:vAlign w:val="center"/>
          </w:tcPr>
          <w:p w14:paraId="3EA86F4F">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7</w:t>
            </w:r>
          </w:p>
        </w:tc>
        <w:tc>
          <w:tcPr>
            <w:tcW w:w="3732" w:type="dxa"/>
            <w:noWrap w:val="0"/>
            <w:vAlign w:val="center"/>
          </w:tcPr>
          <w:p w14:paraId="73342DB5">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广东中颢工程设计有限公司</w:t>
            </w:r>
          </w:p>
        </w:tc>
        <w:tc>
          <w:tcPr>
            <w:tcW w:w="4204" w:type="dxa"/>
            <w:noWrap w:val="0"/>
            <w:vAlign w:val="center"/>
          </w:tcPr>
          <w:p w14:paraId="0137FCBB">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43FC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83" w:type="dxa"/>
            <w:noWrap w:val="0"/>
            <w:vAlign w:val="center"/>
          </w:tcPr>
          <w:p w14:paraId="0EE57FA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p>
        </w:tc>
        <w:tc>
          <w:tcPr>
            <w:tcW w:w="3732" w:type="dxa"/>
            <w:noWrap w:val="0"/>
            <w:vAlign w:val="center"/>
          </w:tcPr>
          <w:p w14:paraId="62BCC62B">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仁化县振华建筑工程有限公司</w:t>
            </w:r>
          </w:p>
        </w:tc>
        <w:tc>
          <w:tcPr>
            <w:tcW w:w="4204" w:type="dxa"/>
            <w:noWrap w:val="0"/>
            <w:vAlign w:val="center"/>
          </w:tcPr>
          <w:p w14:paraId="675AF6DB">
            <w:pPr>
              <w:pStyle w:val="88"/>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为本项目的施工单位</w:t>
            </w:r>
          </w:p>
        </w:tc>
      </w:tr>
    </w:tbl>
    <w:p w14:paraId="436A391F">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574A12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hint="eastAsia" w:ascii="宋体" w:hAnsi="宋体" w:eastAsia="宋体" w:cs="宋体"/>
          <w:b/>
          <w:bCs/>
          <w:snapToGrid w:val="0"/>
          <w:color w:val="auto"/>
          <w:kern w:val="0"/>
          <w:sz w:val="24"/>
          <w:szCs w:val="24"/>
          <w:highlight w:val="none"/>
        </w:rPr>
      </w:pPr>
      <w:bookmarkStart w:id="20" w:name="_Toc23314"/>
      <w:r>
        <w:rPr>
          <w:rFonts w:hint="eastAsia" w:ascii="宋体" w:hAnsi="宋体" w:eastAsia="宋体" w:cs="宋体"/>
          <w:b/>
          <w:bCs/>
          <w:snapToGrid w:val="0"/>
          <w:color w:val="auto"/>
          <w:kern w:val="0"/>
          <w:sz w:val="24"/>
          <w:szCs w:val="24"/>
          <w:highlight w:val="none"/>
        </w:rPr>
        <w:t>3．获取招标文件</w:t>
      </w:r>
      <w:bookmarkEnd w:id="20"/>
    </w:p>
    <w:p w14:paraId="1DF04FBD">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snapToGrid w:val="0"/>
          <w:color w:val="auto"/>
          <w:kern w:val="0"/>
          <w:sz w:val="24"/>
          <w:szCs w:val="24"/>
          <w:highlight w:val="none"/>
        </w:rPr>
        <w:t xml:space="preserve">3.1 </w:t>
      </w:r>
      <w:r>
        <w:rPr>
          <w:rFonts w:hint="eastAsia" w:ascii="宋体" w:hAnsi="宋体" w:eastAsia="宋体" w:cs="宋体"/>
          <w:color w:val="auto"/>
          <w:sz w:val="24"/>
          <w:szCs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snapToGrid w:val="0"/>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bCs/>
          <w:color w:val="auto"/>
          <w:sz w:val="24"/>
          <w:szCs w:val="24"/>
          <w:highlight w:val="none"/>
        </w:rPr>
        <w:t xml:space="preserve"> </w:t>
      </w:r>
    </w:p>
    <w:p w14:paraId="3710C648">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3.3 投标保证</w:t>
      </w:r>
    </w:p>
    <w:p w14:paraId="71FD51AC">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3.3.1 投标人须缴纳金额为人民币</w:t>
      </w:r>
      <w:r>
        <w:rPr>
          <w:rFonts w:hint="eastAsia" w:ascii="宋体" w:hAnsi="宋体" w:eastAsia="宋体" w:cs="宋体"/>
          <w:color w:val="auto"/>
          <w:sz w:val="24"/>
          <w:szCs w:val="24"/>
          <w:highlight w:val="none"/>
          <w:u w:val="single"/>
          <w:shd w:val="clear" w:color="auto" w:fill="FFFFFF"/>
          <w:lang w:val="en-US" w:eastAsia="zh-CN"/>
        </w:rPr>
        <w:t>贰仟</w:t>
      </w:r>
      <w:r>
        <w:rPr>
          <w:rFonts w:hint="eastAsia" w:ascii="宋体" w:hAnsi="宋体" w:eastAsia="宋体" w:cs="宋体"/>
          <w:color w:val="auto"/>
          <w:sz w:val="24"/>
          <w:szCs w:val="24"/>
          <w:highlight w:val="none"/>
          <w:shd w:val="clear" w:color="auto" w:fill="FFFFFF"/>
        </w:rPr>
        <w:t xml:space="preserve">元的投标保证。 </w:t>
      </w:r>
    </w:p>
    <w:p w14:paraId="081C9AA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color w:val="auto"/>
          <w:sz w:val="24"/>
          <w:szCs w:val="24"/>
          <w:highlight w:val="none"/>
          <w:lang w:val="en-US" w:eastAsia="zh-CN"/>
        </w:rPr>
        <w:t>见</w:t>
      </w:r>
      <w:r>
        <w:rPr>
          <w:rFonts w:hint="eastAsia" w:ascii="宋体" w:hAnsi="宋体" w:eastAsia="宋体" w:cs="宋体"/>
          <w:color w:val="auto"/>
          <w:sz w:val="24"/>
          <w:szCs w:val="24"/>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bookmarkStart w:id="21" w:name="_Toc28899"/>
      <w:r>
        <w:rPr>
          <w:rFonts w:hint="eastAsia" w:ascii="宋体" w:hAnsi="宋体" w:eastAsia="宋体" w:cs="宋体"/>
          <w:b/>
          <w:bCs/>
          <w:snapToGrid w:val="0"/>
          <w:color w:val="auto"/>
          <w:kern w:val="0"/>
          <w:sz w:val="24"/>
          <w:szCs w:val="24"/>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 xml:space="preserve"> 监理：</w:t>
      </w:r>
      <w:r>
        <w:rPr>
          <w:rFonts w:hint="eastAsia" w:ascii="宋体" w:hAnsi="宋体" w:eastAsia="宋体" w:cs="宋体"/>
          <w:snapToGrid w:val="0"/>
          <w:color w:val="auto"/>
          <w:kern w:val="0"/>
          <w:sz w:val="24"/>
          <w:szCs w:val="24"/>
          <w:highlight w:val="none"/>
          <w:lang w:val="en-US" w:eastAsia="zh-CN"/>
        </w:rPr>
        <w:t>本项目施工招标工期为60个日历天，</w:t>
      </w:r>
      <w:r>
        <w:rPr>
          <w:rFonts w:hint="eastAsia" w:ascii="宋体" w:hAnsi="宋体" w:eastAsia="宋体" w:cs="宋体"/>
          <w:snapToGrid w:val="0"/>
          <w:color w:val="auto"/>
          <w:kern w:val="0"/>
          <w:sz w:val="24"/>
          <w:szCs w:val="24"/>
          <w:highlight w:val="none"/>
        </w:rPr>
        <w:t>监理服务期从监理合同签订之日起计，至本工程缺陷责任保修期结束且本工程结算金额经政府主管部门审定且双方的责任义务履行完毕时止。</w:t>
      </w:r>
    </w:p>
    <w:p w14:paraId="1B68FEE8">
      <w:pPr>
        <w:pStyle w:val="4"/>
        <w:keepNext w:val="0"/>
        <w:keepLines w:val="0"/>
        <w:pageBreakBefore w:val="0"/>
        <w:wordWrap w:val="0"/>
        <w:topLinePunct w:val="0"/>
        <w:autoSpaceDE/>
        <w:autoSpaceDN/>
        <w:bidi w:val="0"/>
        <w:snapToGrid w:val="0"/>
        <w:spacing w:line="360" w:lineRule="auto"/>
        <w:ind w:firstLine="480"/>
        <w:jc w:val="both"/>
        <w:textAlignment w:val="auto"/>
        <w:outlineLvl w:val="2"/>
        <w:rPr>
          <w:rFonts w:hint="eastAsia" w:ascii="宋体" w:hAnsi="宋体" w:eastAsia="宋体" w:cs="宋体"/>
          <w:b/>
          <w:snapToGrid w:val="0"/>
          <w:color w:val="auto"/>
          <w:sz w:val="24"/>
          <w:szCs w:val="24"/>
          <w:highlight w:val="none"/>
        </w:rPr>
      </w:pPr>
      <w:bookmarkStart w:id="22" w:name="_Toc30430"/>
      <w:bookmarkStart w:id="23" w:name="_Toc10746"/>
      <w:r>
        <w:rPr>
          <w:rFonts w:hint="eastAsia" w:ascii="宋体" w:hAnsi="宋体" w:eastAsia="宋体" w:cs="宋体"/>
          <w:b/>
          <w:snapToGrid w:val="0"/>
          <w:color w:val="auto"/>
          <w:sz w:val="24"/>
          <w:szCs w:val="24"/>
          <w:highlight w:val="none"/>
        </w:rPr>
        <w:t>5．服务标准</w:t>
      </w:r>
      <w:bookmarkEnd w:id="22"/>
      <w:bookmarkEnd w:id="23"/>
    </w:p>
    <w:p w14:paraId="3DCFC342">
      <w:pPr>
        <w:pStyle w:val="4"/>
        <w:keepNext w:val="0"/>
        <w:keepLines w:val="0"/>
        <w:pageBreakBefore w:val="0"/>
        <w:wordWrap w:val="0"/>
        <w:topLinePunct w:val="0"/>
        <w:autoSpaceDE/>
        <w:autoSpaceDN/>
        <w:bidi w:val="0"/>
        <w:snapToGrid w:val="0"/>
        <w:spacing w:line="360" w:lineRule="auto"/>
        <w:ind w:firstLine="480"/>
        <w:jc w:val="both"/>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监理：</w:t>
      </w:r>
      <w:r>
        <w:rPr>
          <w:rFonts w:hint="eastAsia" w:ascii="宋体" w:hAnsi="宋体" w:eastAsia="宋体" w:cs="宋体"/>
          <w:color w:val="auto"/>
          <w:sz w:val="24"/>
          <w:szCs w:val="24"/>
          <w:highlight w:val="none"/>
        </w:rPr>
        <w:t>工程质量达到合格或以上标准。</w:t>
      </w:r>
      <w:r>
        <w:rPr>
          <w:rFonts w:hint="eastAsia" w:ascii="宋体" w:hAnsi="宋体" w:eastAsia="宋体" w:cs="宋体"/>
          <w:snapToGrid w:val="0"/>
          <w:color w:val="auto"/>
          <w:kern w:val="0"/>
          <w:sz w:val="24"/>
          <w:szCs w:val="24"/>
          <w:highlight w:val="none"/>
        </w:rPr>
        <w:t xml:space="preserve"> </w:t>
      </w:r>
      <w:bookmarkStart w:id="24" w:name="_Toc30102"/>
      <w:bookmarkStart w:id="25" w:name="_Toc32757"/>
    </w:p>
    <w:p w14:paraId="4CCCF34C">
      <w:pPr>
        <w:keepNext w:val="0"/>
        <w:keepLines w:val="0"/>
        <w:pageBreakBefore w:val="0"/>
        <w:wordWrap w:val="0"/>
        <w:topLinePunct w:val="0"/>
        <w:bidi w:val="0"/>
        <w:adjustRightInd w:val="0"/>
        <w:snapToGrid w:val="0"/>
        <w:spacing w:line="360" w:lineRule="auto"/>
        <w:ind w:firstLine="482" w:firstLineChars="200"/>
        <w:textAlignment w:val="auto"/>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6．现场踏勘</w:t>
      </w:r>
      <w:bookmarkEnd w:id="24"/>
      <w:bookmarkEnd w:id="25"/>
    </w:p>
    <w:p w14:paraId="1F65B6C3">
      <w:pPr>
        <w:keepNext w:val="0"/>
        <w:keepLines w:val="0"/>
        <w:pageBreakBefore w:val="0"/>
        <w:wordWrap w:val="0"/>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int="eastAsia" w:ascii="宋体" w:hAnsi="宋体" w:eastAsia="宋体" w:cs="宋体"/>
          <w:b/>
          <w:snapToGrid w:val="0"/>
          <w:color w:val="auto"/>
          <w:sz w:val="24"/>
          <w:szCs w:val="24"/>
          <w:highlight w:val="none"/>
        </w:rPr>
      </w:pPr>
      <w:bookmarkStart w:id="26" w:name="_Toc8198"/>
      <w:bookmarkStart w:id="27" w:name="_Toc21156"/>
      <w:r>
        <w:rPr>
          <w:rFonts w:hint="eastAsia" w:ascii="宋体" w:hAnsi="宋体" w:eastAsia="宋体" w:cs="宋体"/>
          <w:b/>
          <w:snapToGrid w:val="0"/>
          <w:color w:val="auto"/>
          <w:sz w:val="24"/>
          <w:szCs w:val="24"/>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4"/>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sz w:val="24"/>
          <w:szCs w:val="24"/>
          <w:highlight w:val="none"/>
        </w:rPr>
      </w:pPr>
      <w:bookmarkStart w:id="29" w:name="_Hlt92513715"/>
      <w:bookmarkEnd w:id="29"/>
      <w:bookmarkStart w:id="30" w:name="_Hlt92513711"/>
      <w:bookmarkEnd w:id="30"/>
      <w:bookmarkStart w:id="31" w:name="_Hlt69699188"/>
      <w:bookmarkEnd w:id="31"/>
      <w:bookmarkStart w:id="32" w:name="_Toc20044"/>
      <w:bookmarkStart w:id="33" w:name="_Toc23036"/>
      <w:r>
        <w:rPr>
          <w:rFonts w:hint="eastAsia" w:ascii="宋体" w:hAnsi="宋体" w:eastAsia="宋体" w:cs="宋体"/>
          <w:b/>
          <w:snapToGrid w:val="0"/>
          <w:color w:val="auto"/>
          <w:sz w:val="24"/>
          <w:szCs w:val="24"/>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（1）项目概算投资额；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（5）项目所在地市场价格。</w:t>
      </w:r>
    </w:p>
    <w:p w14:paraId="729BA8FC">
      <w:pPr>
        <w:pStyle w:val="40"/>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szCs w:val="24"/>
          <w:highlight w:val="none"/>
          <w:u w:val="none"/>
        </w:rPr>
      </w:pPr>
      <w:r>
        <w:rPr>
          <w:rFonts w:hint="eastAsia" w:ascii="宋体" w:hAnsi="宋体" w:eastAsia="宋体" w:cs="宋体"/>
          <w:bCs/>
          <w:snapToGrid w:val="0"/>
          <w:color w:val="auto"/>
          <w:kern w:val="0"/>
          <w:sz w:val="24"/>
          <w:szCs w:val="24"/>
          <w:highlight w:val="none"/>
        </w:rPr>
        <w:t xml:space="preserve">   8.2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val="0"/>
          <w:bCs/>
          <w:snapToGrid w:val="0"/>
          <w:color w:val="auto"/>
          <w:kern w:val="0"/>
          <w:sz w:val="24"/>
          <w:szCs w:val="24"/>
          <w:highlight w:val="none"/>
        </w:rPr>
        <w:t>本次招标最高投标限价为人民币（大写）：</w:t>
      </w:r>
      <w:r>
        <w:rPr>
          <w:rFonts w:hint="eastAsia" w:ascii="宋体" w:hAnsi="宋体" w:eastAsia="宋体" w:cs="宋体"/>
          <w:b w:val="0"/>
          <w:bCs/>
          <w:snapToGrid w:val="0"/>
          <w:color w:val="auto"/>
          <w:kern w:val="0"/>
          <w:sz w:val="24"/>
          <w:szCs w:val="24"/>
          <w:highlight w:val="none"/>
          <w:u w:val="single"/>
          <w:lang w:val="en-US" w:eastAsia="zh-CN"/>
        </w:rPr>
        <w:t>壹拾肆万贰仟捌佰陆拾陆元壹角玖分（小写：￥142866.19元）监理服务费投标取费费率上限为</w:t>
      </w:r>
      <w:r>
        <w:rPr>
          <w:rFonts w:hint="eastAsia" w:ascii="宋体" w:hAnsi="宋体" w:cs="宋体"/>
          <w:b w:val="0"/>
          <w:bCs/>
          <w:snapToGrid w:val="0"/>
          <w:color w:val="auto"/>
          <w:kern w:val="0"/>
          <w:sz w:val="24"/>
          <w:szCs w:val="24"/>
          <w:highlight w:val="none"/>
          <w:u w:val="single"/>
          <w:lang w:val="en-US" w:eastAsia="zh-CN"/>
        </w:rPr>
        <w:t>2.219</w:t>
      </w:r>
      <w:r>
        <w:rPr>
          <w:rFonts w:hint="eastAsia" w:ascii="宋体" w:hAnsi="宋体" w:eastAsia="宋体" w:cs="宋体"/>
          <w:b w:val="0"/>
          <w:bCs/>
          <w:snapToGrid w:val="0"/>
          <w:color w:val="auto"/>
          <w:kern w:val="0"/>
          <w:sz w:val="24"/>
          <w:szCs w:val="24"/>
          <w:highlight w:val="none"/>
          <w:u w:val="single"/>
          <w:lang w:val="en-US" w:eastAsia="zh-CN"/>
        </w:rPr>
        <w:t>%</w:t>
      </w:r>
      <w:r>
        <w:rPr>
          <w:rFonts w:hint="eastAsia" w:ascii="宋体" w:hAnsi="宋体" w:eastAsia="宋体" w:cs="宋体"/>
          <w:b w:val="0"/>
          <w:bCs/>
          <w:snapToGrid w:val="0"/>
          <w:color w:val="auto"/>
          <w:kern w:val="0"/>
          <w:sz w:val="24"/>
          <w:szCs w:val="24"/>
          <w:highlight w:val="none"/>
          <w:u w:val="singl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int="eastAsia" w:ascii="宋体" w:hAnsi="宋体" w:eastAsia="宋体" w:cs="宋体"/>
          <w:b/>
          <w:snapToGrid w:val="0"/>
          <w:color w:val="auto"/>
          <w:sz w:val="24"/>
          <w:szCs w:val="24"/>
          <w:highlight w:val="none"/>
        </w:rPr>
      </w:pPr>
      <w:bookmarkStart w:id="34" w:name="_Toc7437"/>
      <w:bookmarkStart w:id="35" w:name="_Toc1935"/>
      <w:r>
        <w:rPr>
          <w:rFonts w:hint="eastAsia" w:ascii="宋体" w:hAnsi="宋体" w:eastAsia="宋体" w:cs="宋体"/>
          <w:b/>
          <w:snapToGrid w:val="0"/>
          <w:color w:val="auto"/>
          <w:sz w:val="24"/>
          <w:szCs w:val="24"/>
          <w:highlight w:val="none"/>
        </w:rPr>
        <w:t>9．投标报价</w:t>
      </w:r>
      <w:bookmarkEnd w:id="34"/>
      <w:bookmarkEnd w:id="35"/>
      <w:bookmarkStart w:id="36" w:name="_Hlt74498519"/>
      <w:bookmarkEnd w:id="36"/>
    </w:p>
    <w:p w14:paraId="21AC1C5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9.1</w:t>
      </w:r>
      <w:r>
        <w:rPr>
          <w:rFonts w:hint="eastAsia" w:ascii="宋体" w:hAnsi="宋体" w:eastAsia="宋体" w:cs="宋体"/>
          <w:snapToGrid w:val="0"/>
          <w:color w:val="auto"/>
          <w:kern w:val="0"/>
          <w:sz w:val="24"/>
          <w:szCs w:val="24"/>
          <w:highlight w:val="none"/>
        </w:rPr>
        <w:t xml:space="preserve"> 本次招标采用填报</w:t>
      </w:r>
      <w:r>
        <w:rPr>
          <w:rFonts w:hint="eastAsia" w:ascii="宋体" w:hAnsi="宋体" w:eastAsia="宋体" w:cs="宋体"/>
          <w:snapToGrid w:val="0"/>
          <w:color w:val="auto"/>
          <w:kern w:val="0"/>
          <w:sz w:val="24"/>
          <w:szCs w:val="24"/>
          <w:highlight w:val="none"/>
          <w:u w:val="single"/>
        </w:rPr>
        <w:t xml:space="preserve"> 投标报价</w:t>
      </w:r>
      <w:r>
        <w:rPr>
          <w:rFonts w:hint="eastAsia" w:hAnsi="宋体" w:cs="宋体"/>
          <w:snapToGrid w:val="0"/>
          <w:color w:val="auto"/>
          <w:kern w:val="0"/>
          <w:u w:val="single"/>
        </w:rPr>
        <w:t>及取费费率</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的方式进行报价。投标人应在《投标函》（格式二）中进行报价。</w:t>
      </w:r>
      <w:r>
        <w:rPr>
          <w:rFonts w:hint="eastAsia" w:hAnsi="宋体" w:cs="宋体"/>
          <w:snapToGrid w:val="0"/>
          <w:color w:val="auto"/>
          <w:kern w:val="0"/>
        </w:rPr>
        <w:t>投标取费费率=投标总价÷建安工程费暂定价×100%，并保留</w:t>
      </w:r>
      <w:r>
        <w:rPr>
          <w:rFonts w:hint="eastAsia" w:hAnsi="宋体" w:cs="宋体"/>
          <w:snapToGrid w:val="0"/>
          <w:color w:val="auto"/>
          <w:kern w:val="0"/>
          <w:lang w:val="en-US" w:eastAsia="zh-CN"/>
        </w:rPr>
        <w:t>三</w:t>
      </w:r>
      <w:r>
        <w:rPr>
          <w:rFonts w:hint="eastAsia" w:hAnsi="宋体" w:cs="宋体"/>
          <w:snapToGrid w:val="0"/>
          <w:color w:val="auto"/>
          <w:kern w:val="0"/>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u w:val="single"/>
          <w:lang w:val="en-US" w:eastAsia="zh-CN"/>
        </w:rPr>
        <w:t>643.73</w:t>
      </w:r>
      <w:r>
        <w:rPr>
          <w:rFonts w:hint="eastAsia" w:hAnsi="宋体" w:cs="宋体"/>
          <w:b w:val="0"/>
          <w:bCs w:val="0"/>
          <w:snapToGrid w:val="0"/>
          <w:color w:val="auto"/>
          <w:kern w:val="0"/>
        </w:rPr>
        <w:t>万元。</w:t>
      </w:r>
    </w:p>
    <w:p w14:paraId="3066843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所有报价均以人民币“元”为单位，并保留两位小数。</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9.3 </w:t>
      </w:r>
      <w:r>
        <w:rPr>
          <w:rFonts w:hint="eastAsia" w:ascii="宋体" w:hAnsi="宋体" w:eastAsia="宋体" w:cs="宋体"/>
          <w:b w:val="0"/>
          <w:bCs w:val="0"/>
          <w:snapToGrid w:val="0"/>
          <w:color w:val="auto"/>
          <w:kern w:val="0"/>
          <w:sz w:val="24"/>
          <w:szCs w:val="24"/>
          <w:highlight w:val="none"/>
        </w:rPr>
        <w:t>监理服务费结算价在项目的合同价范围内按实结算，即：以施工</w:t>
      </w:r>
      <w:r>
        <w:rPr>
          <w:rFonts w:hint="eastAsia" w:ascii="宋体" w:hAnsi="宋体" w:eastAsia="宋体" w:cs="宋体"/>
          <w:b w:val="0"/>
          <w:bCs w:val="0"/>
          <w:snapToGrid w:val="0"/>
          <w:color w:val="auto"/>
          <w:kern w:val="0"/>
          <w:sz w:val="24"/>
          <w:szCs w:val="24"/>
          <w:highlight w:val="none"/>
          <w:lang w:val="en-US" w:eastAsia="zh-CN"/>
        </w:rPr>
        <w:t>财审</w:t>
      </w:r>
      <w:r>
        <w:rPr>
          <w:rFonts w:hint="eastAsia" w:ascii="宋体" w:hAnsi="宋体" w:eastAsia="宋体" w:cs="宋体"/>
          <w:b w:val="0"/>
          <w:bCs w:val="0"/>
          <w:snapToGrid w:val="0"/>
          <w:color w:val="auto"/>
          <w:kern w:val="0"/>
          <w:sz w:val="24"/>
          <w:szCs w:val="24"/>
          <w:highlight w:val="none"/>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9.4</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w:t>
      </w:r>
      <w:r>
        <w:rPr>
          <w:rFonts w:hint="eastAsia" w:ascii="宋体" w:hAnsi="宋体" w:eastAsia="宋体" w:cs="宋体"/>
          <w:b/>
          <w:bCs/>
          <w:snapToGrid w:val="0"/>
          <w:color w:val="auto"/>
          <w:kern w:val="0"/>
          <w:sz w:val="24"/>
          <w:szCs w:val="24"/>
          <w:highlight w:val="none"/>
          <w:lang w:val="en-US" w:eastAsia="zh-CN"/>
        </w:rPr>
        <w:t xml:space="preserve">5 </w:t>
      </w:r>
      <w:r>
        <w:rPr>
          <w:rFonts w:hint="eastAsia" w:ascii="宋体" w:hAnsi="宋体" w:eastAsia="宋体" w:cs="宋体"/>
          <w:snapToGrid w:val="0"/>
          <w:color w:val="auto"/>
          <w:kern w:val="0"/>
          <w:sz w:val="24"/>
          <w:szCs w:val="24"/>
          <w:highlight w:val="none"/>
        </w:rPr>
        <w:t>投标总价应包括国家规定的增值税税金。本次招标增值税税金按</w:t>
      </w:r>
      <w:r>
        <w:rPr>
          <w:rFonts w:hint="eastAsia" w:ascii="宋体" w:hAnsi="宋体" w:eastAsia="宋体" w:cs="宋体"/>
          <w:snapToGrid w:val="0"/>
          <w:color w:val="auto"/>
          <w:kern w:val="0"/>
          <w:sz w:val="24"/>
          <w:szCs w:val="24"/>
          <w:highlight w:val="none"/>
          <w:u w:val="single"/>
        </w:rPr>
        <w:t xml:space="preserve"> 一般 </w:t>
      </w:r>
      <w:r>
        <w:rPr>
          <w:rFonts w:hint="eastAsia" w:ascii="宋体" w:hAnsi="宋体" w:eastAsia="宋体" w:cs="宋体"/>
          <w:snapToGrid w:val="0"/>
          <w:color w:val="auto"/>
          <w:kern w:val="0"/>
          <w:sz w:val="24"/>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w:t>
      </w:r>
      <w:r>
        <w:rPr>
          <w:rFonts w:hint="eastAsia" w:ascii="宋体" w:hAnsi="宋体" w:eastAsia="宋体" w:cs="宋体"/>
          <w:b/>
          <w:bCs/>
          <w:snapToGrid w:val="0"/>
          <w:color w:val="auto"/>
          <w:kern w:val="0"/>
          <w:sz w:val="24"/>
          <w:szCs w:val="24"/>
          <w:highlight w:val="none"/>
          <w:lang w:val="en-US" w:eastAsia="zh-CN"/>
        </w:rPr>
        <w:t xml:space="preserve">6 </w:t>
      </w:r>
      <w:r>
        <w:rPr>
          <w:rFonts w:hint="eastAsia" w:ascii="宋体" w:hAnsi="宋体" w:eastAsia="宋体" w:cs="宋体"/>
          <w:snapToGrid w:val="0"/>
          <w:color w:val="auto"/>
          <w:kern w:val="0"/>
          <w:sz w:val="24"/>
          <w:szCs w:val="24"/>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9.</w:t>
      </w:r>
      <w:r>
        <w:rPr>
          <w:rFonts w:hint="eastAsia" w:ascii="宋体" w:hAnsi="宋体" w:eastAsia="宋体" w:cs="宋体"/>
          <w:b/>
          <w:bCs/>
          <w:snapToGrid w:val="0"/>
          <w:color w:val="auto"/>
          <w:kern w:val="0"/>
          <w:sz w:val="24"/>
          <w:szCs w:val="24"/>
          <w:highlight w:val="none"/>
          <w:lang w:val="en-US" w:eastAsia="zh-CN"/>
        </w:rPr>
        <w:t xml:space="preserve">7 </w:t>
      </w:r>
      <w:r>
        <w:rPr>
          <w:rFonts w:hint="eastAsia" w:ascii="宋体" w:hAnsi="宋体" w:eastAsia="宋体" w:cs="宋体"/>
          <w:snapToGrid w:val="0"/>
          <w:color w:val="auto"/>
          <w:kern w:val="0"/>
          <w:sz w:val="24"/>
          <w:szCs w:val="24"/>
          <w:highlight w:val="none"/>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trike/>
          <w:snapToGrid w:val="0"/>
          <w:color w:val="auto"/>
          <w:sz w:val="24"/>
          <w:szCs w:val="24"/>
          <w:highlight w:val="none"/>
        </w:rPr>
      </w:pPr>
      <w:bookmarkStart w:id="38" w:name="_Toc684"/>
      <w:bookmarkStart w:id="39" w:name="_Toc26881"/>
      <w:r>
        <w:rPr>
          <w:rFonts w:hint="eastAsia" w:ascii="宋体" w:hAnsi="宋体" w:eastAsia="宋体" w:cs="宋体"/>
          <w:b/>
          <w:snapToGrid w:val="0"/>
          <w:color w:val="auto"/>
          <w:sz w:val="24"/>
          <w:szCs w:val="24"/>
          <w:highlight w:val="none"/>
        </w:rPr>
        <w:t>10．投标文件的编制</w:t>
      </w:r>
      <w:bookmarkStart w:id="40" w:name="_Hlt69332370"/>
      <w:bookmarkEnd w:id="40"/>
      <w:bookmarkStart w:id="41" w:name="_Hlt69208262"/>
      <w:bookmarkEnd w:id="41"/>
      <w:r>
        <w:rPr>
          <w:rFonts w:hint="eastAsia" w:ascii="宋体" w:hAnsi="宋体" w:eastAsia="宋体" w:cs="宋体"/>
          <w:b/>
          <w:snapToGrid w:val="0"/>
          <w:color w:val="auto"/>
          <w:sz w:val="24"/>
          <w:szCs w:val="24"/>
          <w:highlight w:val="none"/>
        </w:rPr>
        <w:t>要求</w:t>
      </w:r>
      <w:bookmarkEnd w:id="38"/>
      <w:bookmarkEnd w:id="39"/>
      <w:bookmarkStart w:id="42" w:name="_Hlt74495594"/>
      <w:bookmarkEnd w:id="42"/>
      <w:bookmarkStart w:id="43" w:name="_Hlt7876822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w:t>
      </w:r>
      <w:r>
        <w:rPr>
          <w:rFonts w:hint="eastAsia" w:ascii="宋体" w:hAnsi="宋体" w:eastAsia="宋体" w:cs="宋体"/>
          <w:bCs/>
          <w:snapToGrid w:val="0"/>
          <w:color w:val="auto"/>
          <w:kern w:val="0"/>
          <w:sz w:val="24"/>
          <w:szCs w:val="24"/>
          <w:highlight w:val="none"/>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bookmarkStart w:id="45" w:name="_Hlt74496890"/>
      <w:bookmarkEnd w:id="45"/>
      <w:r>
        <w:rPr>
          <w:rFonts w:hint="eastAsia" w:ascii="宋体" w:hAnsi="宋体" w:eastAsia="宋体" w:cs="宋体"/>
          <w:snapToGrid w:val="0"/>
          <w:color w:val="auto"/>
          <w:kern w:val="0"/>
          <w:sz w:val="24"/>
          <w:szCs w:val="24"/>
          <w:highlight w:val="none"/>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snapToGrid w:val="0"/>
          <w:color w:val="auto"/>
          <w:kern w:val="0"/>
          <w:sz w:val="24"/>
          <w:szCs w:val="24"/>
          <w:highlight w:val="none"/>
        </w:rPr>
        <w:t xml:space="preserve"> 投标文件包括商务标书、监理大纲</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定标文件三</w:t>
      </w:r>
      <w:r>
        <w:rPr>
          <w:rFonts w:hint="eastAsia" w:ascii="宋体" w:hAnsi="宋体" w:eastAsia="宋体" w:cs="宋体"/>
          <w:snapToGrid w:val="0"/>
          <w:color w:val="auto"/>
          <w:kern w:val="0"/>
          <w:sz w:val="24"/>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10.1.3.1</w:t>
      </w:r>
      <w:r>
        <w:rPr>
          <w:rFonts w:hint="eastAsia" w:ascii="宋体" w:hAnsi="宋体" w:eastAsia="宋体" w:cs="宋体"/>
          <w:snapToGrid w:val="0"/>
          <w:color w:val="auto"/>
          <w:kern w:val="0"/>
          <w:sz w:val="24"/>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10.1.3.2</w:t>
      </w:r>
      <w:r>
        <w:rPr>
          <w:rFonts w:hint="eastAsia" w:ascii="宋体" w:hAnsi="宋体" w:eastAsia="宋体" w:cs="宋体"/>
          <w:snapToGrid w:val="0"/>
          <w:color w:val="auto"/>
          <w:kern w:val="0"/>
          <w:sz w:val="24"/>
          <w:szCs w:val="24"/>
          <w:highlight w:val="none"/>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10.1.3.3</w:t>
      </w:r>
      <w:r>
        <w:rPr>
          <w:rFonts w:hint="eastAsia" w:ascii="宋体" w:hAnsi="宋体" w:eastAsia="宋体" w:cs="宋体"/>
          <w:snapToGrid w:val="0"/>
          <w:color w:val="auto"/>
          <w:kern w:val="0"/>
          <w:sz w:val="24"/>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b/>
          <w:bCs/>
          <w:snapToGrid w:val="0"/>
          <w:color w:val="auto"/>
          <w:kern w:val="0"/>
          <w:sz w:val="24"/>
          <w:szCs w:val="24"/>
          <w:highlight w:val="none"/>
        </w:rPr>
      </w:pPr>
      <w:bookmarkStart w:id="46" w:name="_Toc257031159"/>
      <w:bookmarkStart w:id="47" w:name="_Toc274313880"/>
      <w:r>
        <w:rPr>
          <w:rFonts w:hint="eastAsia" w:ascii="宋体" w:hAnsi="宋体" w:eastAsia="宋体" w:cs="宋体"/>
          <w:b/>
          <w:bCs/>
          <w:snapToGrid w:val="0"/>
          <w:color w:val="auto"/>
          <w:kern w:val="0"/>
          <w:sz w:val="24"/>
          <w:szCs w:val="24"/>
          <w:highlight w:val="none"/>
        </w:rPr>
        <w:t>10.2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w:t>
      </w:r>
      <w:r>
        <w:rPr>
          <w:rFonts w:hint="eastAsia" w:ascii="宋体" w:hAnsi="宋体" w:eastAsia="宋体" w:cs="宋体"/>
          <w:snapToGrid w:val="0"/>
          <w:color w:val="auto"/>
          <w:kern w:val="0"/>
          <w:sz w:val="24"/>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（14）详细评审阶段要求提供的评审资料（详见本节第</w:t>
      </w: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snapToGrid w:val="0"/>
          <w:color w:val="auto"/>
          <w:kern w:val="0"/>
          <w:sz w:val="24"/>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目中所列出的商务标书组成内容中，第（1）至第（13）项所有投标人均应提供。</w:t>
      </w:r>
      <w:r>
        <w:rPr>
          <w:rFonts w:hint="eastAsia" w:ascii="宋体" w:hAnsi="宋体" w:eastAsia="宋体" w:cs="宋体"/>
          <w:b/>
          <w:bCs/>
          <w:snapToGrid w:val="0"/>
          <w:color w:val="auto"/>
          <w:kern w:val="0"/>
          <w:sz w:val="24"/>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商务标书的组成内容按本节第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10.3.1</w:t>
      </w:r>
      <w:r>
        <w:rPr>
          <w:rFonts w:hint="eastAsia" w:ascii="宋体" w:hAnsi="宋体" w:eastAsia="宋体" w:cs="宋体"/>
          <w:bCs/>
          <w:snapToGrid w:val="0"/>
          <w:color w:val="auto"/>
          <w:kern w:val="0"/>
          <w:sz w:val="24"/>
          <w:szCs w:val="24"/>
          <w:highlight w:val="none"/>
        </w:rPr>
        <w:t xml:space="preserve"> 监理大纲</w:t>
      </w:r>
      <w:r>
        <w:rPr>
          <w:rFonts w:hint="eastAsia" w:ascii="宋体" w:hAnsi="宋体" w:eastAsia="宋体" w:cs="宋体"/>
          <w:snapToGrid w:val="0"/>
          <w:color w:val="auto"/>
          <w:kern w:val="0"/>
          <w:sz w:val="24"/>
          <w:szCs w:val="24"/>
          <w:highlight w:val="none"/>
        </w:rPr>
        <w:t>的编制依据包括且不限于</w:t>
      </w:r>
      <w:r>
        <w:rPr>
          <w:rFonts w:hint="eastAsia" w:ascii="宋体" w:hAnsi="宋体" w:eastAsia="宋体" w:cs="宋体"/>
          <w:bCs/>
          <w:snapToGrid w:val="0"/>
          <w:color w:val="auto"/>
          <w:kern w:val="0"/>
          <w:sz w:val="24"/>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10.3.2</w:t>
      </w:r>
      <w:r>
        <w:rPr>
          <w:rFonts w:hint="eastAsia" w:ascii="宋体" w:hAnsi="宋体" w:eastAsia="宋体" w:cs="宋体"/>
          <w:bCs/>
          <w:snapToGrid w:val="0"/>
          <w:color w:val="auto"/>
          <w:kern w:val="0"/>
          <w:sz w:val="24"/>
          <w:szCs w:val="24"/>
          <w:highlight w:val="none"/>
        </w:rPr>
        <w:t xml:space="preserve"> 监理大纲</w:t>
      </w:r>
      <w:r>
        <w:rPr>
          <w:rFonts w:hint="eastAsia" w:ascii="宋体" w:hAnsi="宋体" w:eastAsia="宋体" w:cs="宋体"/>
          <w:snapToGrid w:val="0"/>
          <w:color w:val="auto"/>
          <w:kern w:val="0"/>
          <w:sz w:val="24"/>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目中所列出的</w:t>
      </w:r>
      <w:r>
        <w:rPr>
          <w:rFonts w:hint="eastAsia" w:ascii="宋体" w:hAnsi="宋体" w:eastAsia="宋体" w:cs="宋体"/>
          <w:bCs/>
          <w:snapToGrid w:val="0"/>
          <w:color w:val="auto"/>
          <w:kern w:val="0"/>
          <w:sz w:val="24"/>
          <w:szCs w:val="24"/>
          <w:highlight w:val="none"/>
        </w:rPr>
        <w:t>监理大纲</w:t>
      </w:r>
      <w:r>
        <w:rPr>
          <w:rFonts w:hint="eastAsia" w:ascii="宋体" w:hAnsi="宋体" w:eastAsia="宋体" w:cs="宋体"/>
          <w:snapToGrid w:val="0"/>
          <w:color w:val="auto"/>
          <w:kern w:val="0"/>
          <w:sz w:val="24"/>
          <w:szCs w:val="24"/>
          <w:highlight w:val="none"/>
        </w:rPr>
        <w:t>组成内容，所有投标人均应提供。</w:t>
      </w:r>
    </w:p>
    <w:p w14:paraId="281692E9">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监理大纲</w:t>
      </w:r>
      <w:r>
        <w:rPr>
          <w:rFonts w:hint="eastAsia" w:ascii="宋体" w:hAnsi="宋体" w:eastAsia="宋体" w:cs="宋体"/>
          <w:snapToGrid w:val="0"/>
          <w:color w:val="auto"/>
          <w:kern w:val="0"/>
          <w:sz w:val="24"/>
          <w:szCs w:val="24"/>
          <w:highlight w:val="none"/>
        </w:rPr>
        <w:t>的组成内容按本节第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7126D010">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10.4 定标文件的编制要求：</w:t>
      </w:r>
    </w:p>
    <w:p w14:paraId="637B509F">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10.4.1 </w:t>
      </w:r>
      <w:r>
        <w:rPr>
          <w:rFonts w:hint="eastAsia" w:ascii="宋体" w:hAnsi="宋体" w:eastAsia="宋体" w:cs="宋体"/>
          <w:snapToGrid w:val="0"/>
          <w:color w:val="auto"/>
          <w:kern w:val="0"/>
          <w:sz w:val="24"/>
          <w:szCs w:val="24"/>
          <w:highlight w:val="none"/>
          <w:lang w:val="en-US" w:eastAsia="zh-CN"/>
        </w:rPr>
        <w:t>定标文件包括但不限于以下内容：</w:t>
      </w:r>
    </w:p>
    <w:p w14:paraId="02C42CC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（1）封面（格式一）；</w:t>
      </w:r>
    </w:p>
    <w:p w14:paraId="176C905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990ED9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（3）定标因素评审资料（格式十四）。</w:t>
      </w:r>
    </w:p>
    <w:p w14:paraId="4195E301">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10.4.2</w:t>
      </w:r>
      <w:r>
        <w:rPr>
          <w:rFonts w:hint="eastAsia" w:ascii="宋体" w:hAnsi="宋体" w:eastAsia="宋体" w:cs="宋体"/>
          <w:snapToGrid w:val="0"/>
          <w:color w:val="auto"/>
          <w:kern w:val="0"/>
          <w:sz w:val="24"/>
          <w:szCs w:val="24"/>
          <w:highlight w:val="none"/>
          <w:lang w:val="en-US" w:eastAsia="zh-CN"/>
        </w:rPr>
        <w:t xml:space="preserve"> 本节第</w:t>
      </w:r>
      <w:r>
        <w:rPr>
          <w:rFonts w:hint="eastAsia" w:ascii="宋体" w:hAnsi="宋体" w:eastAsia="宋体" w:cs="宋体"/>
          <w:b/>
          <w:bCs/>
          <w:snapToGrid w:val="0"/>
          <w:color w:val="auto"/>
          <w:kern w:val="0"/>
          <w:sz w:val="24"/>
          <w:szCs w:val="24"/>
          <w:highlight w:val="none"/>
          <w:lang w:val="en-US" w:eastAsia="zh-CN"/>
        </w:rPr>
        <w:t>10.4.1</w:t>
      </w:r>
      <w:r>
        <w:rPr>
          <w:rFonts w:hint="eastAsia" w:ascii="宋体" w:hAnsi="宋体" w:eastAsia="宋体" w:cs="宋体"/>
          <w:snapToGrid w:val="0"/>
          <w:color w:val="auto"/>
          <w:kern w:val="0"/>
          <w:sz w:val="24"/>
          <w:szCs w:val="24"/>
          <w:highlight w:val="none"/>
          <w:lang w:val="en-US" w:eastAsia="zh-CN"/>
        </w:rPr>
        <w:t>目中所列出的组成内容中，第（1）项所有投标人均应提供。</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sz w:val="24"/>
          <w:szCs w:val="24"/>
          <w:highlight w:val="none"/>
        </w:rPr>
      </w:pPr>
      <w:bookmarkStart w:id="48" w:name="_Toc2864"/>
      <w:bookmarkStart w:id="49" w:name="_Toc10022"/>
      <w:r>
        <w:rPr>
          <w:rFonts w:hint="eastAsia" w:ascii="宋体" w:hAnsi="宋体" w:eastAsia="宋体" w:cs="宋体"/>
          <w:b/>
          <w:snapToGrid w:val="0"/>
          <w:color w:val="auto"/>
          <w:sz w:val="24"/>
          <w:szCs w:val="24"/>
          <w:highlight w:val="none"/>
        </w:rPr>
        <w:t>11．</w:t>
      </w:r>
      <w:bookmarkEnd w:id="48"/>
      <w:r>
        <w:rPr>
          <w:rFonts w:hint="eastAsia" w:ascii="宋体" w:hAnsi="宋体" w:eastAsia="宋体" w:cs="宋体"/>
          <w:b/>
          <w:snapToGrid w:val="0"/>
          <w:color w:val="auto"/>
          <w:sz w:val="24"/>
          <w:szCs w:val="24"/>
          <w:highlight w:val="none"/>
        </w:rPr>
        <w:t>电子投标</w:t>
      </w:r>
      <w:bookmarkEnd w:id="49"/>
    </w:p>
    <w:p w14:paraId="72F1BB7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11.3 </w:t>
      </w:r>
      <w:r>
        <w:rPr>
          <w:rFonts w:hint="eastAsia" w:ascii="宋体" w:hAnsi="宋体" w:eastAsia="宋体" w:cs="宋体"/>
          <w:snapToGrid w:val="0"/>
          <w:color w:val="auto"/>
          <w:kern w:val="0"/>
          <w:sz w:val="24"/>
          <w:szCs w:val="24"/>
          <w:highlight w:val="none"/>
        </w:rPr>
        <w:t>电子投标解密失败及突发情况的补救</w:t>
      </w:r>
    </w:p>
    <w:p w14:paraId="55067ABC">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11.3.1</w:t>
      </w:r>
      <w:r>
        <w:rPr>
          <w:rFonts w:hint="eastAsia" w:ascii="宋体" w:hAnsi="宋体" w:eastAsia="宋体" w:cs="宋体"/>
          <w:snapToGrid w:val="0"/>
          <w:color w:val="auto"/>
          <w:kern w:val="0"/>
          <w:sz w:val="24"/>
          <w:szCs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11.3.2</w:t>
      </w:r>
      <w:r>
        <w:rPr>
          <w:rFonts w:hint="eastAsia" w:ascii="宋体" w:hAnsi="宋体" w:eastAsia="宋体" w:cs="宋体"/>
          <w:snapToGrid w:val="0"/>
          <w:color w:val="auto"/>
          <w:kern w:val="0"/>
          <w:sz w:val="24"/>
          <w:szCs w:val="24"/>
          <w:highlight w:val="none"/>
        </w:rPr>
        <w:t>补救方案：</w:t>
      </w:r>
    </w:p>
    <w:p w14:paraId="0B52C66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sz w:val="24"/>
          <w:szCs w:val="24"/>
          <w:highlight w:val="none"/>
        </w:rPr>
      </w:pPr>
      <w:bookmarkStart w:id="50" w:name="_Toc26299"/>
      <w:r>
        <w:rPr>
          <w:rFonts w:hint="eastAsia" w:ascii="宋体" w:hAnsi="宋体" w:eastAsia="宋体" w:cs="宋体"/>
          <w:b/>
          <w:snapToGrid w:val="0"/>
          <w:color w:val="auto"/>
          <w:sz w:val="24"/>
          <w:szCs w:val="24"/>
          <w:highlight w:val="none"/>
        </w:rPr>
        <w:t>12. 投标文件的提交</w:t>
      </w:r>
      <w:bookmarkEnd w:id="50"/>
    </w:p>
    <w:p w14:paraId="63A3794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12.2</w:t>
      </w:r>
      <w:r>
        <w:rPr>
          <w:rFonts w:hint="eastAsia" w:ascii="宋体" w:hAnsi="宋体" w:eastAsia="宋体" w:cs="宋体"/>
          <w:snapToGrid w:val="0"/>
          <w:color w:val="auto"/>
          <w:kern w:val="0"/>
          <w:sz w:val="24"/>
          <w:szCs w:val="24"/>
          <w:highlight w:val="none"/>
        </w:rPr>
        <w:t>投标文件提交截止时间（同电子投标截止时间）：见本章第二节“重要事项时间地点一览表”。</w:t>
      </w:r>
    </w:p>
    <w:p w14:paraId="348B16E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12.3</w:t>
      </w:r>
      <w:r>
        <w:rPr>
          <w:rFonts w:hint="eastAsia" w:ascii="宋体" w:hAnsi="宋体" w:eastAsia="宋体" w:cs="宋体"/>
          <w:snapToGrid w:val="0"/>
          <w:color w:val="auto"/>
          <w:kern w:val="0"/>
          <w:sz w:val="24"/>
          <w:szCs w:val="24"/>
          <w:highlight w:val="none"/>
        </w:rPr>
        <w:t>代理机构对因不可抗力事件造成的投标文件的损坏、丢失的，不承担责任。</w:t>
      </w:r>
      <w:r>
        <w:rPr>
          <w:rFonts w:hint="eastAsia" w:ascii="宋体" w:hAnsi="宋体" w:eastAsia="宋体" w:cs="宋体"/>
          <w:b/>
          <w:bCs/>
          <w:snapToGrid w:val="0"/>
          <w:color w:val="auto"/>
          <w:kern w:val="0"/>
          <w:sz w:val="24"/>
          <w:szCs w:val="24"/>
          <w:highlight w:val="none"/>
        </w:rPr>
        <w:t xml:space="preserve">  </w:t>
      </w:r>
    </w:p>
    <w:p w14:paraId="16456DE3">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12.4 </w:t>
      </w:r>
      <w:r>
        <w:rPr>
          <w:rFonts w:hint="eastAsia" w:ascii="宋体" w:hAnsi="宋体" w:eastAsia="宋体" w:cs="宋体"/>
          <w:snapToGrid w:val="0"/>
          <w:color w:val="auto"/>
          <w:kern w:val="0"/>
          <w:sz w:val="24"/>
          <w:szCs w:val="24"/>
          <w:highlight w:val="none"/>
        </w:rPr>
        <w:t>投标人法定代表人或其委托代理人（以下简称“投标人代表”）应在指定的时间和地点递交以下的资料</w:t>
      </w:r>
      <w:r>
        <w:rPr>
          <w:rFonts w:hint="eastAsia" w:ascii="宋体" w:hAnsi="宋体" w:eastAsia="宋体" w:cs="宋体"/>
          <w:b/>
          <w:bCs/>
          <w:snapToGrid w:val="0"/>
          <w:color w:val="auto"/>
          <w:kern w:val="0"/>
          <w:sz w:val="24"/>
          <w:szCs w:val="24"/>
          <w:highlight w:val="none"/>
        </w:rPr>
        <w:t>（如有）</w:t>
      </w:r>
      <w:r>
        <w:rPr>
          <w:rFonts w:hint="eastAsia" w:ascii="宋体" w:hAnsi="宋体" w:eastAsia="宋体" w:cs="宋体"/>
          <w:snapToGrid w:val="0"/>
          <w:color w:val="auto"/>
          <w:kern w:val="0"/>
          <w:sz w:val="24"/>
          <w:szCs w:val="24"/>
          <w:highlight w:val="none"/>
        </w:rPr>
        <w:t>：招标文件要求提交的用于评审的证书、证件、证明原件（附一式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513CE89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12.5</w:t>
      </w:r>
      <w:r>
        <w:rPr>
          <w:rFonts w:hint="eastAsia" w:ascii="宋体" w:hAnsi="宋体" w:eastAsia="宋体" w:cs="宋体"/>
          <w:snapToGrid w:val="0"/>
          <w:color w:val="auto"/>
          <w:kern w:val="0"/>
          <w:sz w:val="24"/>
          <w:szCs w:val="24"/>
          <w:highlight w:val="none"/>
        </w:rPr>
        <w:t>出现下述情形之一，属于未成功提交投标文件，按无效投标处理：</w:t>
      </w:r>
    </w:p>
    <w:p w14:paraId="06E3DFD5">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（1）至电子投标截止时间时，投标文件未完整上传或未提交投标</w:t>
      </w:r>
      <w:r>
        <w:rPr>
          <w:rFonts w:hint="eastAsia" w:ascii="宋体" w:hAnsi="宋体" w:eastAsia="宋体" w:cs="宋体"/>
          <w:snapToGrid w:val="0"/>
          <w:color w:val="auto"/>
          <w:kern w:val="0"/>
          <w:sz w:val="24"/>
          <w:szCs w:val="24"/>
          <w:highlight w:val="none"/>
          <w:lang w:eastAsia="zh-CN"/>
        </w:rPr>
        <w:t>；</w:t>
      </w:r>
    </w:p>
    <w:p w14:paraId="393C44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1C2ECEAF">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snapToGrid w:val="0"/>
          <w:color w:val="auto"/>
          <w:kern w:val="0"/>
          <w:sz w:val="24"/>
          <w:szCs w:val="24"/>
          <w:highlight w:val="none"/>
        </w:rPr>
      </w:pPr>
      <w:bookmarkStart w:id="51" w:name="_Toc5536"/>
      <w:r>
        <w:rPr>
          <w:rFonts w:hint="eastAsia" w:ascii="宋体" w:hAnsi="宋体" w:eastAsia="宋体" w:cs="宋体"/>
          <w:b/>
          <w:snapToGrid w:val="0"/>
          <w:color w:val="auto"/>
          <w:kern w:val="0"/>
          <w:sz w:val="24"/>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本次招标投标有效期为</w:t>
      </w:r>
      <w:r>
        <w:rPr>
          <w:rFonts w:hint="eastAsia" w:ascii="宋体" w:hAnsi="宋体" w:eastAsia="宋体" w:cs="宋体"/>
          <w:snapToGrid w:val="0"/>
          <w:color w:val="auto"/>
          <w:kern w:val="0"/>
          <w:sz w:val="24"/>
          <w:szCs w:val="24"/>
          <w:highlight w:val="none"/>
          <w:u w:val="single"/>
        </w:rPr>
        <w:t xml:space="preserve">  90  </w:t>
      </w:r>
      <w:r>
        <w:rPr>
          <w:rFonts w:hint="eastAsia" w:ascii="宋体" w:hAnsi="宋体" w:eastAsia="宋体" w:cs="宋体"/>
          <w:snapToGrid w:val="0"/>
          <w:color w:val="auto"/>
          <w:kern w:val="0"/>
          <w:sz w:val="24"/>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snapToGrid w:val="0"/>
          <w:color w:val="auto"/>
          <w:kern w:val="0"/>
          <w:sz w:val="24"/>
          <w:szCs w:val="24"/>
          <w:highlight w:val="none"/>
        </w:rPr>
      </w:pPr>
      <w:bookmarkStart w:id="52" w:name="_Toc27886"/>
      <w:r>
        <w:rPr>
          <w:rFonts w:hint="eastAsia" w:ascii="宋体" w:hAnsi="宋体" w:eastAsia="宋体" w:cs="宋体"/>
          <w:b/>
          <w:snapToGrid w:val="0"/>
          <w:color w:val="auto"/>
          <w:kern w:val="0"/>
          <w:sz w:val="24"/>
          <w:szCs w:val="24"/>
          <w:highlight w:val="none"/>
        </w:rPr>
        <w:t>14．开标</w:t>
      </w:r>
      <w:bookmarkEnd w:id="52"/>
    </w:p>
    <w:p w14:paraId="36A9A778">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4500A2D1">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bookmarkStart w:id="53" w:name="_Hlt127093805"/>
      <w:bookmarkEnd w:id="53"/>
      <w:bookmarkStart w:id="54" w:name="_Toc29759"/>
      <w:r>
        <w:rPr>
          <w:rFonts w:hint="eastAsia" w:ascii="宋体" w:hAnsi="宋体" w:eastAsia="宋体" w:cs="宋体"/>
          <w:b/>
          <w:snapToGrid w:val="0"/>
          <w:color w:val="auto"/>
          <w:kern w:val="0"/>
          <w:sz w:val="24"/>
          <w:szCs w:val="24"/>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w:t>
      </w:r>
      <w:r>
        <w:rPr>
          <w:rFonts w:hint="eastAsia" w:ascii="宋体" w:hAnsi="宋体" w:eastAsia="宋体" w:cs="宋体"/>
          <w:snapToGrid w:val="0"/>
          <w:color w:val="auto"/>
          <w:kern w:val="0"/>
          <w:sz w:val="24"/>
          <w:szCs w:val="24"/>
          <w:highlight w:val="non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15.4.1</w:t>
      </w:r>
      <w:r>
        <w:rPr>
          <w:rFonts w:hint="eastAsia" w:ascii="宋体" w:hAnsi="宋体" w:eastAsia="宋体" w:cs="宋体"/>
          <w:snapToGrid w:val="0"/>
          <w:color w:val="auto"/>
          <w:kern w:val="0"/>
          <w:sz w:val="24"/>
          <w:szCs w:val="24"/>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总监理工程师任职项目情况表》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15.4.2</w:t>
      </w:r>
      <w:r>
        <w:rPr>
          <w:rFonts w:hint="eastAsia" w:ascii="宋体" w:hAnsi="宋体" w:eastAsia="宋体" w:cs="宋体"/>
          <w:snapToGrid w:val="0"/>
          <w:color w:val="auto"/>
          <w:kern w:val="0"/>
          <w:sz w:val="24"/>
          <w:szCs w:val="24"/>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w:t>
      </w:r>
      <w:r>
        <w:rPr>
          <w:rFonts w:hint="eastAsia" w:ascii="宋体" w:hAnsi="宋体" w:eastAsia="宋体" w:cs="宋体"/>
          <w:snapToGrid w:val="0"/>
          <w:color w:val="auto"/>
          <w:kern w:val="0"/>
          <w:sz w:val="24"/>
          <w:szCs w:val="24"/>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15.4.4</w:t>
      </w:r>
      <w:r>
        <w:rPr>
          <w:rFonts w:hint="eastAsia" w:ascii="宋体" w:hAnsi="宋体" w:eastAsia="宋体" w:cs="宋体"/>
          <w:snapToGrid w:val="0"/>
          <w:color w:val="auto"/>
          <w:kern w:val="0"/>
          <w:sz w:val="24"/>
          <w:szCs w:val="24"/>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15.5</w:t>
      </w:r>
      <w:r>
        <w:rPr>
          <w:rFonts w:hint="eastAsia" w:ascii="宋体" w:hAnsi="宋体" w:eastAsia="宋体" w:cs="宋体"/>
          <w:snapToGrid w:val="0"/>
          <w:color w:val="auto"/>
          <w:kern w:val="0"/>
          <w:sz w:val="24"/>
          <w:szCs w:val="24"/>
          <w:highlight w:val="none"/>
        </w:rPr>
        <w:t xml:space="preserve"> 详细评审</w:t>
      </w:r>
      <w:bookmarkStart w:id="55" w:name="_Hlt121629839"/>
      <w:r>
        <w:rPr>
          <w:rFonts w:hint="eastAsia" w:ascii="宋体" w:hAnsi="宋体" w:eastAsia="宋体" w:cs="宋体"/>
          <w:snapToGrid w:val="0"/>
          <w:color w:val="auto"/>
          <w:kern w:val="0"/>
          <w:sz w:val="24"/>
          <w:szCs w:val="24"/>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15.5.1</w:t>
      </w:r>
      <w:r>
        <w:rPr>
          <w:rFonts w:hint="eastAsia" w:ascii="宋体" w:hAnsi="宋体" w:eastAsia="宋体" w:cs="宋体"/>
          <w:bCs/>
          <w:snapToGrid w:val="0"/>
          <w:color w:val="auto"/>
          <w:kern w:val="0"/>
          <w:sz w:val="24"/>
          <w:szCs w:val="24"/>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评审内容分为商务、技术和投标报价三大部分，综合得分满分为100分。其中，商务满分为</w:t>
      </w:r>
      <w:r>
        <w:rPr>
          <w:rFonts w:hint="eastAsia" w:ascii="宋体" w:hAnsi="宋体" w:eastAsia="宋体" w:cs="宋体"/>
          <w:snapToGrid w:val="0"/>
          <w:color w:val="auto"/>
          <w:kern w:val="0"/>
          <w:sz w:val="24"/>
          <w:szCs w:val="24"/>
          <w:highlight w:val="none"/>
          <w:u w:val="single"/>
          <w:lang w:val="en-US" w:eastAsia="zh-CN"/>
        </w:rPr>
        <w:t xml:space="preserve"> 5</w:t>
      </w:r>
      <w:r>
        <w:rPr>
          <w:rFonts w:hint="eastAsia" w:hAnsi="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rPr>
        <w:t>分，技术满分为</w:t>
      </w:r>
      <w:r>
        <w:rPr>
          <w:rFonts w:hint="eastAsia" w:ascii="宋体" w:hAnsi="宋体" w:eastAsia="宋体" w:cs="宋体"/>
          <w:snapToGrid w:val="0"/>
          <w:color w:val="auto"/>
          <w:kern w:val="0"/>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分，投标报价部分满分为</w:t>
      </w:r>
      <w:r>
        <w:rPr>
          <w:rFonts w:hint="eastAsia" w:ascii="宋体" w:hAnsi="宋体" w:eastAsia="宋体" w:cs="宋体"/>
          <w:snapToGrid w:val="0"/>
          <w:color w:val="auto"/>
          <w:kern w:val="0"/>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40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（1）商务得分M</w:t>
      </w:r>
      <w:r>
        <w:rPr>
          <w:rFonts w:hint="eastAsia" w:ascii="宋体" w:hAnsi="宋体" w:eastAsia="宋体" w:cs="宋体"/>
          <w:snapToGrid w:val="0"/>
          <w:color w:val="auto"/>
          <w:kern w:val="0"/>
          <w:sz w:val="24"/>
          <w:szCs w:val="24"/>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（2）技术得分M</w:t>
      </w:r>
      <w:r>
        <w:rPr>
          <w:rFonts w:hint="eastAsia" w:ascii="宋体" w:hAnsi="宋体" w:eastAsia="宋体" w:cs="宋体"/>
          <w:snapToGrid w:val="0"/>
          <w:color w:val="auto"/>
          <w:kern w:val="0"/>
          <w:sz w:val="24"/>
          <w:szCs w:val="24"/>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（3）投标报价得分M</w:t>
      </w:r>
      <w:r>
        <w:rPr>
          <w:rFonts w:hint="eastAsia" w:ascii="宋体" w:hAnsi="宋体" w:eastAsia="宋体" w:cs="宋体"/>
          <w:snapToGrid w:val="0"/>
          <w:color w:val="auto"/>
          <w:kern w:val="0"/>
          <w:sz w:val="24"/>
          <w:szCs w:val="24"/>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，即当投标人的投标总价等于评标基准价时得满分，每高于评标基准价一个百分点扣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每低于评标基准价一个百分点扣0.</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式中：M为综合得分，M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为技术得分，M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为投标报价得分。</w:t>
      </w:r>
    </w:p>
    <w:p w14:paraId="54DFCA09">
      <w:pPr>
        <w:bidi w:val="0"/>
        <w:rPr>
          <w:rFonts w:hint="eastAsia" w:ascii="宋体" w:hAnsi="宋体" w:eastAsia="宋体" w:cs="宋体"/>
          <w:color w:val="auto"/>
          <w:sz w:val="24"/>
          <w:szCs w:val="24"/>
          <w:highlight w:val="none"/>
          <w:lang w:val="en-US" w:eastAsia="zh-CN"/>
        </w:rPr>
      </w:pPr>
      <w:bookmarkStart w:id="56" w:name="_Toc6276"/>
      <w:bookmarkStart w:id="57" w:name="_Toc31548"/>
    </w:p>
    <w:p w14:paraId="566ABFDA">
      <w:pPr>
        <w:bidi w:val="0"/>
        <w:rPr>
          <w:rFonts w:hint="eastAsia" w:ascii="宋体" w:hAnsi="宋体" w:eastAsia="宋体" w:cs="宋体"/>
          <w:color w:val="auto"/>
          <w:sz w:val="24"/>
          <w:szCs w:val="24"/>
          <w:highlight w:val="none"/>
          <w:lang w:val="en-US" w:eastAsia="zh-CN"/>
        </w:rPr>
      </w:pPr>
    </w:p>
    <w:p w14:paraId="17C17EA4">
      <w:pPr>
        <w:bidi w:val="0"/>
        <w:rPr>
          <w:rFonts w:hint="eastAsia"/>
          <w:color w:val="auto"/>
          <w:highlight w:val="none"/>
          <w:lang w:val="en-US" w:eastAsia="zh-CN"/>
        </w:rPr>
      </w:pPr>
    </w:p>
    <w:p w14:paraId="0096D610">
      <w:pPr>
        <w:bidi w:val="0"/>
        <w:rPr>
          <w:rFonts w:hint="eastAsia"/>
          <w:color w:val="auto"/>
          <w:highlight w:val="none"/>
          <w:lang w:val="en-US" w:eastAsia="zh-CN"/>
        </w:rPr>
      </w:pPr>
    </w:p>
    <w:p w14:paraId="36C78AF5">
      <w:pPr>
        <w:bidi w:val="0"/>
        <w:rPr>
          <w:rFonts w:hint="eastAsia"/>
          <w:color w:val="auto"/>
          <w:highlight w:val="none"/>
          <w:lang w:val="en-US" w:eastAsia="zh-CN"/>
        </w:rPr>
      </w:pPr>
    </w:p>
    <w:p w14:paraId="2B846775">
      <w:pPr>
        <w:bidi w:val="0"/>
        <w:rPr>
          <w:rFonts w:hint="eastAsia"/>
          <w:color w:val="auto"/>
          <w:highlight w:val="none"/>
          <w:lang w:val="en-US" w:eastAsia="zh-CN"/>
        </w:rPr>
      </w:pPr>
    </w:p>
    <w:p w14:paraId="18BAA559">
      <w:pPr>
        <w:bidi w:val="0"/>
        <w:rPr>
          <w:rFonts w:hint="eastAsia"/>
          <w:color w:val="auto"/>
          <w:highlight w:val="none"/>
          <w:lang w:val="en-US" w:eastAsia="zh-CN"/>
        </w:rPr>
      </w:pPr>
    </w:p>
    <w:p w14:paraId="12800DA2">
      <w:pPr>
        <w:bidi w:val="0"/>
        <w:rPr>
          <w:rFonts w:hint="eastAsia"/>
          <w:color w:val="auto"/>
          <w:highlight w:val="none"/>
          <w:lang w:val="en-US" w:eastAsia="zh-CN"/>
        </w:rPr>
      </w:pPr>
    </w:p>
    <w:p w14:paraId="51940FB0">
      <w:pPr>
        <w:bidi w:val="0"/>
        <w:rPr>
          <w:rFonts w:hint="eastAsia"/>
          <w:color w:val="auto"/>
          <w:highlight w:val="none"/>
          <w:lang w:val="en-US" w:eastAsia="zh-CN"/>
        </w:rPr>
      </w:pPr>
    </w:p>
    <w:p w14:paraId="276917D2">
      <w:pPr>
        <w:bidi w:val="0"/>
        <w:rPr>
          <w:rFonts w:hint="eastAsia"/>
          <w:color w:val="auto"/>
          <w:highlight w:val="none"/>
          <w:lang w:val="en-US" w:eastAsia="zh-CN"/>
        </w:rPr>
      </w:pPr>
    </w:p>
    <w:p w14:paraId="29ADD6A5">
      <w:pPr>
        <w:bidi w:val="0"/>
        <w:rPr>
          <w:rFonts w:hint="eastAsia"/>
          <w:color w:val="auto"/>
          <w:highlight w:val="none"/>
          <w:lang w:val="en-US" w:eastAsia="zh-CN"/>
        </w:rPr>
      </w:pPr>
    </w:p>
    <w:p w14:paraId="2B3D81AC">
      <w:pPr>
        <w:bidi w:val="0"/>
        <w:rPr>
          <w:rFonts w:hint="eastAsia"/>
          <w:color w:val="auto"/>
          <w:highlight w:val="none"/>
          <w:lang w:val="en-US" w:eastAsia="zh-CN"/>
        </w:rPr>
      </w:pPr>
    </w:p>
    <w:p w14:paraId="087D1E69">
      <w:pPr>
        <w:bidi w:val="0"/>
        <w:rPr>
          <w:rFonts w:hint="eastAsia"/>
          <w:color w:val="auto"/>
          <w:highlight w:val="none"/>
          <w:lang w:val="en-US" w:eastAsia="zh-CN"/>
        </w:rPr>
      </w:pPr>
    </w:p>
    <w:p w14:paraId="7E20D73D">
      <w:pPr>
        <w:bidi w:val="0"/>
        <w:rPr>
          <w:rFonts w:hint="eastAsia"/>
          <w:color w:val="auto"/>
          <w:highlight w:val="none"/>
          <w:lang w:val="en-US" w:eastAsia="zh-CN"/>
        </w:rPr>
      </w:pPr>
    </w:p>
    <w:p w14:paraId="1E2EA585">
      <w:pPr>
        <w:bidi w:val="0"/>
        <w:rPr>
          <w:rFonts w:hint="eastAsia"/>
          <w:color w:val="auto"/>
          <w:highlight w:val="none"/>
          <w:lang w:val="en-US" w:eastAsia="zh-CN"/>
        </w:rPr>
      </w:pPr>
    </w:p>
    <w:p w14:paraId="04AF113C">
      <w:pPr>
        <w:bidi w:val="0"/>
        <w:rPr>
          <w:rFonts w:hint="eastAsia"/>
          <w:color w:val="auto"/>
          <w:highlight w:val="none"/>
          <w:lang w:val="en-US" w:eastAsia="zh-CN"/>
        </w:rPr>
      </w:pPr>
    </w:p>
    <w:p w14:paraId="70C690A2">
      <w:pPr>
        <w:bidi w:val="0"/>
        <w:rPr>
          <w:rFonts w:hint="eastAsia"/>
          <w:color w:val="auto"/>
          <w:highlight w:val="none"/>
          <w:lang w:val="en-US" w:eastAsia="zh-CN"/>
        </w:rPr>
      </w:pPr>
    </w:p>
    <w:p w14:paraId="67AE0DF9">
      <w:pPr>
        <w:bidi w:val="0"/>
        <w:rPr>
          <w:rFonts w:hint="eastAsia"/>
          <w:color w:val="auto"/>
          <w:highlight w:val="none"/>
          <w:lang w:val="en-US" w:eastAsia="zh-CN"/>
        </w:rPr>
      </w:pPr>
    </w:p>
    <w:p w14:paraId="5B940BA3">
      <w:pPr>
        <w:bidi w:val="0"/>
        <w:rPr>
          <w:rFonts w:hint="eastAsia"/>
          <w:color w:val="auto"/>
          <w:highlight w:val="none"/>
          <w:lang w:val="en-US" w:eastAsia="zh-CN"/>
        </w:rPr>
      </w:pPr>
    </w:p>
    <w:p w14:paraId="086905B1">
      <w:pPr>
        <w:pStyle w:val="4"/>
        <w:rPr>
          <w:rFonts w:ascii="宋体" w:hAnsi="宋体" w:cs="宋体"/>
          <w:color w:val="auto"/>
          <w:sz w:val="24"/>
          <w:highlight w:val="none"/>
        </w:rPr>
      </w:pPr>
      <w:bookmarkStart w:id="58" w:name="_Toc19214"/>
      <w:r>
        <w:rPr>
          <w:rFonts w:hint="eastAsia" w:ascii="宋体" w:hAnsi="宋体" w:eastAsia="宋体" w:cs="宋体"/>
          <w:b/>
          <w:bCs/>
          <w:color w:val="auto"/>
          <w:sz w:val="32"/>
          <w:szCs w:val="22"/>
          <w:highlight w:val="none"/>
        </w:rPr>
        <w:t>表1 综合评分表</w:t>
      </w:r>
      <w:bookmarkEnd w:id="56"/>
      <w:bookmarkEnd w:id="57"/>
      <w:bookmarkEnd w:id="58"/>
    </w:p>
    <w:tbl>
      <w:tblPr>
        <w:tblStyle w:val="31"/>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135"/>
        <w:gridCol w:w="4252"/>
      </w:tblGrid>
      <w:tr w14:paraId="04E3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08" w:type="dxa"/>
            <w:gridSpan w:val="3"/>
            <w:shd w:val="clear" w:color="auto" w:fill="BEBEBE"/>
            <w:noWrap w:val="0"/>
            <w:vAlign w:val="center"/>
          </w:tcPr>
          <w:p w14:paraId="78E5E072">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b/>
                <w:bCs/>
                <w:strike w:val="0"/>
                <w:dstrike w:val="0"/>
                <w:snapToGrid w:val="0"/>
                <w:color w:val="auto"/>
                <w:kern w:val="0"/>
                <w:sz w:val="22"/>
                <w:szCs w:val="22"/>
                <w:highlight w:val="none"/>
              </w:rPr>
            </w:pPr>
            <w:r>
              <w:rPr>
                <w:rFonts w:hint="eastAsia" w:ascii="宋体" w:hAnsi="宋体" w:eastAsia="宋体" w:cs="宋体"/>
                <w:b/>
                <w:bCs/>
                <w:strike w:val="0"/>
                <w:dstrike w:val="0"/>
                <w:snapToGrid w:val="0"/>
                <w:color w:val="auto"/>
                <w:kern w:val="0"/>
                <w:sz w:val="22"/>
                <w:szCs w:val="22"/>
                <w:highlight w:val="none"/>
              </w:rPr>
              <w:t>商务部分满分：</w:t>
            </w:r>
            <w:r>
              <w:rPr>
                <w:rFonts w:hint="eastAsia" w:ascii="宋体" w:hAnsi="宋体" w:eastAsia="宋体" w:cs="宋体"/>
                <w:b/>
                <w:bCs/>
                <w:strike w:val="0"/>
                <w:dstrike w:val="0"/>
                <w:snapToGrid w:val="0"/>
                <w:color w:val="auto"/>
                <w:kern w:val="0"/>
                <w:sz w:val="22"/>
                <w:szCs w:val="22"/>
                <w:highlight w:val="none"/>
                <w:u w:val="single"/>
                <w:lang w:val="en-US" w:eastAsia="zh-CN"/>
              </w:rPr>
              <w:t>50</w:t>
            </w:r>
            <w:r>
              <w:rPr>
                <w:rFonts w:hint="eastAsia" w:ascii="宋体" w:hAnsi="宋体" w:eastAsia="宋体" w:cs="宋体"/>
                <w:b/>
                <w:bCs/>
                <w:strike w:val="0"/>
                <w:dstrike w:val="0"/>
                <w:snapToGrid w:val="0"/>
                <w:color w:val="auto"/>
                <w:kern w:val="0"/>
                <w:sz w:val="22"/>
                <w:szCs w:val="22"/>
                <w:highlight w:val="none"/>
              </w:rPr>
              <w:t>分。</w:t>
            </w:r>
          </w:p>
        </w:tc>
      </w:tr>
      <w:tr w14:paraId="06F1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21" w:type="dxa"/>
            <w:noWrap w:val="0"/>
            <w:vAlign w:val="center"/>
          </w:tcPr>
          <w:p w14:paraId="23646983">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评分因素</w:t>
            </w:r>
          </w:p>
        </w:tc>
        <w:tc>
          <w:tcPr>
            <w:tcW w:w="4135" w:type="dxa"/>
            <w:noWrap w:val="0"/>
            <w:vAlign w:val="center"/>
          </w:tcPr>
          <w:p w14:paraId="51495740">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评分标准</w:t>
            </w:r>
          </w:p>
        </w:tc>
        <w:tc>
          <w:tcPr>
            <w:tcW w:w="4252" w:type="dxa"/>
            <w:noWrap w:val="0"/>
            <w:vAlign w:val="center"/>
          </w:tcPr>
          <w:p w14:paraId="6AB437CF">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备注</w:t>
            </w:r>
          </w:p>
        </w:tc>
      </w:tr>
      <w:tr w14:paraId="5634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1" w:type="dxa"/>
            <w:noWrap w:val="0"/>
            <w:vAlign w:val="center"/>
          </w:tcPr>
          <w:p w14:paraId="22338BD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val="0"/>
                <w:bCs w:val="0"/>
                <w:color w:val="auto"/>
                <w:kern w:val="0"/>
                <w:sz w:val="22"/>
                <w:szCs w:val="22"/>
                <w:highlight w:val="none"/>
                <w:lang w:val="en-US" w:eastAsia="zh-CN" w:bidi="ar-SA"/>
              </w:rPr>
              <w:t>企业奖项</w:t>
            </w:r>
          </w:p>
          <w:p w14:paraId="6BE55D7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bCs/>
                <w:color w:val="auto"/>
                <w:kern w:val="0"/>
                <w:sz w:val="22"/>
                <w:szCs w:val="22"/>
                <w:highlight w:val="none"/>
                <w:lang w:val="en-US" w:eastAsia="zh-CN" w:bidi="ar-SA"/>
              </w:rPr>
              <w:t>（10分）</w:t>
            </w:r>
          </w:p>
        </w:tc>
        <w:tc>
          <w:tcPr>
            <w:tcW w:w="4135" w:type="dxa"/>
            <w:noWrap w:val="0"/>
            <w:vAlign w:val="center"/>
          </w:tcPr>
          <w:p w14:paraId="7F4FD7D7">
            <w:pPr>
              <w:overflowPunct w:val="0"/>
              <w:spacing w:line="360" w:lineRule="auto"/>
              <w:rPr>
                <w:rFonts w:hint="eastAsia" w:ascii="宋体" w:hAnsi="宋体" w:eastAsia="宋体" w:cs="宋体"/>
                <w:color w:val="auto"/>
                <w:spacing w:val="8"/>
                <w:sz w:val="22"/>
                <w:szCs w:val="22"/>
                <w:highlight w:val="none"/>
              </w:rPr>
            </w:pPr>
            <w:r>
              <w:rPr>
                <w:rFonts w:hint="eastAsia" w:ascii="宋体" w:hAnsi="宋体" w:eastAsia="宋体" w:cs="宋体"/>
                <w:b w:val="0"/>
                <w:bCs w:val="0"/>
                <w:color w:val="auto"/>
                <w:sz w:val="22"/>
                <w:szCs w:val="22"/>
                <w:highlight w:val="none"/>
                <w:lang w:eastAsia="zh-CN"/>
              </w:rPr>
              <w:t>投标人</w:t>
            </w:r>
            <w:r>
              <w:rPr>
                <w:rFonts w:hint="eastAsia" w:ascii="宋体" w:hAnsi="宋体" w:eastAsia="宋体" w:cs="宋体"/>
                <w:b w:val="0"/>
                <w:bCs w:val="0"/>
                <w:color w:val="auto"/>
                <w:sz w:val="22"/>
                <w:szCs w:val="22"/>
                <w:highlight w:val="none"/>
              </w:rPr>
              <w:t>近年</w:t>
            </w:r>
            <w:r>
              <w:rPr>
                <w:rFonts w:hint="eastAsia" w:ascii="宋体" w:hAnsi="宋体" w:eastAsia="宋体" w:cs="宋体"/>
                <w:b w:val="0"/>
                <w:bCs w:val="0"/>
                <w:color w:val="auto"/>
                <w:sz w:val="22"/>
                <w:szCs w:val="22"/>
                <w:highlight w:val="none"/>
                <w:lang w:eastAsia="zh-CN"/>
              </w:rPr>
              <w:t>来</w:t>
            </w:r>
            <w:r>
              <w:rPr>
                <w:rFonts w:hint="eastAsia" w:ascii="宋体" w:hAnsi="宋体" w:eastAsia="宋体" w:cs="宋体"/>
                <w:b w:val="0"/>
                <w:bCs w:val="0"/>
                <w:color w:val="auto"/>
                <w:sz w:val="22"/>
                <w:szCs w:val="22"/>
                <w:highlight w:val="none"/>
              </w:rPr>
              <w:t>（2</w:t>
            </w:r>
            <w:r>
              <w:rPr>
                <w:rFonts w:hint="eastAsia" w:ascii="宋体" w:hAnsi="宋体" w:eastAsia="宋体" w:cs="宋体"/>
                <w:b w:val="0"/>
                <w:bCs w:val="0"/>
                <w:color w:val="auto"/>
                <w:sz w:val="22"/>
                <w:szCs w:val="22"/>
                <w:highlight w:val="none"/>
                <w:lang w:val="en-US" w:eastAsia="zh-CN"/>
              </w:rPr>
              <w:t>021</w:t>
            </w:r>
            <w:r>
              <w:rPr>
                <w:rFonts w:hint="eastAsia" w:ascii="宋体" w:hAnsi="宋体" w:eastAsia="宋体" w:cs="宋体"/>
                <w:b w:val="0"/>
                <w:bCs w:val="0"/>
                <w:color w:val="auto"/>
                <w:sz w:val="22"/>
                <w:szCs w:val="22"/>
                <w:highlight w:val="none"/>
              </w:rPr>
              <w:t>年</w:t>
            </w:r>
            <w:r>
              <w:rPr>
                <w:rFonts w:hint="eastAsia" w:ascii="宋体" w:hAnsi="宋体" w:eastAsia="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月1日至今</w:t>
            </w:r>
            <w:r>
              <w:rPr>
                <w:rFonts w:hint="eastAsia" w:ascii="宋体" w:hAnsi="宋体" w:eastAsia="宋体" w:cs="宋体"/>
                <w:b w:val="0"/>
                <w:bCs w:val="0"/>
                <w:color w:val="auto"/>
                <w:sz w:val="22"/>
                <w:szCs w:val="22"/>
                <w:highlight w:val="none"/>
                <w:lang w:eastAsia="zh-CN"/>
              </w:rPr>
              <w:t>）所</w:t>
            </w:r>
            <w:r>
              <w:rPr>
                <w:rFonts w:hint="eastAsia" w:ascii="宋体" w:hAnsi="宋体" w:eastAsia="宋体" w:cs="宋体"/>
                <w:b w:val="0"/>
                <w:bCs w:val="0"/>
                <w:color w:val="auto"/>
                <w:sz w:val="22"/>
                <w:szCs w:val="22"/>
                <w:highlight w:val="none"/>
              </w:rPr>
              <w:t>监理的工程类项目获奖情况</w:t>
            </w:r>
            <w:r>
              <w:rPr>
                <w:rFonts w:hint="eastAsia" w:ascii="宋体" w:hAnsi="宋体" w:eastAsia="宋体" w:cs="宋体"/>
                <w:color w:val="auto"/>
                <w:spacing w:val="8"/>
                <w:sz w:val="22"/>
                <w:szCs w:val="22"/>
                <w:highlight w:val="none"/>
              </w:rPr>
              <w:t>：</w:t>
            </w:r>
          </w:p>
          <w:p w14:paraId="4D3626C1">
            <w:pPr>
              <w:overflowPunct w:val="0"/>
              <w:spacing w:line="360" w:lineRule="auto"/>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1.获得省级</w:t>
            </w:r>
            <w:r>
              <w:rPr>
                <w:rFonts w:hint="eastAsia" w:ascii="宋体" w:hAnsi="宋体" w:eastAsia="宋体" w:cs="宋体"/>
                <w:color w:val="auto"/>
                <w:spacing w:val="8"/>
                <w:sz w:val="22"/>
                <w:szCs w:val="22"/>
                <w:highlight w:val="none"/>
                <w:lang w:val="en-US" w:eastAsia="zh-CN"/>
              </w:rPr>
              <w:t>或以上</w:t>
            </w:r>
            <w:r>
              <w:rPr>
                <w:rFonts w:hint="eastAsia" w:ascii="宋体" w:hAnsi="宋体" w:eastAsia="宋体" w:cs="宋体"/>
                <w:color w:val="auto"/>
                <w:spacing w:val="8"/>
                <w:sz w:val="22"/>
                <w:szCs w:val="22"/>
                <w:highlight w:val="none"/>
              </w:rPr>
              <w:t>奖项的，每个得</w:t>
            </w:r>
            <w:r>
              <w:rPr>
                <w:rFonts w:hint="eastAsia" w:ascii="宋体" w:hAnsi="宋体" w:eastAsia="宋体" w:cs="宋体"/>
                <w:color w:val="auto"/>
                <w:spacing w:val="8"/>
                <w:sz w:val="22"/>
                <w:szCs w:val="22"/>
                <w:highlight w:val="none"/>
                <w:lang w:val="en-US" w:eastAsia="zh-CN"/>
              </w:rPr>
              <w:t>10</w:t>
            </w:r>
            <w:r>
              <w:rPr>
                <w:rFonts w:hint="eastAsia" w:ascii="宋体" w:hAnsi="宋体" w:eastAsia="宋体" w:cs="宋体"/>
                <w:color w:val="auto"/>
                <w:spacing w:val="8"/>
                <w:sz w:val="22"/>
                <w:szCs w:val="22"/>
                <w:highlight w:val="none"/>
              </w:rPr>
              <w:t>分；</w:t>
            </w:r>
          </w:p>
          <w:p w14:paraId="68FD9D42">
            <w:pPr>
              <w:overflowPunct w:val="0"/>
              <w:spacing w:line="360" w:lineRule="auto"/>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2.获得地市级奖项的，每个得</w:t>
            </w:r>
            <w:r>
              <w:rPr>
                <w:rFonts w:hint="eastAsia" w:ascii="宋体" w:hAnsi="宋体" w:eastAsia="宋体" w:cs="宋体"/>
                <w:color w:val="auto"/>
                <w:spacing w:val="8"/>
                <w:sz w:val="22"/>
                <w:szCs w:val="22"/>
                <w:highlight w:val="none"/>
                <w:lang w:val="en-US" w:eastAsia="zh-CN"/>
              </w:rPr>
              <w:t>5</w:t>
            </w:r>
            <w:r>
              <w:rPr>
                <w:rFonts w:hint="eastAsia" w:ascii="宋体" w:hAnsi="宋体" w:eastAsia="宋体" w:cs="宋体"/>
                <w:color w:val="auto"/>
                <w:spacing w:val="8"/>
                <w:sz w:val="22"/>
                <w:szCs w:val="22"/>
                <w:highlight w:val="none"/>
              </w:rPr>
              <w:t>分；</w:t>
            </w:r>
          </w:p>
          <w:p w14:paraId="5005F0BA">
            <w:pPr>
              <w:pStyle w:val="10"/>
              <w:keepNext w:val="0"/>
              <w:keepLines w:val="0"/>
              <w:pageBreakBefore w:val="0"/>
              <w:tabs>
                <w:tab w:val="left" w:pos="1354"/>
                <w:tab w:val="left" w:pos="1459"/>
                <w:tab w:val="center" w:pos="3902"/>
                <w:tab w:val="right" w:pos="7805"/>
              </w:tabs>
              <w:kinsoku/>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3.其他情形的，不予计分</w:t>
            </w:r>
            <w:r>
              <w:rPr>
                <w:rFonts w:hint="eastAsia" w:ascii="宋体" w:hAnsi="宋体" w:eastAsia="宋体" w:cs="宋体"/>
                <w:bCs/>
                <w:color w:val="auto"/>
                <w:sz w:val="22"/>
                <w:szCs w:val="22"/>
                <w:highlight w:val="none"/>
              </w:rPr>
              <w:t>。</w:t>
            </w:r>
          </w:p>
          <w:p w14:paraId="2F0CB548">
            <w:pPr>
              <w:keepNext w:val="0"/>
              <w:keepLines w:val="0"/>
              <w:pageBreakBefore w:val="0"/>
              <w:widowControl w:val="0"/>
              <w:kinsoku/>
              <w:wordWrap/>
              <w:overflowPunct/>
              <w:topLinePunct w:val="0"/>
              <w:autoSpaceDE/>
              <w:autoSpaceDN/>
              <w:bidi w:val="0"/>
              <w:adjustRightInd w:val="0"/>
              <w:snapToGrid/>
              <w:spacing w:line="400" w:lineRule="exact"/>
              <w:jc w:val="left"/>
              <w:outlineLvl w:val="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说明：本项最高得</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分。</w:t>
            </w:r>
          </w:p>
        </w:tc>
        <w:tc>
          <w:tcPr>
            <w:tcW w:w="4252" w:type="dxa"/>
            <w:noWrap w:val="0"/>
            <w:vAlign w:val="center"/>
          </w:tcPr>
          <w:p w14:paraId="1A5F0D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1.同一业绩只按最高级别奖项计分一次，不同业绩按照各自最高获奖等级的得分累加。</w:t>
            </w:r>
          </w:p>
          <w:p w14:paraId="7AE721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需附有关奖项证明彩色扫描件</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如发证单位为行业协会的，还需提供该行业协会在全国社会组织信用信息公示平台的登记信息查询结果截图，否则不得分。</w:t>
            </w:r>
          </w:p>
          <w:p w14:paraId="1CF693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3.颁发机构限定以下范围：</w:t>
            </w:r>
          </w:p>
          <w:p w14:paraId="7BA69E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①国家级奖项：国务院、住建部、国家级行业协会；（</w:t>
            </w:r>
            <w:r>
              <w:rPr>
                <w:rFonts w:hint="eastAsia" w:ascii="宋体" w:hAnsi="宋体" w:eastAsia="宋体" w:cs="宋体"/>
                <w:b/>
                <w:bCs/>
                <w:color w:val="auto"/>
                <w:sz w:val="22"/>
                <w:szCs w:val="22"/>
                <w:highlight w:val="none"/>
              </w:rPr>
              <w:t>相关协会需经民政部门备案</w:t>
            </w:r>
            <w:r>
              <w:rPr>
                <w:rFonts w:hint="eastAsia" w:ascii="宋体" w:hAnsi="宋体" w:eastAsia="宋体" w:cs="宋体"/>
                <w:color w:val="auto"/>
                <w:sz w:val="22"/>
                <w:szCs w:val="22"/>
                <w:highlight w:val="none"/>
              </w:rPr>
              <w:t>）</w:t>
            </w:r>
          </w:p>
          <w:p w14:paraId="6B6855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②省级奖项：省级人民政府、省级住建部门、省级行业协会；（</w:t>
            </w:r>
            <w:r>
              <w:rPr>
                <w:rFonts w:hint="eastAsia" w:ascii="宋体" w:hAnsi="宋体" w:eastAsia="宋体" w:cs="宋体"/>
                <w:b/>
                <w:bCs/>
                <w:color w:val="auto"/>
                <w:sz w:val="22"/>
                <w:szCs w:val="22"/>
                <w:highlight w:val="none"/>
              </w:rPr>
              <w:t>相关协会需经民政部门备案</w:t>
            </w:r>
            <w:r>
              <w:rPr>
                <w:rFonts w:hint="eastAsia" w:ascii="宋体" w:hAnsi="宋体" w:eastAsia="宋体" w:cs="宋体"/>
                <w:color w:val="auto"/>
                <w:sz w:val="22"/>
                <w:szCs w:val="22"/>
                <w:highlight w:val="none"/>
              </w:rPr>
              <w:t>）</w:t>
            </w:r>
          </w:p>
          <w:p w14:paraId="5C2A89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③地市级奖项：地市级人民政府、地市级住建部门、地市级行业协会。（</w:t>
            </w:r>
            <w:r>
              <w:rPr>
                <w:rFonts w:hint="eastAsia" w:ascii="宋体" w:hAnsi="宋体" w:eastAsia="宋体" w:cs="宋体"/>
                <w:b/>
                <w:bCs/>
                <w:color w:val="auto"/>
                <w:sz w:val="22"/>
                <w:szCs w:val="22"/>
                <w:highlight w:val="none"/>
              </w:rPr>
              <w:t>相关协会需经民政部门备</w:t>
            </w:r>
            <w:r>
              <w:rPr>
                <w:rFonts w:hint="eastAsia" w:ascii="宋体" w:hAnsi="宋体" w:eastAsia="宋体" w:cs="宋体"/>
                <w:b/>
                <w:bCs/>
                <w:color w:val="auto"/>
                <w:kern w:val="0"/>
                <w:sz w:val="22"/>
                <w:szCs w:val="22"/>
                <w:highlight w:val="none"/>
                <w:lang w:val="en-US" w:eastAsia="zh-CN" w:bidi="ar-SA"/>
              </w:rPr>
              <w:t>案</w:t>
            </w:r>
            <w:r>
              <w:rPr>
                <w:rFonts w:hint="eastAsia" w:ascii="宋体" w:hAnsi="宋体" w:eastAsia="宋体" w:cs="宋体"/>
                <w:color w:val="auto"/>
                <w:kern w:val="0"/>
                <w:sz w:val="22"/>
                <w:szCs w:val="22"/>
                <w:highlight w:val="none"/>
                <w:lang w:val="en-US" w:eastAsia="zh-CN" w:bidi="ar-SA"/>
              </w:rPr>
              <w:t>）</w:t>
            </w:r>
          </w:p>
          <w:p w14:paraId="0B20EA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4.获奖时间以奖项证明的落款日期为准。</w:t>
            </w:r>
          </w:p>
          <w:p w14:paraId="65D645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5．任一奖项有以下情形之一的，该奖项视为无效，不予计分：</w:t>
            </w:r>
          </w:p>
          <w:p w14:paraId="5C1C97E5">
            <w:pPr>
              <w:keepNext w:val="0"/>
              <w:keepLines w:val="0"/>
              <w:widowControl/>
              <w:suppressLineNumbers w:val="0"/>
              <w:jc w:val="left"/>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 xml:space="preserve">①奖项不属于指定类别的； </w:t>
            </w:r>
          </w:p>
          <w:p w14:paraId="3039D96D">
            <w:pPr>
              <w:keepNext w:val="0"/>
              <w:keepLines w:val="0"/>
              <w:widowControl/>
              <w:suppressLineNumbers w:val="0"/>
              <w:jc w:val="left"/>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②颁发机构不符合要求的；</w:t>
            </w:r>
          </w:p>
          <w:p w14:paraId="3F7732CD">
            <w:pPr>
              <w:keepNext w:val="0"/>
              <w:keepLines w:val="0"/>
              <w:widowControl/>
              <w:suppressLineNumbers w:val="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③获奖时间不符合要求的。</w:t>
            </w:r>
          </w:p>
        </w:tc>
      </w:tr>
      <w:tr w14:paraId="2D6D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5" w:hRule="atLeast"/>
          <w:jc w:val="center"/>
        </w:trPr>
        <w:tc>
          <w:tcPr>
            <w:tcW w:w="1121" w:type="dxa"/>
            <w:noWrap w:val="0"/>
            <w:vAlign w:val="center"/>
          </w:tcPr>
          <w:p w14:paraId="0F60F28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业绩情况</w:t>
            </w:r>
          </w:p>
          <w:p w14:paraId="199F59B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bCs/>
                <w:caps w:val="0"/>
                <w:smallCaps w:val="0"/>
                <w:snapToGrid w:val="0"/>
                <w:color w:val="auto"/>
                <w:spacing w:val="0"/>
                <w:kern w:val="0"/>
                <w:sz w:val="22"/>
                <w:szCs w:val="22"/>
                <w:highlight w:val="none"/>
                <w:u w:val="none"/>
                <w:lang w:val="en-US" w:eastAsia="zh-CN" w:bidi="ar-SA"/>
              </w:rPr>
              <w:t>（10分）</w:t>
            </w:r>
          </w:p>
        </w:tc>
        <w:tc>
          <w:tcPr>
            <w:tcW w:w="4135" w:type="dxa"/>
            <w:noWrap w:val="0"/>
            <w:vAlign w:val="center"/>
          </w:tcPr>
          <w:p w14:paraId="3CED5E28">
            <w:pPr>
              <w:keepNext w:val="0"/>
              <w:keepLines w:val="0"/>
              <w:pageBreakBefore w:val="0"/>
              <w:widowControl w:val="0"/>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投标人近年来（2021年1月1日至今）</w:t>
            </w:r>
            <w:r>
              <w:rPr>
                <w:rFonts w:hint="eastAsia" w:ascii="宋体" w:hAnsi="宋体" w:eastAsia="宋体" w:cs="宋体"/>
                <w:color w:val="auto"/>
                <w:kern w:val="0"/>
                <w:sz w:val="22"/>
                <w:szCs w:val="22"/>
                <w:highlight w:val="none"/>
                <w:lang w:val="en-US" w:eastAsia="zh-CN" w:bidi="ar-SA"/>
              </w:rPr>
              <w:t>的业绩情况：</w:t>
            </w:r>
          </w:p>
          <w:p w14:paraId="18CEEF9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1.</w:t>
            </w:r>
            <w:r>
              <w:rPr>
                <w:rFonts w:hint="eastAsia" w:ascii="宋体" w:hAnsi="宋体" w:eastAsia="宋体" w:cs="宋体"/>
                <w:b w:val="0"/>
                <w:bCs w:val="0"/>
                <w:caps w:val="0"/>
                <w:smallCaps w:val="0"/>
                <w:snapToGrid w:val="0"/>
                <w:color w:val="auto"/>
                <w:spacing w:val="0"/>
                <w:kern w:val="0"/>
                <w:sz w:val="22"/>
                <w:szCs w:val="22"/>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过</w:t>
            </w:r>
            <w:r>
              <w:rPr>
                <w:rFonts w:hint="eastAsia" w:ascii="宋体" w:hAnsi="宋体" w:eastAsia="宋体" w:cs="宋体"/>
                <w:color w:val="auto"/>
                <w:kern w:val="0"/>
                <w:sz w:val="22"/>
                <w:szCs w:val="22"/>
                <w:highlight w:val="none"/>
                <w:lang w:val="en-US" w:eastAsia="zh-CN" w:bidi="ar-SA"/>
              </w:rPr>
              <w:t>类似项目的，每个得</w:t>
            </w:r>
            <w:r>
              <w:rPr>
                <w:rFonts w:hint="eastAsia" w:ascii="宋体" w:hAnsi="宋体" w:eastAsia="宋体" w:cs="宋体"/>
                <w:color w:val="auto"/>
                <w:kern w:val="0"/>
                <w:sz w:val="22"/>
                <w:szCs w:val="22"/>
                <w:highlight w:val="none"/>
                <w:u w:val="single"/>
                <w:lang w:val="en-US" w:eastAsia="zh-CN" w:bidi="ar-SA"/>
              </w:rPr>
              <w:t>5</w:t>
            </w:r>
            <w:r>
              <w:rPr>
                <w:rFonts w:hint="eastAsia" w:ascii="宋体" w:hAnsi="宋体" w:eastAsia="宋体" w:cs="宋体"/>
                <w:color w:val="auto"/>
                <w:kern w:val="0"/>
                <w:sz w:val="22"/>
                <w:szCs w:val="22"/>
                <w:highlight w:val="none"/>
                <w:lang w:val="en-US" w:eastAsia="zh-CN" w:bidi="ar-SA"/>
              </w:rPr>
              <w:t>分；</w:t>
            </w:r>
          </w:p>
          <w:p w14:paraId="04E339B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2.未</w:t>
            </w:r>
            <w:r>
              <w:rPr>
                <w:rFonts w:hint="eastAsia" w:ascii="宋体" w:hAnsi="宋体" w:eastAsia="宋体" w:cs="宋体"/>
                <w:b w:val="0"/>
                <w:bCs w:val="0"/>
                <w:caps w:val="0"/>
                <w:smallCaps w:val="0"/>
                <w:snapToGrid w:val="0"/>
                <w:color w:val="auto"/>
                <w:spacing w:val="0"/>
                <w:kern w:val="0"/>
                <w:sz w:val="22"/>
                <w:szCs w:val="22"/>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过</w:t>
            </w:r>
            <w:r>
              <w:rPr>
                <w:rFonts w:hint="eastAsia" w:ascii="宋体" w:hAnsi="宋体" w:eastAsia="宋体" w:cs="宋体"/>
                <w:color w:val="auto"/>
                <w:kern w:val="0"/>
                <w:sz w:val="22"/>
                <w:szCs w:val="22"/>
                <w:highlight w:val="none"/>
                <w:lang w:val="en-US" w:eastAsia="zh-CN" w:bidi="ar-SA"/>
              </w:rPr>
              <w:t>类似项目，不予计分；</w:t>
            </w:r>
          </w:p>
          <w:p w14:paraId="6B70865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说明：本项最高得15分。</w:t>
            </w:r>
          </w:p>
        </w:tc>
        <w:tc>
          <w:tcPr>
            <w:tcW w:w="4252" w:type="dxa"/>
            <w:noWrap w:val="0"/>
            <w:vAlign w:val="center"/>
          </w:tcPr>
          <w:p w14:paraId="6E0FEC91">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1.类似项目：是指市政公用类监理项目。</w:t>
            </w:r>
          </w:p>
          <w:p w14:paraId="02B6D5C4">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2.需附有关业绩中标通知书或监理合同关键页彩色扫描件。</w:t>
            </w:r>
          </w:p>
          <w:p w14:paraId="5BCD2372">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3.业绩时间以中标通知书或监理合同签订时间为准。</w:t>
            </w:r>
          </w:p>
          <w:p w14:paraId="68EEE0EB">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4．任一业绩有以下情形之一的，该业绩视为无效，不予计分： </w:t>
            </w:r>
          </w:p>
          <w:p w14:paraId="212AA792">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①业绩不属于类似项目的； </w:t>
            </w:r>
          </w:p>
          <w:p w14:paraId="6A8F133A">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②业绩时间不符合要求的。</w:t>
            </w:r>
          </w:p>
        </w:tc>
      </w:tr>
      <w:tr w14:paraId="033D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121" w:type="dxa"/>
            <w:noWrap w:val="0"/>
            <w:vAlign w:val="center"/>
          </w:tcPr>
          <w:p w14:paraId="307346B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企业管理体系认证</w:t>
            </w:r>
          </w:p>
          <w:p w14:paraId="1637907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b/>
                <w:bCs/>
                <w:caps w:val="0"/>
                <w:smallCaps w:val="0"/>
                <w:snapToGrid w:val="0"/>
                <w:color w:val="auto"/>
                <w:spacing w:val="0"/>
                <w:kern w:val="0"/>
                <w:sz w:val="22"/>
                <w:szCs w:val="22"/>
                <w:highlight w:val="none"/>
                <w:u w:val="none"/>
                <w:lang w:val="en-US" w:eastAsia="zh-CN" w:bidi="ar-SA"/>
              </w:rPr>
              <w:t>（10分）</w:t>
            </w:r>
          </w:p>
        </w:tc>
        <w:tc>
          <w:tcPr>
            <w:tcW w:w="4135" w:type="dxa"/>
            <w:noWrap w:val="0"/>
            <w:vAlign w:val="center"/>
          </w:tcPr>
          <w:p w14:paraId="1F4C097D">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color w:val="auto"/>
                <w:sz w:val="22"/>
                <w:szCs w:val="22"/>
                <w:highlight w:val="none"/>
              </w:rPr>
              <w:t>投标人具有在有效期内的环境管理体系认证、职业健康安全管理体系认证、质量管理体系认证</w:t>
            </w:r>
            <w:r>
              <w:rPr>
                <w:rFonts w:hint="eastAsia" w:ascii="宋体" w:hAnsi="宋体" w:eastAsia="宋体" w:cs="宋体"/>
                <w:color w:val="auto"/>
                <w:sz w:val="22"/>
                <w:szCs w:val="22"/>
                <w:highlight w:val="none"/>
                <w:lang w:val="en-US" w:eastAsia="zh-CN"/>
              </w:rPr>
              <w:t>的得10分，</w:t>
            </w:r>
            <w:r>
              <w:rPr>
                <w:rFonts w:hint="eastAsia" w:ascii="宋体" w:hAnsi="宋体" w:eastAsia="宋体" w:cs="宋体"/>
                <w:color w:val="000000" w:themeColor="text1"/>
                <w:sz w:val="22"/>
                <w:szCs w:val="22"/>
                <w:highlight w:val="none"/>
                <w14:textFill>
                  <w14:solidFill>
                    <w14:schemeClr w14:val="tx1"/>
                  </w14:solidFill>
                </w14:textFill>
              </w:rPr>
              <w:t>缺一项不得分。</w:t>
            </w:r>
          </w:p>
          <w:p w14:paraId="7A95C486">
            <w:pPr>
              <w:pStyle w:val="5"/>
              <w:pageBreakBefore w:val="0"/>
              <w:widowControl w:val="0"/>
              <w:numPr>
                <w:ilvl w:val="0"/>
                <w:numId w:val="0"/>
              </w:numPr>
              <w:kinsoku/>
              <w:wordWrap/>
              <w:overflowPunct/>
              <w:topLinePunct w:val="0"/>
              <w:autoSpaceDE/>
              <w:autoSpaceDN/>
              <w:bidi w:val="0"/>
              <w:snapToGrid/>
              <w:spacing w:before="0" w:beforeLines="0" w:after="0" w:afterLines="0" w:line="336" w:lineRule="auto"/>
              <w:ind w:leftChars="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说明：本项最高得10分。</w:t>
            </w:r>
          </w:p>
        </w:tc>
        <w:tc>
          <w:tcPr>
            <w:tcW w:w="4252" w:type="dxa"/>
            <w:noWrap w:val="0"/>
            <w:vAlign w:val="center"/>
          </w:tcPr>
          <w:p w14:paraId="41CDB24E">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1．需附在有效期内的认证证书彩色扫描件。</w:t>
            </w:r>
          </w:p>
          <w:p w14:paraId="64E769AB">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2．任一认证证书不在有效期内的，该认证证书视为无效，不予计分。</w:t>
            </w:r>
          </w:p>
        </w:tc>
      </w:tr>
      <w:tr w14:paraId="4B94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1121" w:type="dxa"/>
            <w:noWrap w:val="0"/>
            <w:vAlign w:val="center"/>
          </w:tcPr>
          <w:p w14:paraId="08917C57">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企业纳税等级</w:t>
            </w:r>
          </w:p>
          <w:p w14:paraId="54A28F63">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（5分）</w:t>
            </w:r>
          </w:p>
        </w:tc>
        <w:tc>
          <w:tcPr>
            <w:tcW w:w="4135" w:type="dxa"/>
            <w:noWrap w:val="0"/>
            <w:vAlign w:val="center"/>
          </w:tcPr>
          <w:p w14:paraId="31A4280F">
            <w:pPr>
              <w:keepNext w:val="0"/>
              <w:keepLines w:val="0"/>
              <w:pageBreakBefore w:val="0"/>
              <w:widowControl/>
              <w:kinsoku/>
              <w:wordWrap/>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投标人</w:t>
            </w:r>
            <w:r>
              <w:rPr>
                <w:rFonts w:hint="eastAsia" w:ascii="宋体" w:hAnsi="宋体" w:eastAsia="宋体" w:cs="宋体"/>
                <w:color w:val="auto"/>
                <w:sz w:val="22"/>
                <w:szCs w:val="22"/>
                <w:highlight w:val="none"/>
              </w:rPr>
              <w:t>获得税务部门颁发</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rPr>
              <w:t>纳税信用A级证书</w:t>
            </w:r>
            <w:r>
              <w:rPr>
                <w:rFonts w:hint="eastAsia" w:ascii="宋体" w:hAnsi="宋体" w:eastAsia="宋体" w:cs="宋体"/>
                <w:color w:val="auto"/>
                <w:sz w:val="22"/>
                <w:szCs w:val="22"/>
                <w:highlight w:val="none"/>
                <w:lang w:val="en-US" w:eastAsia="zh-CN"/>
              </w:rPr>
              <w:t>情况</w:t>
            </w:r>
            <w:r>
              <w:rPr>
                <w:rFonts w:hint="eastAsia" w:ascii="宋体" w:hAnsi="宋体" w:eastAsia="宋体" w:cs="宋体"/>
                <w:color w:val="auto"/>
                <w:sz w:val="22"/>
                <w:szCs w:val="22"/>
                <w:highlight w:val="none"/>
              </w:rPr>
              <w:t>：</w:t>
            </w:r>
          </w:p>
          <w:p w14:paraId="00EA33E8">
            <w:pPr>
              <w:keepNext w:val="0"/>
              <w:keepLines w:val="0"/>
              <w:pageBreakBefore w:val="0"/>
              <w:kinsoku/>
              <w:wordWrap/>
              <w:overflowPunct/>
              <w:topLinePunct w:val="0"/>
              <w:autoSpaceDE/>
              <w:autoSpaceDN/>
              <w:bidi w:val="0"/>
              <w:snapToGrid/>
              <w:spacing w:line="360" w:lineRule="auto"/>
              <w:ind w:right="0" w:rightChars="0"/>
              <w:textAlignment w:val="auto"/>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2021年至今企业获得过</w:t>
            </w:r>
            <w:r>
              <w:rPr>
                <w:rFonts w:hint="eastAsia" w:ascii="宋体" w:hAnsi="宋体" w:eastAsia="宋体" w:cs="宋体"/>
                <w:color w:val="auto"/>
                <w:sz w:val="22"/>
                <w:szCs w:val="22"/>
                <w:highlight w:val="none"/>
              </w:rPr>
              <w:t>纳税信用A级</w:t>
            </w:r>
            <w:r>
              <w:rPr>
                <w:rFonts w:hint="eastAsia" w:ascii="宋体" w:hAnsi="宋体" w:eastAsia="宋体" w:cs="宋体"/>
                <w:color w:val="auto"/>
                <w:sz w:val="22"/>
                <w:szCs w:val="22"/>
                <w:highlight w:val="none"/>
                <w:lang w:val="en-US" w:eastAsia="zh-CN"/>
              </w:rPr>
              <w:t>的，得5分</w:t>
            </w:r>
            <w:r>
              <w:rPr>
                <w:rFonts w:hint="eastAsia" w:ascii="宋体" w:hAnsi="宋体" w:eastAsia="宋体" w:cs="宋体"/>
                <w:b w:val="0"/>
                <w:bCs w:val="0"/>
                <w:color w:val="auto"/>
                <w:kern w:val="0"/>
                <w:sz w:val="22"/>
                <w:szCs w:val="22"/>
                <w:highlight w:val="none"/>
                <w:lang w:val="en-US" w:eastAsia="zh-CN"/>
              </w:rPr>
              <w:t>；</w:t>
            </w:r>
          </w:p>
          <w:p w14:paraId="2A48571F">
            <w:pPr>
              <w:pStyle w:val="5"/>
              <w:pageBreakBefore w:val="0"/>
              <w:numPr>
                <w:ilvl w:val="0"/>
                <w:numId w:val="0"/>
              </w:numPr>
              <w:kinsoku/>
              <w:wordWrap/>
              <w:overflowPunct/>
              <w:topLinePunct w:val="0"/>
              <w:autoSpaceDE/>
              <w:autoSpaceDN/>
              <w:bidi w:val="0"/>
              <w:spacing w:before="0" w:beforeLines="0" w:after="0" w:afterLines="0" w:line="360" w:lineRule="auto"/>
              <w:ind w:leftChars="0" w:right="0" w:rightChars="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说明：本项最高得</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tc>
        <w:tc>
          <w:tcPr>
            <w:tcW w:w="4252" w:type="dxa"/>
            <w:noWrap w:val="0"/>
            <w:vAlign w:val="center"/>
          </w:tcPr>
          <w:p w14:paraId="67D68769">
            <w:pPr>
              <w:pStyle w:val="10"/>
              <w:wordWrap w:val="0"/>
              <w:adjustRightInd w:val="0"/>
              <w:snapToGrid w:val="0"/>
              <w:spacing w:after="0" w:line="40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1．须提供税务部门颁发的纳税信用证书（或证明材料）彩色扫描件及</w:t>
            </w:r>
            <w:r>
              <w:rPr>
                <w:rFonts w:hint="eastAsia" w:ascii="宋体" w:hAnsi="宋体" w:eastAsia="宋体" w:cs="宋体"/>
                <w:color w:val="auto"/>
                <w:sz w:val="22"/>
                <w:szCs w:val="22"/>
                <w:highlight w:val="none"/>
              </w:rPr>
              <w:t>地市级或以上税务局查询网页截图，否则不得分。</w:t>
            </w:r>
          </w:p>
          <w:p w14:paraId="12B9F250">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2．只计算投标人自身（不计算投标人的分公司、子公司及分支机构）。</w:t>
            </w:r>
          </w:p>
        </w:tc>
      </w:tr>
      <w:tr w14:paraId="3022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121" w:type="dxa"/>
            <w:vMerge w:val="restart"/>
            <w:noWrap w:val="0"/>
            <w:vAlign w:val="center"/>
          </w:tcPr>
          <w:p w14:paraId="71CE1FF8">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项目监理机构其他人员</w:t>
            </w:r>
          </w:p>
          <w:p w14:paraId="472BEDE2">
            <w:pPr>
              <w:keepNext w:val="0"/>
              <w:keepLines w:val="0"/>
              <w:pageBreakBefore w:val="0"/>
              <w:widowControl w:val="0"/>
              <w:kinsoku/>
              <w:wordWrap/>
              <w:overflowPunct/>
              <w:topLinePunct w:val="0"/>
              <w:autoSpaceDE/>
              <w:autoSpaceDN/>
              <w:bidi w:val="0"/>
              <w:snapToGrid/>
              <w:spacing w:line="40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（15分）</w:t>
            </w:r>
          </w:p>
        </w:tc>
        <w:tc>
          <w:tcPr>
            <w:tcW w:w="4135" w:type="dxa"/>
            <w:noWrap w:val="0"/>
            <w:vAlign w:val="center"/>
          </w:tcPr>
          <w:p w14:paraId="12F45A5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pPr>
            <w:r>
              <w:rPr>
                <w:rFonts w:hint="eastAsia" w:ascii="宋体" w:hAnsi="宋体" w:eastAsia="宋体" w:cs="宋体"/>
                <w:snapToGrid w:val="0"/>
                <w:color w:val="auto"/>
                <w:kern w:val="0"/>
                <w:sz w:val="22"/>
                <w:szCs w:val="22"/>
                <w:highlight w:val="none"/>
              </w:rPr>
              <w:t>其他拟派人员</w:t>
            </w:r>
            <w:r>
              <w:rPr>
                <w:rFonts w:hint="eastAsia" w:ascii="宋体" w:hAnsi="宋体" w:eastAsia="宋体" w:cs="宋体"/>
                <w:snapToGrid w:val="0"/>
                <w:color w:val="auto"/>
                <w:kern w:val="0"/>
                <w:sz w:val="22"/>
                <w:szCs w:val="22"/>
                <w:highlight w:val="none"/>
                <w:lang w:eastAsia="zh-CN"/>
              </w:rPr>
              <w:t>的</w:t>
            </w: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数量和专业完全满足表2《项目监理机构其他人员需求表》（以下简称《需求表》）要求的得3分。</w:t>
            </w:r>
          </w:p>
          <w:p w14:paraId="4FD69C4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 w:val="0"/>
                <w:bCs w:val="0"/>
                <w:caps w:val="0"/>
                <w:smallCaps w:val="0"/>
                <w:snapToGrid w:val="0"/>
                <w:color w:val="auto"/>
                <w:spacing w:val="0"/>
                <w:kern w:val="0"/>
                <w:sz w:val="22"/>
                <w:szCs w:val="22"/>
                <w:highlight w:val="none"/>
                <w:u w:val="none"/>
                <w:lang w:val="en-US" w:eastAsia="zh-CN" w:bidi="ar-SA"/>
              </w:rPr>
              <w:t>说明：本项最高得3分。</w:t>
            </w:r>
          </w:p>
        </w:tc>
        <w:tc>
          <w:tcPr>
            <w:tcW w:w="4252" w:type="dxa"/>
            <w:noWrap w:val="0"/>
            <w:vAlign w:val="center"/>
          </w:tcPr>
          <w:p w14:paraId="696A8539">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1.须提供相关证书、证明材料彩色扫描件（</w:t>
            </w:r>
            <w:r>
              <w:rPr>
                <w:rFonts w:hint="eastAsia" w:ascii="宋体" w:hAnsi="宋体" w:eastAsia="宋体" w:cs="宋体"/>
                <w:color w:val="auto"/>
                <w:sz w:val="22"/>
                <w:szCs w:val="22"/>
                <w:highlight w:val="none"/>
                <w:lang w:eastAsia="zh-CN"/>
              </w:rPr>
              <w:t>或电子证书）</w:t>
            </w:r>
            <w:r>
              <w:rPr>
                <w:rFonts w:hint="eastAsia" w:ascii="宋体" w:hAnsi="宋体" w:eastAsia="宋体" w:cs="宋体"/>
                <w:color w:val="auto"/>
                <w:sz w:val="22"/>
                <w:szCs w:val="22"/>
                <w:highlight w:val="none"/>
                <w:lang w:val="en-US" w:eastAsia="zh-CN"/>
              </w:rPr>
              <w:t>。</w:t>
            </w:r>
          </w:p>
          <w:p w14:paraId="7AB6973D">
            <w:pPr>
              <w:pStyle w:val="10"/>
              <w:wordWrap w:val="0"/>
              <w:adjustRightInd w:val="0"/>
              <w:snapToGrid w:val="0"/>
              <w:spacing w:after="0" w:line="400" w:lineRule="exact"/>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2.其他拟派人员的数量或专业不满足《需求表》要求的，均视为“不符合要求”。</w:t>
            </w:r>
          </w:p>
        </w:tc>
      </w:tr>
      <w:tr w14:paraId="32F1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1" w:type="dxa"/>
            <w:vMerge w:val="continue"/>
            <w:noWrap w:val="0"/>
            <w:vAlign w:val="center"/>
          </w:tcPr>
          <w:p w14:paraId="3E16F552">
            <w:pPr>
              <w:keepNext w:val="0"/>
              <w:keepLines w:val="0"/>
              <w:pageBreakBefore w:val="0"/>
              <w:kinsoku/>
              <w:wordWrap/>
              <w:overflowPunct/>
              <w:topLinePunct w:val="0"/>
              <w:autoSpaceDE/>
              <w:autoSpaceDN/>
              <w:bidi w:val="0"/>
              <w:snapToGrid/>
              <w:spacing w:line="400" w:lineRule="exact"/>
              <w:ind w:leftChars="0"/>
              <w:rPr>
                <w:rFonts w:hint="eastAsia" w:ascii="宋体" w:hAnsi="宋体" w:eastAsia="宋体" w:cs="宋体"/>
                <w:color w:val="auto"/>
                <w:sz w:val="22"/>
                <w:szCs w:val="22"/>
                <w:highlight w:val="none"/>
              </w:rPr>
            </w:pPr>
          </w:p>
        </w:tc>
        <w:tc>
          <w:tcPr>
            <w:tcW w:w="4135" w:type="dxa"/>
            <w:noWrap w:val="0"/>
            <w:vAlign w:val="center"/>
          </w:tcPr>
          <w:p w14:paraId="2AE07D27">
            <w:pPr>
              <w:pStyle w:val="10"/>
              <w:wordWrap w:val="0"/>
              <w:adjustRightInd w:val="0"/>
              <w:snapToGrid w:val="0"/>
              <w:spacing w:after="0"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在完全满足《需求表》的基础上，拟委派本项目的人员（项目总监除外）：</w:t>
            </w:r>
          </w:p>
          <w:p w14:paraId="3511620D">
            <w:pPr>
              <w:pStyle w:val="10"/>
              <w:wordWrap w:val="0"/>
              <w:adjustRightInd w:val="0"/>
              <w:snapToGrid w:val="0"/>
              <w:spacing w:after="0"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r>
              <w:rPr>
                <w:rFonts w:hint="eastAsia" w:ascii="宋体" w:hAnsi="宋体" w:eastAsia="宋体" w:cs="宋体"/>
                <w:b w:val="0"/>
                <w:bCs w:val="0"/>
                <w:color w:val="auto"/>
                <w:sz w:val="22"/>
                <w:szCs w:val="22"/>
                <w:highlight w:val="none"/>
                <w:lang w:val="en-US" w:eastAsia="zh-CN"/>
              </w:rPr>
              <w:t>专业</w:t>
            </w:r>
            <w:r>
              <w:rPr>
                <w:rFonts w:hint="eastAsia" w:ascii="宋体" w:hAnsi="宋体" w:eastAsia="宋体" w:cs="宋体"/>
                <w:snapToGrid w:val="0"/>
                <w:color w:val="auto"/>
                <w:kern w:val="0"/>
                <w:sz w:val="22"/>
                <w:szCs w:val="22"/>
                <w:highlight w:val="none"/>
              </w:rPr>
              <w:t>监理工程师：</w:t>
            </w:r>
            <w:r>
              <w:rPr>
                <w:rFonts w:hint="eastAsia" w:ascii="宋体" w:hAnsi="宋体" w:eastAsia="宋体" w:cs="宋体"/>
                <w:snapToGrid w:val="0"/>
                <w:color w:val="auto"/>
                <w:kern w:val="0"/>
                <w:sz w:val="22"/>
                <w:szCs w:val="22"/>
                <w:highlight w:val="none"/>
                <w:lang w:val="en-US" w:eastAsia="zh-CN"/>
              </w:rPr>
              <w:t>同时具有国家注册监理工程师</w:t>
            </w:r>
            <w:r>
              <w:rPr>
                <w:rFonts w:hint="eastAsia" w:ascii="宋体" w:hAnsi="宋体" w:eastAsia="宋体" w:cs="宋体"/>
                <w:snapToGrid w:val="0"/>
                <w:color w:val="auto"/>
                <w:kern w:val="0"/>
                <w:sz w:val="22"/>
                <w:szCs w:val="22"/>
                <w:highlight w:val="none"/>
              </w:rPr>
              <w:t>证书</w:t>
            </w:r>
            <w:r>
              <w:rPr>
                <w:rFonts w:hint="eastAsia" w:ascii="宋体" w:hAnsi="宋体" w:eastAsia="宋体" w:cs="宋体"/>
                <w:snapToGrid w:val="0"/>
                <w:color w:val="auto"/>
                <w:kern w:val="0"/>
                <w:sz w:val="22"/>
                <w:szCs w:val="22"/>
                <w:highlight w:val="none"/>
                <w:lang w:val="en-US" w:eastAsia="zh-CN"/>
              </w:rPr>
              <w:t>和</w:t>
            </w:r>
            <w:r>
              <w:rPr>
                <w:rFonts w:hint="eastAsia" w:ascii="宋体" w:hAnsi="宋体" w:eastAsia="宋体" w:cs="宋体"/>
                <w:snapToGrid w:val="0"/>
                <w:color w:val="auto"/>
                <w:kern w:val="0"/>
                <w:sz w:val="22"/>
                <w:szCs w:val="22"/>
                <w:highlight w:val="none"/>
              </w:rPr>
              <w:t>工程类高级工程师</w:t>
            </w:r>
            <w:r>
              <w:rPr>
                <w:rFonts w:hint="eastAsia" w:ascii="宋体" w:hAnsi="宋体" w:eastAsia="宋体" w:cs="宋体"/>
                <w:snapToGrid w:val="0"/>
                <w:color w:val="auto"/>
                <w:kern w:val="0"/>
                <w:sz w:val="22"/>
                <w:szCs w:val="22"/>
                <w:highlight w:val="none"/>
                <w:lang w:val="en-US" w:eastAsia="zh-CN"/>
              </w:rPr>
              <w:t>或</w:t>
            </w:r>
            <w:r>
              <w:rPr>
                <w:rFonts w:hint="eastAsia" w:ascii="宋体" w:hAnsi="宋体" w:eastAsia="宋体" w:cs="宋体"/>
                <w:snapToGrid w:val="0"/>
                <w:color w:val="auto"/>
                <w:kern w:val="0"/>
                <w:sz w:val="22"/>
                <w:szCs w:val="22"/>
                <w:highlight w:val="none"/>
              </w:rPr>
              <w:t>以上职称证书的</w:t>
            </w:r>
            <w:r>
              <w:rPr>
                <w:rFonts w:hint="eastAsia" w:ascii="宋体" w:hAnsi="宋体" w:eastAsia="宋体" w:cs="宋体"/>
                <w:snapToGrid w:val="0"/>
                <w:color w:val="auto"/>
                <w:kern w:val="0"/>
                <w:sz w:val="22"/>
                <w:szCs w:val="22"/>
                <w:highlight w:val="none"/>
                <w:lang w:val="en-US" w:eastAsia="zh-CN"/>
              </w:rPr>
              <w:t>得6分</w:t>
            </w:r>
            <w:r>
              <w:rPr>
                <w:rFonts w:hint="eastAsia" w:ascii="宋体" w:hAnsi="宋体" w:eastAsia="宋体" w:cs="宋体"/>
                <w:snapToGrid w:val="0"/>
                <w:color w:val="auto"/>
                <w:kern w:val="0"/>
                <w:sz w:val="22"/>
                <w:szCs w:val="22"/>
                <w:highlight w:val="none"/>
              </w:rPr>
              <w:t>。</w:t>
            </w:r>
          </w:p>
          <w:p w14:paraId="292FBF62">
            <w:pPr>
              <w:pStyle w:val="10"/>
              <w:wordWrap w:val="0"/>
              <w:adjustRightInd w:val="0"/>
              <w:snapToGrid w:val="0"/>
              <w:spacing w:after="0" w:line="400" w:lineRule="exact"/>
              <w:rPr>
                <w:rFonts w:hint="eastAsia" w:ascii="宋体" w:hAnsi="宋体" w:eastAsia="宋体" w:cs="宋体"/>
                <w:sz w:val="22"/>
                <w:szCs w:val="22"/>
                <w:lang w:val="en-US" w:eastAsia="zh-CN"/>
              </w:rPr>
            </w:pPr>
            <w:r>
              <w:rPr>
                <w:rFonts w:hint="eastAsia" w:ascii="宋体" w:hAnsi="宋体" w:eastAsia="宋体" w:cs="宋体"/>
                <w:snapToGrid w:val="0"/>
                <w:color w:val="auto"/>
                <w:kern w:val="0"/>
                <w:sz w:val="22"/>
                <w:szCs w:val="22"/>
                <w:highlight w:val="none"/>
              </w:rPr>
              <w:t>2、安全</w:t>
            </w:r>
            <w:r>
              <w:rPr>
                <w:rFonts w:hint="eastAsia" w:ascii="宋体" w:hAnsi="宋体" w:eastAsia="宋体" w:cs="宋体"/>
                <w:snapToGrid w:val="0"/>
                <w:color w:val="auto"/>
                <w:kern w:val="0"/>
                <w:sz w:val="22"/>
                <w:szCs w:val="22"/>
                <w:highlight w:val="none"/>
                <w:lang w:eastAsia="zh-CN"/>
              </w:rPr>
              <w:t>监理</w:t>
            </w:r>
            <w:r>
              <w:rPr>
                <w:rFonts w:hint="eastAsia" w:hAnsi="宋体" w:cs="宋体"/>
                <w:snapToGrid w:val="0"/>
                <w:color w:val="auto"/>
                <w:kern w:val="0"/>
                <w:sz w:val="22"/>
                <w:szCs w:val="22"/>
                <w:highlight w:val="none"/>
                <w:lang w:val="en-US" w:eastAsia="zh-CN"/>
              </w:rPr>
              <w:t>员</w:t>
            </w:r>
            <w:r>
              <w:rPr>
                <w:rFonts w:hint="eastAsia" w:ascii="宋体" w:hAnsi="宋体" w:eastAsia="宋体" w:cs="宋体"/>
                <w:snapToGrid w:val="0"/>
                <w:color w:val="auto"/>
                <w:kern w:val="0"/>
                <w:sz w:val="22"/>
                <w:szCs w:val="22"/>
                <w:highlight w:val="none"/>
                <w:lang w:eastAsia="zh-CN"/>
              </w:rPr>
              <w:t>同时</w:t>
            </w:r>
            <w:r>
              <w:rPr>
                <w:rFonts w:hint="eastAsia" w:ascii="宋体" w:hAnsi="宋体" w:eastAsia="宋体" w:cs="宋体"/>
                <w:snapToGrid w:val="0"/>
                <w:color w:val="auto"/>
                <w:kern w:val="0"/>
                <w:sz w:val="22"/>
                <w:szCs w:val="22"/>
                <w:highlight w:val="none"/>
              </w:rPr>
              <w:t>具备</w:t>
            </w:r>
            <w:r>
              <w:rPr>
                <w:rFonts w:hint="eastAsia" w:ascii="宋体" w:hAnsi="宋体" w:eastAsia="宋体" w:cs="宋体"/>
                <w:snapToGrid w:val="0"/>
                <w:color w:val="auto"/>
                <w:kern w:val="0"/>
                <w:sz w:val="22"/>
                <w:szCs w:val="22"/>
                <w:highlight w:val="none"/>
                <w:lang w:val="en-US" w:eastAsia="zh-CN"/>
              </w:rPr>
              <w:t>注册安全工程师</w:t>
            </w:r>
            <w:r>
              <w:rPr>
                <w:rFonts w:hint="eastAsia" w:hAnsi="宋体" w:cs="宋体"/>
                <w:snapToGrid w:val="0"/>
                <w:color w:val="auto"/>
                <w:kern w:val="0"/>
                <w:sz w:val="22"/>
                <w:szCs w:val="22"/>
                <w:highlight w:val="none"/>
                <w:lang w:val="en-US" w:eastAsia="zh-CN"/>
              </w:rPr>
              <w:t>、</w:t>
            </w:r>
            <w:r>
              <w:rPr>
                <w:rFonts w:hint="eastAsia" w:ascii="宋体" w:hAnsi="宋体" w:eastAsia="宋体" w:cs="宋体"/>
                <w:snapToGrid w:val="0"/>
                <w:color w:val="auto"/>
                <w:kern w:val="0"/>
                <w:sz w:val="22"/>
                <w:szCs w:val="22"/>
                <w:highlight w:val="none"/>
              </w:rPr>
              <w:t>安全评价师</w:t>
            </w:r>
            <w:r>
              <w:rPr>
                <w:rFonts w:hint="eastAsia" w:ascii="宋体" w:hAnsi="宋体" w:eastAsia="宋体" w:cs="宋体"/>
                <w:snapToGrid w:val="0"/>
                <w:color w:val="auto"/>
                <w:kern w:val="0"/>
                <w:sz w:val="22"/>
                <w:szCs w:val="22"/>
                <w:highlight w:val="none"/>
                <w:lang w:val="en-US" w:eastAsia="zh-CN"/>
              </w:rPr>
              <w:t>职业资格证书和</w:t>
            </w:r>
            <w:r>
              <w:rPr>
                <w:rFonts w:hint="eastAsia" w:ascii="宋体" w:hAnsi="宋体" w:eastAsia="宋体" w:cs="宋体"/>
                <w:snapToGrid w:val="0"/>
                <w:color w:val="auto"/>
                <w:kern w:val="0"/>
                <w:sz w:val="22"/>
                <w:szCs w:val="22"/>
                <w:highlight w:val="none"/>
              </w:rPr>
              <w:t>工程类高级工程师</w:t>
            </w:r>
            <w:r>
              <w:rPr>
                <w:rFonts w:hint="eastAsia" w:ascii="宋体" w:hAnsi="宋体" w:eastAsia="宋体" w:cs="宋体"/>
                <w:snapToGrid w:val="0"/>
                <w:color w:val="auto"/>
                <w:kern w:val="0"/>
                <w:sz w:val="22"/>
                <w:szCs w:val="22"/>
                <w:highlight w:val="none"/>
                <w:lang w:val="en-US" w:eastAsia="zh-CN"/>
              </w:rPr>
              <w:t>或</w:t>
            </w:r>
            <w:r>
              <w:rPr>
                <w:rFonts w:hint="eastAsia" w:ascii="宋体" w:hAnsi="宋体" w:eastAsia="宋体" w:cs="宋体"/>
                <w:snapToGrid w:val="0"/>
                <w:color w:val="auto"/>
                <w:kern w:val="0"/>
                <w:sz w:val="22"/>
                <w:szCs w:val="22"/>
                <w:highlight w:val="none"/>
              </w:rPr>
              <w:t>以上职称证书的得</w:t>
            </w:r>
            <w:r>
              <w:rPr>
                <w:rFonts w:hint="eastAsia" w:ascii="宋体" w:hAnsi="宋体" w:eastAsia="宋体" w:cs="宋体"/>
                <w:snapToGrid w:val="0"/>
                <w:color w:val="auto"/>
                <w:kern w:val="0"/>
                <w:sz w:val="22"/>
                <w:szCs w:val="22"/>
                <w:highlight w:val="none"/>
                <w:lang w:val="en-US" w:eastAsia="zh-CN"/>
              </w:rPr>
              <w:t>6</w:t>
            </w:r>
            <w:r>
              <w:rPr>
                <w:rFonts w:hint="eastAsia" w:ascii="宋体" w:hAnsi="宋体" w:eastAsia="宋体" w:cs="宋体"/>
                <w:snapToGrid w:val="0"/>
                <w:color w:val="auto"/>
                <w:kern w:val="0"/>
                <w:sz w:val="22"/>
                <w:szCs w:val="22"/>
                <w:highlight w:val="none"/>
              </w:rPr>
              <w:t>分。</w:t>
            </w:r>
          </w:p>
        </w:tc>
        <w:tc>
          <w:tcPr>
            <w:tcW w:w="4252" w:type="dxa"/>
            <w:noWrap w:val="0"/>
            <w:vAlign w:val="center"/>
          </w:tcPr>
          <w:p w14:paraId="2FC2E925">
            <w:pPr>
              <w:pStyle w:val="10"/>
              <w:wordWrap w:val="0"/>
              <w:adjustRightInd w:val="0"/>
              <w:snapToGrid w:val="0"/>
              <w:spacing w:after="0" w:line="40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1．需提供</w:t>
            </w:r>
            <w:r>
              <w:rPr>
                <w:rFonts w:hint="eastAsia" w:ascii="宋体" w:hAnsi="宋体" w:eastAsia="宋体" w:cs="宋体"/>
                <w:color w:val="auto"/>
                <w:sz w:val="22"/>
                <w:szCs w:val="22"/>
                <w:highlight w:val="none"/>
                <w:lang w:val="en-US" w:eastAsia="zh-CN"/>
              </w:rPr>
              <w:t>相关</w:t>
            </w:r>
            <w:r>
              <w:rPr>
                <w:rFonts w:hint="eastAsia" w:ascii="宋体" w:hAnsi="宋体" w:eastAsia="宋体" w:cs="宋体"/>
                <w:color w:val="auto"/>
                <w:sz w:val="22"/>
                <w:szCs w:val="22"/>
                <w:highlight w:val="none"/>
              </w:rPr>
              <w:t>证书</w:t>
            </w:r>
            <w:r>
              <w:rPr>
                <w:rFonts w:hint="eastAsia" w:ascii="宋体" w:hAnsi="宋体" w:eastAsia="宋体" w:cs="宋体"/>
                <w:color w:val="auto"/>
                <w:sz w:val="22"/>
                <w:szCs w:val="22"/>
                <w:highlight w:val="none"/>
                <w:lang w:val="en-US" w:eastAsia="zh-CN"/>
              </w:rPr>
              <w:t>彩色</w:t>
            </w:r>
            <w:r>
              <w:rPr>
                <w:rFonts w:hint="eastAsia" w:ascii="宋体" w:hAnsi="宋体" w:eastAsia="宋体" w:cs="宋体"/>
                <w:color w:val="auto"/>
                <w:sz w:val="22"/>
                <w:szCs w:val="22"/>
                <w:highlight w:val="none"/>
              </w:rPr>
              <w:t>扫描件。</w:t>
            </w:r>
          </w:p>
          <w:p w14:paraId="5E2D279A">
            <w:pPr>
              <w:pStyle w:val="10"/>
              <w:wordWrap w:val="0"/>
              <w:adjustRightInd w:val="0"/>
              <w:snapToGrid w:val="0"/>
              <w:spacing w:after="0" w:line="400" w:lineRule="exact"/>
              <w:jc w:val="both"/>
              <w:rPr>
                <w:rFonts w:hint="eastAsia" w:ascii="宋体" w:hAnsi="宋体" w:eastAsia="宋体" w:cs="宋体"/>
                <w:color w:val="auto"/>
                <w:sz w:val="22"/>
                <w:szCs w:val="22"/>
                <w:highlight w:val="none"/>
              </w:rPr>
            </w:pPr>
          </w:p>
        </w:tc>
      </w:tr>
      <w:tr w14:paraId="7F9A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508" w:type="dxa"/>
            <w:gridSpan w:val="3"/>
            <w:shd w:val="clear" w:color="auto" w:fill="BEBEBE"/>
            <w:noWrap w:val="0"/>
            <w:vAlign w:val="top"/>
          </w:tcPr>
          <w:p w14:paraId="0B4F3422">
            <w:pPr>
              <w:widowControl w:val="0"/>
              <w:shd w:val="clear" w:color="auto" w:fill="BEBEBE"/>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技术部分（监理大纲）满分：10分。</w:t>
            </w:r>
          </w:p>
        </w:tc>
      </w:tr>
      <w:tr w14:paraId="47C1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21" w:type="dxa"/>
            <w:noWrap w:val="0"/>
            <w:vAlign w:val="center"/>
          </w:tcPr>
          <w:p w14:paraId="4B043627">
            <w:pPr>
              <w:widowControl w:val="0"/>
              <w:wordWrap w:val="0"/>
              <w:adjustRightInd w:val="0"/>
              <w:snapToGrid w:val="0"/>
              <w:spacing w:after="0" w:afterLines="0" w:afterAutospacing="0" w:line="240" w:lineRule="auto"/>
              <w:jc w:val="center"/>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评分因素</w:t>
            </w:r>
          </w:p>
        </w:tc>
        <w:tc>
          <w:tcPr>
            <w:tcW w:w="4135" w:type="dxa"/>
            <w:noWrap w:val="0"/>
            <w:vAlign w:val="center"/>
          </w:tcPr>
          <w:p w14:paraId="5BB7AED8">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color w:val="auto"/>
                <w:kern w:val="2"/>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评分标准</w:t>
            </w:r>
          </w:p>
        </w:tc>
        <w:tc>
          <w:tcPr>
            <w:tcW w:w="4252" w:type="dxa"/>
            <w:noWrap w:val="0"/>
            <w:vAlign w:val="center"/>
          </w:tcPr>
          <w:p w14:paraId="4A3D7D31">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备注</w:t>
            </w:r>
          </w:p>
        </w:tc>
      </w:tr>
      <w:tr w14:paraId="4EF6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121" w:type="dxa"/>
            <w:noWrap w:val="0"/>
            <w:vAlign w:val="center"/>
          </w:tcPr>
          <w:p w14:paraId="4230F8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监理依据</w:t>
            </w:r>
          </w:p>
          <w:p w14:paraId="75E52B5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及工作目标</w:t>
            </w:r>
          </w:p>
          <w:p w14:paraId="4D814C5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545E9AB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269BACF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59014C1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45D01CC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noWrap w:val="0"/>
            <w:vAlign w:val="center"/>
          </w:tcPr>
          <w:p w14:paraId="355B0C0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要求依据全面、适用；目标清晰、正确；针对性强。</w:t>
            </w:r>
          </w:p>
        </w:tc>
      </w:tr>
      <w:tr w14:paraId="5C4C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21" w:type="dxa"/>
            <w:noWrap w:val="0"/>
            <w:vAlign w:val="center"/>
          </w:tcPr>
          <w:p w14:paraId="2C1F5F0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工程质量</w:t>
            </w:r>
          </w:p>
          <w:p w14:paraId="0A6CD19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监理措施</w:t>
            </w:r>
          </w:p>
          <w:p w14:paraId="4F0521A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4B1DDE1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14D8CC8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7CEC967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7623323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vMerge w:val="restart"/>
            <w:noWrap w:val="0"/>
            <w:vAlign w:val="center"/>
          </w:tcPr>
          <w:p w14:paraId="55CA817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both"/>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要求目标正确、方法可行、预控和动态管理措施具体、针对性强。脱离本工程实际、机械照搬照抄规范和技术标准的，不能得满分。</w:t>
            </w:r>
          </w:p>
        </w:tc>
      </w:tr>
      <w:tr w14:paraId="15C0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21" w:type="dxa"/>
            <w:noWrap w:val="0"/>
            <w:vAlign w:val="center"/>
          </w:tcPr>
          <w:p w14:paraId="7DC55C2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工程进度</w:t>
            </w:r>
          </w:p>
          <w:p w14:paraId="778B1C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监理措施</w:t>
            </w:r>
          </w:p>
          <w:p w14:paraId="3CE2206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3FB3A58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5449861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0AB3741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07EFB44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vMerge w:val="continue"/>
            <w:noWrap w:val="0"/>
            <w:vAlign w:val="center"/>
          </w:tcPr>
          <w:p w14:paraId="313073B6">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p>
        </w:tc>
      </w:tr>
      <w:tr w14:paraId="41A0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21" w:type="dxa"/>
            <w:noWrap w:val="0"/>
            <w:vAlign w:val="center"/>
          </w:tcPr>
          <w:p w14:paraId="14997CF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工程造价</w:t>
            </w:r>
          </w:p>
          <w:p w14:paraId="44BDB83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监理措施</w:t>
            </w:r>
          </w:p>
          <w:p w14:paraId="6815EAC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4920A2B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45BD76F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2B5CA85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05FEC66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vMerge w:val="continue"/>
            <w:noWrap w:val="0"/>
            <w:vAlign w:val="center"/>
          </w:tcPr>
          <w:p w14:paraId="00A95AC6">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p>
        </w:tc>
      </w:tr>
      <w:tr w14:paraId="306F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4850A56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安全防护</w:t>
            </w:r>
          </w:p>
          <w:p w14:paraId="7AFDDB5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监理措施</w:t>
            </w:r>
          </w:p>
          <w:p w14:paraId="2F9950C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2C7F321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6B1DAA0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34E73ED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5FFDABD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vMerge w:val="continue"/>
            <w:noWrap w:val="0"/>
            <w:vAlign w:val="center"/>
          </w:tcPr>
          <w:p w14:paraId="3DC55801">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p>
        </w:tc>
      </w:tr>
      <w:tr w14:paraId="7A8B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1531BB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绿色施工</w:t>
            </w:r>
          </w:p>
          <w:p w14:paraId="4177E9C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、文明施工</w:t>
            </w:r>
          </w:p>
          <w:p w14:paraId="143324F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监理措施</w:t>
            </w:r>
          </w:p>
          <w:p w14:paraId="77E6557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2164901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154FB47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7C66503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5D2FA1D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vMerge w:val="continue"/>
            <w:noWrap w:val="0"/>
            <w:vAlign w:val="center"/>
          </w:tcPr>
          <w:p w14:paraId="0049FBA1">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p>
        </w:tc>
      </w:tr>
      <w:tr w14:paraId="78B7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121" w:type="dxa"/>
            <w:noWrap w:val="0"/>
            <w:vAlign w:val="center"/>
          </w:tcPr>
          <w:p w14:paraId="08A6821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合同、信息管理方案</w:t>
            </w:r>
          </w:p>
          <w:p w14:paraId="6C04EE8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75679F5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191BCFA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63D55AC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73FDB01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noWrap w:val="0"/>
            <w:vAlign w:val="center"/>
          </w:tcPr>
          <w:p w14:paraId="3A1D621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要求各项制度规范清晰，方法科学合理，措施及时有效，针对性强。能够切实防范和处理合同纠纷，提升监理工作效能。</w:t>
            </w:r>
          </w:p>
        </w:tc>
      </w:tr>
      <w:tr w14:paraId="57BF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73A8D3D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组织协调</w:t>
            </w:r>
          </w:p>
          <w:p w14:paraId="384546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内容及措施</w:t>
            </w:r>
          </w:p>
          <w:p w14:paraId="0694AF5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52420B8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17F9BD6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1B35D2E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564631E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noWrap w:val="0"/>
            <w:vAlign w:val="center"/>
          </w:tcPr>
          <w:p w14:paraId="5BAF969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要求各项制度规范清晰，方法科学合理，措施及时有效，针对性强。能够高效收集、协调、处理、反馈各方各类问题。</w:t>
            </w:r>
          </w:p>
        </w:tc>
      </w:tr>
      <w:tr w14:paraId="5014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21" w:type="dxa"/>
            <w:noWrap w:val="0"/>
            <w:vAlign w:val="center"/>
          </w:tcPr>
          <w:p w14:paraId="0BE74F7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监理工作重点、难点分析</w:t>
            </w:r>
          </w:p>
          <w:p w14:paraId="2C37E3A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bCs/>
                <w:strike w:val="0"/>
                <w:dstrike w:val="0"/>
                <w:snapToGrid w:val="0"/>
                <w:color w:val="auto"/>
                <w:kern w:val="0"/>
                <w:sz w:val="22"/>
                <w:szCs w:val="22"/>
                <w:highlight w:val="none"/>
                <w:u w:val="none"/>
                <w:lang w:val="en-US" w:eastAsia="zh-CN" w:bidi="ar-SA"/>
              </w:rPr>
              <w:t>（1分）</w:t>
            </w:r>
          </w:p>
        </w:tc>
        <w:tc>
          <w:tcPr>
            <w:tcW w:w="4135" w:type="dxa"/>
            <w:noWrap w:val="0"/>
            <w:vAlign w:val="center"/>
          </w:tcPr>
          <w:p w14:paraId="2BD54D3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【优】得该项因素分的85%～100%（含85%）；</w:t>
            </w:r>
          </w:p>
          <w:p w14:paraId="770AE27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【良】得该项因素分的70%～85%（含70%）；</w:t>
            </w:r>
          </w:p>
          <w:p w14:paraId="1F6FAB6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【中】得该项因素分的60%～70%（含60%）；</w:t>
            </w:r>
          </w:p>
          <w:p w14:paraId="63895B6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【差】得该项因素分的0～60%（含0分）。</w:t>
            </w:r>
          </w:p>
        </w:tc>
        <w:tc>
          <w:tcPr>
            <w:tcW w:w="4252" w:type="dxa"/>
            <w:noWrap w:val="0"/>
            <w:vAlign w:val="center"/>
          </w:tcPr>
          <w:p w14:paraId="10DFCE7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2"/>
                <w:szCs w:val="22"/>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val="en-US" w:eastAsia="zh-CN" w:bidi="ar-SA"/>
              </w:rPr>
              <w:t>要求方法可行、措施具体、针对性强。</w:t>
            </w:r>
          </w:p>
        </w:tc>
      </w:tr>
      <w:tr w14:paraId="36B1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121" w:type="dxa"/>
            <w:noWrap w:val="0"/>
            <w:vAlign w:val="center"/>
          </w:tcPr>
          <w:p w14:paraId="4D4B52B7">
            <w:pPr>
              <w:widowControl w:val="0"/>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合理化建议</w:t>
            </w:r>
          </w:p>
          <w:p w14:paraId="06FBD30F">
            <w:pPr>
              <w:widowControl w:val="0"/>
              <w:wordWrap w:val="0"/>
              <w:adjustRightInd w:val="0"/>
              <w:snapToGrid w:val="0"/>
              <w:spacing w:line="400" w:lineRule="exact"/>
              <w:jc w:val="center"/>
              <w:rPr>
                <w:rFonts w:hint="eastAsia" w:ascii="宋体" w:hAnsi="宋体" w:eastAsia="宋体" w:cs="宋体"/>
                <w:strike w:val="0"/>
                <w:dstrike w:val="0"/>
                <w:snapToGrid w:val="0"/>
                <w:color w:val="auto"/>
                <w:kern w:val="0"/>
                <w:sz w:val="22"/>
                <w:szCs w:val="22"/>
                <w:highlight w:val="none"/>
                <w:u w:val="none"/>
                <w:lang w:val="en-US" w:eastAsia="zh-CN" w:bidi="ar-SA"/>
              </w:rPr>
            </w:pPr>
            <w:r>
              <w:rPr>
                <w:rFonts w:hint="eastAsia" w:ascii="宋体" w:hAnsi="宋体" w:eastAsia="宋体" w:cs="宋体"/>
                <w:b/>
                <w:bCs/>
                <w:snapToGrid w:val="0"/>
                <w:color w:val="auto"/>
                <w:kern w:val="0"/>
                <w:sz w:val="22"/>
                <w:szCs w:val="22"/>
                <w:highlight w:val="none"/>
                <w:lang w:val="en-US" w:eastAsia="zh-CN" w:bidi="ar-SA"/>
              </w:rPr>
              <w:t>（1分）</w:t>
            </w:r>
          </w:p>
        </w:tc>
        <w:tc>
          <w:tcPr>
            <w:tcW w:w="4135" w:type="dxa"/>
            <w:noWrap w:val="0"/>
            <w:vAlign w:val="center"/>
          </w:tcPr>
          <w:p w14:paraId="0FB5C20D">
            <w:pPr>
              <w:widowControl w:val="0"/>
              <w:wordWrap w:val="0"/>
              <w:adjustRightInd w:val="0"/>
              <w:snapToGrid w:val="0"/>
              <w:spacing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【优】得该项因素分的85%～100%（含85%）；</w:t>
            </w:r>
          </w:p>
          <w:p w14:paraId="6536761B">
            <w:pPr>
              <w:widowControl w:val="0"/>
              <w:wordWrap w:val="0"/>
              <w:adjustRightInd w:val="0"/>
              <w:snapToGrid w:val="0"/>
              <w:spacing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【良】得该项因素分的70%～85%（含70%）；</w:t>
            </w:r>
          </w:p>
          <w:p w14:paraId="1AF465CF">
            <w:pPr>
              <w:widowControl w:val="0"/>
              <w:wordWrap w:val="0"/>
              <w:adjustRightInd w:val="0"/>
              <w:snapToGrid w:val="0"/>
              <w:spacing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【中】得该项因素分的60%～70%（含60%）；</w:t>
            </w:r>
          </w:p>
          <w:p w14:paraId="7EBD4CE5">
            <w:pPr>
              <w:widowControl w:val="0"/>
              <w:wordWrap w:val="0"/>
              <w:adjustRightInd w:val="0"/>
              <w:snapToGrid w:val="0"/>
              <w:spacing w:line="400" w:lineRule="exact"/>
              <w:jc w:val="both"/>
              <w:rPr>
                <w:rFonts w:hint="eastAsia" w:ascii="宋体" w:hAnsi="宋体" w:eastAsia="宋体" w:cs="宋体"/>
                <w:strike w:val="0"/>
                <w:dstrike w:val="0"/>
                <w:color w:val="auto"/>
                <w:kern w:val="2"/>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【差】得该项因素分的0～60%（含0分）。</w:t>
            </w:r>
          </w:p>
        </w:tc>
        <w:tc>
          <w:tcPr>
            <w:tcW w:w="4252" w:type="dxa"/>
            <w:noWrap w:val="0"/>
            <w:vAlign w:val="center"/>
          </w:tcPr>
          <w:p w14:paraId="0360E339">
            <w:pPr>
              <w:widowControl w:val="0"/>
              <w:wordWrap w:val="0"/>
              <w:adjustRightInd w:val="0"/>
              <w:snapToGrid w:val="0"/>
              <w:spacing w:line="400" w:lineRule="exact"/>
              <w:jc w:val="both"/>
              <w:rPr>
                <w:rFonts w:hint="eastAsia" w:ascii="宋体" w:hAnsi="宋体" w:eastAsia="宋体" w:cs="宋体"/>
                <w:bCs/>
                <w:strike w:val="0"/>
                <w:dstrike w:val="0"/>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要求方法可行、措施具体、针对性强。</w:t>
            </w:r>
          </w:p>
        </w:tc>
      </w:tr>
      <w:tr w14:paraId="10FC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508" w:type="dxa"/>
            <w:gridSpan w:val="3"/>
            <w:shd w:val="clear" w:color="auto" w:fill="BEBEBE"/>
            <w:noWrap w:val="0"/>
            <w:vAlign w:val="center"/>
          </w:tcPr>
          <w:p w14:paraId="1E2F77C1">
            <w:pPr>
              <w:keepNext w:val="0"/>
              <w:keepLines w:val="0"/>
              <w:pageBreakBefore w:val="0"/>
              <w:widowControl w:val="0"/>
              <w:shd w:val="clear" w:color="auto" w:fill="BEBEBE"/>
              <w:kinsoku/>
              <w:wordWrap w:val="0"/>
              <w:overflowPunct/>
              <w:topLinePunct w:val="0"/>
              <w:autoSpaceDE/>
              <w:autoSpaceDN/>
              <w:bidi w:val="0"/>
              <w:adjustRightInd w:val="0"/>
              <w:snapToGrid w:val="0"/>
              <w:spacing w:after="0" w:afterLines="0" w:afterAutospacing="0" w:line="240" w:lineRule="auto"/>
              <w:jc w:val="both"/>
              <w:textAlignment w:val="auto"/>
              <w:rPr>
                <w:rFonts w:hint="eastAsia" w:ascii="宋体" w:hAnsi="宋体" w:eastAsia="宋体" w:cs="宋体"/>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投标报价部分满分：</w:t>
            </w:r>
            <w:r>
              <w:rPr>
                <w:rFonts w:hint="eastAsia" w:ascii="宋体" w:hAnsi="宋体" w:eastAsia="宋体" w:cs="宋体"/>
                <w:b/>
                <w:bCs/>
                <w:strike w:val="0"/>
                <w:dstrike w:val="0"/>
                <w:snapToGrid w:val="0"/>
                <w:color w:val="auto"/>
                <w:kern w:val="0"/>
                <w:sz w:val="22"/>
                <w:szCs w:val="22"/>
                <w:highlight w:val="none"/>
                <w:u w:val="single"/>
                <w:lang w:val="en-US" w:eastAsia="zh-CN" w:bidi="ar-SA"/>
              </w:rPr>
              <w:t>40</w:t>
            </w:r>
            <w:r>
              <w:rPr>
                <w:rFonts w:hint="eastAsia" w:ascii="宋体" w:hAnsi="宋体" w:eastAsia="宋体" w:cs="宋体"/>
                <w:b/>
                <w:bCs/>
                <w:strike w:val="0"/>
                <w:dstrike w:val="0"/>
                <w:snapToGrid w:val="0"/>
                <w:color w:val="auto"/>
                <w:kern w:val="0"/>
                <w:sz w:val="22"/>
                <w:szCs w:val="22"/>
                <w:highlight w:val="none"/>
                <w:lang w:val="en-US" w:eastAsia="zh-CN" w:bidi="ar-SA"/>
              </w:rPr>
              <w:t>分。</w:t>
            </w:r>
          </w:p>
        </w:tc>
      </w:tr>
      <w:tr w14:paraId="3C54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21" w:type="dxa"/>
            <w:noWrap w:val="0"/>
            <w:vAlign w:val="center"/>
          </w:tcPr>
          <w:p w14:paraId="78E11C41">
            <w:pPr>
              <w:wordWrap w:val="0"/>
              <w:adjustRightInd w:val="0"/>
              <w:snapToGrid w:val="0"/>
              <w:spacing w:line="240" w:lineRule="auto"/>
              <w:jc w:val="center"/>
              <w:rPr>
                <w:rFonts w:hint="eastAsia" w:ascii="宋体" w:hAnsi="宋体" w:eastAsia="宋体" w:cs="宋体"/>
                <w:b/>
                <w:bCs/>
                <w:strike w:val="0"/>
                <w:dstrike w:val="0"/>
                <w:snapToGrid w:val="0"/>
                <w:color w:val="auto"/>
                <w:kern w:val="0"/>
                <w:sz w:val="22"/>
                <w:szCs w:val="22"/>
                <w:highlight w:val="none"/>
              </w:rPr>
            </w:pPr>
            <w:r>
              <w:rPr>
                <w:rFonts w:hint="eastAsia" w:ascii="宋体" w:hAnsi="宋体" w:eastAsia="宋体" w:cs="宋体"/>
                <w:b/>
                <w:bCs/>
                <w:strike w:val="0"/>
                <w:dstrike w:val="0"/>
                <w:snapToGrid w:val="0"/>
                <w:color w:val="auto"/>
                <w:kern w:val="0"/>
                <w:sz w:val="22"/>
                <w:szCs w:val="22"/>
                <w:highlight w:val="none"/>
              </w:rPr>
              <w:t>评分事项</w:t>
            </w:r>
          </w:p>
        </w:tc>
        <w:tc>
          <w:tcPr>
            <w:tcW w:w="8387" w:type="dxa"/>
            <w:gridSpan w:val="2"/>
            <w:noWrap w:val="0"/>
            <w:vAlign w:val="center"/>
          </w:tcPr>
          <w:p w14:paraId="7D8B0EEB">
            <w:pPr>
              <w:widowControl w:val="0"/>
              <w:wordWrap w:val="0"/>
              <w:adjustRightInd w:val="0"/>
              <w:snapToGrid w:val="0"/>
              <w:spacing w:after="0" w:afterLines="0" w:afterAutospacing="0" w:line="400" w:lineRule="exact"/>
              <w:jc w:val="center"/>
              <w:rPr>
                <w:rFonts w:hint="eastAsia" w:ascii="宋体" w:hAnsi="宋体" w:eastAsia="宋体" w:cs="宋体"/>
                <w:b/>
                <w:bCs/>
                <w:strike w:val="0"/>
                <w:dstrike w:val="0"/>
                <w:snapToGrid w:val="0"/>
                <w:color w:val="auto"/>
                <w:kern w:val="0"/>
                <w:sz w:val="22"/>
                <w:szCs w:val="22"/>
                <w:highlight w:val="none"/>
                <w:lang w:val="en-US" w:eastAsia="zh-CN" w:bidi="ar-SA"/>
              </w:rPr>
            </w:pPr>
            <w:r>
              <w:rPr>
                <w:rFonts w:hint="eastAsia" w:ascii="宋体" w:hAnsi="宋体" w:eastAsia="宋体" w:cs="宋体"/>
                <w:b/>
                <w:bCs/>
                <w:strike w:val="0"/>
                <w:dstrike w:val="0"/>
                <w:snapToGrid w:val="0"/>
                <w:color w:val="auto"/>
                <w:kern w:val="0"/>
                <w:sz w:val="22"/>
                <w:szCs w:val="22"/>
                <w:highlight w:val="none"/>
                <w:lang w:val="en-US" w:eastAsia="zh-CN" w:bidi="ar-SA"/>
              </w:rPr>
              <w:t>评分方法</w:t>
            </w:r>
          </w:p>
        </w:tc>
      </w:tr>
      <w:tr w14:paraId="775E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121" w:type="dxa"/>
            <w:noWrap w:val="0"/>
            <w:vAlign w:val="center"/>
          </w:tcPr>
          <w:p w14:paraId="598F015A">
            <w:pPr>
              <w:widowControl w:val="0"/>
              <w:adjustRightInd w:val="0"/>
              <w:snapToGrid w:val="0"/>
              <w:spacing w:line="400" w:lineRule="exact"/>
              <w:jc w:val="center"/>
              <w:rPr>
                <w:rFonts w:hint="eastAsia" w:ascii="宋体" w:hAnsi="宋体" w:eastAsia="宋体" w:cs="宋体"/>
                <w:b w:val="0"/>
                <w:bCs w:val="0"/>
                <w:strike w:val="0"/>
                <w:dstrike w:val="0"/>
                <w:color w:val="auto"/>
                <w:kern w:val="2"/>
                <w:sz w:val="22"/>
                <w:szCs w:val="22"/>
                <w:highlight w:val="none"/>
                <w:lang w:val="en-US" w:eastAsia="zh-CN" w:bidi="ar-SA"/>
              </w:rPr>
            </w:pPr>
            <w:r>
              <w:rPr>
                <w:rFonts w:hint="eastAsia" w:ascii="宋体" w:hAnsi="宋体" w:eastAsia="宋体" w:cs="宋体"/>
                <w:b w:val="0"/>
                <w:bCs w:val="0"/>
                <w:strike w:val="0"/>
                <w:dstrike w:val="0"/>
                <w:color w:val="auto"/>
                <w:kern w:val="2"/>
                <w:sz w:val="22"/>
                <w:szCs w:val="22"/>
                <w:highlight w:val="none"/>
                <w:lang w:val="en-US" w:eastAsia="zh-CN" w:bidi="ar-SA"/>
              </w:rPr>
              <w:t>投标</w:t>
            </w:r>
          </w:p>
          <w:p w14:paraId="4B196C4F">
            <w:pPr>
              <w:widowControl w:val="0"/>
              <w:adjustRightInd w:val="0"/>
              <w:snapToGrid w:val="0"/>
              <w:spacing w:line="400" w:lineRule="exact"/>
              <w:jc w:val="center"/>
              <w:rPr>
                <w:rFonts w:hint="eastAsia" w:ascii="宋体" w:hAnsi="宋体" w:eastAsia="宋体" w:cs="宋体"/>
                <w:b w:val="0"/>
                <w:bCs w:val="0"/>
                <w:strike w:val="0"/>
                <w:dstrike w:val="0"/>
                <w:color w:val="auto"/>
                <w:kern w:val="2"/>
                <w:sz w:val="22"/>
                <w:szCs w:val="22"/>
                <w:highlight w:val="none"/>
                <w:lang w:val="en-US" w:eastAsia="zh-CN" w:bidi="ar-SA"/>
              </w:rPr>
            </w:pPr>
            <w:r>
              <w:rPr>
                <w:rFonts w:hint="eastAsia" w:ascii="宋体" w:hAnsi="宋体" w:eastAsia="宋体" w:cs="宋体"/>
                <w:b w:val="0"/>
                <w:bCs w:val="0"/>
                <w:strike w:val="0"/>
                <w:dstrike w:val="0"/>
                <w:color w:val="auto"/>
                <w:kern w:val="2"/>
                <w:sz w:val="22"/>
                <w:szCs w:val="22"/>
                <w:highlight w:val="none"/>
                <w:lang w:val="en-US" w:eastAsia="zh-CN" w:bidi="ar-SA"/>
              </w:rPr>
              <w:t>报价</w:t>
            </w:r>
          </w:p>
          <w:p w14:paraId="10A9EEA1">
            <w:pPr>
              <w:widowControl w:val="0"/>
              <w:adjustRightInd w:val="0"/>
              <w:snapToGrid w:val="0"/>
              <w:spacing w:line="400" w:lineRule="exact"/>
              <w:jc w:val="center"/>
              <w:rPr>
                <w:rFonts w:hint="eastAsia" w:ascii="宋体" w:hAnsi="宋体" w:eastAsia="宋体" w:cs="宋体"/>
                <w:strike w:val="0"/>
                <w:dstrike w:val="0"/>
                <w:snapToGrid w:val="0"/>
                <w:color w:val="auto"/>
                <w:kern w:val="0"/>
                <w:sz w:val="22"/>
                <w:szCs w:val="22"/>
                <w:highlight w:val="none"/>
                <w:lang w:val="en-US" w:eastAsia="zh-CN" w:bidi="ar-SA"/>
              </w:rPr>
            </w:pPr>
          </w:p>
        </w:tc>
        <w:tc>
          <w:tcPr>
            <w:tcW w:w="8387" w:type="dxa"/>
            <w:gridSpan w:val="2"/>
            <w:noWrap w:val="0"/>
            <w:vAlign w:val="center"/>
          </w:tcPr>
          <w:p w14:paraId="2DF33528">
            <w:pPr>
              <w:wordWrap w:val="0"/>
              <w:adjustRightInd w:val="0"/>
              <w:snapToGrid w:val="0"/>
              <w:spacing w:line="240" w:lineRule="auto"/>
              <w:ind w:firstLine="220" w:firstLineChars="100"/>
              <w:jc w:val="left"/>
              <w:rPr>
                <w:rFonts w:hint="eastAsia" w:ascii="宋体" w:hAnsi="宋体" w:eastAsia="宋体" w:cs="宋体"/>
                <w:strike w:val="0"/>
                <w:dstrike w:val="0"/>
                <w:snapToGrid w:val="0"/>
                <w:color w:val="auto"/>
                <w:kern w:val="0"/>
                <w:sz w:val="22"/>
                <w:szCs w:val="22"/>
                <w:highlight w:val="none"/>
              </w:rPr>
            </w:pPr>
            <w:r>
              <w:rPr>
                <w:rFonts w:hint="eastAsia" w:ascii="宋体" w:hAnsi="宋体" w:eastAsia="宋体" w:cs="宋体"/>
                <w:strike w:val="0"/>
                <w:dstrike w:val="0"/>
                <w:snapToGrid w:val="0"/>
                <w:color w:val="auto"/>
                <w:kern w:val="0"/>
                <w:sz w:val="22"/>
                <w:szCs w:val="22"/>
                <w:highlight w:val="none"/>
              </w:rPr>
              <w:t>（1）确定最高投标限价下浮系数n：用1～21号球分别代表一个下浮系数，由评委代表从这21个号码中随机抽取</w:t>
            </w:r>
            <w:r>
              <w:rPr>
                <w:rFonts w:hint="eastAsia" w:ascii="宋体" w:hAnsi="宋体" w:eastAsia="宋体" w:cs="宋体"/>
                <w:strike w:val="0"/>
                <w:dstrike w:val="0"/>
                <w:snapToGrid w:val="0"/>
                <w:color w:val="auto"/>
                <w:kern w:val="0"/>
                <w:sz w:val="22"/>
                <w:szCs w:val="22"/>
                <w:highlight w:val="none"/>
                <w:u w:val="single"/>
              </w:rPr>
              <w:t>3</w:t>
            </w:r>
            <w:r>
              <w:rPr>
                <w:rFonts w:hint="eastAsia" w:ascii="宋体" w:hAnsi="宋体" w:eastAsia="宋体" w:cs="宋体"/>
                <w:strike w:val="0"/>
                <w:dstrike w:val="0"/>
                <w:snapToGrid w:val="0"/>
                <w:color w:val="auto"/>
                <w:kern w:val="0"/>
                <w:sz w:val="22"/>
                <w:szCs w:val="22"/>
                <w:highlight w:val="none"/>
              </w:rPr>
              <w:t>次，每次抽取1个号码，抽出的号球不参与下次抽取。所抽取的3个号码对应下浮系数的算术平均值作为最高投标限价下浮系数n。具体号码对应的下浮系数可参考下表。</w:t>
            </w:r>
          </w:p>
          <w:tbl>
            <w:tblPr>
              <w:tblStyle w:val="31"/>
              <w:tblW w:w="0" w:type="auto"/>
              <w:tblInd w:w="118" w:type="dxa"/>
              <w:tblLayout w:type="fixed"/>
              <w:tblCellMar>
                <w:top w:w="0" w:type="dxa"/>
                <w:left w:w="108" w:type="dxa"/>
                <w:bottom w:w="0" w:type="dxa"/>
                <w:right w:w="108" w:type="dxa"/>
              </w:tblCellMar>
            </w:tblPr>
            <w:tblGrid>
              <w:gridCol w:w="1662"/>
              <w:gridCol w:w="901"/>
              <w:gridCol w:w="941"/>
              <w:gridCol w:w="980"/>
              <w:gridCol w:w="962"/>
              <w:gridCol w:w="1000"/>
              <w:gridCol w:w="940"/>
              <w:gridCol w:w="929"/>
            </w:tblGrid>
            <w:tr w14:paraId="013DE952">
              <w:tblPrEx>
                <w:tblCellMar>
                  <w:top w:w="0" w:type="dxa"/>
                  <w:left w:w="108" w:type="dxa"/>
                  <w:bottom w:w="0" w:type="dxa"/>
                  <w:right w:w="108" w:type="dxa"/>
                </w:tblCellMar>
              </w:tblPrEx>
              <w:trPr>
                <w:trHeight w:val="350"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A22C8A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202B1A3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1</w:t>
                  </w:r>
                </w:p>
              </w:tc>
              <w:tc>
                <w:tcPr>
                  <w:tcW w:w="941" w:type="dxa"/>
                  <w:tcBorders>
                    <w:top w:val="single" w:color="000000" w:sz="4" w:space="0"/>
                    <w:left w:val="nil"/>
                    <w:bottom w:val="single" w:color="000000" w:sz="4" w:space="0"/>
                    <w:right w:val="single" w:color="000000" w:sz="4" w:space="0"/>
                  </w:tcBorders>
                  <w:noWrap w:val="0"/>
                  <w:vAlign w:val="center"/>
                </w:tcPr>
                <w:p w14:paraId="0535259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2</w:t>
                  </w:r>
                </w:p>
              </w:tc>
              <w:tc>
                <w:tcPr>
                  <w:tcW w:w="980" w:type="dxa"/>
                  <w:tcBorders>
                    <w:top w:val="single" w:color="000000" w:sz="4" w:space="0"/>
                    <w:left w:val="nil"/>
                    <w:bottom w:val="single" w:color="000000" w:sz="4" w:space="0"/>
                    <w:right w:val="single" w:color="000000" w:sz="4" w:space="0"/>
                  </w:tcBorders>
                  <w:noWrap w:val="0"/>
                  <w:vAlign w:val="center"/>
                </w:tcPr>
                <w:p w14:paraId="43A3F00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3</w:t>
                  </w:r>
                </w:p>
              </w:tc>
              <w:tc>
                <w:tcPr>
                  <w:tcW w:w="962" w:type="dxa"/>
                  <w:tcBorders>
                    <w:top w:val="single" w:color="000000" w:sz="4" w:space="0"/>
                    <w:left w:val="nil"/>
                    <w:bottom w:val="single" w:color="000000" w:sz="4" w:space="0"/>
                    <w:right w:val="single" w:color="000000" w:sz="4" w:space="0"/>
                  </w:tcBorders>
                  <w:noWrap w:val="0"/>
                  <w:vAlign w:val="center"/>
                </w:tcPr>
                <w:p w14:paraId="45D9DE3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4</w:t>
                  </w:r>
                </w:p>
              </w:tc>
              <w:tc>
                <w:tcPr>
                  <w:tcW w:w="1000" w:type="dxa"/>
                  <w:tcBorders>
                    <w:top w:val="single" w:color="000000" w:sz="4" w:space="0"/>
                    <w:left w:val="nil"/>
                    <w:bottom w:val="single" w:color="000000" w:sz="4" w:space="0"/>
                    <w:right w:val="single" w:color="000000" w:sz="4" w:space="0"/>
                  </w:tcBorders>
                  <w:noWrap w:val="0"/>
                  <w:vAlign w:val="center"/>
                </w:tcPr>
                <w:p w14:paraId="2110DB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5</w:t>
                  </w:r>
                </w:p>
              </w:tc>
              <w:tc>
                <w:tcPr>
                  <w:tcW w:w="940" w:type="dxa"/>
                  <w:tcBorders>
                    <w:top w:val="single" w:color="000000" w:sz="4" w:space="0"/>
                    <w:left w:val="nil"/>
                    <w:bottom w:val="single" w:color="000000" w:sz="4" w:space="0"/>
                    <w:right w:val="single" w:color="000000" w:sz="4" w:space="0"/>
                  </w:tcBorders>
                  <w:noWrap w:val="0"/>
                  <w:vAlign w:val="center"/>
                </w:tcPr>
                <w:p w14:paraId="26E20A8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6</w:t>
                  </w:r>
                </w:p>
              </w:tc>
              <w:tc>
                <w:tcPr>
                  <w:tcW w:w="929" w:type="dxa"/>
                  <w:tcBorders>
                    <w:top w:val="single" w:color="000000" w:sz="4" w:space="0"/>
                    <w:left w:val="nil"/>
                    <w:bottom w:val="single" w:color="000000" w:sz="4" w:space="0"/>
                    <w:right w:val="single" w:color="000000" w:sz="4" w:space="0"/>
                  </w:tcBorders>
                  <w:noWrap w:val="0"/>
                  <w:vAlign w:val="center"/>
                </w:tcPr>
                <w:p w14:paraId="3A01DE4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2"/>
                      <w:szCs w:val="22"/>
                      <w:highlight w:val="none"/>
                    </w:rPr>
                  </w:pPr>
                  <w:r>
                    <w:rPr>
                      <w:rFonts w:hint="eastAsia" w:ascii="宋体" w:hAnsi="宋体" w:eastAsia="宋体" w:cs="宋体"/>
                      <w:b/>
                      <w:bCs/>
                      <w:strike w:val="0"/>
                      <w:dstrike w:val="0"/>
                      <w:color w:val="auto"/>
                      <w:kern w:val="0"/>
                      <w:sz w:val="22"/>
                      <w:szCs w:val="22"/>
                      <w:highlight w:val="none"/>
                    </w:rPr>
                    <w:t>7</w:t>
                  </w:r>
                </w:p>
              </w:tc>
            </w:tr>
            <w:tr w14:paraId="6E399123">
              <w:tblPrEx>
                <w:tblCellMar>
                  <w:top w:w="0" w:type="dxa"/>
                  <w:left w:w="108" w:type="dxa"/>
                  <w:bottom w:w="0" w:type="dxa"/>
                  <w:right w:w="108" w:type="dxa"/>
                </w:tblCellMar>
              </w:tblPrEx>
              <w:trPr>
                <w:trHeight w:val="42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3F385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7F3685C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lang w:val="en-US" w:eastAsia="zh-CN"/>
                    </w:rPr>
                  </w:pPr>
                  <w:r>
                    <w:rPr>
                      <w:rFonts w:hint="eastAsia" w:ascii="宋体" w:hAnsi="宋体" w:eastAsia="宋体" w:cs="宋体"/>
                      <w:strike w:val="0"/>
                      <w:dstrike w:val="0"/>
                      <w:color w:val="auto"/>
                      <w:kern w:val="0"/>
                      <w:sz w:val="22"/>
                      <w:szCs w:val="22"/>
                      <w:highlight w:val="none"/>
                      <w:lang w:val="en-US" w:eastAsia="zh-CN"/>
                    </w:rPr>
                    <w:t>1.0</w:t>
                  </w:r>
                </w:p>
              </w:tc>
              <w:tc>
                <w:tcPr>
                  <w:tcW w:w="941" w:type="dxa"/>
                  <w:tcBorders>
                    <w:top w:val="single" w:color="000000" w:sz="4" w:space="0"/>
                    <w:left w:val="nil"/>
                    <w:bottom w:val="single" w:color="000000" w:sz="4" w:space="0"/>
                    <w:right w:val="single" w:color="000000" w:sz="4" w:space="0"/>
                  </w:tcBorders>
                  <w:noWrap w:val="0"/>
                  <w:vAlign w:val="center"/>
                </w:tcPr>
                <w:p w14:paraId="4D7DF9E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.1</w:t>
                  </w:r>
                </w:p>
              </w:tc>
              <w:tc>
                <w:tcPr>
                  <w:tcW w:w="980" w:type="dxa"/>
                  <w:tcBorders>
                    <w:top w:val="single" w:color="000000" w:sz="4" w:space="0"/>
                    <w:left w:val="nil"/>
                    <w:bottom w:val="single" w:color="000000" w:sz="4" w:space="0"/>
                    <w:right w:val="single" w:color="000000" w:sz="4" w:space="0"/>
                  </w:tcBorders>
                  <w:noWrap w:val="0"/>
                  <w:vAlign w:val="center"/>
                </w:tcPr>
                <w:p w14:paraId="6D46CDE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.2</w:t>
                  </w:r>
                </w:p>
              </w:tc>
              <w:tc>
                <w:tcPr>
                  <w:tcW w:w="962" w:type="dxa"/>
                  <w:tcBorders>
                    <w:top w:val="single" w:color="000000" w:sz="4" w:space="0"/>
                    <w:left w:val="nil"/>
                    <w:bottom w:val="single" w:color="000000" w:sz="4" w:space="0"/>
                    <w:right w:val="single" w:color="000000" w:sz="4" w:space="0"/>
                  </w:tcBorders>
                  <w:noWrap w:val="0"/>
                  <w:vAlign w:val="center"/>
                </w:tcPr>
                <w:p w14:paraId="70CD0EB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.3</w:t>
                  </w:r>
                </w:p>
              </w:tc>
              <w:tc>
                <w:tcPr>
                  <w:tcW w:w="1000" w:type="dxa"/>
                  <w:tcBorders>
                    <w:top w:val="single" w:color="000000" w:sz="4" w:space="0"/>
                    <w:left w:val="nil"/>
                    <w:bottom w:val="single" w:color="000000" w:sz="4" w:space="0"/>
                    <w:right w:val="single" w:color="000000" w:sz="4" w:space="0"/>
                  </w:tcBorders>
                  <w:noWrap w:val="0"/>
                  <w:vAlign w:val="center"/>
                </w:tcPr>
                <w:p w14:paraId="32E4F7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.4</w:t>
                  </w:r>
                </w:p>
              </w:tc>
              <w:tc>
                <w:tcPr>
                  <w:tcW w:w="940" w:type="dxa"/>
                  <w:tcBorders>
                    <w:top w:val="single" w:color="000000" w:sz="4" w:space="0"/>
                    <w:left w:val="nil"/>
                    <w:bottom w:val="single" w:color="000000" w:sz="4" w:space="0"/>
                    <w:right w:val="single" w:color="000000" w:sz="4" w:space="0"/>
                  </w:tcBorders>
                  <w:noWrap w:val="0"/>
                  <w:vAlign w:val="center"/>
                </w:tcPr>
                <w:p w14:paraId="610EA9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.5</w:t>
                  </w:r>
                </w:p>
              </w:tc>
              <w:tc>
                <w:tcPr>
                  <w:tcW w:w="929" w:type="dxa"/>
                  <w:tcBorders>
                    <w:top w:val="single" w:color="000000" w:sz="4" w:space="0"/>
                    <w:left w:val="nil"/>
                    <w:bottom w:val="single" w:color="000000" w:sz="4" w:space="0"/>
                    <w:right w:val="single" w:color="000000" w:sz="4" w:space="0"/>
                  </w:tcBorders>
                  <w:noWrap w:val="0"/>
                  <w:vAlign w:val="center"/>
                </w:tcPr>
                <w:p w14:paraId="4BDB95F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.6</w:t>
                  </w:r>
                </w:p>
              </w:tc>
            </w:tr>
            <w:tr w14:paraId="047AAB40">
              <w:tblPrEx>
                <w:tblCellMar>
                  <w:top w:w="0" w:type="dxa"/>
                  <w:left w:w="108" w:type="dxa"/>
                  <w:bottom w:w="0" w:type="dxa"/>
                  <w:right w:w="108" w:type="dxa"/>
                </w:tblCellMar>
              </w:tblPrEx>
              <w:trPr>
                <w:trHeight w:val="41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317C2E8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4404472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8</w:t>
                  </w:r>
                </w:p>
              </w:tc>
              <w:tc>
                <w:tcPr>
                  <w:tcW w:w="941" w:type="dxa"/>
                  <w:tcBorders>
                    <w:top w:val="single" w:color="000000" w:sz="4" w:space="0"/>
                    <w:left w:val="nil"/>
                    <w:bottom w:val="single" w:color="000000" w:sz="4" w:space="0"/>
                    <w:right w:val="single" w:color="000000" w:sz="4" w:space="0"/>
                  </w:tcBorders>
                  <w:noWrap w:val="0"/>
                  <w:vAlign w:val="center"/>
                </w:tcPr>
                <w:p w14:paraId="61B184F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9</w:t>
                  </w:r>
                </w:p>
              </w:tc>
              <w:tc>
                <w:tcPr>
                  <w:tcW w:w="980" w:type="dxa"/>
                  <w:tcBorders>
                    <w:top w:val="single" w:color="000000" w:sz="4" w:space="0"/>
                    <w:left w:val="nil"/>
                    <w:bottom w:val="single" w:color="000000" w:sz="4" w:space="0"/>
                    <w:right w:val="single" w:color="000000" w:sz="4" w:space="0"/>
                  </w:tcBorders>
                  <w:noWrap w:val="0"/>
                  <w:vAlign w:val="center"/>
                </w:tcPr>
                <w:p w14:paraId="76914D9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10</w:t>
                  </w:r>
                </w:p>
              </w:tc>
              <w:tc>
                <w:tcPr>
                  <w:tcW w:w="962" w:type="dxa"/>
                  <w:tcBorders>
                    <w:top w:val="single" w:color="000000" w:sz="4" w:space="0"/>
                    <w:left w:val="nil"/>
                    <w:bottom w:val="single" w:color="000000" w:sz="4" w:space="0"/>
                    <w:right w:val="single" w:color="000000" w:sz="4" w:space="0"/>
                  </w:tcBorders>
                  <w:noWrap w:val="0"/>
                  <w:vAlign w:val="center"/>
                </w:tcPr>
                <w:p w14:paraId="72272B6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11</w:t>
                  </w:r>
                </w:p>
              </w:tc>
              <w:tc>
                <w:tcPr>
                  <w:tcW w:w="1000" w:type="dxa"/>
                  <w:tcBorders>
                    <w:top w:val="single" w:color="000000" w:sz="4" w:space="0"/>
                    <w:left w:val="nil"/>
                    <w:bottom w:val="single" w:color="000000" w:sz="4" w:space="0"/>
                    <w:right w:val="single" w:color="000000" w:sz="4" w:space="0"/>
                  </w:tcBorders>
                  <w:noWrap w:val="0"/>
                  <w:vAlign w:val="center"/>
                </w:tcPr>
                <w:p w14:paraId="247C03B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12</w:t>
                  </w:r>
                </w:p>
              </w:tc>
              <w:tc>
                <w:tcPr>
                  <w:tcW w:w="940" w:type="dxa"/>
                  <w:tcBorders>
                    <w:top w:val="single" w:color="000000" w:sz="4" w:space="0"/>
                    <w:left w:val="nil"/>
                    <w:bottom w:val="single" w:color="000000" w:sz="4" w:space="0"/>
                    <w:right w:val="single" w:color="000000" w:sz="4" w:space="0"/>
                  </w:tcBorders>
                  <w:noWrap w:val="0"/>
                  <w:vAlign w:val="center"/>
                </w:tcPr>
                <w:p w14:paraId="5A3F5E9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13</w:t>
                  </w:r>
                </w:p>
              </w:tc>
              <w:tc>
                <w:tcPr>
                  <w:tcW w:w="929" w:type="dxa"/>
                  <w:tcBorders>
                    <w:top w:val="single" w:color="000000" w:sz="4" w:space="0"/>
                    <w:left w:val="nil"/>
                    <w:bottom w:val="single" w:color="000000" w:sz="4" w:space="0"/>
                    <w:right w:val="single" w:color="000000" w:sz="4" w:space="0"/>
                  </w:tcBorders>
                  <w:noWrap w:val="0"/>
                  <w:vAlign w:val="center"/>
                </w:tcPr>
                <w:p w14:paraId="78B13D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14</w:t>
                  </w:r>
                </w:p>
              </w:tc>
            </w:tr>
            <w:tr w14:paraId="03279D53">
              <w:tblPrEx>
                <w:tblCellMar>
                  <w:top w:w="0" w:type="dxa"/>
                  <w:left w:w="108" w:type="dxa"/>
                  <w:bottom w:w="0" w:type="dxa"/>
                  <w:right w:w="108" w:type="dxa"/>
                </w:tblCellMar>
              </w:tblPrEx>
              <w:trPr>
                <w:trHeight w:val="413"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77A2CA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44F1C59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.7</w:t>
                  </w:r>
                </w:p>
              </w:tc>
              <w:tc>
                <w:tcPr>
                  <w:tcW w:w="941" w:type="dxa"/>
                  <w:tcBorders>
                    <w:top w:val="single" w:color="000000" w:sz="4" w:space="0"/>
                    <w:left w:val="nil"/>
                    <w:bottom w:val="single" w:color="000000" w:sz="4" w:space="0"/>
                    <w:right w:val="single" w:color="000000" w:sz="4" w:space="0"/>
                  </w:tcBorders>
                  <w:noWrap w:val="0"/>
                  <w:vAlign w:val="center"/>
                </w:tcPr>
                <w:p w14:paraId="3EDFAD4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.8</w:t>
                  </w:r>
                </w:p>
              </w:tc>
              <w:tc>
                <w:tcPr>
                  <w:tcW w:w="980" w:type="dxa"/>
                  <w:tcBorders>
                    <w:top w:val="single" w:color="000000" w:sz="4" w:space="0"/>
                    <w:left w:val="nil"/>
                    <w:bottom w:val="single" w:color="000000" w:sz="4" w:space="0"/>
                    <w:right w:val="single" w:color="000000" w:sz="4" w:space="0"/>
                  </w:tcBorders>
                  <w:noWrap w:val="0"/>
                  <w:vAlign w:val="center"/>
                </w:tcPr>
                <w:p w14:paraId="3C87EF7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1</w:t>
                  </w:r>
                  <w:r>
                    <w:rPr>
                      <w:rFonts w:hint="eastAsia" w:ascii="宋体" w:hAnsi="宋体" w:eastAsia="宋体" w:cs="宋体"/>
                      <w:strike w:val="0"/>
                      <w:dstrike w:val="0"/>
                      <w:color w:val="auto"/>
                      <w:kern w:val="0"/>
                      <w:sz w:val="22"/>
                      <w:szCs w:val="22"/>
                      <w:highlight w:val="none"/>
                    </w:rPr>
                    <w:t>.9</w:t>
                  </w:r>
                </w:p>
              </w:tc>
              <w:tc>
                <w:tcPr>
                  <w:tcW w:w="962" w:type="dxa"/>
                  <w:tcBorders>
                    <w:top w:val="single" w:color="000000" w:sz="4" w:space="0"/>
                    <w:left w:val="nil"/>
                    <w:bottom w:val="single" w:color="000000" w:sz="4" w:space="0"/>
                    <w:right w:val="single" w:color="000000" w:sz="4" w:space="0"/>
                  </w:tcBorders>
                  <w:noWrap w:val="0"/>
                  <w:vAlign w:val="center"/>
                </w:tcPr>
                <w:p w14:paraId="2872235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.0</w:t>
                  </w:r>
                </w:p>
              </w:tc>
              <w:tc>
                <w:tcPr>
                  <w:tcW w:w="1000" w:type="dxa"/>
                  <w:tcBorders>
                    <w:top w:val="single" w:color="000000" w:sz="4" w:space="0"/>
                    <w:left w:val="nil"/>
                    <w:bottom w:val="single" w:color="000000" w:sz="4" w:space="0"/>
                    <w:right w:val="single" w:color="000000" w:sz="4" w:space="0"/>
                  </w:tcBorders>
                  <w:noWrap w:val="0"/>
                  <w:vAlign w:val="center"/>
                </w:tcPr>
                <w:p w14:paraId="622F61B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.1</w:t>
                  </w:r>
                </w:p>
              </w:tc>
              <w:tc>
                <w:tcPr>
                  <w:tcW w:w="940" w:type="dxa"/>
                  <w:tcBorders>
                    <w:top w:val="single" w:color="000000" w:sz="4" w:space="0"/>
                    <w:left w:val="nil"/>
                    <w:bottom w:val="single" w:color="000000" w:sz="4" w:space="0"/>
                    <w:right w:val="single" w:color="000000" w:sz="4" w:space="0"/>
                  </w:tcBorders>
                  <w:noWrap w:val="0"/>
                  <w:vAlign w:val="center"/>
                </w:tcPr>
                <w:p w14:paraId="585C4D9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.2</w:t>
                  </w:r>
                </w:p>
              </w:tc>
              <w:tc>
                <w:tcPr>
                  <w:tcW w:w="929" w:type="dxa"/>
                  <w:tcBorders>
                    <w:top w:val="single" w:color="000000" w:sz="4" w:space="0"/>
                    <w:left w:val="nil"/>
                    <w:bottom w:val="single" w:color="000000" w:sz="4" w:space="0"/>
                    <w:right w:val="single" w:color="000000" w:sz="4" w:space="0"/>
                  </w:tcBorders>
                  <w:noWrap w:val="0"/>
                  <w:vAlign w:val="center"/>
                </w:tcPr>
                <w:p w14:paraId="5C7D6FD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.3</w:t>
                  </w:r>
                </w:p>
              </w:tc>
            </w:tr>
            <w:tr w14:paraId="7CDEDAEA">
              <w:tblPrEx>
                <w:tblCellMar>
                  <w:top w:w="0" w:type="dxa"/>
                  <w:left w:w="108" w:type="dxa"/>
                  <w:bottom w:w="0" w:type="dxa"/>
                  <w:right w:w="108" w:type="dxa"/>
                </w:tblCellMar>
              </w:tblPrEx>
              <w:trPr>
                <w:trHeight w:val="384"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4EA7F1D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4C5640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15</w:t>
                  </w:r>
                </w:p>
              </w:tc>
              <w:tc>
                <w:tcPr>
                  <w:tcW w:w="941" w:type="dxa"/>
                  <w:tcBorders>
                    <w:top w:val="single" w:color="000000" w:sz="4" w:space="0"/>
                    <w:left w:val="nil"/>
                    <w:bottom w:val="single" w:color="000000" w:sz="4" w:space="0"/>
                    <w:right w:val="single" w:color="000000" w:sz="4" w:space="0"/>
                  </w:tcBorders>
                  <w:noWrap w:val="0"/>
                  <w:vAlign w:val="center"/>
                </w:tcPr>
                <w:p w14:paraId="7F58C12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16</w:t>
                  </w:r>
                </w:p>
              </w:tc>
              <w:tc>
                <w:tcPr>
                  <w:tcW w:w="980" w:type="dxa"/>
                  <w:tcBorders>
                    <w:top w:val="single" w:color="000000" w:sz="4" w:space="0"/>
                    <w:left w:val="nil"/>
                    <w:bottom w:val="single" w:color="000000" w:sz="4" w:space="0"/>
                    <w:right w:val="single" w:color="000000" w:sz="4" w:space="0"/>
                  </w:tcBorders>
                  <w:noWrap w:val="0"/>
                  <w:vAlign w:val="center"/>
                </w:tcPr>
                <w:p w14:paraId="245B992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17</w:t>
                  </w:r>
                </w:p>
              </w:tc>
              <w:tc>
                <w:tcPr>
                  <w:tcW w:w="962" w:type="dxa"/>
                  <w:tcBorders>
                    <w:top w:val="single" w:color="000000" w:sz="4" w:space="0"/>
                    <w:left w:val="nil"/>
                    <w:bottom w:val="single" w:color="000000" w:sz="4" w:space="0"/>
                    <w:right w:val="single" w:color="000000" w:sz="4" w:space="0"/>
                  </w:tcBorders>
                  <w:noWrap w:val="0"/>
                  <w:vAlign w:val="center"/>
                </w:tcPr>
                <w:p w14:paraId="42C7460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18</w:t>
                  </w:r>
                </w:p>
              </w:tc>
              <w:tc>
                <w:tcPr>
                  <w:tcW w:w="1000" w:type="dxa"/>
                  <w:tcBorders>
                    <w:top w:val="single" w:color="000000" w:sz="4" w:space="0"/>
                    <w:left w:val="nil"/>
                    <w:bottom w:val="single" w:color="000000" w:sz="4" w:space="0"/>
                    <w:right w:val="single" w:color="000000" w:sz="4" w:space="0"/>
                  </w:tcBorders>
                  <w:noWrap w:val="0"/>
                  <w:vAlign w:val="center"/>
                </w:tcPr>
                <w:p w14:paraId="406F4FB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19</w:t>
                  </w:r>
                </w:p>
              </w:tc>
              <w:tc>
                <w:tcPr>
                  <w:tcW w:w="940" w:type="dxa"/>
                  <w:tcBorders>
                    <w:top w:val="single" w:color="000000" w:sz="4" w:space="0"/>
                    <w:left w:val="nil"/>
                    <w:bottom w:val="single" w:color="000000" w:sz="4" w:space="0"/>
                    <w:right w:val="single" w:color="000000" w:sz="4" w:space="0"/>
                  </w:tcBorders>
                  <w:noWrap w:val="0"/>
                  <w:vAlign w:val="center"/>
                </w:tcPr>
                <w:p w14:paraId="5E9C6AB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20</w:t>
                  </w:r>
                </w:p>
              </w:tc>
              <w:tc>
                <w:tcPr>
                  <w:tcW w:w="929" w:type="dxa"/>
                  <w:tcBorders>
                    <w:top w:val="single" w:color="000000" w:sz="4" w:space="0"/>
                    <w:left w:val="nil"/>
                    <w:bottom w:val="single" w:color="000000" w:sz="4" w:space="0"/>
                    <w:right w:val="single" w:color="000000" w:sz="4" w:space="0"/>
                  </w:tcBorders>
                  <w:noWrap w:val="0"/>
                  <w:vAlign w:val="center"/>
                </w:tcPr>
                <w:p w14:paraId="61F15B0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2"/>
                      <w:szCs w:val="22"/>
                      <w:highlight w:val="none"/>
                    </w:rPr>
                  </w:pPr>
                  <w:r>
                    <w:rPr>
                      <w:rFonts w:hint="eastAsia" w:ascii="宋体" w:hAnsi="宋体" w:eastAsia="宋体" w:cs="宋体"/>
                      <w:b/>
                      <w:bCs w:val="0"/>
                      <w:strike w:val="0"/>
                      <w:dstrike w:val="0"/>
                      <w:color w:val="auto"/>
                      <w:kern w:val="0"/>
                      <w:sz w:val="22"/>
                      <w:szCs w:val="22"/>
                      <w:highlight w:val="none"/>
                    </w:rPr>
                    <w:t>21</w:t>
                  </w:r>
                </w:p>
              </w:tc>
            </w:tr>
            <w:tr w14:paraId="5872070C">
              <w:tblPrEx>
                <w:tblCellMar>
                  <w:top w:w="0" w:type="dxa"/>
                  <w:left w:w="108" w:type="dxa"/>
                  <w:bottom w:w="0" w:type="dxa"/>
                  <w:right w:w="108" w:type="dxa"/>
                </w:tblCellMar>
              </w:tblPrEx>
              <w:trPr>
                <w:trHeight w:val="49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EE358E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2B5E760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.4</w:t>
                  </w:r>
                </w:p>
              </w:tc>
              <w:tc>
                <w:tcPr>
                  <w:tcW w:w="941" w:type="dxa"/>
                  <w:tcBorders>
                    <w:top w:val="single" w:color="000000" w:sz="4" w:space="0"/>
                    <w:left w:val="nil"/>
                    <w:bottom w:val="single" w:color="000000" w:sz="4" w:space="0"/>
                    <w:right w:val="single" w:color="000000" w:sz="4" w:space="0"/>
                  </w:tcBorders>
                  <w:noWrap w:val="0"/>
                  <w:vAlign w:val="center"/>
                </w:tcPr>
                <w:p w14:paraId="5251CDC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.5</w:t>
                  </w:r>
                </w:p>
              </w:tc>
              <w:tc>
                <w:tcPr>
                  <w:tcW w:w="980" w:type="dxa"/>
                  <w:tcBorders>
                    <w:top w:val="single" w:color="000000" w:sz="4" w:space="0"/>
                    <w:left w:val="nil"/>
                    <w:bottom w:val="single" w:color="000000" w:sz="4" w:space="0"/>
                    <w:right w:val="single" w:color="000000" w:sz="4" w:space="0"/>
                  </w:tcBorders>
                  <w:noWrap w:val="0"/>
                  <w:vAlign w:val="center"/>
                </w:tcPr>
                <w:p w14:paraId="33CBF0E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.6</w:t>
                  </w:r>
                </w:p>
              </w:tc>
              <w:tc>
                <w:tcPr>
                  <w:tcW w:w="962" w:type="dxa"/>
                  <w:tcBorders>
                    <w:top w:val="single" w:color="000000" w:sz="4" w:space="0"/>
                    <w:left w:val="nil"/>
                    <w:bottom w:val="single" w:color="000000" w:sz="4" w:space="0"/>
                    <w:right w:val="single" w:color="000000" w:sz="4" w:space="0"/>
                  </w:tcBorders>
                  <w:noWrap w:val="0"/>
                  <w:vAlign w:val="center"/>
                </w:tcPr>
                <w:p w14:paraId="0A57A8A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.7</w:t>
                  </w:r>
                </w:p>
              </w:tc>
              <w:tc>
                <w:tcPr>
                  <w:tcW w:w="1000" w:type="dxa"/>
                  <w:tcBorders>
                    <w:top w:val="single" w:color="000000" w:sz="4" w:space="0"/>
                    <w:left w:val="nil"/>
                    <w:bottom w:val="single" w:color="000000" w:sz="4" w:space="0"/>
                    <w:right w:val="single" w:color="000000" w:sz="4" w:space="0"/>
                  </w:tcBorders>
                  <w:noWrap w:val="0"/>
                  <w:vAlign w:val="center"/>
                </w:tcPr>
                <w:p w14:paraId="3BE5420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.8</w:t>
                  </w:r>
                </w:p>
              </w:tc>
              <w:tc>
                <w:tcPr>
                  <w:tcW w:w="940" w:type="dxa"/>
                  <w:tcBorders>
                    <w:top w:val="single" w:color="000000" w:sz="4" w:space="0"/>
                    <w:left w:val="nil"/>
                    <w:bottom w:val="single" w:color="000000" w:sz="4" w:space="0"/>
                    <w:right w:val="single" w:color="000000" w:sz="4" w:space="0"/>
                  </w:tcBorders>
                  <w:noWrap w:val="0"/>
                  <w:vAlign w:val="center"/>
                </w:tcPr>
                <w:p w14:paraId="3F307B4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2</w:t>
                  </w:r>
                  <w:r>
                    <w:rPr>
                      <w:rFonts w:hint="eastAsia" w:ascii="宋体" w:hAnsi="宋体" w:eastAsia="宋体" w:cs="宋体"/>
                      <w:strike w:val="0"/>
                      <w:dstrike w:val="0"/>
                      <w:color w:val="auto"/>
                      <w:kern w:val="0"/>
                      <w:sz w:val="22"/>
                      <w:szCs w:val="22"/>
                      <w:highlight w:val="none"/>
                    </w:rPr>
                    <w:t>.9</w:t>
                  </w:r>
                </w:p>
              </w:tc>
              <w:tc>
                <w:tcPr>
                  <w:tcW w:w="929" w:type="dxa"/>
                  <w:tcBorders>
                    <w:top w:val="single" w:color="000000" w:sz="4" w:space="0"/>
                    <w:left w:val="nil"/>
                    <w:bottom w:val="single" w:color="000000" w:sz="4" w:space="0"/>
                    <w:right w:val="single" w:color="000000" w:sz="4" w:space="0"/>
                  </w:tcBorders>
                  <w:noWrap w:val="0"/>
                  <w:vAlign w:val="center"/>
                </w:tcPr>
                <w:p w14:paraId="0BCD395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2"/>
                      <w:szCs w:val="22"/>
                      <w:highlight w:val="none"/>
                    </w:rPr>
                  </w:pPr>
                  <w:r>
                    <w:rPr>
                      <w:rFonts w:hint="eastAsia" w:ascii="宋体" w:hAnsi="宋体" w:eastAsia="宋体" w:cs="宋体"/>
                      <w:strike w:val="0"/>
                      <w:dstrike w:val="0"/>
                      <w:color w:val="auto"/>
                      <w:kern w:val="0"/>
                      <w:sz w:val="22"/>
                      <w:szCs w:val="22"/>
                      <w:highlight w:val="none"/>
                      <w:lang w:val="en-US" w:eastAsia="zh-CN"/>
                    </w:rPr>
                    <w:t>3</w:t>
                  </w:r>
                  <w:r>
                    <w:rPr>
                      <w:rFonts w:hint="eastAsia" w:ascii="宋体" w:hAnsi="宋体" w:eastAsia="宋体" w:cs="宋体"/>
                      <w:strike w:val="0"/>
                      <w:dstrike w:val="0"/>
                      <w:color w:val="auto"/>
                      <w:kern w:val="0"/>
                      <w:sz w:val="22"/>
                      <w:szCs w:val="22"/>
                      <w:highlight w:val="none"/>
                    </w:rPr>
                    <w:t>.0</w:t>
                  </w:r>
                </w:p>
              </w:tc>
            </w:tr>
          </w:tbl>
          <w:p w14:paraId="2D81F855">
            <w:pPr>
              <w:wordWrap w:val="0"/>
              <w:adjustRightInd w:val="0"/>
              <w:snapToGrid w:val="0"/>
              <w:spacing w:line="360" w:lineRule="exact"/>
              <w:ind w:firstLine="220" w:firstLineChars="100"/>
              <w:jc w:val="left"/>
              <w:rPr>
                <w:rFonts w:hint="eastAsia" w:ascii="宋体" w:hAnsi="宋体" w:eastAsia="宋体" w:cs="宋体"/>
                <w:bCs/>
                <w:strike w:val="0"/>
                <w:dstrike w:val="0"/>
                <w:snapToGrid w:val="0"/>
                <w:color w:val="auto"/>
                <w:kern w:val="0"/>
                <w:sz w:val="22"/>
                <w:szCs w:val="22"/>
                <w:highlight w:val="none"/>
              </w:rPr>
            </w:pPr>
            <w:r>
              <w:rPr>
                <w:rFonts w:hint="eastAsia" w:ascii="宋体" w:hAnsi="宋体" w:eastAsia="宋体" w:cs="宋体"/>
                <w:strike w:val="0"/>
                <w:dstrike w:val="0"/>
                <w:snapToGrid w:val="0"/>
                <w:color w:val="auto"/>
                <w:kern w:val="0"/>
                <w:sz w:val="22"/>
                <w:szCs w:val="22"/>
                <w:highlight w:val="none"/>
              </w:rPr>
              <w:t>（2）评标基准价D＝最高投标限价×（1－n）</w:t>
            </w:r>
          </w:p>
        </w:tc>
      </w:tr>
      <w:tr w14:paraId="4FBF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121" w:type="dxa"/>
            <w:noWrap w:val="0"/>
            <w:vAlign w:val="center"/>
          </w:tcPr>
          <w:p w14:paraId="19E0768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aps w:val="0"/>
                <w:smallCaps w:val="0"/>
                <w:strike w:val="0"/>
                <w:d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2"/>
                <w:szCs w:val="22"/>
                <w:highlight w:val="none"/>
                <w:lang w:val="en-US" w:eastAsia="zh-CN" w:bidi="ar-SA"/>
              </w:rPr>
              <w:t>投标报价得分</w:t>
            </w:r>
          </w:p>
          <w:p w14:paraId="52FEC9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strike w:val="0"/>
                <w:dstrike w:val="0"/>
                <w:snapToGrid w:val="0"/>
                <w:color w:val="auto"/>
                <w:kern w:val="0"/>
                <w:sz w:val="22"/>
                <w:szCs w:val="22"/>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2"/>
                <w:szCs w:val="22"/>
                <w:highlight w:val="none"/>
                <w:lang w:val="en-US" w:eastAsia="zh-CN" w:bidi="ar-SA"/>
              </w:rPr>
              <w:t>M</w:t>
            </w:r>
            <w:r>
              <w:rPr>
                <w:rFonts w:hint="eastAsia" w:ascii="宋体" w:hAnsi="宋体" w:eastAsia="宋体" w:cs="宋体"/>
                <w:caps w:val="0"/>
                <w:smallCaps w:val="0"/>
                <w:strike w:val="0"/>
                <w:dstrike w:val="0"/>
                <w:snapToGrid w:val="0"/>
                <w:color w:val="auto"/>
                <w:spacing w:val="0"/>
                <w:kern w:val="0"/>
                <w:sz w:val="22"/>
                <w:szCs w:val="22"/>
                <w:highlight w:val="none"/>
                <w:vertAlign w:val="subscript"/>
                <w:lang w:val="en-US" w:eastAsia="zh-CN" w:bidi="ar-SA"/>
              </w:rPr>
              <w:t>3</w:t>
            </w:r>
          </w:p>
        </w:tc>
        <w:tc>
          <w:tcPr>
            <w:tcW w:w="8387" w:type="dxa"/>
            <w:gridSpan w:val="2"/>
            <w:noWrap w:val="0"/>
            <w:vAlign w:val="center"/>
          </w:tcPr>
          <w:p w14:paraId="5A9BA5E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采用内插法计算某投标人的投标报价得分</w:t>
            </w:r>
            <w:r>
              <w:rPr>
                <w:rFonts w:hint="eastAsia" w:ascii="宋体" w:hAnsi="宋体" w:eastAsia="宋体" w:cs="宋体"/>
                <w:caps w:val="0"/>
                <w:smallCaps w:val="0"/>
                <w:snapToGrid w:val="0"/>
                <w:color w:val="auto"/>
                <w:spacing w:val="0"/>
                <w:kern w:val="0"/>
                <w:sz w:val="22"/>
                <w:szCs w:val="22"/>
                <w:highlight w:val="none"/>
                <w:lang w:val="en-US" w:eastAsia="zh-CN"/>
              </w:rPr>
              <w:t>M</w:t>
            </w:r>
            <w:r>
              <w:rPr>
                <w:rFonts w:hint="eastAsia" w:ascii="宋体" w:hAnsi="宋体" w:eastAsia="宋体" w:cs="宋体"/>
                <w:caps w:val="0"/>
                <w:smallCaps w:val="0"/>
                <w:snapToGrid w:val="0"/>
                <w:color w:val="auto"/>
                <w:spacing w:val="0"/>
                <w:kern w:val="0"/>
                <w:sz w:val="22"/>
                <w:szCs w:val="22"/>
                <w:highlight w:val="none"/>
                <w:vertAlign w:val="subscript"/>
                <w:lang w:val="en-US" w:eastAsia="zh-CN"/>
              </w:rPr>
              <w:t>3</w:t>
            </w:r>
            <w:r>
              <w:rPr>
                <w:rFonts w:hint="eastAsia" w:ascii="宋体" w:hAnsi="宋体" w:eastAsia="宋体" w:cs="宋体"/>
                <w:caps w:val="0"/>
                <w:smallCaps w:val="0"/>
                <w:snapToGrid w:val="0"/>
                <w:color w:val="auto"/>
                <w:spacing w:val="0"/>
                <w:kern w:val="0"/>
                <w:sz w:val="22"/>
                <w:szCs w:val="22"/>
                <w:highlight w:val="none"/>
                <w:lang w:eastAsia="zh-CN"/>
              </w:rPr>
              <w:t>，即当投标人的投标总价等于评标基准价时得满分，每高于评标基准价一个百分点扣</w:t>
            </w:r>
            <w:r>
              <w:rPr>
                <w:rFonts w:hint="eastAsia" w:ascii="宋体" w:hAnsi="宋体" w:eastAsia="宋体" w:cs="宋体"/>
                <w:caps w:val="0"/>
                <w:smallCaps w:val="0"/>
                <w:snapToGrid w:val="0"/>
                <w:color w:val="auto"/>
                <w:spacing w:val="0"/>
                <w:kern w:val="0"/>
                <w:sz w:val="22"/>
                <w:szCs w:val="22"/>
                <w:highlight w:val="none"/>
                <w:lang w:val="en-US" w:eastAsia="zh-CN"/>
              </w:rPr>
              <w:t>1</w:t>
            </w:r>
            <w:r>
              <w:rPr>
                <w:rFonts w:hint="eastAsia" w:ascii="宋体" w:hAnsi="宋体" w:eastAsia="宋体" w:cs="宋体"/>
                <w:caps w:val="0"/>
                <w:smallCaps w:val="0"/>
                <w:snapToGrid w:val="0"/>
                <w:color w:val="auto"/>
                <w:spacing w:val="0"/>
                <w:kern w:val="0"/>
                <w:sz w:val="22"/>
                <w:szCs w:val="22"/>
                <w:highlight w:val="none"/>
                <w:lang w:eastAsia="zh-CN"/>
              </w:rPr>
              <w:t>分,每低于评标基准价一个百分点扣</w:t>
            </w:r>
            <w:r>
              <w:rPr>
                <w:rFonts w:hint="eastAsia" w:ascii="宋体" w:hAnsi="宋体" w:eastAsia="宋体" w:cs="宋体"/>
                <w:caps w:val="0"/>
                <w:smallCaps w:val="0"/>
                <w:snapToGrid w:val="0"/>
                <w:color w:val="auto"/>
                <w:spacing w:val="0"/>
                <w:kern w:val="0"/>
                <w:sz w:val="22"/>
                <w:szCs w:val="22"/>
                <w:highlight w:val="none"/>
                <w:lang w:val="en-US" w:eastAsia="zh-CN"/>
              </w:rPr>
              <w:t>0.5</w:t>
            </w:r>
            <w:r>
              <w:rPr>
                <w:rFonts w:hint="eastAsia" w:ascii="宋体" w:hAnsi="宋体" w:eastAsia="宋体" w:cs="宋体"/>
                <w:caps w:val="0"/>
                <w:smallCaps w:val="0"/>
                <w:snapToGrid w:val="0"/>
                <w:color w:val="auto"/>
                <w:spacing w:val="0"/>
                <w:kern w:val="0"/>
                <w:sz w:val="22"/>
                <w:szCs w:val="22"/>
                <w:highlight w:val="none"/>
                <w:lang w:eastAsia="zh-CN"/>
              </w:rPr>
              <w:t>分，扣完为止。公式如下：</w:t>
            </w:r>
          </w:p>
          <w:p w14:paraId="4181A73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rPr>
              <w:t>M</w:t>
            </w:r>
            <w:r>
              <w:rPr>
                <w:rFonts w:hint="eastAsia" w:ascii="宋体" w:hAnsi="宋体" w:eastAsia="宋体" w:cs="宋体"/>
                <w:caps w:val="0"/>
                <w:smallCaps w:val="0"/>
                <w:snapToGrid w:val="0"/>
                <w:color w:val="auto"/>
                <w:spacing w:val="0"/>
                <w:kern w:val="0"/>
                <w:sz w:val="22"/>
                <w:szCs w:val="22"/>
                <w:highlight w:val="none"/>
                <w:vertAlign w:val="subscript"/>
                <w:lang w:val="en-US" w:eastAsia="zh-CN"/>
              </w:rPr>
              <w:t>3</w:t>
            </w:r>
            <w:r>
              <w:rPr>
                <w:rFonts w:hint="eastAsia" w:ascii="宋体" w:hAnsi="宋体" w:eastAsia="宋体" w:cs="宋体"/>
                <w:caps w:val="0"/>
                <w:smallCaps w:val="0"/>
                <w:snapToGrid w:val="0"/>
                <w:color w:val="auto"/>
                <w:spacing w:val="0"/>
                <w:kern w:val="0"/>
                <w:sz w:val="22"/>
                <w:szCs w:val="22"/>
                <w:highlight w:val="none"/>
                <w:lang w:eastAsia="zh-CN"/>
              </w:rPr>
              <w:t>＝投标报价满分－（|Di－D|÷D）×100×E</w:t>
            </w:r>
          </w:p>
          <w:p w14:paraId="0BCE0567">
            <w:pPr>
              <w:snapToGrid w:val="0"/>
              <w:spacing w:line="360" w:lineRule="auto"/>
              <w:ind w:left="240" w:leftChars="100"/>
              <w:rPr>
                <w:rFonts w:hint="eastAsia" w:ascii="宋体" w:hAnsi="宋体" w:eastAsia="宋体" w:cs="宋体"/>
                <w:strike w:val="0"/>
                <w:dstrike w:val="0"/>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式中：D为评标基准价，Di为某投标人的投标总价；E为扣分因子。当Di＞D时，E＝</w:t>
            </w:r>
            <w:r>
              <w:rPr>
                <w:rFonts w:hint="eastAsia" w:ascii="宋体" w:hAnsi="宋体" w:eastAsia="宋体" w:cs="宋体"/>
                <w:caps w:val="0"/>
                <w:smallCaps w:val="0"/>
                <w:snapToGrid w:val="0"/>
                <w:color w:val="auto"/>
                <w:spacing w:val="0"/>
                <w:kern w:val="0"/>
                <w:sz w:val="22"/>
                <w:szCs w:val="22"/>
                <w:highlight w:val="none"/>
                <w:lang w:val="en-US" w:eastAsia="zh-CN"/>
              </w:rPr>
              <w:t>1</w:t>
            </w:r>
            <w:r>
              <w:rPr>
                <w:rFonts w:hint="eastAsia" w:ascii="宋体" w:hAnsi="宋体" w:eastAsia="宋体" w:cs="宋体"/>
                <w:caps w:val="0"/>
                <w:smallCaps w:val="0"/>
                <w:snapToGrid w:val="0"/>
                <w:color w:val="auto"/>
                <w:spacing w:val="0"/>
                <w:kern w:val="0"/>
                <w:sz w:val="22"/>
                <w:szCs w:val="22"/>
                <w:highlight w:val="none"/>
                <w:lang w:eastAsia="zh-CN"/>
              </w:rPr>
              <w:t>；当Di＜D时，E＝</w:t>
            </w:r>
            <w:r>
              <w:rPr>
                <w:rFonts w:hint="eastAsia" w:ascii="宋体" w:hAnsi="宋体" w:eastAsia="宋体" w:cs="宋体"/>
                <w:caps w:val="0"/>
                <w:smallCaps w:val="0"/>
                <w:snapToGrid w:val="0"/>
                <w:color w:val="auto"/>
                <w:spacing w:val="0"/>
                <w:kern w:val="0"/>
                <w:sz w:val="22"/>
                <w:szCs w:val="22"/>
                <w:highlight w:val="none"/>
                <w:lang w:val="en-US" w:eastAsia="zh-CN"/>
              </w:rPr>
              <w:t>0.5</w:t>
            </w:r>
            <w:r>
              <w:rPr>
                <w:rFonts w:hint="eastAsia" w:ascii="宋体" w:hAnsi="宋体" w:eastAsia="宋体" w:cs="宋体"/>
                <w:caps w:val="0"/>
                <w:smallCaps w:val="0"/>
                <w:snapToGrid w:val="0"/>
                <w:color w:val="auto"/>
                <w:spacing w:val="0"/>
                <w:kern w:val="0"/>
                <w:sz w:val="22"/>
                <w:szCs w:val="22"/>
                <w:highlight w:val="none"/>
                <w:lang w:eastAsia="zh-CN"/>
              </w:rPr>
              <w:t>。</w:t>
            </w:r>
          </w:p>
        </w:tc>
      </w:tr>
      <w:tr w14:paraId="2EA9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21" w:type="dxa"/>
            <w:noWrap w:val="0"/>
            <w:vAlign w:val="center"/>
          </w:tcPr>
          <w:p w14:paraId="461A9E7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2"/>
                <w:szCs w:val="22"/>
                <w:highlight w:val="none"/>
                <w:lang w:val="en-US" w:eastAsia="zh-CN" w:bidi="ar-SA"/>
              </w:rPr>
            </w:pPr>
            <w:r>
              <w:rPr>
                <w:rFonts w:hint="eastAsia" w:ascii="宋体" w:hAnsi="宋体" w:eastAsia="宋体" w:cs="宋体"/>
                <w:b/>
                <w:bCs/>
                <w:strike w:val="0"/>
                <w:dstrike w:val="0"/>
                <w:color w:val="auto"/>
                <w:kern w:val="2"/>
                <w:sz w:val="22"/>
                <w:szCs w:val="22"/>
                <w:highlight w:val="none"/>
                <w:lang w:val="en-US" w:eastAsia="zh-CN" w:bidi="ar-SA"/>
              </w:rPr>
              <w:t>总计</w:t>
            </w:r>
          </w:p>
          <w:p w14:paraId="1B8C8C1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2"/>
                <w:szCs w:val="22"/>
                <w:highlight w:val="none"/>
                <w:lang w:val="en-US" w:eastAsia="zh-CN" w:bidi="ar-SA"/>
              </w:rPr>
            </w:pPr>
            <w:r>
              <w:rPr>
                <w:rFonts w:hint="eastAsia" w:ascii="宋体" w:hAnsi="宋体" w:eastAsia="宋体" w:cs="宋体"/>
                <w:b/>
                <w:bCs/>
                <w:strike w:val="0"/>
                <w:dstrike w:val="0"/>
                <w:color w:val="auto"/>
                <w:kern w:val="2"/>
                <w:sz w:val="22"/>
                <w:szCs w:val="22"/>
                <w:highlight w:val="none"/>
                <w:lang w:val="en-US" w:eastAsia="zh-CN" w:bidi="ar-SA"/>
              </w:rPr>
              <w:t>100分</w:t>
            </w:r>
          </w:p>
        </w:tc>
        <w:tc>
          <w:tcPr>
            <w:tcW w:w="8387" w:type="dxa"/>
            <w:gridSpan w:val="2"/>
            <w:noWrap w:val="0"/>
            <w:vAlign w:val="center"/>
          </w:tcPr>
          <w:p w14:paraId="7784212A">
            <w:pPr>
              <w:widowControl w:val="0"/>
              <w:wordWrap w:val="0"/>
              <w:adjustRightInd w:val="0"/>
              <w:snapToGrid w:val="0"/>
              <w:spacing w:line="400" w:lineRule="exact"/>
              <w:jc w:val="both"/>
              <w:rPr>
                <w:rFonts w:hint="eastAsia" w:ascii="宋体" w:hAnsi="宋体" w:eastAsia="宋体" w:cs="宋体"/>
                <w:b/>
                <w:bCs/>
                <w:strike w:val="0"/>
                <w:dstrike w:val="0"/>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商务部分（50分）＋技术部分（10分）＋投标报价部分（40分）</w:t>
            </w:r>
          </w:p>
        </w:tc>
      </w:tr>
    </w:tbl>
    <w:p w14:paraId="77AE07D5">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w:t>
      </w:r>
    </w:p>
    <w:p w14:paraId="56C38F74">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hAnsi="宋体" w:cs="宋体"/>
          <w:color w:val="auto"/>
          <w:kern w:val="0"/>
          <w:szCs w:val="24"/>
          <w:highlight w:val="none"/>
          <w:lang w:val="en-US" w:eastAsia="zh-CN"/>
        </w:rPr>
        <w:t>1.</w:t>
      </w:r>
      <w:r>
        <w:rPr>
          <w:rFonts w:hint="eastAsia" w:ascii="宋体" w:hAnsi="宋体" w:eastAsia="宋体" w:cs="宋体"/>
          <w:color w:val="auto"/>
          <w:kern w:val="0"/>
          <w:szCs w:val="24"/>
          <w:highlight w:val="none"/>
        </w:rPr>
        <w:t>评分如出现小数点，则保留小数点后两位，第三位四舍五入。</w:t>
      </w:r>
    </w:p>
    <w:p w14:paraId="17362E59">
      <w:pPr>
        <w:wordWrap w:val="0"/>
        <w:adjustRightInd w:val="0"/>
        <w:snapToGrid w:val="0"/>
        <w:spacing w:line="440" w:lineRule="exact"/>
        <w:ind w:firstLine="480" w:firstLineChars="200"/>
        <w:rPr>
          <w:color w:val="auto"/>
          <w:highlight w:val="none"/>
        </w:rPr>
      </w:pPr>
      <w:r>
        <w:rPr>
          <w:rFonts w:hint="eastAsia" w:ascii="宋体" w:hAnsi="宋体" w:eastAsia="宋体" w:cs="宋体"/>
          <w:color w:val="auto"/>
          <w:kern w:val="0"/>
          <w:szCs w:val="24"/>
          <w:highlight w:val="none"/>
        </w:rPr>
        <w:t>2.除总监理工程师外，拟委派的监理机构其他人员不作为形式评审、资格评审、响应性评审的审查内容，只作为综合评分的评审依据。</w:t>
      </w: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2099"/>
        <w:gridCol w:w="666"/>
        <w:gridCol w:w="5217"/>
      </w:tblGrid>
      <w:tr w14:paraId="5C94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156" w:type="dxa"/>
            <w:gridSpan w:val="4"/>
            <w:tcBorders>
              <w:top w:val="single" w:color="auto" w:sz="4" w:space="0"/>
              <w:left w:val="single" w:color="auto" w:sz="4" w:space="0"/>
              <w:bottom w:val="single" w:color="auto" w:sz="4" w:space="0"/>
              <w:right w:val="single" w:color="auto" w:sz="4" w:space="0"/>
            </w:tcBorders>
            <w:noWrap w:val="0"/>
            <w:vAlign w:val="center"/>
          </w:tcPr>
          <w:p w14:paraId="5F79FEEE">
            <w:pPr>
              <w:pStyle w:val="88"/>
              <w:wordWrap w:val="0"/>
              <w:adjustRightInd w:val="0"/>
              <w:snapToGrid w:val="0"/>
              <w:spacing w:line="360" w:lineRule="exact"/>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b/>
                <w:bCs/>
                <w:snapToGrid w:val="0"/>
                <w:color w:val="auto"/>
                <w:kern w:val="0"/>
                <w:sz w:val="28"/>
                <w:szCs w:val="28"/>
                <w:highlight w:val="none"/>
              </w:rPr>
              <w:t>其他监理人员（除总监理工程师外）：共</w:t>
            </w:r>
            <w:r>
              <w:rPr>
                <w:rFonts w:hint="eastAsia" w:ascii="宋体" w:hAnsi="宋体" w:cs="宋体"/>
                <w:b/>
                <w:bCs/>
                <w:snapToGrid w:val="0"/>
                <w:color w:val="auto"/>
                <w:kern w:val="0"/>
                <w:sz w:val="28"/>
                <w:szCs w:val="28"/>
                <w:highlight w:val="none"/>
                <w:u w:val="single"/>
                <w:lang w:val="en-US" w:eastAsia="zh-CN"/>
              </w:rPr>
              <w:t>3</w:t>
            </w:r>
            <w:r>
              <w:rPr>
                <w:rFonts w:hint="eastAsia" w:ascii="宋体" w:hAnsi="宋体" w:eastAsia="宋体" w:cs="宋体"/>
                <w:b/>
                <w:bCs/>
                <w:snapToGrid w:val="0"/>
                <w:color w:val="auto"/>
                <w:kern w:val="0"/>
                <w:sz w:val="28"/>
                <w:szCs w:val="28"/>
                <w:highlight w:val="none"/>
              </w:rPr>
              <w:t>人</w:t>
            </w:r>
          </w:p>
        </w:tc>
      </w:tr>
      <w:tr w14:paraId="1D9F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284F2497">
            <w:pPr>
              <w:pStyle w:val="88"/>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职务</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6E094EC4">
            <w:pPr>
              <w:pStyle w:val="88"/>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专业要求</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3603637E">
            <w:pPr>
              <w:pStyle w:val="88"/>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数量</w:t>
            </w:r>
          </w:p>
          <w:p w14:paraId="7BEAC8E0">
            <w:pPr>
              <w:pStyle w:val="88"/>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要求</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0C226471">
            <w:pPr>
              <w:pStyle w:val="88"/>
              <w:wordWrap w:val="0"/>
              <w:adjustRightInd w:val="0"/>
              <w:snapToGrid w:val="0"/>
              <w:spacing w:line="3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持证要求</w:t>
            </w:r>
          </w:p>
        </w:tc>
      </w:tr>
      <w:tr w14:paraId="4EF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exact"/>
          <w:jc w:val="center"/>
        </w:trPr>
        <w:tc>
          <w:tcPr>
            <w:tcW w:w="1174" w:type="dxa"/>
            <w:tcBorders>
              <w:top w:val="single" w:color="auto" w:sz="4" w:space="0"/>
              <w:left w:val="single" w:color="auto" w:sz="4" w:space="0"/>
              <w:right w:val="single" w:color="auto" w:sz="4" w:space="0"/>
            </w:tcBorders>
            <w:noWrap w:val="0"/>
            <w:vAlign w:val="center"/>
          </w:tcPr>
          <w:p w14:paraId="3744B995">
            <w:pPr>
              <w:pStyle w:val="88"/>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专业监理</w:t>
            </w:r>
          </w:p>
          <w:p w14:paraId="20E3193B">
            <w:pPr>
              <w:pStyle w:val="88"/>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工程师</w:t>
            </w:r>
          </w:p>
        </w:tc>
        <w:tc>
          <w:tcPr>
            <w:tcW w:w="2099" w:type="dxa"/>
            <w:tcBorders>
              <w:top w:val="single" w:color="auto" w:sz="4" w:space="0"/>
              <w:left w:val="single" w:color="auto" w:sz="4" w:space="0"/>
              <w:right w:val="single" w:color="auto" w:sz="4" w:space="0"/>
            </w:tcBorders>
            <w:noWrap w:val="0"/>
            <w:vAlign w:val="center"/>
          </w:tcPr>
          <w:p w14:paraId="2A643140">
            <w:pPr>
              <w:pStyle w:val="88"/>
              <w:wordWrap w:val="0"/>
              <w:adjustRightInd w:val="0"/>
              <w:snapToGrid w:val="0"/>
              <w:spacing w:line="360" w:lineRule="exact"/>
              <w:jc w:val="center"/>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市政公用工程</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4FD0B321">
            <w:pPr>
              <w:pStyle w:val="88"/>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宋体" w:hAnsi="宋体" w:eastAsia="宋体" w:cs="宋体"/>
                <w:bCs/>
                <w:snapToGrid w:val="0"/>
                <w:color w:val="auto"/>
                <w:kern w:val="0"/>
                <w:sz w:val="22"/>
                <w:szCs w:val="22"/>
                <w:highlight w:val="none"/>
                <w:lang w:val="en-US" w:eastAsia="zh-CN"/>
              </w:rPr>
              <w:t>1</w:t>
            </w:r>
          </w:p>
        </w:tc>
        <w:tc>
          <w:tcPr>
            <w:tcW w:w="5217" w:type="dxa"/>
            <w:tcBorders>
              <w:top w:val="single" w:color="auto" w:sz="4" w:space="0"/>
              <w:left w:val="single" w:color="auto" w:sz="4" w:space="0"/>
              <w:right w:val="single" w:color="auto" w:sz="4" w:space="0"/>
            </w:tcBorders>
            <w:noWrap w:val="0"/>
            <w:vAlign w:val="center"/>
          </w:tcPr>
          <w:p w14:paraId="1ADCC7BC">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符合以下3种情形之一均可：</w:t>
            </w:r>
          </w:p>
          <w:p w14:paraId="5CAEB482">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1．具备所需专业注册监理工程师执业资格，持有效的注册证书；</w:t>
            </w:r>
          </w:p>
          <w:p w14:paraId="5FC31680">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2．具备工程类注册执业资格，并经监理业务培训。持有效的注册证书、省级建设行政主管部门或其授权的组织（机构）颁发的岗位证书；</w:t>
            </w:r>
          </w:p>
          <w:p w14:paraId="63B2B6EC">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3．具备中级及以上专业技术职称，并经监理业务培训。持有效的职称证书、省级建设行政主管部门或其授权的组织（机构）颁发的岗位证书。</w:t>
            </w:r>
          </w:p>
          <w:p w14:paraId="54A2D5EC">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注：专业类别以注册证书或专业监理工程师证书或职称证书或毕业证所列明的专业为准。</w:t>
            </w:r>
          </w:p>
        </w:tc>
      </w:tr>
      <w:tr w14:paraId="6B30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1174" w:type="dxa"/>
            <w:tcBorders>
              <w:top w:val="single" w:color="auto" w:sz="4" w:space="0"/>
              <w:left w:val="single" w:color="auto" w:sz="4" w:space="0"/>
              <w:bottom w:val="single" w:color="auto" w:sz="4" w:space="0"/>
              <w:right w:val="single" w:color="auto" w:sz="4" w:space="0"/>
            </w:tcBorders>
            <w:noWrap w:val="0"/>
            <w:vAlign w:val="center"/>
          </w:tcPr>
          <w:p w14:paraId="583E7363">
            <w:pPr>
              <w:pStyle w:val="88"/>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监理员</w:t>
            </w:r>
          </w:p>
        </w:tc>
        <w:tc>
          <w:tcPr>
            <w:tcW w:w="2099" w:type="dxa"/>
            <w:tcBorders>
              <w:top w:val="single" w:color="auto" w:sz="4" w:space="0"/>
              <w:left w:val="single" w:color="auto" w:sz="4" w:space="0"/>
              <w:bottom w:val="single" w:color="auto" w:sz="4" w:space="0"/>
              <w:right w:val="single" w:color="auto" w:sz="4" w:space="0"/>
            </w:tcBorders>
            <w:noWrap w:val="0"/>
            <w:vAlign w:val="center"/>
          </w:tcPr>
          <w:p w14:paraId="1A4DF542">
            <w:pPr>
              <w:pStyle w:val="88"/>
              <w:wordWrap w:val="0"/>
              <w:adjustRightInd w:val="0"/>
              <w:snapToGrid w:val="0"/>
              <w:spacing w:line="36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具备监理员岗位证书（有效期内）</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0092E5CF">
            <w:pPr>
              <w:pStyle w:val="88"/>
              <w:wordWrap w:val="0"/>
              <w:adjustRightInd w:val="0"/>
              <w:snapToGrid w:val="0"/>
              <w:spacing w:line="360" w:lineRule="exact"/>
              <w:jc w:val="center"/>
              <w:rPr>
                <w:rFonts w:hint="eastAsia" w:ascii="宋体" w:hAnsi="宋体" w:eastAsia="宋体" w:cs="宋体"/>
                <w:bCs/>
                <w:snapToGrid w:val="0"/>
                <w:color w:val="auto"/>
                <w:kern w:val="0"/>
                <w:sz w:val="22"/>
                <w:szCs w:val="22"/>
                <w:highlight w:val="none"/>
                <w:lang w:val="en-US" w:eastAsia="zh-CN"/>
              </w:rPr>
            </w:pPr>
            <w:r>
              <w:rPr>
                <w:rFonts w:hint="eastAsia" w:ascii="宋体" w:hAnsi="宋体" w:cs="宋体"/>
                <w:bCs/>
                <w:snapToGrid w:val="0"/>
                <w:color w:val="auto"/>
                <w:kern w:val="0"/>
                <w:sz w:val="22"/>
                <w:szCs w:val="22"/>
                <w:highlight w:val="none"/>
                <w:lang w:val="en-US" w:eastAsia="zh-CN"/>
              </w:rPr>
              <w:t>2</w:t>
            </w:r>
          </w:p>
        </w:tc>
        <w:tc>
          <w:tcPr>
            <w:tcW w:w="5217" w:type="dxa"/>
            <w:tcBorders>
              <w:top w:val="single" w:color="auto" w:sz="4" w:space="0"/>
              <w:left w:val="single" w:color="auto" w:sz="4" w:space="0"/>
              <w:bottom w:val="single" w:color="auto" w:sz="4" w:space="0"/>
              <w:right w:val="single" w:color="auto" w:sz="4" w:space="0"/>
            </w:tcBorders>
            <w:noWrap w:val="0"/>
            <w:vAlign w:val="center"/>
          </w:tcPr>
          <w:p w14:paraId="61E25AB7">
            <w:pPr>
              <w:pStyle w:val="88"/>
              <w:wordWrap w:val="0"/>
              <w:adjustRightInd w:val="0"/>
              <w:snapToGrid w:val="0"/>
              <w:spacing w:line="36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445D8C1D">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9172"/>
      <w:r>
        <w:rPr>
          <w:rFonts w:hint="eastAsia" w:hAnsi="宋体" w:cs="宋体"/>
          <w:b/>
          <w:snapToGrid w:val="0"/>
          <w:color w:val="auto"/>
          <w:kern w:val="0"/>
          <w:szCs w:val="24"/>
          <w:highlight w:val="none"/>
        </w:rPr>
        <w:t>16．推荐</w:t>
      </w:r>
      <w:r>
        <w:rPr>
          <w:rFonts w:hint="eastAsia" w:hAnsi="宋体" w:cs="宋体"/>
          <w:b/>
          <w:snapToGrid w:val="0"/>
          <w:color w:val="auto"/>
          <w:kern w:val="0"/>
          <w:szCs w:val="24"/>
          <w:highlight w:val="none"/>
          <w:lang w:val="en-US" w:eastAsia="zh-CN"/>
        </w:rPr>
        <w:t>定标</w:t>
      </w:r>
      <w:r>
        <w:rPr>
          <w:rFonts w:hint="eastAsia" w:hAnsi="宋体" w:cs="宋体"/>
          <w:b/>
          <w:snapToGrid w:val="0"/>
          <w:color w:val="auto"/>
          <w:kern w:val="0"/>
          <w:szCs w:val="24"/>
          <w:highlight w:val="none"/>
        </w:rPr>
        <w:t>候选人</w:t>
      </w:r>
      <w:bookmarkEnd w:id="59"/>
    </w:p>
    <w:p w14:paraId="523718F4">
      <w:pPr>
        <w:wordWrap w:val="0"/>
        <w:adjustRightInd w:val="0"/>
        <w:snapToGrid w:val="0"/>
        <w:spacing w:line="360" w:lineRule="auto"/>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16.1</w:t>
      </w:r>
      <w:r>
        <w:rPr>
          <w:rFonts w:hint="eastAsia" w:hAnsi="宋体" w:cs="宋体"/>
          <w:snapToGrid w:val="0"/>
          <w:color w:val="auto"/>
          <w:kern w:val="0"/>
          <w:szCs w:val="24"/>
          <w:highlight w:val="none"/>
        </w:rPr>
        <w:t>评标委员会根据招标文件规定的评分细则，对招标文件中的各评审因素进行评审、比较、打分，将得分前5名不排序（按企业统一社会信用代码后4位</w:t>
      </w:r>
      <w:r>
        <w:rPr>
          <w:rFonts w:hint="eastAsia" w:hAnsi="宋体" w:cs="宋体"/>
          <w:snapToGrid w:val="0"/>
          <w:color w:val="auto"/>
          <w:kern w:val="0"/>
          <w:szCs w:val="24"/>
          <w:highlight w:val="none"/>
          <w:lang w:val="en-US" w:eastAsia="zh-CN"/>
        </w:rPr>
        <w:t>由</w:t>
      </w:r>
      <w:r>
        <w:rPr>
          <w:rFonts w:hint="eastAsia" w:hAnsi="宋体" w:cs="宋体"/>
          <w:snapToGrid w:val="0"/>
          <w:color w:val="auto"/>
          <w:kern w:val="0"/>
          <w:szCs w:val="24"/>
          <w:highlight w:val="none"/>
        </w:rPr>
        <w:t>大</w:t>
      </w:r>
      <w:r>
        <w:rPr>
          <w:rFonts w:hint="eastAsia" w:hAnsi="宋体" w:cs="宋体"/>
          <w:snapToGrid w:val="0"/>
          <w:color w:val="auto"/>
          <w:kern w:val="0"/>
          <w:szCs w:val="24"/>
          <w:highlight w:val="none"/>
          <w:lang w:val="en-US" w:eastAsia="zh-CN"/>
        </w:rPr>
        <w:t>到</w:t>
      </w:r>
      <w:r>
        <w:rPr>
          <w:rFonts w:hint="eastAsia" w:hAnsi="宋体" w:cs="宋体"/>
          <w:snapToGrid w:val="0"/>
          <w:color w:val="auto"/>
          <w:kern w:val="0"/>
          <w:szCs w:val="24"/>
          <w:highlight w:val="none"/>
        </w:rPr>
        <w:t>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5F67BDE4">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16.2</w:t>
      </w:r>
      <w:r>
        <w:rPr>
          <w:rFonts w:hint="eastAsia" w:hAnsi="宋体" w:cs="宋体"/>
          <w:snapToGrid w:val="0"/>
          <w:color w:val="auto"/>
          <w:kern w:val="0"/>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93D2F62">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60" w:name="_Toc30223"/>
      <w:r>
        <w:rPr>
          <w:rFonts w:hint="eastAsia" w:hAnsi="宋体" w:cs="宋体"/>
          <w:b/>
          <w:snapToGrid w:val="0"/>
          <w:color w:val="auto"/>
          <w:kern w:val="0"/>
          <w:szCs w:val="24"/>
          <w:highlight w:val="none"/>
        </w:rPr>
        <w:t>17．评标结果公示</w:t>
      </w:r>
      <w:bookmarkEnd w:id="60"/>
    </w:p>
    <w:p w14:paraId="57F98F1D">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lang w:val="en-US" w:eastAsia="zh-CN"/>
        </w:rPr>
        <w:t>17.1</w:t>
      </w:r>
      <w:r>
        <w:rPr>
          <w:rFonts w:hint="eastAsia" w:hAnsi="宋体" w:cs="宋体"/>
          <w:b w:val="0"/>
          <w:bCs w:val="0"/>
          <w:snapToGrid w:val="0"/>
          <w:color w:val="auto"/>
          <w:kern w:val="0"/>
          <w:szCs w:val="24"/>
          <w:highlight w:val="none"/>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建设工程交易系统上公示，公示时间不少于3个工作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188E8B6">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b w:val="0"/>
          <w:bCs w:val="0"/>
          <w:snapToGrid w:val="0"/>
          <w:color w:val="auto"/>
          <w:kern w:val="0"/>
          <w:szCs w:val="24"/>
          <w:highlight w:val="none"/>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如通过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1BD420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8DED141">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1B6F31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9C54791">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D85474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936F83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DFD181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C96C3FE">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634EB7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946525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1107C464">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B7071F3">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2908515">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61E10E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C06B380">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8314402">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70E8A9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19BF76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FA658F5">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7BF2DF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5FD5972">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FE7596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01D7EA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3606AD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E4D3842">
      <w:pPr>
        <w:wordWrap w:val="0"/>
        <w:adjustRightInd w:val="0"/>
        <w:snapToGrid w:val="0"/>
        <w:spacing w:line="360" w:lineRule="auto"/>
        <w:outlineLvl w:val="1"/>
        <w:rPr>
          <w:rFonts w:hAnsi="宋体" w:cs="宋体"/>
          <w:snapToGrid w:val="0"/>
          <w:color w:val="auto"/>
          <w:kern w:val="0"/>
          <w:highlight w:val="none"/>
        </w:rPr>
      </w:pPr>
      <w:bookmarkStart w:id="61" w:name="_Toc24046"/>
      <w:r>
        <w:rPr>
          <w:rFonts w:hint="eastAsia" w:hAnsi="宋体" w:cs="宋体"/>
          <w:b/>
          <w:bCs/>
          <w:snapToGrid w:val="0"/>
          <w:color w:val="auto"/>
          <w:kern w:val="0"/>
          <w:highlight w:val="none"/>
        </w:rPr>
        <w:t>第四节 否决投标条件</w:t>
      </w:r>
      <w:bookmarkEnd w:id="61"/>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2" w:name="_Toc9239"/>
      <w:r>
        <w:rPr>
          <w:rFonts w:hint="eastAsia" w:hAnsi="宋体" w:cs="宋体"/>
          <w:b/>
          <w:bCs/>
          <w:snapToGrid w:val="0"/>
          <w:color w:val="auto"/>
          <w:kern w:val="0"/>
          <w:highlight w:val="none"/>
        </w:rPr>
        <w:t>1．资格评审环节</w:t>
      </w:r>
      <w:bookmarkEnd w:id="62"/>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3" w:name="_Toc22253"/>
      <w:r>
        <w:rPr>
          <w:rFonts w:hint="eastAsia" w:hAnsi="宋体" w:cs="宋体"/>
          <w:b/>
          <w:bCs/>
          <w:snapToGrid w:val="0"/>
          <w:color w:val="auto"/>
          <w:kern w:val="0"/>
          <w:highlight w:val="none"/>
        </w:rPr>
        <w:t>2．形式评审环节</w:t>
      </w:r>
      <w:bookmarkEnd w:id="63"/>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24939"/>
      <w:r>
        <w:rPr>
          <w:rFonts w:hint="eastAsia" w:hAnsi="宋体" w:cs="宋体"/>
          <w:b/>
          <w:bCs/>
          <w:snapToGrid w:val="0"/>
          <w:color w:val="auto"/>
          <w:kern w:val="0"/>
          <w:highlight w:val="none"/>
        </w:rPr>
        <w:t>3．响应性评审环节</w:t>
      </w:r>
      <w:bookmarkEnd w:id="64"/>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5" w:name="_Toc31"/>
      <w:r>
        <w:rPr>
          <w:rFonts w:hint="eastAsia" w:hAnsi="宋体" w:cs="宋体"/>
          <w:b/>
          <w:bCs/>
          <w:snapToGrid w:val="0"/>
          <w:color w:val="auto"/>
          <w:kern w:val="0"/>
          <w:highlight w:val="none"/>
        </w:rPr>
        <w:t>4．其他</w:t>
      </w:r>
      <w:bookmarkEnd w:id="65"/>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int="eastAsia" w:hAnsi="宋体" w:eastAsia="宋体" w:cs="宋体"/>
          <w:snapToGrid w:val="0"/>
          <w:color w:val="auto"/>
          <w:kern w:val="0"/>
          <w:highlight w:val="none"/>
          <w:lang w:eastAsia="zh-CN"/>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r>
        <w:rPr>
          <w:rFonts w:hint="eastAsia" w:hAnsi="宋体" w:cs="宋体"/>
          <w:snapToGrid w:val="0"/>
          <w:color w:val="auto"/>
          <w:kern w:val="0"/>
          <w:highlight w:val="none"/>
          <w:lang w:eastAsia="zh-CN"/>
        </w:rPr>
        <w:t>；</w:t>
      </w:r>
    </w:p>
    <w:bookmarkEnd w:id="55"/>
    <w:p w14:paraId="6D1FC16A">
      <w:pPr>
        <w:wordWrap w:val="0"/>
        <w:adjustRightInd w:val="0"/>
        <w:snapToGrid w:val="0"/>
        <w:spacing w:line="360" w:lineRule="auto"/>
        <w:ind w:firstLine="480"/>
        <w:rPr>
          <w:rFonts w:hint="eastAsia" w:hAnsi="宋体" w:eastAsia="宋体" w:cs="宋体"/>
          <w:b/>
          <w:bCs/>
          <w:snapToGrid w:val="0"/>
          <w:color w:val="auto"/>
          <w:kern w:val="0"/>
          <w:highlight w:val="none"/>
          <w:lang w:eastAsia="zh-CN"/>
        </w:rPr>
      </w:pPr>
      <w:r>
        <w:rPr>
          <w:rFonts w:hint="eastAsia" w:ascii="宋体" w:hAnsi="宋体" w:eastAsia="宋体" w:cs="宋体"/>
          <w:b/>
          <w:bCs/>
          <w:snapToGrid w:val="0"/>
          <w:color w:val="auto"/>
          <w:kern w:val="0"/>
          <w:highlight w:val="none"/>
        </w:rPr>
        <w:t>⑧</w:t>
      </w:r>
      <w:r>
        <w:rPr>
          <w:rFonts w:hint="eastAsia" w:hAnsi="宋体" w:cs="宋体"/>
          <w:b/>
          <w:bCs/>
          <w:snapToGrid w:val="0"/>
          <w:color w:val="auto"/>
          <w:kern w:val="0"/>
          <w:highlight w:val="none"/>
        </w:rPr>
        <w:t>监督部门于韶关市公共交易一体化平台发现系统提示风险预警，如提示投标单位上传投标文件使用的电脑IP地址一致等</w:t>
      </w:r>
      <w:r>
        <w:rPr>
          <w:rFonts w:hint="eastAsia" w:hAnsi="宋体" w:cs="宋体"/>
          <w:b/>
          <w:bCs/>
          <w:snapToGrid w:val="0"/>
          <w:color w:val="auto"/>
          <w:kern w:val="0"/>
          <w:highlight w:val="none"/>
          <w:lang w:eastAsia="zh-CN"/>
        </w:rPr>
        <w:t>。</w:t>
      </w:r>
    </w:p>
    <w:p w14:paraId="6918E83F">
      <w:pPr>
        <w:wordWrap w:val="0"/>
        <w:adjustRightInd w:val="0"/>
        <w:snapToGrid w:val="0"/>
        <w:spacing w:line="360" w:lineRule="auto"/>
        <w:ind w:firstLine="480"/>
        <w:rPr>
          <w:rFonts w:hAnsi="宋体" w:cs="宋体"/>
          <w:snapToGrid w:val="0"/>
          <w:color w:val="auto"/>
          <w:kern w:val="0"/>
          <w:highlight w:val="none"/>
        </w:rPr>
      </w:pPr>
    </w:p>
    <w:p w14:paraId="7524B713">
      <w:pPr>
        <w:wordWrap w:val="0"/>
        <w:adjustRightInd w:val="0"/>
        <w:snapToGrid w:val="0"/>
        <w:spacing w:line="360" w:lineRule="auto"/>
        <w:ind w:firstLine="480"/>
        <w:rPr>
          <w:rFonts w:hAnsi="宋体" w:cs="宋体"/>
          <w:snapToGrid w:val="0"/>
          <w:color w:val="auto"/>
          <w:kern w:val="0"/>
          <w:highlight w:val="none"/>
        </w:rPr>
      </w:pPr>
    </w:p>
    <w:p w14:paraId="3B099382">
      <w:pPr>
        <w:wordWrap w:val="0"/>
        <w:adjustRightInd w:val="0"/>
        <w:snapToGrid w:val="0"/>
        <w:spacing w:line="360" w:lineRule="auto"/>
        <w:ind w:firstLine="480"/>
        <w:rPr>
          <w:rFonts w:hAnsi="宋体" w:cs="宋体"/>
          <w:snapToGrid w:val="0"/>
          <w:color w:val="auto"/>
          <w:kern w:val="0"/>
          <w:highlight w:val="none"/>
        </w:rPr>
      </w:pPr>
    </w:p>
    <w:p w14:paraId="267C33DA">
      <w:pPr>
        <w:wordWrap w:val="0"/>
        <w:adjustRightInd w:val="0"/>
        <w:snapToGrid w:val="0"/>
        <w:spacing w:line="360" w:lineRule="auto"/>
        <w:ind w:firstLine="480"/>
        <w:rPr>
          <w:rFonts w:hAnsi="宋体" w:cs="宋体"/>
          <w:snapToGrid w:val="0"/>
          <w:color w:val="auto"/>
          <w:kern w:val="0"/>
          <w:highlight w:val="none"/>
        </w:rPr>
      </w:pPr>
    </w:p>
    <w:p w14:paraId="41731A24">
      <w:pPr>
        <w:wordWrap w:val="0"/>
        <w:adjustRightInd w:val="0"/>
        <w:snapToGrid w:val="0"/>
        <w:spacing w:line="360" w:lineRule="auto"/>
        <w:ind w:firstLine="480"/>
        <w:rPr>
          <w:rFonts w:hAnsi="宋体" w:cs="宋体"/>
          <w:snapToGrid w:val="0"/>
          <w:color w:val="auto"/>
          <w:kern w:val="0"/>
          <w:highlight w:val="none"/>
        </w:rPr>
      </w:pPr>
    </w:p>
    <w:p w14:paraId="5263B8CF">
      <w:pPr>
        <w:wordWrap w:val="0"/>
        <w:adjustRightInd w:val="0"/>
        <w:snapToGrid w:val="0"/>
        <w:spacing w:line="360" w:lineRule="auto"/>
        <w:ind w:firstLine="480"/>
        <w:rPr>
          <w:rFonts w:hAnsi="宋体" w:cs="宋体"/>
          <w:snapToGrid w:val="0"/>
          <w:color w:val="auto"/>
          <w:kern w:val="0"/>
          <w:highlight w:val="none"/>
        </w:rPr>
      </w:pPr>
    </w:p>
    <w:p w14:paraId="58481833">
      <w:pPr>
        <w:wordWrap w:val="0"/>
        <w:adjustRightInd w:val="0"/>
        <w:snapToGrid w:val="0"/>
        <w:spacing w:line="360" w:lineRule="auto"/>
        <w:ind w:firstLine="480"/>
        <w:rPr>
          <w:rFonts w:hAnsi="宋体" w:cs="宋体"/>
          <w:snapToGrid w:val="0"/>
          <w:color w:val="auto"/>
          <w:kern w:val="0"/>
          <w:highlight w:val="none"/>
        </w:rPr>
      </w:pPr>
    </w:p>
    <w:p w14:paraId="0AC1F973">
      <w:pPr>
        <w:wordWrap w:val="0"/>
        <w:adjustRightInd w:val="0"/>
        <w:snapToGrid w:val="0"/>
        <w:spacing w:line="360" w:lineRule="auto"/>
        <w:ind w:firstLine="480"/>
        <w:rPr>
          <w:rFonts w:hAnsi="宋体" w:cs="宋体"/>
          <w:snapToGrid w:val="0"/>
          <w:color w:val="auto"/>
          <w:kern w:val="0"/>
          <w:highlight w:val="none"/>
        </w:rPr>
      </w:pPr>
    </w:p>
    <w:p w14:paraId="5C7B582C">
      <w:pPr>
        <w:wordWrap w:val="0"/>
        <w:adjustRightInd w:val="0"/>
        <w:snapToGrid w:val="0"/>
        <w:spacing w:line="360" w:lineRule="auto"/>
        <w:ind w:firstLine="480"/>
        <w:rPr>
          <w:rFonts w:hAnsi="宋体" w:cs="宋体"/>
          <w:snapToGrid w:val="0"/>
          <w:color w:val="auto"/>
          <w:kern w:val="0"/>
          <w:highlight w:val="none"/>
        </w:rPr>
      </w:pPr>
    </w:p>
    <w:p w14:paraId="33E4B37E">
      <w:pPr>
        <w:wordWrap w:val="0"/>
        <w:adjustRightInd w:val="0"/>
        <w:snapToGrid w:val="0"/>
        <w:spacing w:line="360" w:lineRule="auto"/>
        <w:ind w:firstLine="480"/>
        <w:rPr>
          <w:rFonts w:hAnsi="宋体" w:cs="宋体"/>
          <w:snapToGrid w:val="0"/>
          <w:color w:val="auto"/>
          <w:kern w:val="0"/>
          <w:highlight w:val="none"/>
        </w:rPr>
      </w:pPr>
    </w:p>
    <w:p w14:paraId="383A113E">
      <w:pPr>
        <w:wordWrap w:val="0"/>
        <w:adjustRightInd w:val="0"/>
        <w:snapToGrid w:val="0"/>
        <w:spacing w:line="360" w:lineRule="auto"/>
        <w:ind w:firstLine="480"/>
        <w:rPr>
          <w:rFonts w:hAnsi="宋体" w:cs="宋体"/>
          <w:snapToGrid w:val="0"/>
          <w:color w:val="auto"/>
          <w:kern w:val="0"/>
          <w:highlight w:val="none"/>
        </w:rPr>
      </w:pPr>
    </w:p>
    <w:p w14:paraId="205B243C">
      <w:pPr>
        <w:wordWrap w:val="0"/>
        <w:adjustRightInd w:val="0"/>
        <w:snapToGrid w:val="0"/>
        <w:spacing w:line="360" w:lineRule="auto"/>
        <w:ind w:firstLine="480"/>
        <w:rPr>
          <w:rFonts w:hAnsi="宋体" w:cs="宋体"/>
          <w:snapToGrid w:val="0"/>
          <w:color w:val="auto"/>
          <w:kern w:val="0"/>
          <w:highlight w:val="none"/>
        </w:rPr>
      </w:pPr>
    </w:p>
    <w:p w14:paraId="372723DA">
      <w:pPr>
        <w:wordWrap w:val="0"/>
        <w:adjustRightInd w:val="0"/>
        <w:snapToGrid w:val="0"/>
        <w:spacing w:line="360" w:lineRule="auto"/>
        <w:ind w:firstLine="480"/>
        <w:rPr>
          <w:rFonts w:hAnsi="宋体" w:cs="宋体"/>
          <w:snapToGrid w:val="0"/>
          <w:color w:val="auto"/>
          <w:kern w:val="0"/>
          <w:highlight w:val="none"/>
        </w:rPr>
      </w:pPr>
    </w:p>
    <w:p w14:paraId="7A3D79AD">
      <w:pPr>
        <w:wordWrap w:val="0"/>
        <w:adjustRightInd w:val="0"/>
        <w:snapToGrid w:val="0"/>
        <w:spacing w:line="360" w:lineRule="auto"/>
        <w:ind w:firstLine="480"/>
        <w:rPr>
          <w:rFonts w:hAnsi="宋体" w:cs="宋体"/>
          <w:snapToGrid w:val="0"/>
          <w:color w:val="auto"/>
          <w:kern w:val="0"/>
          <w:highlight w:val="none"/>
        </w:rPr>
      </w:pPr>
    </w:p>
    <w:p w14:paraId="404CFFC3">
      <w:pPr>
        <w:wordWrap w:val="0"/>
        <w:adjustRightInd w:val="0"/>
        <w:snapToGrid w:val="0"/>
        <w:spacing w:line="360" w:lineRule="auto"/>
        <w:ind w:firstLine="480"/>
        <w:rPr>
          <w:rFonts w:hAnsi="宋体" w:cs="宋体"/>
          <w:snapToGrid w:val="0"/>
          <w:color w:val="auto"/>
          <w:kern w:val="0"/>
          <w:highlight w:val="none"/>
        </w:rPr>
      </w:pPr>
    </w:p>
    <w:p w14:paraId="50DFDA0A">
      <w:pPr>
        <w:wordWrap w:val="0"/>
        <w:adjustRightInd w:val="0"/>
        <w:snapToGrid w:val="0"/>
        <w:spacing w:line="360" w:lineRule="auto"/>
        <w:ind w:firstLine="480"/>
        <w:rPr>
          <w:rFonts w:hAnsi="宋体" w:cs="宋体"/>
          <w:snapToGrid w:val="0"/>
          <w:color w:val="auto"/>
          <w:kern w:val="0"/>
          <w:highlight w:val="none"/>
        </w:rPr>
      </w:pPr>
    </w:p>
    <w:p w14:paraId="134EA6A3">
      <w:pPr>
        <w:wordWrap w:val="0"/>
        <w:adjustRightInd w:val="0"/>
        <w:snapToGrid w:val="0"/>
        <w:spacing w:line="360" w:lineRule="auto"/>
        <w:ind w:firstLine="480"/>
        <w:rPr>
          <w:rFonts w:hAnsi="宋体" w:cs="宋体"/>
          <w:snapToGrid w:val="0"/>
          <w:color w:val="auto"/>
          <w:kern w:val="0"/>
          <w:highlight w:val="none"/>
        </w:rPr>
      </w:pPr>
    </w:p>
    <w:p w14:paraId="6FB2F619">
      <w:pPr>
        <w:wordWrap w:val="0"/>
        <w:adjustRightInd w:val="0"/>
        <w:snapToGrid w:val="0"/>
        <w:spacing w:line="360" w:lineRule="auto"/>
        <w:ind w:firstLine="480"/>
        <w:rPr>
          <w:rFonts w:hAnsi="宋体" w:cs="宋体"/>
          <w:snapToGrid w:val="0"/>
          <w:color w:val="auto"/>
          <w:kern w:val="0"/>
          <w:highlight w:val="none"/>
        </w:rPr>
      </w:pPr>
    </w:p>
    <w:p w14:paraId="2DC01507">
      <w:pPr>
        <w:wordWrap w:val="0"/>
        <w:adjustRightInd w:val="0"/>
        <w:snapToGrid w:val="0"/>
        <w:spacing w:line="360" w:lineRule="auto"/>
        <w:ind w:firstLine="480"/>
        <w:rPr>
          <w:rFonts w:hAnsi="宋体" w:cs="宋体"/>
          <w:snapToGrid w:val="0"/>
          <w:color w:val="auto"/>
          <w:kern w:val="0"/>
          <w:highlight w:val="none"/>
        </w:rPr>
      </w:pPr>
    </w:p>
    <w:p w14:paraId="1B6A90F7">
      <w:pPr>
        <w:wordWrap w:val="0"/>
        <w:adjustRightInd w:val="0"/>
        <w:snapToGrid w:val="0"/>
        <w:spacing w:line="360" w:lineRule="auto"/>
        <w:ind w:firstLine="480"/>
        <w:rPr>
          <w:rFonts w:hAnsi="宋体" w:cs="宋体"/>
          <w:snapToGrid w:val="0"/>
          <w:color w:val="auto"/>
          <w:kern w:val="0"/>
          <w:highlight w:val="none"/>
        </w:rPr>
      </w:pPr>
    </w:p>
    <w:p w14:paraId="61FEFA58">
      <w:pPr>
        <w:wordWrap w:val="0"/>
        <w:adjustRightInd w:val="0"/>
        <w:snapToGrid w:val="0"/>
        <w:spacing w:line="360" w:lineRule="auto"/>
        <w:ind w:firstLine="480"/>
        <w:rPr>
          <w:rFonts w:hAnsi="宋体" w:cs="宋体"/>
          <w:snapToGrid w:val="0"/>
          <w:color w:val="auto"/>
          <w:kern w:val="0"/>
          <w:highlight w:val="none"/>
        </w:rPr>
      </w:pPr>
    </w:p>
    <w:p w14:paraId="5EC0F2C9">
      <w:pPr>
        <w:wordWrap w:val="0"/>
        <w:adjustRightInd w:val="0"/>
        <w:snapToGrid w:val="0"/>
        <w:spacing w:line="360" w:lineRule="auto"/>
        <w:ind w:firstLine="480"/>
        <w:rPr>
          <w:rFonts w:hAnsi="宋体" w:cs="宋体"/>
          <w:snapToGrid w:val="0"/>
          <w:color w:val="auto"/>
          <w:kern w:val="0"/>
          <w:highlight w:val="none"/>
        </w:rPr>
      </w:pPr>
    </w:p>
    <w:p w14:paraId="2E188212">
      <w:pPr>
        <w:wordWrap w:val="0"/>
        <w:adjustRightInd w:val="0"/>
        <w:snapToGrid w:val="0"/>
        <w:spacing w:line="360" w:lineRule="auto"/>
        <w:ind w:firstLine="480"/>
        <w:rPr>
          <w:rFonts w:hAnsi="宋体" w:cs="宋体"/>
          <w:snapToGrid w:val="0"/>
          <w:color w:val="auto"/>
          <w:kern w:val="0"/>
          <w:highlight w:val="none"/>
        </w:rPr>
      </w:pPr>
    </w:p>
    <w:p w14:paraId="30136CD2">
      <w:pPr>
        <w:pStyle w:val="3"/>
        <w:pageBreakBefore w:val="0"/>
        <w:kinsoku/>
        <w:overflowPunct/>
        <w:topLinePunct w:val="0"/>
        <w:bidi w:val="0"/>
        <w:spacing w:line="500" w:lineRule="exact"/>
        <w:textAlignment w:val="auto"/>
        <w:outlineLvl w:val="1"/>
        <w:rPr>
          <w:rFonts w:hint="default" w:ascii="宋体" w:hAnsi="宋体" w:eastAsia="宋体" w:cs="宋体"/>
          <w:b/>
          <w:bCs/>
          <w:color w:val="auto"/>
          <w:highlight w:val="none"/>
          <w:lang w:val="en-US" w:eastAsia="zh-CN"/>
        </w:rPr>
      </w:pPr>
      <w:bookmarkStart w:id="66" w:name="_Toc4309"/>
      <w:bookmarkStart w:id="67" w:name="_Toc3478"/>
      <w:bookmarkStart w:id="68" w:name="_Toc13284"/>
      <w:r>
        <w:rPr>
          <w:rFonts w:hint="eastAsia" w:ascii="宋体" w:hAnsi="宋体" w:eastAsia="宋体" w:cs="宋体"/>
          <w:b/>
          <w:bCs/>
          <w:color w:val="auto"/>
          <w:highlight w:val="none"/>
          <w:lang w:val="en-US" w:eastAsia="zh-CN"/>
        </w:rPr>
        <w:t>第五节 定标规定及细则</w:t>
      </w:r>
      <w:bookmarkEnd w:id="66"/>
      <w:bookmarkEnd w:id="67"/>
      <w:bookmarkEnd w:id="68"/>
    </w:p>
    <w:p w14:paraId="1206D7CF">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69" w:name="_Toc17667"/>
      <w:bookmarkStart w:id="70" w:name="_Toc18852"/>
      <w:bookmarkStart w:id="71" w:name="_Toc7706"/>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69"/>
      <w:bookmarkEnd w:id="70"/>
      <w:bookmarkEnd w:id="71"/>
    </w:p>
    <w:p w14:paraId="1ACCE5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5078288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3877C7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1040D74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1.2.1</w:t>
      </w:r>
      <w:r>
        <w:rPr>
          <w:rFonts w:hint="eastAsia" w:ascii="宋体" w:hAnsi="宋体" w:eastAsia="宋体" w:cs="宋体"/>
          <w:snapToGrid w:val="0"/>
          <w:color w:val="auto"/>
          <w:kern w:val="0"/>
          <w:highlight w:val="none"/>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19E64B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DDE6F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8C95F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615F07F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1F50119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4CF123E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B888DE8">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2" w:name="_Toc29848"/>
      <w:bookmarkStart w:id="73" w:name="_Toc18947"/>
      <w:bookmarkStart w:id="74" w:name="_Toc4905"/>
      <w:r>
        <w:rPr>
          <w:rFonts w:hint="eastAsia" w:ascii="宋体" w:hAnsi="宋体" w:eastAsia="宋体" w:cs="宋体"/>
          <w:b/>
          <w:snapToGrid w:val="0"/>
          <w:color w:val="auto"/>
          <w:highlight w:val="none"/>
          <w:lang w:val="en-US" w:eastAsia="zh-CN"/>
        </w:rPr>
        <w:t>2.定标细则</w:t>
      </w:r>
      <w:bookmarkEnd w:id="72"/>
      <w:bookmarkEnd w:id="73"/>
      <w:bookmarkEnd w:id="74"/>
    </w:p>
    <w:p w14:paraId="769CB3F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3587A6C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43070B2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23B939D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7322B8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5B206EB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11669E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5E8FB8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C40A8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970C5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3ABD785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12F2D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08FEA5C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1C32093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24A721E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10C36E9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20969D9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定标因素和相对标准有以下几个方面：</w:t>
      </w:r>
    </w:p>
    <w:p w14:paraId="6E205CF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ABA42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1BD2F3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企业信誉</w:t>
      </w:r>
    </w:p>
    <w:p w14:paraId="6ADB693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相对标准：企业信誉评价好的定标候选人优于企业信誉评价一般的定标候选人。</w:t>
      </w:r>
    </w:p>
    <w:p w14:paraId="4C6C427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w:t>
      </w:r>
      <w:r>
        <w:rPr>
          <w:rFonts w:hint="eastAsia" w:ascii="宋体" w:hAnsi="宋体" w:eastAsia="宋体" w:cs="宋体"/>
          <w:snapToGrid w:val="0"/>
          <w:color w:val="auto"/>
          <w:kern w:val="0"/>
          <w:highlight w:val="none"/>
          <w:lang w:val="en-US" w:eastAsia="zh-CN"/>
        </w:rPr>
        <w:t>监理大纲</w:t>
      </w:r>
    </w:p>
    <w:p w14:paraId="4CBC37D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相对标准：监理大纲优良的定标候选人优于监理大纲一般的定标候选人。</w:t>
      </w:r>
    </w:p>
    <w:p w14:paraId="4D79F6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评标报告</w:t>
      </w:r>
    </w:p>
    <w:p w14:paraId="3A22FE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7FC57C14">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5" w:name="_Toc32345"/>
      <w:bookmarkStart w:id="76" w:name="_Toc31869"/>
      <w:bookmarkStart w:id="77" w:name="_Toc29036"/>
      <w:r>
        <w:rPr>
          <w:rFonts w:hint="eastAsia" w:ascii="宋体" w:hAnsi="宋体" w:eastAsia="宋体" w:cs="宋体"/>
          <w:b/>
          <w:snapToGrid w:val="0"/>
          <w:color w:val="auto"/>
          <w:highlight w:val="none"/>
          <w:lang w:val="en-US" w:eastAsia="zh-CN"/>
        </w:rPr>
        <w:t>3.定标结果公示</w:t>
      </w:r>
      <w:bookmarkEnd w:id="75"/>
      <w:bookmarkEnd w:id="76"/>
      <w:bookmarkEnd w:id="77"/>
      <w:r>
        <w:rPr>
          <w:rFonts w:hint="eastAsia" w:ascii="宋体" w:hAnsi="宋体" w:eastAsia="宋体" w:cs="宋体"/>
          <w:b/>
          <w:snapToGrid w:val="0"/>
          <w:color w:val="auto"/>
          <w:highlight w:val="none"/>
          <w:lang w:val="en-US" w:eastAsia="zh-CN"/>
        </w:rPr>
        <w:t xml:space="preserve">  </w:t>
      </w:r>
    </w:p>
    <w:p w14:paraId="46D74AE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3.1</w:t>
      </w:r>
      <w:r>
        <w:rPr>
          <w:rFonts w:hint="eastAsia" w:ascii="宋体" w:hAnsi="宋体" w:eastAsia="宋体" w:cs="宋体"/>
          <w:snapToGrid w:val="0"/>
          <w:color w:val="auto"/>
          <w:kern w:val="0"/>
          <w:highlight w:val="none"/>
        </w:rPr>
        <w:t>定标委员会完成定标后，招标人应于定标会结束后3个</w:t>
      </w:r>
      <w:r>
        <w:rPr>
          <w:rFonts w:hint="eastAsia" w:hAnsi="宋体" w:cs="宋体"/>
          <w:snapToGrid w:val="0"/>
          <w:color w:val="auto"/>
          <w:kern w:val="0"/>
          <w:highlight w:val="none"/>
          <w:lang w:val="en-US" w:eastAsia="zh-CN"/>
        </w:rPr>
        <w:t>自然</w:t>
      </w:r>
      <w:r>
        <w:rPr>
          <w:rFonts w:hint="eastAsia" w:ascii="宋体" w:hAnsi="宋体" w:eastAsia="宋体" w:cs="宋体"/>
          <w:snapToGrid w:val="0"/>
          <w:color w:val="auto"/>
          <w:kern w:val="0"/>
          <w:highlight w:val="none"/>
        </w:rPr>
        <w:t>日内将中标候选人和定标情况在广东省招标投标监管网和全国公共资源交易平台（广东省·韶关市）工程交易系统上公示，公示时间不少于3个</w:t>
      </w:r>
      <w:r>
        <w:rPr>
          <w:rFonts w:hint="eastAsia" w:hAnsi="宋体" w:cs="宋体"/>
          <w:snapToGrid w:val="0"/>
          <w:color w:val="auto"/>
          <w:kern w:val="0"/>
          <w:highlight w:val="none"/>
          <w:lang w:val="en-US" w:eastAsia="zh-CN"/>
        </w:rPr>
        <w:t>自然</w:t>
      </w:r>
      <w:bookmarkStart w:id="356" w:name="_GoBack"/>
      <w:bookmarkEnd w:id="356"/>
      <w:r>
        <w:rPr>
          <w:rFonts w:hint="eastAsia" w:ascii="宋体" w:hAnsi="宋体" w:eastAsia="宋体" w:cs="宋体"/>
          <w:snapToGrid w:val="0"/>
          <w:color w:val="auto"/>
          <w:kern w:val="0"/>
          <w:highlight w:val="none"/>
        </w:rPr>
        <w:t>日。公示主要内容包括：定标报告（定标成员信息除外）、中标人名单、中标价和拟投入本项目的项目负责人、技术负责人及各专业负责人（如有）等内容。</w:t>
      </w:r>
    </w:p>
    <w:p w14:paraId="28E0961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3.2</w:t>
      </w:r>
      <w:r>
        <w:rPr>
          <w:rFonts w:hint="eastAsia" w:ascii="宋体" w:hAnsi="宋体" w:eastAsia="宋体" w:cs="宋体"/>
          <w:snapToGrid w:val="0"/>
          <w:color w:val="auto"/>
          <w:kern w:val="0"/>
          <w:highlight w:val="none"/>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D0171C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3.3</w:t>
      </w:r>
      <w:r>
        <w:rPr>
          <w:rFonts w:hint="eastAsia" w:ascii="宋体" w:hAnsi="宋体" w:eastAsia="宋体" w:cs="宋体"/>
          <w:snapToGrid w:val="0"/>
          <w:color w:val="auto"/>
          <w:kern w:val="0"/>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E0E8692">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8" w:name="_Toc28855"/>
      <w:bookmarkStart w:id="79" w:name="_Toc31812"/>
      <w:bookmarkStart w:id="80" w:name="_Toc24457"/>
      <w:r>
        <w:rPr>
          <w:rFonts w:hint="eastAsia" w:ascii="宋体" w:hAnsi="宋体" w:eastAsia="宋体" w:cs="宋体"/>
          <w:b/>
          <w:snapToGrid w:val="0"/>
          <w:color w:val="auto"/>
          <w:highlight w:val="none"/>
          <w:lang w:val="en-US" w:eastAsia="zh-CN"/>
        </w:rPr>
        <w:t>4.中标确认</w:t>
      </w:r>
      <w:bookmarkEnd w:id="78"/>
      <w:bookmarkEnd w:id="79"/>
      <w:bookmarkEnd w:id="80"/>
    </w:p>
    <w:p w14:paraId="0FF416D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中标人确定</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41473EE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2ABDB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AC1190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A7799A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2075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2D861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8A51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3644ADA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FFB9D8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8F2EB03">
      <w:pPr>
        <w:pageBreakBefore w:val="0"/>
        <w:kinsoku/>
        <w:wordWrap w:val="0"/>
        <w:overflowPunct/>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p>
    <w:p w14:paraId="762467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FAC246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53E11E4">
      <w:pPr>
        <w:pStyle w:val="2"/>
        <w:wordWrap w:val="0"/>
        <w:autoSpaceDE/>
        <w:autoSpaceDN/>
        <w:snapToGrid w:val="0"/>
        <w:spacing w:line="440" w:lineRule="exact"/>
        <w:jc w:val="center"/>
        <w:rPr>
          <w:rFonts w:hAnsi="宋体" w:cs="宋体"/>
          <w:b/>
          <w:snapToGrid w:val="0"/>
          <w:color w:val="auto"/>
          <w:sz w:val="32"/>
          <w:szCs w:val="22"/>
          <w:highlight w:val="none"/>
        </w:rPr>
      </w:pPr>
      <w:bookmarkStart w:id="81" w:name="_Hlt112206772"/>
      <w:bookmarkEnd w:id="81"/>
      <w:bookmarkStart w:id="82" w:name="_Hlt87952408"/>
      <w:bookmarkEnd w:id="82"/>
      <w:bookmarkStart w:id="83" w:name="_Hlt69669771"/>
      <w:bookmarkEnd w:id="83"/>
      <w:bookmarkStart w:id="84" w:name="_Hlt70150994"/>
      <w:bookmarkEnd w:id="84"/>
      <w:bookmarkStart w:id="85" w:name="_Toc24921"/>
      <w:bookmarkStart w:id="86" w:name="_Hlt69698722"/>
      <w:bookmarkStart w:id="87" w:name="_Hlt69698741"/>
      <w:bookmarkStart w:id="88" w:name="_Hlt69698769"/>
      <w:r>
        <w:rPr>
          <w:rFonts w:hint="eastAsia" w:hAnsi="宋体" w:cs="宋体"/>
          <w:b/>
          <w:snapToGrid w:val="0"/>
          <w:color w:val="auto"/>
          <w:sz w:val="32"/>
          <w:szCs w:val="22"/>
          <w:highlight w:val="none"/>
        </w:rPr>
        <w:t>第</w:t>
      </w:r>
      <w:bookmarkStart w:id="89" w:name="_Hlt69669171"/>
      <w:bookmarkEnd w:id="89"/>
      <w:r>
        <w:rPr>
          <w:rFonts w:hint="eastAsia" w:hAnsi="宋体" w:cs="宋体"/>
          <w:b/>
          <w:snapToGrid w:val="0"/>
          <w:color w:val="auto"/>
          <w:sz w:val="32"/>
          <w:szCs w:val="22"/>
          <w:highlight w:val="none"/>
        </w:rPr>
        <w:t>二章</w:t>
      </w:r>
      <w:bookmarkStart w:id="90" w:name="_Hlt87793839"/>
      <w:bookmarkEnd w:id="90"/>
      <w:r>
        <w:rPr>
          <w:rFonts w:hint="eastAsia" w:hAnsi="宋体" w:cs="宋体"/>
          <w:b/>
          <w:snapToGrid w:val="0"/>
          <w:color w:val="auto"/>
          <w:sz w:val="32"/>
          <w:szCs w:val="22"/>
          <w:highlight w:val="none"/>
        </w:rPr>
        <w:t xml:space="preserve"> 中标人须知</w:t>
      </w:r>
      <w:bookmarkEnd w:id="85"/>
    </w:p>
    <w:bookmarkEnd w:id="86"/>
    <w:bookmarkEnd w:id="87"/>
    <w:bookmarkEnd w:id="88"/>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1" w:name="_Toc32205"/>
      <w:bookmarkStart w:id="92" w:name="_Toc8149"/>
      <w:bookmarkStart w:id="93" w:name="_Toc15170"/>
      <w:bookmarkStart w:id="94" w:name="_Toc18336"/>
      <w:bookmarkStart w:id="95" w:name="_Toc30174"/>
      <w:bookmarkStart w:id="96" w:name="_Toc31521"/>
      <w:bookmarkStart w:id="97" w:name="_Toc21594"/>
      <w:r>
        <w:rPr>
          <w:rFonts w:hint="eastAsia" w:hAnsi="宋体" w:cs="宋体"/>
          <w:b/>
          <w:snapToGrid w:val="0"/>
          <w:color w:val="auto"/>
          <w:kern w:val="0"/>
          <w:szCs w:val="24"/>
          <w:highlight w:val="none"/>
        </w:rPr>
        <w:t>1．中标通知书</w:t>
      </w:r>
      <w:bookmarkEnd w:id="91"/>
      <w:bookmarkEnd w:id="92"/>
      <w:bookmarkEnd w:id="93"/>
      <w:bookmarkEnd w:id="94"/>
      <w:bookmarkEnd w:id="95"/>
      <w:bookmarkEnd w:id="96"/>
      <w:bookmarkEnd w:id="97"/>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8" w:name="_Toc10931"/>
      <w:bookmarkStart w:id="99" w:name="_Toc23133"/>
      <w:bookmarkStart w:id="100" w:name="_Toc6792"/>
      <w:bookmarkStart w:id="101" w:name="_Toc28601"/>
      <w:bookmarkStart w:id="102" w:name="_Toc30560"/>
      <w:bookmarkStart w:id="103" w:name="_Toc1519"/>
      <w:bookmarkStart w:id="104" w:name="_Toc17251"/>
      <w:r>
        <w:rPr>
          <w:rFonts w:hint="eastAsia" w:hAnsi="宋体" w:cs="宋体"/>
          <w:b/>
          <w:bCs/>
          <w:snapToGrid w:val="0"/>
          <w:color w:val="auto"/>
          <w:kern w:val="0"/>
          <w:szCs w:val="24"/>
          <w:highlight w:val="none"/>
        </w:rPr>
        <w:t>2．中标结果公示</w:t>
      </w:r>
      <w:bookmarkEnd w:id="98"/>
      <w:bookmarkEnd w:id="99"/>
      <w:bookmarkEnd w:id="100"/>
      <w:bookmarkEnd w:id="101"/>
      <w:bookmarkEnd w:id="102"/>
      <w:bookmarkEnd w:id="103"/>
      <w:bookmarkEnd w:id="104"/>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5" w:name="_Toc23475"/>
      <w:bookmarkStart w:id="106" w:name="_Toc25367"/>
      <w:bookmarkStart w:id="107" w:name="_Toc22628"/>
      <w:bookmarkStart w:id="108" w:name="_Toc20923"/>
      <w:bookmarkStart w:id="109" w:name="_Toc16211"/>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10" w:name="_Toc11910"/>
      <w:bookmarkStart w:id="111" w:name="_Toc32445"/>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10"/>
      <w:bookmarkEnd w:id="111"/>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12" w:name="_Toc12971"/>
      <w:bookmarkStart w:id="113" w:name="_Toc5474"/>
      <w:r>
        <w:rPr>
          <w:rFonts w:hint="eastAsia" w:hAnsi="宋体" w:cs="宋体"/>
          <w:b/>
          <w:bCs/>
          <w:snapToGrid w:val="0"/>
          <w:color w:val="auto"/>
          <w:kern w:val="0"/>
          <w:szCs w:val="24"/>
          <w:highlight w:val="none"/>
          <w:lang w:val="en-US" w:eastAsia="zh-CN"/>
        </w:rPr>
        <w:t>4.合同订立</w:t>
      </w:r>
      <w:bookmarkEnd w:id="105"/>
      <w:bookmarkEnd w:id="106"/>
      <w:bookmarkEnd w:id="107"/>
      <w:bookmarkEnd w:id="108"/>
      <w:bookmarkEnd w:id="109"/>
      <w:bookmarkEnd w:id="112"/>
      <w:bookmarkEnd w:id="11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4" w:name="_Toc11598"/>
      <w:bookmarkStart w:id="115" w:name="_Toc6741"/>
      <w:bookmarkStart w:id="116" w:name="_Toc25887"/>
      <w:bookmarkStart w:id="117" w:name="_Toc13450"/>
      <w:bookmarkStart w:id="118" w:name="_Toc10701"/>
      <w:bookmarkStart w:id="119" w:name="_Toc3858"/>
      <w:bookmarkStart w:id="120" w:name="_Toc1819"/>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14"/>
      <w:bookmarkEnd w:id="115"/>
      <w:bookmarkEnd w:id="116"/>
      <w:bookmarkEnd w:id="117"/>
      <w:bookmarkEnd w:id="118"/>
      <w:bookmarkEnd w:id="119"/>
      <w:bookmarkEnd w:id="120"/>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21" w:name="_Toc11751"/>
      <w:bookmarkStart w:id="122" w:name="_Toc17549"/>
      <w:bookmarkStart w:id="123" w:name="_Toc26352"/>
      <w:bookmarkStart w:id="124" w:name="_Toc8282"/>
      <w:bookmarkStart w:id="125" w:name="_Toc15893"/>
      <w:bookmarkStart w:id="126" w:name="_Toc500"/>
      <w:bookmarkStart w:id="127" w:name="_Toc1831"/>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21"/>
      <w:bookmarkEnd w:id="122"/>
      <w:bookmarkEnd w:id="123"/>
      <w:bookmarkEnd w:id="124"/>
      <w:bookmarkEnd w:id="125"/>
      <w:bookmarkEnd w:id="126"/>
      <w:bookmarkEnd w:id="127"/>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8" w:name="_Toc18249"/>
      <w:bookmarkStart w:id="129" w:name="_Toc2527"/>
      <w:bookmarkStart w:id="130" w:name="_Toc17560"/>
      <w:bookmarkStart w:id="131" w:name="_Toc18564"/>
      <w:bookmarkStart w:id="132" w:name="_Toc19761"/>
      <w:bookmarkStart w:id="133" w:name="_Toc25358"/>
      <w:bookmarkStart w:id="134" w:name="_Toc2580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8"/>
      <w:bookmarkEnd w:id="129"/>
      <w:bookmarkEnd w:id="130"/>
      <w:bookmarkEnd w:id="131"/>
      <w:bookmarkEnd w:id="132"/>
      <w:bookmarkEnd w:id="133"/>
      <w:bookmarkEnd w:id="134"/>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5" w:name="_Toc25479"/>
      <w:bookmarkStart w:id="136" w:name="_Toc13950"/>
      <w:bookmarkStart w:id="137" w:name="_Toc13195"/>
      <w:bookmarkStart w:id="138" w:name="_Toc17664"/>
      <w:bookmarkStart w:id="139" w:name="_Toc6559"/>
      <w:bookmarkStart w:id="140" w:name="_Toc6532"/>
      <w:bookmarkStart w:id="141" w:name="_Toc23108"/>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5"/>
      <w:bookmarkEnd w:id="136"/>
      <w:bookmarkEnd w:id="137"/>
      <w:bookmarkEnd w:id="138"/>
      <w:bookmarkEnd w:id="139"/>
      <w:bookmarkEnd w:id="140"/>
      <w:bookmarkEnd w:id="141"/>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2" w:name="_Toc20861"/>
      <w:bookmarkStart w:id="143" w:name="_Toc19789"/>
      <w:bookmarkStart w:id="144" w:name="_Toc6056"/>
      <w:bookmarkStart w:id="145" w:name="_Toc20449"/>
      <w:bookmarkStart w:id="146" w:name="_Toc27412"/>
      <w:bookmarkStart w:id="147" w:name="_Toc16997"/>
      <w:bookmarkStart w:id="148" w:name="_Toc23097"/>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42"/>
      <w:bookmarkEnd w:id="143"/>
      <w:bookmarkEnd w:id="144"/>
      <w:bookmarkEnd w:id="145"/>
      <w:bookmarkEnd w:id="146"/>
      <w:bookmarkEnd w:id="147"/>
      <w:bookmarkEnd w:id="148"/>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9" w:name="_Toc13413"/>
      <w:bookmarkStart w:id="150" w:name="_Toc14079"/>
      <w:bookmarkStart w:id="151" w:name="_Toc9618"/>
      <w:bookmarkStart w:id="152" w:name="_Toc17881"/>
      <w:bookmarkStart w:id="153" w:name="_Toc27428"/>
      <w:bookmarkStart w:id="154" w:name="_Toc16174"/>
      <w:bookmarkStart w:id="155" w:name="_Toc1181"/>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9"/>
      <w:bookmarkEnd w:id="150"/>
      <w:bookmarkEnd w:id="151"/>
      <w:bookmarkEnd w:id="152"/>
      <w:bookmarkEnd w:id="153"/>
      <w:bookmarkEnd w:id="154"/>
      <w:bookmarkEnd w:id="155"/>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6" w:name="_Toc24102"/>
      <w:bookmarkStart w:id="157" w:name="_Toc737"/>
      <w:bookmarkStart w:id="158" w:name="_Toc25424"/>
      <w:bookmarkStart w:id="159" w:name="_Toc4730"/>
      <w:bookmarkStart w:id="160" w:name="_Toc18397"/>
      <w:bookmarkStart w:id="161" w:name="_Toc26662"/>
      <w:bookmarkStart w:id="162" w:name="_Toc14327"/>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6"/>
      <w:bookmarkEnd w:id="157"/>
      <w:bookmarkEnd w:id="158"/>
      <w:bookmarkEnd w:id="159"/>
      <w:bookmarkEnd w:id="160"/>
      <w:bookmarkEnd w:id="161"/>
      <w:bookmarkEnd w:id="162"/>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63" w:name="_Toc16612"/>
      <w:bookmarkStart w:id="164" w:name="_Toc32477"/>
      <w:bookmarkStart w:id="165" w:name="_Toc24329"/>
      <w:bookmarkStart w:id="166" w:name="_Toc13197"/>
      <w:bookmarkStart w:id="167" w:name="_Toc19314"/>
      <w:bookmarkStart w:id="168" w:name="_Toc6629"/>
      <w:bookmarkStart w:id="169" w:name="_Toc2540"/>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63"/>
      <w:bookmarkEnd w:id="164"/>
      <w:bookmarkEnd w:id="165"/>
      <w:bookmarkEnd w:id="166"/>
      <w:bookmarkEnd w:id="167"/>
      <w:bookmarkEnd w:id="168"/>
      <w:bookmarkEnd w:id="169"/>
    </w:p>
    <w:p w14:paraId="04C55AB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70" w:name="_Toc15431"/>
      <w:bookmarkStart w:id="171" w:name="_Toc2784"/>
      <w:bookmarkStart w:id="172" w:name="_Toc15923"/>
      <w:bookmarkStart w:id="173" w:name="_Toc28837"/>
      <w:bookmarkStart w:id="174" w:name="_Toc29467"/>
      <w:bookmarkStart w:id="175" w:name="_Toc5618"/>
      <w:bookmarkStart w:id="176" w:name="_Toc17537"/>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70"/>
      <w:bookmarkEnd w:id="171"/>
      <w:bookmarkEnd w:id="172"/>
      <w:bookmarkEnd w:id="173"/>
      <w:bookmarkEnd w:id="174"/>
      <w:bookmarkEnd w:id="175"/>
      <w:bookmarkEnd w:id="176"/>
    </w:p>
    <w:p w14:paraId="418B847A">
      <w:pPr>
        <w:pStyle w:val="82"/>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2"/>
        <w:wordWrap w:val="0"/>
        <w:adjustRightInd w:val="0"/>
        <w:snapToGrid w:val="0"/>
        <w:spacing w:line="440" w:lineRule="exact"/>
        <w:ind w:firstLine="560"/>
        <w:rPr>
          <w:rFonts w:hAnsi="宋体" w:cs="宋体"/>
          <w:b/>
          <w:bCs/>
          <w:snapToGrid w:val="0"/>
          <w:color w:val="auto"/>
          <w:kern w:val="0"/>
          <w:highlight w:val="none"/>
        </w:rPr>
      </w:pPr>
    </w:p>
    <w:p w14:paraId="6E146C71">
      <w:pPr>
        <w:pStyle w:val="82"/>
        <w:wordWrap w:val="0"/>
        <w:adjustRightInd w:val="0"/>
        <w:snapToGrid w:val="0"/>
        <w:spacing w:line="440" w:lineRule="exact"/>
        <w:ind w:firstLine="560"/>
        <w:rPr>
          <w:rFonts w:hAnsi="宋体" w:cs="宋体"/>
          <w:b/>
          <w:bCs/>
          <w:snapToGrid w:val="0"/>
          <w:color w:val="auto"/>
          <w:kern w:val="0"/>
          <w:highlight w:val="none"/>
        </w:rPr>
      </w:pPr>
    </w:p>
    <w:p w14:paraId="40581986">
      <w:pPr>
        <w:pStyle w:val="82"/>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4B26AC6B">
      <w:pPr>
        <w:pStyle w:val="2"/>
        <w:wordWrap w:val="0"/>
        <w:autoSpaceDE/>
        <w:autoSpaceDN/>
        <w:snapToGrid w:val="0"/>
        <w:spacing w:line="500" w:lineRule="exact"/>
        <w:jc w:val="center"/>
        <w:outlineLvl w:val="0"/>
        <w:rPr>
          <w:rFonts w:hAnsi="宋体" w:cs="宋体"/>
          <w:b/>
          <w:snapToGrid w:val="0"/>
          <w:color w:val="auto"/>
          <w:sz w:val="32"/>
          <w:szCs w:val="32"/>
          <w:highlight w:val="none"/>
        </w:rPr>
      </w:pPr>
      <w:bookmarkStart w:id="177" w:name="_Toc29099"/>
      <w:bookmarkStart w:id="178" w:name="_Toc29124"/>
      <w:bookmarkStart w:id="179" w:name="_Hlt69698713"/>
      <w:bookmarkStart w:id="180" w:name="_Hlt69698765"/>
      <w:bookmarkStart w:id="181" w:name="_Hlt69698776"/>
      <w:r>
        <w:rPr>
          <w:rFonts w:hint="eastAsia" w:hAnsi="宋体" w:cs="宋体"/>
          <w:b/>
          <w:snapToGrid w:val="0"/>
          <w:color w:val="auto"/>
          <w:sz w:val="32"/>
          <w:szCs w:val="32"/>
          <w:highlight w:val="none"/>
        </w:rPr>
        <w:t>第三章</w:t>
      </w:r>
      <w:bookmarkStart w:id="182" w:name="_Hlt87793831"/>
      <w:bookmarkEnd w:id="182"/>
      <w:r>
        <w:rPr>
          <w:rFonts w:hint="eastAsia" w:hAnsi="宋体" w:cs="宋体"/>
          <w:b/>
          <w:snapToGrid w:val="0"/>
          <w:color w:val="auto"/>
          <w:sz w:val="32"/>
          <w:szCs w:val="32"/>
          <w:highlight w:val="none"/>
        </w:rPr>
        <w:t xml:space="preserve"> 拟签订合同的主要条款</w:t>
      </w:r>
      <w:bookmarkEnd w:id="177"/>
      <w:bookmarkEnd w:id="178"/>
    </w:p>
    <w:bookmarkEnd w:id="179"/>
    <w:bookmarkEnd w:id="180"/>
    <w:p w14:paraId="6A4F7FF4">
      <w:pPr>
        <w:bidi w:val="0"/>
        <w:rPr>
          <w:color w:val="auto"/>
          <w:highlight w:val="none"/>
        </w:rPr>
      </w:pPr>
      <w:bookmarkStart w:id="183" w:name="_Toc326916629"/>
      <w:bookmarkStart w:id="184" w:name="_Toc322793288"/>
    </w:p>
    <w:bookmarkEnd w:id="183"/>
    <w:bookmarkEnd w:id="184"/>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5" w:name="_Toc29838"/>
      <w:bookmarkStart w:id="186" w:name="_Toc11616"/>
      <w:bookmarkStart w:id="187" w:name="_Toc4588"/>
      <w:bookmarkStart w:id="188" w:name="_Toc1947"/>
      <w:bookmarkStart w:id="189" w:name="_Toc6392"/>
      <w:bookmarkStart w:id="190" w:name="_Toc3741"/>
      <w:bookmarkStart w:id="191" w:name="_Toc12203"/>
      <w:r>
        <w:rPr>
          <w:rFonts w:hint="eastAsia" w:hAnsi="宋体" w:cs="宋体"/>
          <w:b/>
          <w:bCs/>
          <w:snapToGrid w:val="0"/>
          <w:color w:val="auto"/>
          <w:kern w:val="0"/>
          <w:szCs w:val="24"/>
          <w:highlight w:val="none"/>
        </w:rPr>
        <w:t>1．现场办公条件</w:t>
      </w:r>
      <w:bookmarkEnd w:id="185"/>
      <w:bookmarkEnd w:id="186"/>
      <w:bookmarkEnd w:id="187"/>
      <w:bookmarkEnd w:id="188"/>
      <w:bookmarkEnd w:id="189"/>
      <w:bookmarkEnd w:id="190"/>
      <w:bookmarkEnd w:id="191"/>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92" w:name="_Toc14419"/>
      <w:bookmarkStart w:id="193" w:name="_Toc6311"/>
      <w:bookmarkStart w:id="194" w:name="_Toc29914"/>
      <w:bookmarkStart w:id="195" w:name="_Toc8261"/>
      <w:bookmarkStart w:id="196" w:name="_Toc15844"/>
      <w:bookmarkStart w:id="197" w:name="_Toc6193"/>
      <w:bookmarkStart w:id="198" w:name="_Toc32029"/>
      <w:r>
        <w:rPr>
          <w:rFonts w:hint="eastAsia" w:hAnsi="宋体" w:cs="宋体"/>
          <w:b/>
          <w:bCs/>
          <w:snapToGrid w:val="0"/>
          <w:color w:val="auto"/>
          <w:kern w:val="0"/>
          <w:szCs w:val="24"/>
          <w:highlight w:val="none"/>
        </w:rPr>
        <w:t>2．</w:t>
      </w:r>
      <w:bookmarkEnd w:id="192"/>
      <w:bookmarkEnd w:id="193"/>
      <w:bookmarkEnd w:id="194"/>
      <w:bookmarkEnd w:id="195"/>
      <w:bookmarkEnd w:id="196"/>
      <w:r>
        <w:rPr>
          <w:rFonts w:hint="eastAsia" w:hAnsi="宋体" w:cs="宋体"/>
          <w:b/>
          <w:bCs/>
          <w:snapToGrid w:val="0"/>
          <w:color w:val="auto"/>
          <w:kern w:val="0"/>
          <w:szCs w:val="24"/>
          <w:highlight w:val="none"/>
        </w:rPr>
        <w:t>监理服务费</w:t>
      </w:r>
      <w:bookmarkEnd w:id="197"/>
      <w:bookmarkEnd w:id="198"/>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9" w:name="_Toc17740"/>
      <w:bookmarkStart w:id="200" w:name="_Toc6502"/>
      <w:bookmarkStart w:id="201" w:name="_Toc31657"/>
      <w:bookmarkStart w:id="202" w:name="_Toc31653"/>
      <w:bookmarkStart w:id="203" w:name="_Toc18979"/>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hAnsi="宋体" w:cs="宋体"/>
          <w:snapToGrid w:val="0"/>
          <w:color w:val="auto"/>
          <w:kern w:val="0"/>
          <w:szCs w:val="24"/>
          <w:highlight w:val="none"/>
          <w:lang w:val="en-US" w:eastAsia="zh-CN"/>
        </w:rPr>
        <w:t>2.3.1</w:t>
      </w:r>
      <w:r>
        <w:rPr>
          <w:rFonts w:hint="eastAsia" w:ascii="宋体" w:hAnsi="宋体" w:eastAsia="宋体" w:cs="宋体"/>
          <w:snapToGrid w:val="0"/>
          <w:color w:val="auto"/>
          <w:kern w:val="0"/>
          <w:szCs w:val="24"/>
          <w:highlight w:val="none"/>
        </w:rPr>
        <w:t>本项目</w:t>
      </w:r>
      <w:r>
        <w:rPr>
          <w:rFonts w:hint="eastAsia" w:hAnsi="宋体" w:cs="宋体"/>
          <w:snapToGrid w:val="0"/>
          <w:color w:val="auto"/>
          <w:kern w:val="0"/>
          <w:szCs w:val="24"/>
          <w:highlight w:val="none"/>
          <w:u w:val="single"/>
          <w:lang w:val="en-US" w:eastAsia="zh-CN"/>
        </w:rPr>
        <w:t xml:space="preserve"> 不</w:t>
      </w:r>
      <w:r>
        <w:rPr>
          <w:rFonts w:hint="eastAsia" w:ascii="宋体" w:hAnsi="宋体" w:eastAsia="宋体" w:cs="宋体"/>
          <w:snapToGrid w:val="0"/>
          <w:color w:val="auto"/>
          <w:kern w:val="0"/>
          <w:szCs w:val="24"/>
          <w:highlight w:val="none"/>
          <w:u w:val="single"/>
        </w:rPr>
        <w:t>支付</w:t>
      </w:r>
      <w:r>
        <w:rPr>
          <w:rFonts w:hint="eastAsia" w:hAnsi="宋体" w:cs="宋体"/>
          <w:snapToGrid w:val="0"/>
          <w:color w:val="auto"/>
          <w:kern w:val="0"/>
          <w:szCs w:val="24"/>
          <w:highlight w:val="none"/>
          <w:u w:val="single"/>
          <w:lang w:val="en-US" w:eastAsia="zh-CN"/>
        </w:rPr>
        <w:t xml:space="preserve"> </w:t>
      </w:r>
      <w:r>
        <w:rPr>
          <w:rFonts w:hint="eastAsia" w:ascii="宋体" w:hAnsi="宋体" w:eastAsia="宋体" w:cs="宋体"/>
          <w:snapToGrid w:val="0"/>
          <w:color w:val="auto"/>
          <w:kern w:val="0"/>
          <w:szCs w:val="24"/>
          <w:highlight w:val="none"/>
        </w:rPr>
        <w:t>监理服务费预付款；</w:t>
      </w:r>
    </w:p>
    <w:p w14:paraId="646B8831">
      <w:pPr>
        <w:wordWrap w:val="0"/>
        <w:adjustRightInd w:val="0"/>
        <w:snapToGrid w:val="0"/>
        <w:spacing w:line="440" w:lineRule="exact"/>
        <w:ind w:firstLine="480" w:firstLineChars="200"/>
        <w:rPr>
          <w:rFonts w:hint="eastAsia" w:ascii="Times New Roman"/>
          <w:snapToGrid w:val="0"/>
          <w:color w:val="000000"/>
          <w:kern w:val="0"/>
          <w:highlight w:val="none"/>
        </w:rPr>
      </w:pPr>
      <w:r>
        <w:rPr>
          <w:rFonts w:hint="eastAsia" w:hAnsi="宋体" w:cs="宋体"/>
          <w:snapToGrid w:val="0"/>
          <w:color w:val="auto"/>
          <w:kern w:val="0"/>
          <w:szCs w:val="24"/>
          <w:highlight w:val="none"/>
          <w:lang w:val="en-US" w:eastAsia="zh-CN"/>
        </w:rPr>
        <w:t>2.3.2</w:t>
      </w:r>
      <w:bookmarkStart w:id="204" w:name="_Toc30108"/>
      <w:bookmarkStart w:id="205" w:name="_Toc12074"/>
      <w:r>
        <w:rPr>
          <w:rFonts w:hint="eastAsia" w:ascii="Times New Roman"/>
          <w:snapToGrid w:val="0"/>
          <w:color w:val="000000"/>
          <w:kern w:val="0"/>
          <w:highlight w:val="none"/>
        </w:rPr>
        <w:t>本项目施工阶段按月分期支付监理服务费；具体分期支付方式如下：</w:t>
      </w:r>
    </w:p>
    <w:p w14:paraId="5F69ED0D">
      <w:pPr>
        <w:wordWrap w:val="0"/>
        <w:adjustRightInd w:val="0"/>
        <w:snapToGrid w:val="0"/>
        <w:spacing w:line="440" w:lineRule="exact"/>
        <w:ind w:firstLine="480" w:firstLineChars="200"/>
        <w:rPr>
          <w:rFonts w:hint="eastAsia" w:ascii="Times New Roman"/>
          <w:snapToGrid w:val="0"/>
          <w:color w:val="000000"/>
          <w:kern w:val="0"/>
          <w:highlight w:val="none"/>
        </w:rPr>
      </w:pPr>
      <w:r>
        <w:rPr>
          <w:rFonts w:hint="eastAsia" w:ascii="Times New Roman"/>
          <w:snapToGrid w:val="0"/>
          <w:color w:val="000000"/>
          <w:kern w:val="0"/>
          <w:highlight w:val="none"/>
        </w:rPr>
        <w:t>每月监理服务费=经审核的每月实际所有专业施工完成投资额×监理人中标费率×80%；施工过程中累计支付的监理服务费不得超过监理服务费合同价款的80%。</w:t>
      </w:r>
    </w:p>
    <w:p w14:paraId="02AD6776">
      <w:pPr>
        <w:wordWrap w:val="0"/>
        <w:adjustRightInd w:val="0"/>
        <w:snapToGrid w:val="0"/>
        <w:spacing w:line="440" w:lineRule="exact"/>
        <w:ind w:firstLine="480" w:firstLineChars="200"/>
        <w:rPr>
          <w:rFonts w:hint="eastAsia" w:ascii="Times New Roman"/>
          <w:snapToGrid w:val="0"/>
          <w:color w:val="000000"/>
          <w:kern w:val="0"/>
          <w:highlight w:val="none"/>
        </w:rPr>
      </w:pPr>
      <w:r>
        <w:rPr>
          <w:rFonts w:hint="eastAsia" w:ascii="Times New Roman"/>
          <w:snapToGrid w:val="0"/>
          <w:color w:val="000000"/>
          <w:kern w:val="0"/>
          <w:highlight w:val="none"/>
          <w:lang w:val="en-US" w:eastAsia="zh-CN"/>
        </w:rPr>
        <w:t>2.3.3</w:t>
      </w:r>
      <w:r>
        <w:rPr>
          <w:rFonts w:hint="eastAsia" w:ascii="Times New Roman"/>
          <w:snapToGrid w:val="0"/>
          <w:color w:val="000000"/>
          <w:kern w:val="0"/>
          <w:highlight w:val="none"/>
        </w:rPr>
        <w:t>工程竣工验收合格后，委托人于次月向监理人支付至监理服务费结算价的</w:t>
      </w:r>
      <w:r>
        <w:rPr>
          <w:rFonts w:hint="eastAsia" w:ascii="Times New Roman"/>
          <w:snapToGrid w:val="0"/>
          <w:color w:val="000000"/>
          <w:kern w:val="0"/>
          <w:highlight w:val="none"/>
          <w:lang w:val="en-US" w:eastAsia="zh-CN"/>
        </w:rPr>
        <w:t>97</w:t>
      </w:r>
      <w:r>
        <w:rPr>
          <w:rFonts w:hint="eastAsia" w:ascii="Times New Roman"/>
          <w:snapToGrid w:val="0"/>
          <w:color w:val="000000"/>
          <w:kern w:val="0"/>
          <w:highlight w:val="none"/>
        </w:rPr>
        <w:t>%。</w:t>
      </w:r>
    </w:p>
    <w:p w14:paraId="051C7CF4">
      <w:pPr>
        <w:wordWrap w:val="0"/>
        <w:adjustRightInd w:val="0"/>
        <w:snapToGrid w:val="0"/>
        <w:spacing w:line="440" w:lineRule="exact"/>
        <w:ind w:firstLine="480" w:firstLineChars="200"/>
        <w:rPr>
          <w:rFonts w:hint="default" w:ascii="Times New Roman" w:eastAsia="宋体"/>
          <w:snapToGrid w:val="0"/>
          <w:color w:val="000000"/>
          <w:kern w:val="0"/>
          <w:highlight w:val="none"/>
          <w:lang w:val="en-US" w:eastAsia="zh-CN"/>
        </w:rPr>
      </w:pPr>
      <w:r>
        <w:rPr>
          <w:rFonts w:hint="eastAsia" w:ascii="Times New Roman"/>
          <w:snapToGrid w:val="0"/>
          <w:color w:val="000000"/>
          <w:kern w:val="0"/>
          <w:highlight w:val="none"/>
          <w:lang w:val="en-US" w:eastAsia="zh-CN"/>
        </w:rPr>
        <w:t>2.3.4</w:t>
      </w:r>
      <w:r>
        <w:rPr>
          <w:rFonts w:hint="eastAsia" w:ascii="Times New Roman"/>
          <w:snapToGrid w:val="0"/>
          <w:color w:val="auto"/>
          <w:kern w:val="0"/>
          <w:highlight w:val="none"/>
        </w:rPr>
        <w:t>其余3%款项留作保修期服务保证金（保证的形式包括保证金、保证担保、保证保险三种，由中标人自主选择）。该款项自工程交（竣）工验收合格之日起一年期满后 14 天内结合质量保修阶段服务情况结清（不计利息）。</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3．监理服务费发票</w:t>
      </w:r>
      <w:bookmarkEnd w:id="199"/>
      <w:bookmarkEnd w:id="200"/>
      <w:bookmarkEnd w:id="201"/>
      <w:bookmarkEnd w:id="202"/>
      <w:bookmarkEnd w:id="203"/>
      <w:bookmarkEnd w:id="204"/>
      <w:bookmarkEnd w:id="205"/>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6" w:name="_Toc22603"/>
      <w:bookmarkStart w:id="207" w:name="_Toc25406"/>
      <w:bookmarkStart w:id="208" w:name="_Toc30294"/>
      <w:bookmarkStart w:id="209" w:name="_Toc18127"/>
      <w:bookmarkStart w:id="210" w:name="_Toc2147"/>
      <w:bookmarkStart w:id="211" w:name="_Toc32105"/>
      <w:bookmarkStart w:id="212" w:name="_Toc7557"/>
      <w:r>
        <w:rPr>
          <w:rFonts w:hint="eastAsia" w:hAnsi="宋体" w:cs="宋体"/>
          <w:b/>
          <w:bCs/>
          <w:snapToGrid w:val="0"/>
          <w:color w:val="auto"/>
          <w:kern w:val="0"/>
          <w:szCs w:val="24"/>
          <w:highlight w:val="none"/>
        </w:rPr>
        <w:t>4．违约责任</w:t>
      </w:r>
      <w:bookmarkEnd w:id="206"/>
      <w:bookmarkEnd w:id="207"/>
      <w:bookmarkEnd w:id="208"/>
      <w:bookmarkEnd w:id="209"/>
      <w:bookmarkEnd w:id="210"/>
      <w:bookmarkEnd w:id="211"/>
      <w:bookmarkEnd w:id="212"/>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rPr>
        <w:t>%作为违约金。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项目总监理工程师或项目总监理工程师代表每月驻现场不少于28 天，未经招标人书面同意，每少1天，视为监理人发生监理不良行为一次，承担般违约责任一次，监理人向委托人交纳违约金200元。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3" w:name="_Toc26193"/>
      <w:bookmarkStart w:id="214" w:name="_Toc29596"/>
      <w:bookmarkStart w:id="215" w:name="_Toc8823"/>
      <w:bookmarkStart w:id="216" w:name="_Toc17944"/>
      <w:bookmarkStart w:id="217" w:name="_Toc27702"/>
      <w:bookmarkStart w:id="218" w:name="_Toc3987"/>
      <w:bookmarkStart w:id="219" w:name="_Toc8777"/>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13"/>
      <w:bookmarkEnd w:id="214"/>
      <w:bookmarkEnd w:id="215"/>
      <w:bookmarkEnd w:id="216"/>
      <w:bookmarkEnd w:id="217"/>
      <w:bookmarkEnd w:id="218"/>
      <w:bookmarkEnd w:id="219"/>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20" w:name="_Toc624"/>
      <w:bookmarkStart w:id="221" w:name="_Toc26599"/>
      <w:bookmarkStart w:id="222" w:name="_Toc9024"/>
      <w:bookmarkStart w:id="223" w:name="_Toc1361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20"/>
      <w:bookmarkEnd w:id="221"/>
      <w:bookmarkEnd w:id="222"/>
      <w:bookmarkEnd w:id="223"/>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4" w:name="_Toc7275"/>
      <w:bookmarkStart w:id="225" w:name="_Toc22466"/>
      <w:bookmarkStart w:id="226" w:name="_Toc3949"/>
      <w:bookmarkStart w:id="227" w:name="_Toc10949"/>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4"/>
      <w:bookmarkEnd w:id="225"/>
      <w:bookmarkEnd w:id="226"/>
      <w:bookmarkEnd w:id="227"/>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8" w:name="_Toc6801"/>
      <w:bookmarkStart w:id="229" w:name="_Toc25652"/>
      <w:bookmarkStart w:id="230" w:name="_Toc17883"/>
      <w:bookmarkStart w:id="231" w:name="_Toc10664"/>
      <w:r>
        <w:rPr>
          <w:rFonts w:hint="eastAsia" w:hAnsi="宋体" w:cs="宋体"/>
          <w:b/>
          <w:bCs/>
          <w:snapToGrid w:val="0"/>
          <w:color w:val="auto"/>
          <w:kern w:val="0"/>
          <w:szCs w:val="24"/>
          <w:highlight w:val="none"/>
        </w:rPr>
        <w:t xml:space="preserve">5.3 </w:t>
      </w:r>
      <w:bookmarkEnd w:id="228"/>
      <w:bookmarkEnd w:id="229"/>
      <w:bookmarkEnd w:id="230"/>
      <w:bookmarkEnd w:id="231"/>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2" w:name="_Toc12317"/>
      <w:bookmarkStart w:id="233" w:name="_Toc11091"/>
      <w:bookmarkStart w:id="234" w:name="_Toc8398"/>
      <w:bookmarkStart w:id="235" w:name="_Toc5107"/>
      <w:bookmarkStart w:id="236" w:name="_Toc878"/>
      <w:bookmarkStart w:id="237" w:name="_Toc16162"/>
      <w:bookmarkStart w:id="238" w:name="_Toc31452"/>
      <w:r>
        <w:rPr>
          <w:rFonts w:hint="eastAsia" w:hAnsi="宋体" w:cs="宋体"/>
          <w:b/>
          <w:bCs/>
          <w:snapToGrid w:val="0"/>
          <w:color w:val="auto"/>
          <w:kern w:val="0"/>
          <w:szCs w:val="24"/>
          <w:highlight w:val="none"/>
        </w:rPr>
        <w:t>6．</w:t>
      </w:r>
      <w:bookmarkEnd w:id="232"/>
      <w:bookmarkEnd w:id="233"/>
      <w:bookmarkEnd w:id="234"/>
      <w:bookmarkEnd w:id="235"/>
      <w:bookmarkEnd w:id="236"/>
      <w:r>
        <w:rPr>
          <w:rFonts w:hint="eastAsia" w:ascii="Times New Roman"/>
          <w:b/>
          <w:snapToGrid w:val="0"/>
          <w:color w:val="auto"/>
          <w:szCs w:val="22"/>
          <w:highlight w:val="none"/>
        </w:rPr>
        <w:t>监理人违约及违约责任</w:t>
      </w:r>
      <w:bookmarkEnd w:id="237"/>
      <w:bookmarkEnd w:id="238"/>
    </w:p>
    <w:p w14:paraId="2FAB8060">
      <w:pPr>
        <w:pStyle w:val="132"/>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5"/>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5"/>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5"/>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w:t>
      </w:r>
      <w:r>
        <w:rPr>
          <w:rFonts w:hint="eastAsia" w:hAnsi="宋体"/>
          <w:color w:val="auto"/>
          <w:sz w:val="24"/>
          <w:highlight w:val="none"/>
          <w:lang w:val="en-US" w:eastAsia="zh-CN"/>
        </w:rPr>
        <w:t>500</w:t>
      </w:r>
      <w:r>
        <w:rPr>
          <w:rFonts w:hint="eastAsia" w:hAnsi="宋体"/>
          <w:color w:val="auto"/>
          <w:sz w:val="24"/>
          <w:highlight w:val="none"/>
        </w:rPr>
        <w:t>元。</w:t>
      </w:r>
    </w:p>
    <w:p w14:paraId="7FDC0DE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w:t>
      </w:r>
      <w:r>
        <w:rPr>
          <w:rFonts w:hint="eastAsia" w:hAnsi="宋体"/>
          <w:color w:val="auto"/>
          <w:sz w:val="24"/>
          <w:highlight w:val="none"/>
          <w:lang w:val="en-US" w:eastAsia="zh-CN"/>
        </w:rPr>
        <w:t>5</w:t>
      </w:r>
      <w:r>
        <w:rPr>
          <w:rFonts w:hint="eastAsia" w:hAnsi="宋体"/>
          <w:color w:val="auto"/>
          <w:sz w:val="24"/>
          <w:highlight w:val="none"/>
        </w:rPr>
        <w:t>天，未经招标人书面同意，每少1天，视为监理人发生监理不良行为一次，承担一般违约责任一次，监理人向委托人交纳违约金</w:t>
      </w:r>
      <w:r>
        <w:rPr>
          <w:rFonts w:hint="eastAsia" w:hAnsi="宋体"/>
          <w:color w:val="auto"/>
          <w:sz w:val="24"/>
          <w:highlight w:val="none"/>
          <w:lang w:val="en-US" w:eastAsia="zh-CN"/>
        </w:rPr>
        <w:t>300</w:t>
      </w:r>
      <w:r>
        <w:rPr>
          <w:rFonts w:hint="eastAsia" w:hAnsi="宋体"/>
          <w:color w:val="auto"/>
          <w:sz w:val="24"/>
          <w:highlight w:val="none"/>
        </w:rPr>
        <w:t>元。</w:t>
      </w:r>
    </w:p>
    <w:p w14:paraId="3509ED2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5"/>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w:t>
      </w:r>
      <w:r>
        <w:rPr>
          <w:rFonts w:hint="eastAsia" w:hAnsi="宋体"/>
          <w:b/>
          <w:bCs/>
          <w:color w:val="auto"/>
          <w:sz w:val="24"/>
          <w:highlight w:val="none"/>
          <w:u w:val="single"/>
          <w:lang w:val="en-US" w:eastAsia="zh-CN"/>
        </w:rPr>
        <w:t>500</w:t>
      </w:r>
      <w:r>
        <w:rPr>
          <w:rFonts w:hint="eastAsia" w:hAnsi="宋体"/>
          <w:b/>
          <w:bCs/>
          <w:color w:val="auto"/>
          <w:sz w:val="24"/>
          <w:highlight w:val="none"/>
          <w:u w:val="single"/>
        </w:rPr>
        <w:t>元。</w:t>
      </w:r>
    </w:p>
    <w:p w14:paraId="40A07E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w:t>
      </w:r>
      <w:r>
        <w:rPr>
          <w:rFonts w:hint="eastAsia" w:hAnsi="宋体"/>
          <w:color w:val="auto"/>
          <w:sz w:val="24"/>
          <w:highlight w:val="none"/>
          <w:lang w:val="en-US" w:eastAsia="zh-CN"/>
        </w:rPr>
        <w:t>500</w:t>
      </w:r>
      <w:r>
        <w:rPr>
          <w:rFonts w:hint="eastAsia" w:hAnsi="宋体"/>
          <w:color w:val="auto"/>
          <w:sz w:val="24"/>
          <w:highlight w:val="none"/>
        </w:rPr>
        <w:t>元/次、项。</w:t>
      </w:r>
    </w:p>
    <w:p w14:paraId="00A919FE">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1000</w:t>
      </w:r>
      <w:r>
        <w:rPr>
          <w:rFonts w:hint="eastAsia" w:hAnsi="宋体"/>
          <w:color w:val="auto"/>
          <w:sz w:val="24"/>
          <w:highlight w:val="none"/>
        </w:rPr>
        <w:t>元；</w:t>
      </w:r>
    </w:p>
    <w:p w14:paraId="7F533DF8">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w:t>
      </w:r>
      <w:r>
        <w:rPr>
          <w:rFonts w:hint="eastAsia" w:hAnsi="宋体"/>
          <w:color w:val="auto"/>
          <w:sz w:val="24"/>
          <w:highlight w:val="none"/>
          <w:lang w:val="en-US" w:eastAsia="zh-CN"/>
        </w:rPr>
        <w:t>200</w:t>
      </w:r>
      <w:r>
        <w:rPr>
          <w:rFonts w:hint="eastAsia" w:hAnsi="宋体"/>
          <w:color w:val="auto"/>
          <w:sz w:val="24"/>
          <w:highlight w:val="none"/>
        </w:rPr>
        <w:t>元。</w:t>
      </w:r>
    </w:p>
    <w:p w14:paraId="1B0FB72B">
      <w:pPr>
        <w:pStyle w:val="65"/>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5"/>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1000</w:t>
      </w:r>
      <w:r>
        <w:rPr>
          <w:rFonts w:hint="eastAsia" w:hAnsi="宋体"/>
          <w:color w:val="auto"/>
          <w:sz w:val="24"/>
          <w:highlight w:val="none"/>
        </w:rPr>
        <w:t>元。</w:t>
      </w:r>
    </w:p>
    <w:p w14:paraId="0E4E3FC4">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（1）</w:t>
      </w:r>
      <w:r>
        <w:rPr>
          <w:rFonts w:hint="eastAsia" w:ascii="宋体" w:hAnsi="宋体" w:eastAsia="宋体" w:cs="宋体"/>
          <w:color w:val="auto"/>
          <w:sz w:val="24"/>
          <w:highlight w:val="none"/>
        </w:rPr>
        <w:t>根据损失额（或工程变更引起增加额）与本工程签订的施工合同金额的比例，按相应比例双倍扣减监理酬金；</w:t>
      </w:r>
      <w:r>
        <w:rPr>
          <w:rFonts w:hint="eastAsia" w:ascii="宋体" w:hAnsi="宋体" w:eastAsia="宋体" w:cs="宋体"/>
          <w:color w:val="auto"/>
          <w:sz w:val="24"/>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15E547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5"/>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w:t>
      </w:r>
      <w:r>
        <w:rPr>
          <w:rFonts w:hint="eastAsia" w:hAnsi="宋体"/>
          <w:color w:val="auto"/>
          <w:sz w:val="24"/>
          <w:highlight w:val="none"/>
          <w:lang w:val="en-US" w:eastAsia="zh-CN"/>
        </w:rPr>
        <w:t>1000</w:t>
      </w:r>
      <w:r>
        <w:rPr>
          <w:rFonts w:hint="eastAsia" w:hAnsi="宋体"/>
          <w:color w:val="auto"/>
          <w:sz w:val="24"/>
          <w:highlight w:val="none"/>
        </w:rPr>
        <w:t>元。</w:t>
      </w:r>
    </w:p>
    <w:p w14:paraId="6BA85A70">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w:t>
      </w:r>
      <w:r>
        <w:rPr>
          <w:rFonts w:hint="eastAsia" w:hAnsi="宋体"/>
          <w:color w:val="auto"/>
          <w:sz w:val="24"/>
          <w:highlight w:val="none"/>
          <w:lang w:val="en-US" w:eastAsia="zh-CN"/>
        </w:rPr>
        <w:t>5000</w:t>
      </w:r>
      <w:r>
        <w:rPr>
          <w:rFonts w:hint="eastAsia" w:hAnsi="宋体"/>
          <w:color w:val="auto"/>
          <w:sz w:val="24"/>
          <w:highlight w:val="none"/>
        </w:rPr>
        <w:t>元。如监理人违背了以下7款的任何情况，视为非常严重的违约，直接解除合同，不做费用补偿，且对已完成的监理服务，不再支付监理费用，并通报建设行政主管部门：</w:t>
      </w:r>
    </w:p>
    <w:p w14:paraId="677CAEB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5"/>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w:t>
      </w:r>
      <w:r>
        <w:rPr>
          <w:rFonts w:hint="eastAsia" w:hAnsi="宋体"/>
          <w:color w:val="auto"/>
          <w:sz w:val="24"/>
          <w:highlight w:val="none"/>
          <w:lang w:val="en-US" w:eastAsia="zh-CN"/>
        </w:rPr>
        <w:t>1</w:t>
      </w:r>
      <w:r>
        <w:rPr>
          <w:rFonts w:hint="eastAsia" w:hAnsi="宋体"/>
          <w:color w:val="auto"/>
          <w:sz w:val="24"/>
          <w:highlight w:val="none"/>
        </w:rPr>
        <w:t>％。</w:t>
      </w:r>
    </w:p>
    <w:p w14:paraId="1EFA036F">
      <w:pPr>
        <w:pStyle w:val="65"/>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5"/>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5"/>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w:t>
      </w:r>
      <w:r>
        <w:rPr>
          <w:rFonts w:hint="eastAsia" w:hAnsi="宋体"/>
          <w:color w:val="auto"/>
          <w:sz w:val="24"/>
          <w:highlight w:val="none"/>
          <w:lang w:val="en-US" w:eastAsia="zh-CN"/>
        </w:rPr>
        <w:t>500</w:t>
      </w:r>
      <w:r>
        <w:rPr>
          <w:rFonts w:hint="eastAsia" w:hAnsi="宋体"/>
          <w:color w:val="auto"/>
          <w:sz w:val="24"/>
          <w:highlight w:val="none"/>
        </w:rPr>
        <w:t>元//次。</w:t>
      </w:r>
    </w:p>
    <w:p w14:paraId="7BE2691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5"/>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9" w:name="_Toc21519"/>
      <w:bookmarkStart w:id="240" w:name="_Toc18555"/>
      <w:bookmarkStart w:id="241" w:name="_Toc22285"/>
      <w:bookmarkStart w:id="242" w:name="_Toc14391"/>
      <w:r>
        <w:rPr>
          <w:rFonts w:hint="eastAsia" w:ascii="Times New Roman"/>
          <w:b/>
          <w:snapToGrid w:val="0"/>
          <w:color w:val="auto"/>
          <w:szCs w:val="22"/>
          <w:highlight w:val="none"/>
        </w:rPr>
        <w:t>7. 工程质量、造价、进度控制及安全生产管理</w:t>
      </w:r>
      <w:bookmarkEnd w:id="239"/>
      <w:bookmarkEnd w:id="240"/>
      <w:bookmarkEnd w:id="241"/>
      <w:bookmarkEnd w:id="242"/>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2BE3A9F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7.2.4项目监理单位应按《关于进一步加强政府投资项目工程变更管理的通知》规定的标准：因</w:t>
      </w:r>
      <w:r>
        <w:rPr>
          <w:rFonts w:hint="eastAsia" w:ascii="Times New Roman"/>
          <w:snapToGrid w:val="0"/>
          <w:color w:val="auto"/>
          <w:kern w:val="0"/>
          <w:highlight w:val="none"/>
          <w:lang w:val="en-US" w:eastAsia="zh-CN"/>
        </w:rPr>
        <w:t>承包人</w:t>
      </w:r>
      <w:r>
        <w:rPr>
          <w:rFonts w:hint="eastAsia" w:ascii="Times New Roman"/>
          <w:snapToGrid w:val="0"/>
          <w:color w:val="auto"/>
          <w:kern w:val="0"/>
          <w:highlight w:val="none"/>
        </w:rPr>
        <w:t>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0262FEF">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B14F96">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AE2E313">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86DB6C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590FF88">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58DE22D">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868DD6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608F9EE">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148CF4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E82C505">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81"/>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43" w:name="_Toc21669"/>
      <w:bookmarkStart w:id="244" w:name="_Toc21170"/>
      <w:bookmarkStart w:id="245" w:name="_Toc12650"/>
      <w:bookmarkStart w:id="246" w:name="_Hlt69698796"/>
      <w:r>
        <w:rPr>
          <w:rFonts w:hint="eastAsia" w:ascii="Times New Roman"/>
          <w:b/>
          <w:snapToGrid w:val="0"/>
          <w:color w:val="auto"/>
          <w:sz w:val="32"/>
          <w:szCs w:val="22"/>
          <w:highlight w:val="none"/>
        </w:rPr>
        <w:t>第四章</w:t>
      </w:r>
      <w:bookmarkStart w:id="247" w:name="_Hlt87793853"/>
      <w:bookmarkEnd w:id="247"/>
      <w:r>
        <w:rPr>
          <w:rFonts w:hint="eastAsia" w:ascii="Times New Roman"/>
          <w:b/>
          <w:snapToGrid w:val="0"/>
          <w:color w:val="auto"/>
          <w:sz w:val="32"/>
          <w:szCs w:val="22"/>
          <w:highlight w:val="none"/>
        </w:rPr>
        <w:t xml:space="preserve"> 技术要求</w:t>
      </w:r>
      <w:bookmarkEnd w:id="243"/>
      <w:bookmarkEnd w:id="244"/>
      <w:bookmarkEnd w:id="245"/>
    </w:p>
    <w:bookmarkEnd w:id="246"/>
    <w:p w14:paraId="69F644B1">
      <w:pPr>
        <w:wordWrap w:val="0"/>
        <w:adjustRightInd w:val="0"/>
        <w:snapToGrid w:val="0"/>
        <w:spacing w:line="440" w:lineRule="exact"/>
        <w:rPr>
          <w:rFonts w:hint="eastAsia" w:hAnsi="宋体" w:cs="宋体"/>
          <w:bCs/>
          <w:snapToGrid w:val="0"/>
          <w:color w:val="auto"/>
          <w:kern w:val="0"/>
          <w:highlight w:val="none"/>
        </w:rPr>
      </w:pPr>
      <w:bookmarkStart w:id="248" w:name="_Hlt69359335"/>
      <w:bookmarkEnd w:id="248"/>
      <w:bookmarkStart w:id="249" w:name="_Hlt87793370"/>
      <w:bookmarkEnd w:id="249"/>
      <w:bookmarkStart w:id="250" w:name="_Hlt66104926"/>
      <w:bookmarkEnd w:id="250"/>
      <w:bookmarkStart w:id="251" w:name="_Hlt68774758"/>
      <w:bookmarkEnd w:id="251"/>
      <w:bookmarkStart w:id="252" w:name="_Hlt69265216"/>
      <w:bookmarkEnd w:id="252"/>
      <w:bookmarkStart w:id="253" w:name="_Hlt69116854"/>
      <w:bookmarkEnd w:id="253"/>
      <w:bookmarkStart w:id="254" w:name="_Hlt69357851"/>
      <w:bookmarkEnd w:id="254"/>
      <w:bookmarkStart w:id="255" w:name="_Hlt87793346"/>
      <w:bookmarkEnd w:id="255"/>
      <w:bookmarkStart w:id="256" w:name="_Hlt80411122"/>
      <w:bookmarkEnd w:id="256"/>
      <w:bookmarkStart w:id="257" w:name="_Hlt69358207"/>
      <w:bookmarkEnd w:id="257"/>
      <w:bookmarkStart w:id="258" w:name="_Hlt75685840"/>
      <w:bookmarkEnd w:id="258"/>
      <w:bookmarkStart w:id="259" w:name="_Toc2392"/>
      <w:bookmarkStart w:id="260" w:name="_Toc7515"/>
    </w:p>
    <w:bookmarkEnd w:id="259"/>
    <w:bookmarkEnd w:id="260"/>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61" w:name="_Hlt66848640"/>
      <w:bookmarkEnd w:id="261"/>
      <w:bookmarkStart w:id="262" w:name="_Hlt69338190"/>
      <w:bookmarkEnd w:id="262"/>
      <w:bookmarkStart w:id="263" w:name="_Hlt69116863"/>
      <w:bookmarkEnd w:id="263"/>
      <w:bookmarkStart w:id="264" w:name="_Hlt69635247"/>
      <w:bookmarkEnd w:id="264"/>
      <w:bookmarkStart w:id="265" w:name="_Hlt69358336"/>
      <w:bookmarkEnd w:id="265"/>
      <w:bookmarkStart w:id="266" w:name="_Hlt69265207"/>
      <w:bookmarkEnd w:id="266"/>
      <w:bookmarkStart w:id="267" w:name="_Toc29899"/>
      <w:bookmarkStart w:id="268" w:name="_Toc29213"/>
      <w:bookmarkStart w:id="269" w:name="_Toc22126"/>
      <w:bookmarkStart w:id="270" w:name="_Toc25992"/>
      <w:bookmarkStart w:id="271" w:name="_Toc16011"/>
      <w:bookmarkStart w:id="272" w:name="_Hlt69698785"/>
      <w:r>
        <w:rPr>
          <w:rFonts w:hint="eastAsia" w:ascii="宋体" w:hAnsi="宋体" w:eastAsia="宋体" w:cs="宋体"/>
          <w:b/>
          <w:snapToGrid w:val="0"/>
          <w:color w:val="auto"/>
          <w:kern w:val="0"/>
          <w:highlight w:val="none"/>
        </w:rPr>
        <w:t>1．房屋建筑工程建设项目</w:t>
      </w:r>
      <w:bookmarkEnd w:id="267"/>
      <w:bookmarkEnd w:id="268"/>
      <w:bookmarkEnd w:id="269"/>
      <w:bookmarkEnd w:id="270"/>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3" w:name="_Hlt69359243"/>
      <w:bookmarkEnd w:id="273"/>
      <w:bookmarkStart w:id="274" w:name="_Hlt78709799"/>
      <w:bookmarkEnd w:id="274"/>
      <w:bookmarkStart w:id="275" w:name="_Hlt69359086"/>
      <w:bookmarkEnd w:id="275"/>
      <w:bookmarkStart w:id="276" w:name="_Hlt69358458"/>
      <w:bookmarkEnd w:id="276"/>
      <w:bookmarkStart w:id="277" w:name="_Hlt69635252"/>
      <w:bookmarkEnd w:id="277"/>
      <w:bookmarkStart w:id="278" w:name="_Hlt69359245"/>
      <w:bookmarkEnd w:id="278"/>
      <w:bookmarkStart w:id="279" w:name="_Hlt69116858"/>
      <w:bookmarkEnd w:id="279"/>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80" w:name="_Hlt78795211"/>
      <w:bookmarkEnd w:id="280"/>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81" w:name="_Toc23789"/>
      <w:bookmarkStart w:id="282" w:name="_Toc3631"/>
      <w:bookmarkStart w:id="283" w:name="_Toc2706"/>
      <w:bookmarkStart w:id="284" w:name="_Toc16196"/>
      <w:r>
        <w:rPr>
          <w:rFonts w:hint="eastAsia" w:ascii="宋体" w:hAnsi="宋体" w:eastAsia="宋体" w:cs="宋体"/>
          <w:b/>
          <w:snapToGrid w:val="0"/>
          <w:color w:val="auto"/>
          <w:kern w:val="0"/>
          <w:highlight w:val="none"/>
        </w:rPr>
        <w:t>2．市政基础设施工程建设项目</w:t>
      </w:r>
      <w:bookmarkEnd w:id="281"/>
      <w:bookmarkEnd w:id="282"/>
      <w:bookmarkEnd w:id="283"/>
      <w:bookmarkEnd w:id="284"/>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5" w:name="_Toc20464"/>
      <w:bookmarkStart w:id="286"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85"/>
      <w:bookmarkEnd w:id="286"/>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7" w:name="_Toc12769"/>
      <w:bookmarkStart w:id="288" w:name="_Toc882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7"/>
      <w:bookmarkEnd w:id="288"/>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9" w:name="_Toc17054"/>
      <w:bookmarkStart w:id="290" w:name="_Toc533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9"/>
      <w:bookmarkEnd w:id="290"/>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91" w:name="_Toc17302"/>
      <w:bookmarkStart w:id="292" w:name="_Toc1570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91"/>
      <w:bookmarkEnd w:id="292"/>
    </w:p>
    <w:p w14:paraId="0F08A875">
      <w:pPr>
        <w:pStyle w:val="153"/>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93" w:name="_Toc20571"/>
      <w:bookmarkStart w:id="294" w:name="_Toc5246"/>
      <w:r>
        <w:rPr>
          <w:rFonts w:hint="eastAsia" w:ascii="宋体" w:hAnsi="宋体" w:eastAsia="宋体" w:cs="宋体"/>
          <w:b/>
          <w:snapToGrid w:val="0"/>
          <w:color w:val="auto"/>
          <w:kern w:val="0"/>
          <w:highlight w:val="none"/>
        </w:rPr>
        <w:t>3．备查要求</w:t>
      </w:r>
      <w:bookmarkEnd w:id="293"/>
      <w:bookmarkEnd w:id="294"/>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95" w:name="_Hlt69670335"/>
      <w:bookmarkEnd w:id="295"/>
    </w:p>
    <w:p w14:paraId="2C01AB53">
      <w:pPr>
        <w:pStyle w:val="2"/>
        <w:wordWrap w:val="0"/>
        <w:autoSpaceDE/>
        <w:autoSpaceDN/>
        <w:snapToGrid w:val="0"/>
        <w:spacing w:line="440" w:lineRule="exact"/>
        <w:jc w:val="center"/>
        <w:rPr>
          <w:rFonts w:ascii="Times New Roman"/>
          <w:b/>
          <w:snapToGrid w:val="0"/>
          <w:color w:val="auto"/>
          <w:sz w:val="32"/>
          <w:szCs w:val="22"/>
          <w:highlight w:val="none"/>
        </w:rPr>
      </w:pPr>
      <w:bookmarkStart w:id="296" w:name="_Toc23308"/>
      <w:r>
        <w:rPr>
          <w:rFonts w:hint="eastAsia" w:ascii="Times New Roman"/>
          <w:b/>
          <w:snapToGrid w:val="0"/>
          <w:color w:val="auto"/>
          <w:sz w:val="32"/>
          <w:szCs w:val="22"/>
          <w:highlight w:val="none"/>
        </w:rPr>
        <w:t xml:space="preserve">第五章 </w:t>
      </w:r>
      <w:bookmarkStart w:id="297" w:name="_Hlt75747044"/>
      <w:bookmarkEnd w:id="297"/>
      <w:r>
        <w:rPr>
          <w:rFonts w:hint="eastAsia" w:ascii="Times New Roman"/>
          <w:b/>
          <w:snapToGrid w:val="0"/>
          <w:color w:val="auto"/>
          <w:sz w:val="32"/>
          <w:szCs w:val="22"/>
          <w:highlight w:val="none"/>
        </w:rPr>
        <w:t>投标文件格式</w:t>
      </w:r>
      <w:bookmarkEnd w:id="271"/>
      <w:bookmarkEnd w:id="296"/>
    </w:p>
    <w:bookmarkEnd w:id="272"/>
    <w:p w14:paraId="7A6D8682">
      <w:pPr>
        <w:pStyle w:val="7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8" w:name="_附件五：综合评审合理低价法"/>
      <w:bookmarkEnd w:id="298"/>
      <w:bookmarkStart w:id="299" w:name="_附件二：近三年度主要施工项目（竣工及在建）一览表"/>
      <w:bookmarkEnd w:id="299"/>
      <w:bookmarkStart w:id="300" w:name="_附件二：工期承诺书"/>
      <w:bookmarkEnd w:id="300"/>
      <w:bookmarkStart w:id="301" w:name="_附件一：对招标文件条款自愿接受承诺书"/>
      <w:bookmarkEnd w:id="301"/>
      <w:bookmarkStart w:id="302" w:name="_附件四：工期承诺书"/>
      <w:bookmarkEnd w:id="302"/>
      <w:bookmarkStart w:id="303" w:name="_附件一：投标函"/>
      <w:bookmarkEnd w:id="303"/>
      <w:bookmarkStart w:id="304" w:name="_Toc200338097"/>
      <w:bookmarkStart w:id="305" w:name="_Toc137621693"/>
      <w:bookmarkStart w:id="306" w:name="_Toc66849200"/>
      <w:bookmarkStart w:id="307" w:name="_Hlt66847557"/>
    </w:p>
    <w:p w14:paraId="605BD047">
      <w:pPr>
        <w:pStyle w:val="7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8" w:name="_Toc63"/>
      <w:bookmarkStart w:id="309" w:name="_Toc3155"/>
      <w:r>
        <w:rPr>
          <w:rFonts w:hint="eastAsia" w:ascii="Times New Roman"/>
          <w:b/>
          <w:snapToGrid w:val="0"/>
          <w:color w:val="auto"/>
          <w:highlight w:val="none"/>
        </w:rPr>
        <w:t>格式一 封面</w:t>
      </w:r>
      <w:bookmarkEnd w:id="308"/>
      <w:bookmarkEnd w:id="309"/>
    </w:p>
    <w:p w14:paraId="5DF40F53">
      <w:pPr>
        <w:pStyle w:val="72"/>
        <w:widowControl w:val="0"/>
        <w:wordWrap w:val="0"/>
        <w:adjustRightInd w:val="0"/>
        <w:snapToGrid w:val="0"/>
        <w:spacing w:line="240" w:lineRule="auto"/>
        <w:rPr>
          <w:rFonts w:ascii="Times New Roman"/>
          <w:b/>
          <w:snapToGrid w:val="0"/>
          <w:color w:val="auto"/>
          <w:sz w:val="24"/>
          <w:highlight w:val="none"/>
        </w:rPr>
      </w:pPr>
    </w:p>
    <w:p w14:paraId="6FBB4A80">
      <w:pPr>
        <w:pStyle w:val="72"/>
        <w:widowControl w:val="0"/>
        <w:wordWrap w:val="0"/>
        <w:adjustRightInd w:val="0"/>
        <w:snapToGrid w:val="0"/>
        <w:spacing w:line="240" w:lineRule="auto"/>
        <w:jc w:val="right"/>
        <w:rPr>
          <w:rFonts w:ascii="Times New Roman"/>
          <w:b/>
          <w:snapToGrid w:val="0"/>
          <w:color w:val="auto"/>
          <w:sz w:val="24"/>
          <w:highlight w:val="none"/>
        </w:rPr>
      </w:pPr>
    </w:p>
    <w:p w14:paraId="59746A92">
      <w:pPr>
        <w:pStyle w:val="72"/>
        <w:widowControl w:val="0"/>
        <w:wordWrap w:val="0"/>
        <w:adjustRightInd w:val="0"/>
        <w:snapToGrid w:val="0"/>
        <w:spacing w:line="240" w:lineRule="auto"/>
        <w:rPr>
          <w:rFonts w:ascii="Times New Roman"/>
          <w:b/>
          <w:snapToGrid w:val="0"/>
          <w:color w:val="auto"/>
          <w:sz w:val="24"/>
          <w:highlight w:val="none"/>
        </w:rPr>
      </w:pPr>
    </w:p>
    <w:p w14:paraId="0294BCEE">
      <w:pPr>
        <w:pStyle w:val="72"/>
        <w:widowControl w:val="0"/>
        <w:wordWrap w:val="0"/>
        <w:adjustRightInd w:val="0"/>
        <w:snapToGrid w:val="0"/>
        <w:spacing w:line="240" w:lineRule="auto"/>
        <w:rPr>
          <w:rFonts w:ascii="Times New Roman"/>
          <w:b/>
          <w:snapToGrid w:val="0"/>
          <w:color w:val="auto"/>
          <w:sz w:val="24"/>
          <w:highlight w:val="none"/>
        </w:rPr>
      </w:pPr>
    </w:p>
    <w:p w14:paraId="7513099E">
      <w:pPr>
        <w:pStyle w:val="72"/>
        <w:widowControl w:val="0"/>
        <w:wordWrap w:val="0"/>
        <w:adjustRightInd w:val="0"/>
        <w:snapToGrid w:val="0"/>
        <w:spacing w:line="240" w:lineRule="auto"/>
        <w:rPr>
          <w:rFonts w:ascii="Times New Roman"/>
          <w:b/>
          <w:snapToGrid w:val="0"/>
          <w:color w:val="auto"/>
          <w:sz w:val="24"/>
          <w:highlight w:val="none"/>
        </w:rPr>
      </w:pPr>
    </w:p>
    <w:p w14:paraId="4875FFE9">
      <w:pPr>
        <w:pStyle w:val="72"/>
        <w:widowControl w:val="0"/>
        <w:wordWrap w:val="0"/>
        <w:adjustRightInd w:val="0"/>
        <w:snapToGrid w:val="0"/>
        <w:spacing w:line="240" w:lineRule="auto"/>
        <w:rPr>
          <w:rFonts w:ascii="Times New Roman"/>
          <w:b/>
          <w:snapToGrid w:val="0"/>
          <w:color w:val="auto"/>
          <w:sz w:val="24"/>
          <w:highlight w:val="none"/>
        </w:rPr>
      </w:pPr>
    </w:p>
    <w:p w14:paraId="2D9D39D4">
      <w:pPr>
        <w:pStyle w:val="72"/>
        <w:widowControl w:val="0"/>
        <w:wordWrap w:val="0"/>
        <w:adjustRightInd w:val="0"/>
        <w:snapToGrid w:val="0"/>
        <w:spacing w:line="240" w:lineRule="auto"/>
        <w:rPr>
          <w:rFonts w:ascii="Times New Roman"/>
          <w:b/>
          <w:snapToGrid w:val="0"/>
          <w:color w:val="auto"/>
          <w:sz w:val="24"/>
          <w:highlight w:val="none"/>
        </w:rPr>
      </w:pPr>
    </w:p>
    <w:p w14:paraId="5F4307BB">
      <w:pPr>
        <w:pStyle w:val="72"/>
        <w:widowControl w:val="0"/>
        <w:wordWrap w:val="0"/>
        <w:adjustRightInd w:val="0"/>
        <w:snapToGrid w:val="0"/>
        <w:spacing w:line="240" w:lineRule="auto"/>
        <w:rPr>
          <w:rFonts w:ascii="Times New Roman"/>
          <w:b/>
          <w:snapToGrid w:val="0"/>
          <w:color w:val="auto"/>
          <w:sz w:val="24"/>
          <w:highlight w:val="none"/>
        </w:rPr>
      </w:pPr>
    </w:p>
    <w:p w14:paraId="0005A7BA">
      <w:pPr>
        <w:pStyle w:val="72"/>
        <w:widowControl w:val="0"/>
        <w:wordWrap w:val="0"/>
        <w:adjustRightInd w:val="0"/>
        <w:snapToGrid w:val="0"/>
        <w:spacing w:line="240" w:lineRule="auto"/>
        <w:rPr>
          <w:rFonts w:ascii="Times New Roman"/>
          <w:b/>
          <w:snapToGrid w:val="0"/>
          <w:color w:val="auto"/>
          <w:sz w:val="24"/>
          <w:highlight w:val="none"/>
        </w:rPr>
      </w:pPr>
    </w:p>
    <w:p w14:paraId="38D03B0C">
      <w:pPr>
        <w:pStyle w:val="72"/>
        <w:widowControl w:val="0"/>
        <w:wordWrap w:val="0"/>
        <w:adjustRightInd w:val="0"/>
        <w:snapToGrid w:val="0"/>
        <w:spacing w:line="240" w:lineRule="auto"/>
        <w:rPr>
          <w:rFonts w:ascii="Times New Roman"/>
          <w:b/>
          <w:snapToGrid w:val="0"/>
          <w:color w:val="auto"/>
          <w:sz w:val="24"/>
          <w:highlight w:val="none"/>
        </w:rPr>
      </w:pPr>
    </w:p>
    <w:p w14:paraId="01F56212">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2"/>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r>
        <w:rPr>
          <w:rFonts w:hint="eastAsia" w:ascii="Times New Roman"/>
          <w:b/>
          <w:snapToGrid w:val="0"/>
          <w:color w:val="auto"/>
          <w:sz w:val="48"/>
          <w:szCs w:val="48"/>
          <w:highlight w:val="none"/>
          <w:lang w:val="en-US" w:eastAsia="zh-CN"/>
        </w:rPr>
        <w:t>定标文件</w:t>
      </w:r>
      <w:r>
        <w:rPr>
          <w:rFonts w:hint="eastAsia" w:ascii="Times New Roman"/>
          <w:b/>
          <w:snapToGrid w:val="0"/>
          <w:color w:val="auto"/>
          <w:sz w:val="48"/>
          <w:szCs w:val="48"/>
          <w:highlight w:val="none"/>
        </w:rPr>
        <w:t>）</w:t>
      </w:r>
    </w:p>
    <w:p w14:paraId="21D0A39E">
      <w:pPr>
        <w:pStyle w:val="72"/>
        <w:widowControl w:val="0"/>
        <w:wordWrap w:val="0"/>
        <w:adjustRightInd w:val="0"/>
        <w:snapToGrid w:val="0"/>
        <w:spacing w:line="240" w:lineRule="auto"/>
        <w:rPr>
          <w:rFonts w:ascii="Times New Roman"/>
          <w:b/>
          <w:snapToGrid w:val="0"/>
          <w:color w:val="auto"/>
          <w:highlight w:val="none"/>
        </w:rPr>
      </w:pPr>
    </w:p>
    <w:p w14:paraId="47BA86B9">
      <w:pPr>
        <w:pStyle w:val="72"/>
        <w:widowControl w:val="0"/>
        <w:wordWrap w:val="0"/>
        <w:adjustRightInd w:val="0"/>
        <w:snapToGrid w:val="0"/>
        <w:spacing w:line="240" w:lineRule="auto"/>
        <w:rPr>
          <w:rFonts w:ascii="Times New Roman"/>
          <w:b/>
          <w:snapToGrid w:val="0"/>
          <w:color w:val="auto"/>
          <w:sz w:val="32"/>
          <w:highlight w:val="none"/>
        </w:rPr>
      </w:pPr>
    </w:p>
    <w:p w14:paraId="65C3F1D5">
      <w:pPr>
        <w:pStyle w:val="72"/>
        <w:widowControl w:val="0"/>
        <w:wordWrap w:val="0"/>
        <w:adjustRightInd w:val="0"/>
        <w:snapToGrid w:val="0"/>
        <w:spacing w:line="240" w:lineRule="auto"/>
        <w:rPr>
          <w:rFonts w:ascii="Times New Roman"/>
          <w:b/>
          <w:snapToGrid w:val="0"/>
          <w:color w:val="auto"/>
          <w:sz w:val="32"/>
          <w:highlight w:val="none"/>
        </w:rPr>
      </w:pPr>
    </w:p>
    <w:p w14:paraId="04CF17A0">
      <w:pPr>
        <w:pStyle w:val="72"/>
        <w:widowControl w:val="0"/>
        <w:wordWrap w:val="0"/>
        <w:adjustRightInd w:val="0"/>
        <w:snapToGrid w:val="0"/>
        <w:spacing w:line="240" w:lineRule="auto"/>
        <w:rPr>
          <w:rFonts w:ascii="Times New Roman"/>
          <w:b/>
          <w:snapToGrid w:val="0"/>
          <w:color w:val="auto"/>
          <w:sz w:val="32"/>
          <w:highlight w:val="none"/>
        </w:rPr>
      </w:pPr>
    </w:p>
    <w:p w14:paraId="70B9E93C">
      <w:pPr>
        <w:pStyle w:val="72"/>
        <w:widowControl w:val="0"/>
        <w:wordWrap w:val="0"/>
        <w:adjustRightInd w:val="0"/>
        <w:snapToGrid w:val="0"/>
        <w:spacing w:line="240" w:lineRule="auto"/>
        <w:rPr>
          <w:rFonts w:ascii="Times New Roman"/>
          <w:b/>
          <w:snapToGrid w:val="0"/>
          <w:color w:val="auto"/>
          <w:sz w:val="32"/>
          <w:highlight w:val="none"/>
        </w:rPr>
      </w:pPr>
    </w:p>
    <w:p w14:paraId="1ECCE2FB">
      <w:pPr>
        <w:pStyle w:val="72"/>
        <w:widowControl w:val="0"/>
        <w:wordWrap w:val="0"/>
        <w:adjustRightInd w:val="0"/>
        <w:snapToGrid w:val="0"/>
        <w:spacing w:line="240" w:lineRule="auto"/>
        <w:rPr>
          <w:rFonts w:ascii="Times New Roman"/>
          <w:b/>
          <w:snapToGrid w:val="0"/>
          <w:color w:val="auto"/>
          <w:sz w:val="32"/>
          <w:highlight w:val="none"/>
        </w:rPr>
      </w:pPr>
    </w:p>
    <w:p w14:paraId="1EB2808C">
      <w:pPr>
        <w:pStyle w:val="72"/>
        <w:widowControl w:val="0"/>
        <w:wordWrap w:val="0"/>
        <w:adjustRightInd w:val="0"/>
        <w:snapToGrid w:val="0"/>
        <w:spacing w:line="240" w:lineRule="auto"/>
        <w:rPr>
          <w:rFonts w:ascii="Times New Roman"/>
          <w:b/>
          <w:snapToGrid w:val="0"/>
          <w:color w:val="auto"/>
          <w:sz w:val="32"/>
          <w:highlight w:val="none"/>
        </w:rPr>
      </w:pPr>
    </w:p>
    <w:p w14:paraId="759F596E">
      <w:pPr>
        <w:pStyle w:val="72"/>
        <w:widowControl w:val="0"/>
        <w:wordWrap w:val="0"/>
        <w:adjustRightInd w:val="0"/>
        <w:snapToGrid w:val="0"/>
        <w:spacing w:line="240" w:lineRule="auto"/>
        <w:rPr>
          <w:rFonts w:ascii="Times New Roman"/>
          <w:b/>
          <w:snapToGrid w:val="0"/>
          <w:color w:val="auto"/>
          <w:sz w:val="32"/>
          <w:highlight w:val="none"/>
        </w:rPr>
      </w:pPr>
    </w:p>
    <w:p w14:paraId="146D5E17">
      <w:pPr>
        <w:pStyle w:val="72"/>
        <w:widowControl w:val="0"/>
        <w:wordWrap w:val="0"/>
        <w:adjustRightInd w:val="0"/>
        <w:snapToGrid w:val="0"/>
        <w:spacing w:line="240" w:lineRule="auto"/>
        <w:rPr>
          <w:rFonts w:ascii="Times New Roman"/>
          <w:b/>
          <w:snapToGrid w:val="0"/>
          <w:color w:val="auto"/>
          <w:sz w:val="32"/>
          <w:highlight w:val="none"/>
        </w:rPr>
      </w:pPr>
    </w:p>
    <w:p w14:paraId="6742C860">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2"/>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2"/>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2"/>
        <w:widowControl w:val="0"/>
        <w:wordWrap w:val="0"/>
        <w:adjustRightInd w:val="0"/>
        <w:snapToGrid w:val="0"/>
        <w:rPr>
          <w:rFonts w:ascii="Times New Roman"/>
          <w:b/>
          <w:snapToGrid w:val="0"/>
          <w:color w:val="auto"/>
          <w:highlight w:val="none"/>
        </w:rPr>
      </w:pPr>
    </w:p>
    <w:p w14:paraId="60968DD1">
      <w:pPr>
        <w:pStyle w:val="72"/>
        <w:widowControl w:val="0"/>
        <w:wordWrap w:val="0"/>
        <w:adjustRightInd w:val="0"/>
        <w:snapToGrid w:val="0"/>
        <w:rPr>
          <w:rFonts w:ascii="Times New Roman"/>
          <w:b/>
          <w:snapToGrid w:val="0"/>
          <w:color w:val="auto"/>
          <w:highlight w:val="none"/>
        </w:rPr>
      </w:pPr>
    </w:p>
    <w:p w14:paraId="20B8FB5C">
      <w:pPr>
        <w:pStyle w:val="72"/>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auto"/>
          <w:highlight w:val="none"/>
        </w:rPr>
      </w:pPr>
      <w:bookmarkStart w:id="310" w:name="_Toc25707"/>
      <w:bookmarkStart w:id="311" w:name="_Toc21838"/>
      <w:bookmarkStart w:id="312" w:name="_Toc104711098"/>
      <w:bookmarkStart w:id="313" w:name="_Toc106418843"/>
      <w:r>
        <w:rPr>
          <w:rFonts w:hint="eastAsia" w:ascii="Times New Roman"/>
          <w:b/>
          <w:snapToGrid w:val="0"/>
          <w:color w:val="auto"/>
          <w:highlight w:val="none"/>
        </w:rPr>
        <w:t>格式</w:t>
      </w:r>
      <w:bookmarkStart w:id="314" w:name="_Hlt97526007"/>
      <w:bookmarkEnd w:id="314"/>
      <w:r>
        <w:rPr>
          <w:rFonts w:hint="eastAsia" w:ascii="Times New Roman"/>
          <w:b/>
          <w:snapToGrid w:val="0"/>
          <w:color w:val="auto"/>
          <w:highlight w:val="none"/>
        </w:rPr>
        <w:t>二 投标函</w:t>
      </w:r>
      <w:bookmarkEnd w:id="310"/>
      <w:bookmarkEnd w:id="311"/>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12"/>
      <w:bookmarkEnd w:id="313"/>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15" w:name="_Hlt68771070"/>
      <w:bookmarkEnd w:id="315"/>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2"/>
        <w:widowControl w:val="0"/>
        <w:wordWrap w:val="0"/>
        <w:adjustRightInd w:val="0"/>
        <w:snapToGrid w:val="0"/>
        <w:spacing w:line="400" w:lineRule="exact"/>
        <w:ind w:firstLine="0"/>
        <w:outlineLvl w:val="1"/>
        <w:rPr>
          <w:rFonts w:hAnsi="宋体" w:cs="宋体"/>
          <w:b/>
          <w:snapToGrid w:val="0"/>
          <w:color w:val="auto"/>
          <w:sz w:val="24"/>
          <w:highlight w:val="none"/>
        </w:rPr>
      </w:pPr>
      <w:bookmarkStart w:id="316" w:name="_Toc30600"/>
      <w:r>
        <w:rPr>
          <w:rFonts w:hint="eastAsia" w:hAnsi="宋体" w:cs="宋体"/>
          <w:b/>
          <w:snapToGrid w:val="0"/>
          <w:color w:val="auto"/>
          <w:sz w:val="24"/>
          <w:highlight w:val="none"/>
        </w:rPr>
        <w:t>格式三 各项承诺一览表</w:t>
      </w:r>
      <w:bookmarkEnd w:id="316"/>
    </w:p>
    <w:p w14:paraId="20B05016">
      <w:pPr>
        <w:pStyle w:val="71"/>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7" w:name="_Toc24548"/>
      <w:bookmarkStart w:id="318" w:name="_Toc11270"/>
      <w:bookmarkStart w:id="319" w:name="_Toc7685"/>
      <w:bookmarkStart w:id="320" w:name="_Toc18253"/>
      <w:bookmarkStart w:id="321" w:name="_Toc27092"/>
      <w:r>
        <w:rPr>
          <w:rFonts w:hint="eastAsia" w:hAnsi="宋体" w:cs="宋体"/>
          <w:b/>
          <w:snapToGrid w:val="0"/>
          <w:color w:val="auto"/>
          <w:sz w:val="30"/>
          <w:highlight w:val="none"/>
        </w:rPr>
        <w:t>各项承诺一览表</w:t>
      </w:r>
      <w:bookmarkEnd w:id="317"/>
      <w:bookmarkEnd w:id="318"/>
      <w:bookmarkEnd w:id="319"/>
      <w:bookmarkEnd w:id="320"/>
      <w:bookmarkEnd w:id="321"/>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3"/>
        <w:wordWrap w:val="0"/>
        <w:adjustRightInd w:val="0"/>
        <w:snapToGrid w:val="0"/>
        <w:spacing w:line="420" w:lineRule="exact"/>
        <w:jc w:val="left"/>
        <w:rPr>
          <w:rFonts w:hAnsi="宋体" w:cs="宋体"/>
          <w:snapToGrid w:val="0"/>
          <w:color w:val="auto"/>
          <w:kern w:val="0"/>
          <w:highlight w:val="none"/>
        </w:rPr>
      </w:pPr>
    </w:p>
    <w:p w14:paraId="4B6FF6DB">
      <w:pPr>
        <w:pStyle w:val="73"/>
        <w:wordWrap w:val="0"/>
        <w:adjustRightInd w:val="0"/>
        <w:snapToGrid w:val="0"/>
        <w:spacing w:line="420" w:lineRule="exact"/>
        <w:jc w:val="left"/>
        <w:rPr>
          <w:rFonts w:hAnsi="宋体" w:cs="宋体"/>
          <w:snapToGrid w:val="0"/>
          <w:color w:val="auto"/>
          <w:kern w:val="0"/>
          <w:highlight w:val="none"/>
        </w:rPr>
      </w:pPr>
    </w:p>
    <w:p w14:paraId="148553C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7"/>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7"/>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22" w:name="_Toc3697"/>
      <w:r>
        <w:rPr>
          <w:rFonts w:hint="eastAsia" w:hAnsi="宋体" w:cs="宋体"/>
          <w:b/>
          <w:bCs/>
          <w:snapToGrid w:val="0"/>
          <w:color w:val="auto"/>
          <w:kern w:val="0"/>
          <w:szCs w:val="24"/>
          <w:highlight w:val="none"/>
        </w:rPr>
        <w:t>格式四 授权委托书</w:t>
      </w:r>
      <w:bookmarkEnd w:id="322"/>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23" w:name="_Toc12713"/>
      <w:r>
        <w:rPr>
          <w:rFonts w:hint="eastAsia" w:hAnsi="宋体" w:cs="宋体"/>
          <w:b/>
          <w:snapToGrid w:val="0"/>
          <w:color w:val="auto"/>
          <w:kern w:val="0"/>
          <w:highlight w:val="none"/>
        </w:rPr>
        <w:t>格式五 法定代表人身份证明</w:t>
      </w:r>
      <w:bookmarkEnd w:id="323"/>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24" w:name="_Toc17939"/>
      <w:r>
        <w:rPr>
          <w:rFonts w:hint="eastAsia" w:hAnsi="宋体" w:cs="宋体"/>
          <w:b/>
          <w:bCs/>
          <w:snapToGrid w:val="0"/>
          <w:color w:val="auto"/>
          <w:kern w:val="0"/>
          <w:szCs w:val="24"/>
          <w:highlight w:val="none"/>
        </w:rPr>
        <w:t>格式六 投标人基本情况表</w:t>
      </w:r>
      <w:bookmarkEnd w:id="324"/>
    </w:p>
    <w:p w14:paraId="3C45457B">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6"/>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6"/>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6"/>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6"/>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6"/>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6"/>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6"/>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6"/>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6"/>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6"/>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6"/>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6"/>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6"/>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6"/>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6"/>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6"/>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6"/>
              <w:wordWrap w:val="0"/>
              <w:adjustRightInd w:val="0"/>
              <w:snapToGrid w:val="0"/>
              <w:jc w:val="center"/>
              <w:rPr>
                <w:rFonts w:ascii="宋体" w:hAnsi="宋体" w:cs="宋体"/>
                <w:snapToGrid w:val="0"/>
                <w:color w:val="auto"/>
                <w:kern w:val="0"/>
                <w:szCs w:val="21"/>
                <w:highlight w:val="none"/>
              </w:rPr>
            </w:pPr>
          </w:p>
        </w:tc>
      </w:tr>
    </w:tbl>
    <w:p w14:paraId="31CF04E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2"/>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25" w:name="_Toc11472"/>
      <w:r>
        <w:rPr>
          <w:rFonts w:hint="eastAsia" w:hAnsi="宋体" w:cs="宋体"/>
          <w:b/>
          <w:snapToGrid w:val="0"/>
          <w:color w:val="auto"/>
          <w:kern w:val="0"/>
          <w:highlight w:val="none"/>
        </w:rPr>
        <w:t>格式七  总监理工程师任职声明（适用于无任职项目）</w:t>
      </w:r>
      <w:bookmarkEnd w:id="325"/>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26" w:name="_Toc29211"/>
      <w:r>
        <w:rPr>
          <w:rFonts w:hint="eastAsia" w:hAnsi="宋体" w:cs="宋体"/>
          <w:b/>
          <w:snapToGrid w:val="0"/>
          <w:color w:val="auto"/>
          <w:kern w:val="0"/>
          <w:highlight w:val="none"/>
        </w:rPr>
        <w:t>格式八 总监理工程师任职声明（适用于有任职项目）</w:t>
      </w:r>
      <w:bookmarkEnd w:id="326"/>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7" w:name="_Toc17768"/>
      <w:r>
        <w:rPr>
          <w:rFonts w:hint="eastAsia" w:hAnsi="宋体" w:cs="宋体"/>
          <w:b/>
          <w:bCs/>
          <w:snapToGrid w:val="0"/>
          <w:color w:val="auto"/>
          <w:kern w:val="0"/>
          <w:szCs w:val="24"/>
          <w:highlight w:val="none"/>
        </w:rPr>
        <w:t>格式九 总监理工程师任职项目情况表</w:t>
      </w:r>
      <w:bookmarkEnd w:id="327"/>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6"/>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6"/>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6"/>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6"/>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6"/>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6"/>
              <w:adjustRightInd w:val="0"/>
              <w:snapToGrid w:val="0"/>
              <w:spacing w:line="360" w:lineRule="auto"/>
              <w:rPr>
                <w:rFonts w:ascii="宋体" w:hAnsi="宋体" w:cs="宋体"/>
                <w:snapToGrid w:val="0"/>
                <w:color w:val="auto"/>
                <w:kern w:val="0"/>
                <w:szCs w:val="21"/>
                <w:highlight w:val="none"/>
              </w:rPr>
            </w:pPr>
          </w:p>
          <w:p w14:paraId="602D8050">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6"/>
              <w:adjustRightInd w:val="0"/>
              <w:snapToGrid w:val="0"/>
              <w:spacing w:line="360" w:lineRule="auto"/>
              <w:rPr>
                <w:rFonts w:ascii="宋体" w:hAnsi="宋体" w:cs="宋体"/>
                <w:snapToGrid w:val="0"/>
                <w:color w:val="auto"/>
                <w:kern w:val="0"/>
                <w:szCs w:val="21"/>
                <w:highlight w:val="none"/>
              </w:rPr>
            </w:pPr>
          </w:p>
          <w:p w14:paraId="2DED7437">
            <w:pPr>
              <w:pStyle w:val="136"/>
              <w:adjustRightInd w:val="0"/>
              <w:snapToGrid w:val="0"/>
              <w:spacing w:line="360" w:lineRule="auto"/>
              <w:rPr>
                <w:rFonts w:ascii="宋体" w:hAnsi="宋体" w:cs="宋体"/>
                <w:snapToGrid w:val="0"/>
                <w:color w:val="auto"/>
                <w:kern w:val="0"/>
                <w:szCs w:val="21"/>
                <w:highlight w:val="none"/>
              </w:rPr>
            </w:pPr>
          </w:p>
          <w:p w14:paraId="599D977E">
            <w:pPr>
              <w:pStyle w:val="136"/>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6"/>
              <w:adjustRightInd w:val="0"/>
              <w:snapToGrid w:val="0"/>
              <w:spacing w:line="360" w:lineRule="auto"/>
              <w:jc w:val="right"/>
              <w:rPr>
                <w:rFonts w:ascii="宋体" w:hAnsi="宋体" w:cs="宋体"/>
                <w:snapToGrid w:val="0"/>
                <w:color w:val="auto"/>
                <w:kern w:val="0"/>
                <w:szCs w:val="21"/>
                <w:highlight w:val="none"/>
              </w:rPr>
            </w:pPr>
          </w:p>
          <w:p w14:paraId="36196D25">
            <w:pPr>
              <w:pStyle w:val="136"/>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8" w:name="_Toc29412"/>
      <w:bookmarkStart w:id="329" w:name="_Toc8264"/>
      <w:bookmarkStart w:id="330" w:name="_Toc200338098"/>
      <w:r>
        <w:rPr>
          <w:rFonts w:hint="eastAsia" w:hAnsi="宋体" w:cs="宋体"/>
          <w:b/>
          <w:snapToGrid w:val="0"/>
          <w:color w:val="auto"/>
          <w:kern w:val="0"/>
          <w:highlight w:val="none"/>
        </w:rPr>
        <w:t>格式</w:t>
      </w:r>
      <w:bookmarkStart w:id="331" w:name="_Hlt287950384"/>
      <w:bookmarkEnd w:id="331"/>
      <w:r>
        <w:rPr>
          <w:rFonts w:hint="eastAsia" w:hAnsi="宋体" w:cs="宋体"/>
          <w:b/>
          <w:bCs/>
          <w:snapToGrid w:val="0"/>
          <w:color w:val="auto"/>
          <w:kern w:val="0"/>
          <w:szCs w:val="24"/>
          <w:highlight w:val="none"/>
        </w:rPr>
        <w:t>十 项目监理机构组成人员汇总表</w:t>
      </w:r>
      <w:bookmarkEnd w:id="328"/>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32" w:name="_Hlt69116778"/>
        <w:bookmarkStart w:id="333" w:name="_附件十：单项工程费汇总表"/>
        <w:bookmarkStart w:id="334" w:name="_Hlt68774664"/>
        <w:bookmarkStart w:id="335" w:name="_附件二十五：综合评审合理低价法"/>
        <w:bookmarkStart w:id="336" w:name="_附件二十四：技术标提问单"/>
      </w:tr>
      <w:bookmarkEnd w:id="329"/>
      <w:bookmarkEnd w:id="330"/>
      <w:bookmarkEnd w:id="332"/>
      <w:bookmarkEnd w:id="333"/>
      <w:bookmarkEnd w:id="334"/>
      <w:bookmarkEnd w:id="335"/>
      <w:bookmarkEnd w:id="336"/>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2"/>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2"/>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04"/>
      <w:bookmarkEnd w:id="305"/>
      <w:bookmarkEnd w:id="306"/>
      <w:bookmarkEnd w:id="307"/>
    </w:p>
    <w:p w14:paraId="63F60130">
      <w:pPr>
        <w:pStyle w:val="148"/>
        <w:keepNext/>
        <w:keepLines/>
        <w:snapToGrid w:val="0"/>
        <w:spacing w:line="400" w:lineRule="exact"/>
        <w:jc w:val="both"/>
        <w:rPr>
          <w:rFonts w:ascii="宋体" w:hAnsi="宋体" w:cs="宋体"/>
          <w:b/>
          <w:bCs/>
          <w:snapToGrid w:val="0"/>
          <w:color w:val="auto"/>
          <w:highlight w:val="none"/>
        </w:rPr>
      </w:pPr>
      <w:bookmarkStart w:id="337" w:name="_Toc24916"/>
      <w:bookmarkStart w:id="338" w:name="_Toc379"/>
      <w:r>
        <w:rPr>
          <w:rFonts w:hint="eastAsia" w:ascii="宋体" w:hAnsi="宋体" w:cs="宋体"/>
          <w:b/>
          <w:bCs/>
          <w:snapToGrid w:val="0"/>
          <w:color w:val="auto"/>
          <w:highlight w:val="none"/>
        </w:rPr>
        <w:t>格式十一  总监理工程师简历表</w:t>
      </w:r>
      <w:bookmarkEnd w:id="337"/>
      <w:bookmarkEnd w:id="338"/>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3"/>
        <w:wordWrap w:val="0"/>
        <w:adjustRightInd w:val="0"/>
        <w:snapToGrid w:val="0"/>
        <w:spacing w:line="400" w:lineRule="exact"/>
        <w:jc w:val="right"/>
        <w:rPr>
          <w:rFonts w:hAnsi="宋体" w:cs="宋体"/>
          <w:snapToGrid w:val="0"/>
          <w:color w:val="auto"/>
          <w:kern w:val="0"/>
          <w:highlight w:val="none"/>
        </w:rPr>
      </w:pPr>
    </w:p>
    <w:p w14:paraId="5212B167">
      <w:pPr>
        <w:pStyle w:val="73"/>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3"/>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w:t>
      </w:r>
      <w:r>
        <w:rPr>
          <w:rFonts w:hint="eastAsia" w:hAnsi="宋体" w:cs="宋体"/>
          <w:caps w:val="0"/>
          <w:smallCaps w:val="0"/>
          <w:snapToGrid w:val="0"/>
          <w:color w:val="auto"/>
          <w:spacing w:val="0"/>
          <w:kern w:val="0"/>
          <w:sz w:val="21"/>
          <w:szCs w:val="28"/>
          <w:highlight w:val="none"/>
          <w:lang w:val="en-US" w:eastAsia="zh-CN"/>
        </w:rPr>
        <w:t>其中必须有2026年5月</w:t>
      </w:r>
      <w:r>
        <w:rPr>
          <w:rFonts w:hint="eastAsia" w:ascii="宋体" w:hAnsi="宋体" w:eastAsia="宋体" w:cs="宋体"/>
          <w:caps w:val="0"/>
          <w:smallCaps w:val="0"/>
          <w:snapToGrid w:val="0"/>
          <w:color w:val="auto"/>
          <w:spacing w:val="0"/>
          <w:kern w:val="0"/>
          <w:sz w:val="21"/>
          <w:szCs w:val="28"/>
          <w:highlight w:val="none"/>
          <w:lang w:val="en-US" w:eastAsia="zh-CN"/>
        </w:rPr>
        <w:t>）彩色扫描件。拟派总监理工程师为退休返聘人员无法提供社保证明的，提供退休证和劳动合同彩色扫描件；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9" w:name="_Toc19546"/>
      <w:r>
        <w:rPr>
          <w:rFonts w:hint="eastAsia" w:hAnsi="宋体" w:cs="宋体"/>
          <w:b/>
          <w:bCs/>
          <w:snapToGrid w:val="0"/>
          <w:color w:val="auto"/>
          <w:kern w:val="0"/>
          <w:szCs w:val="24"/>
          <w:highlight w:val="none"/>
        </w:rPr>
        <w:br w:type="page"/>
      </w:r>
    </w:p>
    <w:p w14:paraId="32B105E3">
      <w:pPr>
        <w:pStyle w:val="148"/>
        <w:keepNext/>
        <w:keepLines/>
        <w:snapToGrid w:val="0"/>
        <w:spacing w:line="400" w:lineRule="exact"/>
        <w:jc w:val="both"/>
        <w:rPr>
          <w:rFonts w:ascii="宋体" w:hAnsi="宋体" w:cs="宋体"/>
          <w:b/>
          <w:bCs/>
          <w:snapToGrid w:val="0"/>
          <w:color w:val="auto"/>
          <w:highlight w:val="none"/>
        </w:rPr>
      </w:pPr>
      <w:bookmarkStart w:id="340" w:name="_Toc10500"/>
      <w:r>
        <w:rPr>
          <w:rFonts w:hint="eastAsia" w:ascii="宋体" w:hAnsi="宋体" w:cs="宋体"/>
          <w:b/>
          <w:bCs/>
          <w:snapToGrid w:val="0"/>
          <w:color w:val="auto"/>
          <w:highlight w:val="none"/>
        </w:rPr>
        <w:t>格式十二  其他拟派人员简历表</w:t>
      </w:r>
      <w:bookmarkEnd w:id="339"/>
      <w:bookmarkEnd w:id="340"/>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3"/>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w:t>
      </w:r>
      <w:r>
        <w:rPr>
          <w:rFonts w:hint="eastAsia" w:hAnsi="宋体" w:cs="宋体"/>
          <w:caps w:val="0"/>
          <w:smallCaps w:val="0"/>
          <w:snapToGrid w:val="0"/>
          <w:color w:val="auto"/>
          <w:spacing w:val="0"/>
          <w:kern w:val="0"/>
          <w:sz w:val="21"/>
          <w:szCs w:val="28"/>
          <w:highlight w:val="none"/>
          <w:lang w:val="en-US" w:eastAsia="zh-CN"/>
        </w:rPr>
        <w:t>其中必须有2026年5月</w:t>
      </w:r>
      <w:r>
        <w:rPr>
          <w:rFonts w:hint="eastAsia" w:ascii="宋体" w:hAnsi="宋体" w:eastAsia="宋体" w:cs="宋体"/>
          <w:caps w:val="0"/>
          <w:smallCaps w:val="0"/>
          <w:snapToGrid w:val="0"/>
          <w:color w:val="auto"/>
          <w:spacing w:val="0"/>
          <w:kern w:val="0"/>
          <w:sz w:val="21"/>
          <w:szCs w:val="28"/>
          <w:highlight w:val="none"/>
          <w:lang w:val="en-US" w:eastAsia="zh-CN"/>
        </w:rPr>
        <w:t>）</w:t>
      </w:r>
      <w:r>
        <w:rPr>
          <w:rFonts w:hint="eastAsia" w:ascii="Times New Roman"/>
          <w:snapToGrid w:val="0"/>
          <w:color w:val="auto"/>
          <w:kern w:val="0"/>
          <w:sz w:val="21"/>
          <w:szCs w:val="28"/>
          <w:highlight w:val="none"/>
        </w:rPr>
        <w:t>彩色扫描件。</w:t>
      </w:r>
      <w:r>
        <w:rPr>
          <w:rFonts w:hint="eastAsia" w:ascii="宋体" w:hAnsi="宋体" w:eastAsia="宋体" w:cs="宋体"/>
          <w:caps w:val="0"/>
          <w:smallCaps w:val="0"/>
          <w:snapToGrid w:val="0"/>
          <w:color w:val="auto"/>
          <w:spacing w:val="0"/>
          <w:kern w:val="0"/>
          <w:sz w:val="21"/>
          <w:szCs w:val="28"/>
          <w:highlight w:val="none"/>
          <w:lang w:val="en-US" w:eastAsia="zh-CN"/>
        </w:rPr>
        <w:t>拟派</w:t>
      </w:r>
      <w:r>
        <w:rPr>
          <w:rFonts w:hint="eastAsia" w:hAnsi="宋体" w:cs="宋体"/>
          <w:caps w:val="0"/>
          <w:smallCaps w:val="0"/>
          <w:snapToGrid w:val="0"/>
          <w:color w:val="auto"/>
          <w:spacing w:val="0"/>
          <w:kern w:val="0"/>
          <w:sz w:val="21"/>
          <w:szCs w:val="28"/>
          <w:highlight w:val="none"/>
          <w:lang w:val="en-US" w:eastAsia="zh-CN"/>
        </w:rPr>
        <w:t>人员</w:t>
      </w:r>
      <w:r>
        <w:rPr>
          <w:rFonts w:hint="eastAsia" w:ascii="宋体" w:hAnsi="宋体" w:eastAsia="宋体" w:cs="宋体"/>
          <w:caps w:val="0"/>
          <w:smallCaps w:val="0"/>
          <w:snapToGrid w:val="0"/>
          <w:color w:val="auto"/>
          <w:spacing w:val="0"/>
          <w:kern w:val="0"/>
          <w:sz w:val="21"/>
          <w:szCs w:val="28"/>
          <w:highlight w:val="none"/>
          <w:lang w:val="en-US" w:eastAsia="zh-CN"/>
        </w:rPr>
        <w:t>为退休返聘人员无法提供社保证明的，提供退休证和劳动合同彩色扫描件；</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41" w:name="_Toc593"/>
      <w:bookmarkStart w:id="342" w:name="_Toc25312"/>
    </w:p>
    <w:p w14:paraId="4F5701AB">
      <w:pPr>
        <w:rPr>
          <w:color w:val="auto"/>
          <w:highlight w:val="none"/>
        </w:rPr>
      </w:pPr>
    </w:p>
    <w:p w14:paraId="0B0CC3A8">
      <w:pPr>
        <w:rPr>
          <w:color w:val="auto"/>
          <w:highlight w:val="none"/>
        </w:rPr>
      </w:pPr>
    </w:p>
    <w:p w14:paraId="0887FC9D">
      <w:pPr>
        <w:rPr>
          <w:color w:val="auto"/>
          <w:highlight w:val="none"/>
        </w:rPr>
      </w:pPr>
    </w:p>
    <w:p w14:paraId="4A3461BE">
      <w:pPr>
        <w:bidi w:val="0"/>
        <w:rPr>
          <w:color w:val="auto"/>
          <w:highlight w:val="none"/>
        </w:rPr>
      </w:pPr>
    </w:p>
    <w:p w14:paraId="20F0C669">
      <w:pPr>
        <w:pStyle w:val="3"/>
        <w:bidi w:val="0"/>
        <w:rPr>
          <w:rFonts w:hint="default"/>
          <w:b/>
          <w:bCs/>
          <w:color w:val="auto"/>
          <w:highlight w:val="none"/>
          <w:lang w:val="en-US" w:eastAsia="zh-CN"/>
        </w:rPr>
      </w:pPr>
      <w:bookmarkStart w:id="343" w:name="_Toc12078"/>
      <w:r>
        <w:rPr>
          <w:rFonts w:hint="eastAsia"/>
          <w:b/>
          <w:bCs/>
          <w:color w:val="auto"/>
          <w:highlight w:val="none"/>
          <w:lang w:val="en-US" w:eastAsia="zh-CN"/>
        </w:rPr>
        <w:t>格式十三 原件一览表</w:t>
      </w:r>
      <w:bookmarkEnd w:id="343"/>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2B3640DE">
      <w:pPr>
        <w:bidi w:val="0"/>
        <w:rPr>
          <w:color w:val="auto"/>
          <w:highlight w:val="none"/>
        </w:rPr>
      </w:pPr>
    </w:p>
    <w:p w14:paraId="1E5C483D">
      <w:pPr>
        <w:pStyle w:val="3"/>
        <w:bidi w:val="0"/>
        <w:rPr>
          <w:rFonts w:hint="default" w:ascii="宋体" w:hAnsi="Times New Roman" w:eastAsia="宋体" w:cs="Times New Roman"/>
          <w:b/>
          <w:bCs/>
          <w:color w:val="auto"/>
          <w:highlight w:val="none"/>
          <w:lang w:val="en-US" w:eastAsia="zh-CN"/>
        </w:rPr>
      </w:pPr>
      <w:bookmarkStart w:id="344" w:name="_Toc26582"/>
      <w:bookmarkStart w:id="345" w:name="_Toc591"/>
      <w:bookmarkStart w:id="346" w:name="_Toc20950"/>
      <w:r>
        <w:rPr>
          <w:rFonts w:hint="eastAsia" w:ascii="宋体" w:hAnsi="Times New Roman" w:eastAsia="宋体" w:cs="Times New Roman"/>
          <w:b/>
          <w:bCs/>
          <w:color w:val="auto"/>
          <w:highlight w:val="none"/>
          <w:lang w:val="en-US" w:eastAsia="zh-CN"/>
        </w:rPr>
        <w:t>格式十四 定标因素评审资料</w:t>
      </w:r>
      <w:bookmarkEnd w:id="344"/>
      <w:bookmarkEnd w:id="345"/>
      <w:bookmarkEnd w:id="346"/>
    </w:p>
    <w:p w14:paraId="24D780F8">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DF89F2">
      <w:pPr>
        <w:jc w:val="left"/>
        <w:rPr>
          <w:rFonts w:hint="eastAsia" w:ascii="宋体" w:hAnsi="宋体" w:eastAsia="宋体" w:cs="宋体"/>
          <w:color w:val="auto"/>
          <w:sz w:val="24"/>
          <w:highlight w:val="none"/>
          <w:lang w:eastAsia="zh-CN"/>
        </w:rPr>
      </w:pPr>
    </w:p>
    <w:p w14:paraId="430FF920">
      <w:pPr>
        <w:bidi w:val="0"/>
        <w:ind w:firstLine="560" w:firstLineChars="200"/>
        <w:rPr>
          <w:rFonts w:hint="eastAsia"/>
          <w:color w:val="auto"/>
          <w:highlight w:val="none"/>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7ADC733D">
      <w:pPr>
        <w:bidi w:val="0"/>
        <w:rPr>
          <w:color w:val="auto"/>
          <w:highlight w:val="none"/>
        </w:rPr>
      </w:pPr>
    </w:p>
    <w:p w14:paraId="62BBBD59">
      <w:pPr>
        <w:bidi w:val="0"/>
        <w:rPr>
          <w:color w:val="auto"/>
          <w:highlight w:val="none"/>
        </w:rPr>
      </w:pPr>
    </w:p>
    <w:p w14:paraId="5ABE802F">
      <w:pPr>
        <w:bidi w:val="0"/>
        <w:rPr>
          <w:color w:val="auto"/>
          <w:highlight w:val="none"/>
        </w:rPr>
      </w:pPr>
    </w:p>
    <w:p w14:paraId="52725042">
      <w:pPr>
        <w:bidi w:val="0"/>
        <w:rPr>
          <w:color w:val="auto"/>
          <w:highlight w:val="none"/>
        </w:rPr>
      </w:pPr>
    </w:p>
    <w:p w14:paraId="37C8388A">
      <w:pPr>
        <w:bidi w:val="0"/>
        <w:rPr>
          <w:color w:val="auto"/>
          <w:highlight w:val="none"/>
        </w:rPr>
      </w:pPr>
    </w:p>
    <w:p w14:paraId="11A8C02E">
      <w:pPr>
        <w:bidi w:val="0"/>
        <w:rPr>
          <w:color w:val="auto"/>
          <w:highlight w:val="none"/>
        </w:rPr>
      </w:pPr>
    </w:p>
    <w:p w14:paraId="2392D390">
      <w:pPr>
        <w:bidi w:val="0"/>
        <w:rPr>
          <w:color w:val="auto"/>
          <w:highlight w:val="none"/>
        </w:rPr>
      </w:pPr>
    </w:p>
    <w:p w14:paraId="6AC8BD70">
      <w:pPr>
        <w:bidi w:val="0"/>
        <w:rPr>
          <w:color w:val="auto"/>
          <w:highlight w:val="none"/>
        </w:rPr>
      </w:pPr>
    </w:p>
    <w:p w14:paraId="29FA3456">
      <w:pPr>
        <w:bidi w:val="0"/>
        <w:rPr>
          <w:color w:val="auto"/>
          <w:highlight w:val="none"/>
        </w:rPr>
      </w:pPr>
    </w:p>
    <w:p w14:paraId="6A29349A">
      <w:pPr>
        <w:bidi w:val="0"/>
        <w:rPr>
          <w:color w:val="auto"/>
          <w:highlight w:val="none"/>
        </w:rPr>
      </w:pPr>
    </w:p>
    <w:p w14:paraId="32CE6E86">
      <w:pPr>
        <w:bidi w:val="0"/>
        <w:rPr>
          <w:color w:val="auto"/>
          <w:highlight w:val="none"/>
        </w:rPr>
      </w:pPr>
    </w:p>
    <w:p w14:paraId="5E74C221">
      <w:pPr>
        <w:bidi w:val="0"/>
        <w:rPr>
          <w:color w:val="auto"/>
          <w:highlight w:val="none"/>
        </w:rPr>
      </w:pPr>
    </w:p>
    <w:p w14:paraId="4CF7A17E">
      <w:pPr>
        <w:bidi w:val="0"/>
        <w:rPr>
          <w:color w:val="auto"/>
          <w:highlight w:val="none"/>
        </w:rPr>
      </w:pPr>
    </w:p>
    <w:p w14:paraId="58D4A9FB">
      <w:pPr>
        <w:bidi w:val="0"/>
        <w:rPr>
          <w:color w:val="auto"/>
          <w:highlight w:val="none"/>
        </w:rPr>
      </w:pPr>
    </w:p>
    <w:p w14:paraId="46528A84">
      <w:pPr>
        <w:bidi w:val="0"/>
        <w:rPr>
          <w:color w:val="auto"/>
          <w:highlight w:val="none"/>
        </w:rPr>
      </w:pPr>
    </w:p>
    <w:p w14:paraId="5302C56F">
      <w:pPr>
        <w:bidi w:val="0"/>
        <w:rPr>
          <w:color w:val="auto"/>
          <w:highlight w:val="none"/>
        </w:rPr>
      </w:pPr>
    </w:p>
    <w:p w14:paraId="1CAB3E35">
      <w:pPr>
        <w:bidi w:val="0"/>
        <w:rPr>
          <w:color w:val="auto"/>
          <w:highlight w:val="none"/>
        </w:rPr>
      </w:pPr>
    </w:p>
    <w:p w14:paraId="365B93DB">
      <w:pPr>
        <w:bidi w:val="0"/>
        <w:rPr>
          <w:color w:val="auto"/>
          <w:highlight w:val="none"/>
        </w:rPr>
      </w:pPr>
    </w:p>
    <w:p w14:paraId="2B2AE304">
      <w:pPr>
        <w:bidi w:val="0"/>
        <w:rPr>
          <w:color w:val="auto"/>
          <w:highlight w:val="none"/>
        </w:rPr>
      </w:pPr>
    </w:p>
    <w:p w14:paraId="181109DD">
      <w:pPr>
        <w:bidi w:val="0"/>
        <w:rPr>
          <w:color w:val="auto"/>
          <w:highlight w:val="none"/>
        </w:rPr>
      </w:pPr>
    </w:p>
    <w:p w14:paraId="0357E4B1">
      <w:pPr>
        <w:bidi w:val="0"/>
        <w:rPr>
          <w:color w:val="auto"/>
          <w:highlight w:val="none"/>
        </w:rPr>
      </w:pPr>
    </w:p>
    <w:p w14:paraId="0CE5A8FC">
      <w:pPr>
        <w:bidi w:val="0"/>
        <w:rPr>
          <w:color w:val="auto"/>
          <w:highlight w:val="none"/>
        </w:rPr>
      </w:pPr>
    </w:p>
    <w:p w14:paraId="68831BDA">
      <w:pPr>
        <w:bidi w:val="0"/>
        <w:rPr>
          <w:color w:val="auto"/>
          <w:highlight w:val="none"/>
        </w:rPr>
      </w:pPr>
    </w:p>
    <w:p w14:paraId="05134154">
      <w:pPr>
        <w:bidi w:val="0"/>
        <w:rPr>
          <w:color w:val="auto"/>
          <w:highlight w:val="none"/>
        </w:rPr>
      </w:pPr>
    </w:p>
    <w:p w14:paraId="2E203DFC">
      <w:pPr>
        <w:bidi w:val="0"/>
        <w:rPr>
          <w:color w:val="auto"/>
          <w:highlight w:val="none"/>
        </w:rPr>
      </w:pPr>
    </w:p>
    <w:bookmarkEnd w:id="341"/>
    <w:bookmarkEnd w:id="342"/>
    <w:p w14:paraId="6FEFA5B3">
      <w:pPr>
        <w:pStyle w:val="149"/>
        <w:keepNext/>
        <w:keepLines/>
        <w:snapToGrid w:val="0"/>
        <w:spacing w:line="400" w:lineRule="exact"/>
        <w:jc w:val="center"/>
        <w:rPr>
          <w:rFonts w:ascii="宋体" w:hAnsi="宋体" w:cs="宋体"/>
          <w:b/>
          <w:color w:val="auto"/>
          <w:kern w:val="44"/>
          <w:sz w:val="32"/>
          <w:szCs w:val="22"/>
          <w:highlight w:val="none"/>
        </w:rPr>
      </w:pPr>
      <w:bookmarkStart w:id="347" w:name="_Toc137444778"/>
      <w:bookmarkStart w:id="348" w:name="_Toc1091"/>
      <w:bookmarkStart w:id="349" w:name="_Toc132687128"/>
      <w:bookmarkStart w:id="350" w:name="_Toc133160683"/>
      <w:bookmarkStart w:id="351" w:name="_Toc3174"/>
      <w:bookmarkStart w:id="352" w:name="_Toc142468134"/>
      <w:bookmarkStart w:id="353" w:name="_Toc13722"/>
      <w:bookmarkStart w:id="354" w:name="_Toc78794873"/>
      <w:bookmarkStart w:id="355" w:name="_Toc133815902"/>
      <w:r>
        <w:rPr>
          <w:rFonts w:hint="eastAsia" w:ascii="宋体" w:hAnsi="宋体" w:cs="宋体"/>
          <w:b/>
          <w:color w:val="auto"/>
          <w:kern w:val="44"/>
          <w:sz w:val="32"/>
          <w:szCs w:val="22"/>
          <w:highlight w:val="none"/>
        </w:rPr>
        <w:t>第六章 建设工程监理合同</w:t>
      </w:r>
      <w:bookmarkEnd w:id="347"/>
      <w:bookmarkEnd w:id="348"/>
      <w:bookmarkEnd w:id="349"/>
      <w:bookmarkEnd w:id="350"/>
      <w:bookmarkEnd w:id="351"/>
      <w:bookmarkEnd w:id="352"/>
      <w:bookmarkEnd w:id="353"/>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54"/>
      <w:bookmarkEnd w:id="355"/>
      <w:r>
        <w:rPr>
          <w:rFonts w:hint="eastAsia" w:hAnsi="宋体" w:cs="宋体"/>
          <w:snapToGrid w:val="0"/>
          <w:color w:val="auto"/>
          <w:kern w:val="0"/>
          <w:highlight w:val="none"/>
        </w:rPr>
        <w:t>按照《建设工程监理合同（示范文本）》（GF—2012—0202）执行。</w:t>
      </w:r>
    </w:p>
    <w:p w14:paraId="6CF11764">
      <w:pPr>
        <w:pStyle w:val="9"/>
        <w:snapToGrid w:val="0"/>
        <w:spacing w:line="400" w:lineRule="exact"/>
        <w:rPr>
          <w:rFonts w:hAnsi="宋体" w:cs="宋体"/>
          <w:snapToGrid w:val="0"/>
          <w:color w:val="auto"/>
          <w:highlight w:val="none"/>
        </w:rPr>
      </w:pPr>
    </w:p>
    <w:p w14:paraId="05AE5769">
      <w:pPr>
        <w:pStyle w:val="72"/>
        <w:widowControl w:val="0"/>
        <w:wordWrap w:val="0"/>
        <w:adjustRightInd w:val="0"/>
        <w:snapToGrid w:val="0"/>
        <w:spacing w:line="400" w:lineRule="exact"/>
        <w:ind w:firstLine="0"/>
        <w:rPr>
          <w:rFonts w:hAnsi="宋体" w:cs="宋体"/>
          <w:snapToGrid w:val="0"/>
          <w:color w:val="auto"/>
          <w:sz w:val="21"/>
          <w:highlight w:val="none"/>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09"/>
      <w:pBdr>
        <w:between w:val="none" w:color="auto" w:sz="0" w:space="0"/>
      </w:pBdr>
      <w:tabs>
        <w:tab w:val="left" w:pos="4803"/>
        <w:tab w:val="clear" w:pos="4153"/>
      </w:tabs>
      <w:rPr>
        <w:rFonts w:hint="eastAsia"/>
      </w:rPr>
    </w:pPr>
    <w:r>
      <w:rPr>
        <w:rFonts w:hint="eastAsia"/>
      </w:rPr>
      <w:tab/>
    </w:r>
  </w:p>
  <w:p w14:paraId="3881DEF1">
    <w:pPr>
      <w:pStyle w:val="10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6E5B4D"/>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08F9"/>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1067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C1416"/>
    <w:rsid w:val="07626CD1"/>
    <w:rsid w:val="076349FE"/>
    <w:rsid w:val="07BE1E2B"/>
    <w:rsid w:val="07CF4038"/>
    <w:rsid w:val="07F654CB"/>
    <w:rsid w:val="07F90245"/>
    <w:rsid w:val="08077FE9"/>
    <w:rsid w:val="08432B8E"/>
    <w:rsid w:val="085D1A1C"/>
    <w:rsid w:val="086557B5"/>
    <w:rsid w:val="0872069D"/>
    <w:rsid w:val="08767FD2"/>
    <w:rsid w:val="087D7F38"/>
    <w:rsid w:val="091B6406"/>
    <w:rsid w:val="0930374A"/>
    <w:rsid w:val="09702125"/>
    <w:rsid w:val="09B41737"/>
    <w:rsid w:val="09CA2D09"/>
    <w:rsid w:val="09E65669"/>
    <w:rsid w:val="09EA5159"/>
    <w:rsid w:val="09F5235C"/>
    <w:rsid w:val="0A0E69FD"/>
    <w:rsid w:val="0A1A6B67"/>
    <w:rsid w:val="0A3E54A5"/>
    <w:rsid w:val="0A570314"/>
    <w:rsid w:val="0A6523F4"/>
    <w:rsid w:val="0A685FB5"/>
    <w:rsid w:val="0A740EC6"/>
    <w:rsid w:val="0A9F6084"/>
    <w:rsid w:val="0AA53D1F"/>
    <w:rsid w:val="0B4006EB"/>
    <w:rsid w:val="0B6C7DF0"/>
    <w:rsid w:val="0B914627"/>
    <w:rsid w:val="0B9B6EF0"/>
    <w:rsid w:val="0B9E10B5"/>
    <w:rsid w:val="0B9E1CB0"/>
    <w:rsid w:val="0BBC2A29"/>
    <w:rsid w:val="0BC47C2C"/>
    <w:rsid w:val="0C0D7AE6"/>
    <w:rsid w:val="0CA02447"/>
    <w:rsid w:val="0CA20070"/>
    <w:rsid w:val="0CAA4063"/>
    <w:rsid w:val="0CC7733C"/>
    <w:rsid w:val="0CC80FED"/>
    <w:rsid w:val="0CD32A34"/>
    <w:rsid w:val="0CF12128"/>
    <w:rsid w:val="0D140105"/>
    <w:rsid w:val="0D2B0D04"/>
    <w:rsid w:val="0D364445"/>
    <w:rsid w:val="0D7E1192"/>
    <w:rsid w:val="0DB82B2F"/>
    <w:rsid w:val="0E0322E5"/>
    <w:rsid w:val="0E650489"/>
    <w:rsid w:val="0E75024E"/>
    <w:rsid w:val="0E8273DD"/>
    <w:rsid w:val="0E9438E5"/>
    <w:rsid w:val="0E954BA0"/>
    <w:rsid w:val="0EC544EB"/>
    <w:rsid w:val="0F177F3C"/>
    <w:rsid w:val="0F1B4006"/>
    <w:rsid w:val="0F1E7653"/>
    <w:rsid w:val="0F287BA3"/>
    <w:rsid w:val="0F3925E0"/>
    <w:rsid w:val="0F3B1552"/>
    <w:rsid w:val="0F823F1F"/>
    <w:rsid w:val="0FA1224B"/>
    <w:rsid w:val="0FAB1B4B"/>
    <w:rsid w:val="0FC147F0"/>
    <w:rsid w:val="0FC83017"/>
    <w:rsid w:val="0FDE143F"/>
    <w:rsid w:val="0FED49BA"/>
    <w:rsid w:val="103E1D5B"/>
    <w:rsid w:val="106141B0"/>
    <w:rsid w:val="106F6EDC"/>
    <w:rsid w:val="10BB100E"/>
    <w:rsid w:val="10CA0250"/>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3A47A4"/>
    <w:rsid w:val="1265442C"/>
    <w:rsid w:val="127C2803"/>
    <w:rsid w:val="127E10FD"/>
    <w:rsid w:val="12851648"/>
    <w:rsid w:val="128819B3"/>
    <w:rsid w:val="12884038"/>
    <w:rsid w:val="12C13398"/>
    <w:rsid w:val="12F876BF"/>
    <w:rsid w:val="13114669"/>
    <w:rsid w:val="131E22ED"/>
    <w:rsid w:val="132029E9"/>
    <w:rsid w:val="132F1E2E"/>
    <w:rsid w:val="13351019"/>
    <w:rsid w:val="135B72ED"/>
    <w:rsid w:val="136C6CCA"/>
    <w:rsid w:val="13841C28"/>
    <w:rsid w:val="139A08A3"/>
    <w:rsid w:val="13B3480E"/>
    <w:rsid w:val="13BE434A"/>
    <w:rsid w:val="13C925E9"/>
    <w:rsid w:val="13D87533"/>
    <w:rsid w:val="13E55A7C"/>
    <w:rsid w:val="13ED238A"/>
    <w:rsid w:val="144D28BE"/>
    <w:rsid w:val="14852625"/>
    <w:rsid w:val="14A11363"/>
    <w:rsid w:val="14AD3C82"/>
    <w:rsid w:val="14CC0800"/>
    <w:rsid w:val="14D507B4"/>
    <w:rsid w:val="14E82BDD"/>
    <w:rsid w:val="14FA0051"/>
    <w:rsid w:val="1530421B"/>
    <w:rsid w:val="15335E3C"/>
    <w:rsid w:val="154E749E"/>
    <w:rsid w:val="15585425"/>
    <w:rsid w:val="15632821"/>
    <w:rsid w:val="156E0438"/>
    <w:rsid w:val="159710CE"/>
    <w:rsid w:val="159D13D2"/>
    <w:rsid w:val="15FC7AD1"/>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55A22"/>
    <w:rsid w:val="17292082"/>
    <w:rsid w:val="17394FF8"/>
    <w:rsid w:val="174437BC"/>
    <w:rsid w:val="17A50E24"/>
    <w:rsid w:val="17DE305B"/>
    <w:rsid w:val="17EB6EF9"/>
    <w:rsid w:val="17EF123E"/>
    <w:rsid w:val="181E2472"/>
    <w:rsid w:val="186F67C2"/>
    <w:rsid w:val="18AC5722"/>
    <w:rsid w:val="18BA750B"/>
    <w:rsid w:val="18C03544"/>
    <w:rsid w:val="18D45DFC"/>
    <w:rsid w:val="18DD6311"/>
    <w:rsid w:val="19000928"/>
    <w:rsid w:val="19183BAB"/>
    <w:rsid w:val="192341E3"/>
    <w:rsid w:val="192856B3"/>
    <w:rsid w:val="19506374"/>
    <w:rsid w:val="19AB63C4"/>
    <w:rsid w:val="19BF64ED"/>
    <w:rsid w:val="1A0D6313"/>
    <w:rsid w:val="1A3810FE"/>
    <w:rsid w:val="1A3D0F0C"/>
    <w:rsid w:val="1A3F521F"/>
    <w:rsid w:val="1A501F1B"/>
    <w:rsid w:val="1A7C0E8F"/>
    <w:rsid w:val="1A9A0468"/>
    <w:rsid w:val="1ABE60EB"/>
    <w:rsid w:val="1AFB4481"/>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14C75"/>
    <w:rsid w:val="1C8F2794"/>
    <w:rsid w:val="1CAE7812"/>
    <w:rsid w:val="1CB20AFB"/>
    <w:rsid w:val="1CB751D0"/>
    <w:rsid w:val="1CB919A4"/>
    <w:rsid w:val="1CD83537"/>
    <w:rsid w:val="1CFC2D19"/>
    <w:rsid w:val="1D105D93"/>
    <w:rsid w:val="1D1E0445"/>
    <w:rsid w:val="1D215B00"/>
    <w:rsid w:val="1D270AE4"/>
    <w:rsid w:val="1D44283A"/>
    <w:rsid w:val="1D60342F"/>
    <w:rsid w:val="1D78009C"/>
    <w:rsid w:val="1D871C03"/>
    <w:rsid w:val="1D884CF0"/>
    <w:rsid w:val="1D8E0177"/>
    <w:rsid w:val="1DA3413D"/>
    <w:rsid w:val="1E170E52"/>
    <w:rsid w:val="1E543091"/>
    <w:rsid w:val="1E545B64"/>
    <w:rsid w:val="1E7B6870"/>
    <w:rsid w:val="1EC73280"/>
    <w:rsid w:val="1EFF124F"/>
    <w:rsid w:val="1F114792"/>
    <w:rsid w:val="1F444EB4"/>
    <w:rsid w:val="1F503858"/>
    <w:rsid w:val="1F8E7284"/>
    <w:rsid w:val="1FA6553A"/>
    <w:rsid w:val="1FB360E7"/>
    <w:rsid w:val="1FB873A4"/>
    <w:rsid w:val="1FF232DB"/>
    <w:rsid w:val="1FF45850"/>
    <w:rsid w:val="1FFC623F"/>
    <w:rsid w:val="201A430D"/>
    <w:rsid w:val="202D1235"/>
    <w:rsid w:val="203013AA"/>
    <w:rsid w:val="20327A15"/>
    <w:rsid w:val="206E565F"/>
    <w:rsid w:val="20C85CC2"/>
    <w:rsid w:val="20D364EF"/>
    <w:rsid w:val="20E97676"/>
    <w:rsid w:val="21002120"/>
    <w:rsid w:val="21295B5E"/>
    <w:rsid w:val="212D27FA"/>
    <w:rsid w:val="21746608"/>
    <w:rsid w:val="219E373C"/>
    <w:rsid w:val="21AF599B"/>
    <w:rsid w:val="21D0774F"/>
    <w:rsid w:val="223713D9"/>
    <w:rsid w:val="227B2B13"/>
    <w:rsid w:val="22A461F0"/>
    <w:rsid w:val="22C92E53"/>
    <w:rsid w:val="22E460C4"/>
    <w:rsid w:val="22FC4CE3"/>
    <w:rsid w:val="23187739"/>
    <w:rsid w:val="23291E8B"/>
    <w:rsid w:val="23437531"/>
    <w:rsid w:val="236457F5"/>
    <w:rsid w:val="236E081B"/>
    <w:rsid w:val="2387194A"/>
    <w:rsid w:val="238C2DA9"/>
    <w:rsid w:val="23E85901"/>
    <w:rsid w:val="241E63E6"/>
    <w:rsid w:val="24213A15"/>
    <w:rsid w:val="24372BE7"/>
    <w:rsid w:val="24390241"/>
    <w:rsid w:val="245105A4"/>
    <w:rsid w:val="245A0AF2"/>
    <w:rsid w:val="245C2F8D"/>
    <w:rsid w:val="249066DD"/>
    <w:rsid w:val="249F4E1D"/>
    <w:rsid w:val="24A00DDE"/>
    <w:rsid w:val="24E707BB"/>
    <w:rsid w:val="251C369C"/>
    <w:rsid w:val="25536401"/>
    <w:rsid w:val="2566287E"/>
    <w:rsid w:val="259A2AD2"/>
    <w:rsid w:val="25B75565"/>
    <w:rsid w:val="25FD1164"/>
    <w:rsid w:val="2612287C"/>
    <w:rsid w:val="26196704"/>
    <w:rsid w:val="26217CFD"/>
    <w:rsid w:val="26622FB7"/>
    <w:rsid w:val="26623C6C"/>
    <w:rsid w:val="26C86BA7"/>
    <w:rsid w:val="26E06C71"/>
    <w:rsid w:val="26EA0CB5"/>
    <w:rsid w:val="26F078EA"/>
    <w:rsid w:val="26FD55DC"/>
    <w:rsid w:val="27017996"/>
    <w:rsid w:val="273C36E8"/>
    <w:rsid w:val="2744740D"/>
    <w:rsid w:val="274B251F"/>
    <w:rsid w:val="274B5F1C"/>
    <w:rsid w:val="274C5507"/>
    <w:rsid w:val="274E67F3"/>
    <w:rsid w:val="275D27F4"/>
    <w:rsid w:val="27725362"/>
    <w:rsid w:val="27B17B22"/>
    <w:rsid w:val="27C923FA"/>
    <w:rsid w:val="281250A7"/>
    <w:rsid w:val="28131DB1"/>
    <w:rsid w:val="28251659"/>
    <w:rsid w:val="283C7070"/>
    <w:rsid w:val="284618DF"/>
    <w:rsid w:val="285E0F07"/>
    <w:rsid w:val="286F2FA1"/>
    <w:rsid w:val="289531DE"/>
    <w:rsid w:val="289A5396"/>
    <w:rsid w:val="28E47B36"/>
    <w:rsid w:val="29114FDA"/>
    <w:rsid w:val="291C1B2F"/>
    <w:rsid w:val="29234F87"/>
    <w:rsid w:val="29554B1B"/>
    <w:rsid w:val="29671ECA"/>
    <w:rsid w:val="298A6B2C"/>
    <w:rsid w:val="29B66A0D"/>
    <w:rsid w:val="29F05B24"/>
    <w:rsid w:val="29F179E6"/>
    <w:rsid w:val="2A350D3C"/>
    <w:rsid w:val="2A3A75DF"/>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CFD7C72"/>
    <w:rsid w:val="2D427EAD"/>
    <w:rsid w:val="2D9515C6"/>
    <w:rsid w:val="2DC826D3"/>
    <w:rsid w:val="2DEF1607"/>
    <w:rsid w:val="2DEF6D5D"/>
    <w:rsid w:val="2DF27D49"/>
    <w:rsid w:val="2DF803FC"/>
    <w:rsid w:val="2E0C16EA"/>
    <w:rsid w:val="2E910CDC"/>
    <w:rsid w:val="2EBD1EFD"/>
    <w:rsid w:val="2EC715D4"/>
    <w:rsid w:val="2F0B092E"/>
    <w:rsid w:val="2F1D4D98"/>
    <w:rsid w:val="2F4E3303"/>
    <w:rsid w:val="2F625641"/>
    <w:rsid w:val="2F692E79"/>
    <w:rsid w:val="2FA33530"/>
    <w:rsid w:val="2FBF699C"/>
    <w:rsid w:val="2FE51478"/>
    <w:rsid w:val="301C3E1D"/>
    <w:rsid w:val="303C6E79"/>
    <w:rsid w:val="30405223"/>
    <w:rsid w:val="304479DC"/>
    <w:rsid w:val="30564DF2"/>
    <w:rsid w:val="306B0278"/>
    <w:rsid w:val="308E63ED"/>
    <w:rsid w:val="30A77050"/>
    <w:rsid w:val="30BF65F3"/>
    <w:rsid w:val="30C16364"/>
    <w:rsid w:val="30C47C02"/>
    <w:rsid w:val="30F90DEB"/>
    <w:rsid w:val="315F570D"/>
    <w:rsid w:val="31615422"/>
    <w:rsid w:val="3163741B"/>
    <w:rsid w:val="316D2D7B"/>
    <w:rsid w:val="31E0281A"/>
    <w:rsid w:val="31E712E6"/>
    <w:rsid w:val="31F94C18"/>
    <w:rsid w:val="31FE12D4"/>
    <w:rsid w:val="322352A8"/>
    <w:rsid w:val="32364B30"/>
    <w:rsid w:val="32B271D3"/>
    <w:rsid w:val="32BA0022"/>
    <w:rsid w:val="33240E2C"/>
    <w:rsid w:val="332643F5"/>
    <w:rsid w:val="33791178"/>
    <w:rsid w:val="33CB12A8"/>
    <w:rsid w:val="33D267D7"/>
    <w:rsid w:val="33D66E83"/>
    <w:rsid w:val="33E82ECD"/>
    <w:rsid w:val="33E95E00"/>
    <w:rsid w:val="33F7209D"/>
    <w:rsid w:val="33FE7F5F"/>
    <w:rsid w:val="34022441"/>
    <w:rsid w:val="340D366E"/>
    <w:rsid w:val="3428064F"/>
    <w:rsid w:val="3460329E"/>
    <w:rsid w:val="34675E29"/>
    <w:rsid w:val="34BF2BBB"/>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171DC5"/>
    <w:rsid w:val="362F5B1E"/>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7EB23BA"/>
    <w:rsid w:val="37EE502E"/>
    <w:rsid w:val="38170F5F"/>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DDC2A2F"/>
    <w:rsid w:val="3E2D4876"/>
    <w:rsid w:val="3E570493"/>
    <w:rsid w:val="3E88226F"/>
    <w:rsid w:val="3EAD5AA8"/>
    <w:rsid w:val="3EBC63BD"/>
    <w:rsid w:val="3EDB4A95"/>
    <w:rsid w:val="3EE057E6"/>
    <w:rsid w:val="3F18690D"/>
    <w:rsid w:val="3F1B285B"/>
    <w:rsid w:val="3F2A3743"/>
    <w:rsid w:val="3F310B59"/>
    <w:rsid w:val="3F43243B"/>
    <w:rsid w:val="3F47212A"/>
    <w:rsid w:val="3F6A3CD5"/>
    <w:rsid w:val="3FC3432C"/>
    <w:rsid w:val="3FCB19D9"/>
    <w:rsid w:val="3FCB2D5B"/>
    <w:rsid w:val="3FE57C96"/>
    <w:rsid w:val="3FF81D2D"/>
    <w:rsid w:val="400B5793"/>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B94A9C"/>
    <w:rsid w:val="42FF5094"/>
    <w:rsid w:val="43202928"/>
    <w:rsid w:val="436C03B1"/>
    <w:rsid w:val="439653C4"/>
    <w:rsid w:val="43C7528C"/>
    <w:rsid w:val="43CB220C"/>
    <w:rsid w:val="445415FA"/>
    <w:rsid w:val="445B3984"/>
    <w:rsid w:val="445B5455"/>
    <w:rsid w:val="44943A7F"/>
    <w:rsid w:val="44DF70BA"/>
    <w:rsid w:val="450F631C"/>
    <w:rsid w:val="453971E4"/>
    <w:rsid w:val="453C54BE"/>
    <w:rsid w:val="45476363"/>
    <w:rsid w:val="456069C3"/>
    <w:rsid w:val="456D040C"/>
    <w:rsid w:val="463F7FFF"/>
    <w:rsid w:val="46484BFF"/>
    <w:rsid w:val="46512233"/>
    <w:rsid w:val="46540D24"/>
    <w:rsid w:val="46A737E8"/>
    <w:rsid w:val="46C14018"/>
    <w:rsid w:val="46C73076"/>
    <w:rsid w:val="46D07EE5"/>
    <w:rsid w:val="46E465A3"/>
    <w:rsid w:val="46F806BD"/>
    <w:rsid w:val="47043CAB"/>
    <w:rsid w:val="472705CE"/>
    <w:rsid w:val="4770626C"/>
    <w:rsid w:val="479A2C46"/>
    <w:rsid w:val="479C5136"/>
    <w:rsid w:val="47E06018"/>
    <w:rsid w:val="48653A64"/>
    <w:rsid w:val="48811B8A"/>
    <w:rsid w:val="48C43988"/>
    <w:rsid w:val="48E83E36"/>
    <w:rsid w:val="49345B93"/>
    <w:rsid w:val="494C4B08"/>
    <w:rsid w:val="49951EFC"/>
    <w:rsid w:val="499A26FB"/>
    <w:rsid w:val="49B026D9"/>
    <w:rsid w:val="49B722B7"/>
    <w:rsid w:val="49C15E4A"/>
    <w:rsid w:val="49D955C3"/>
    <w:rsid w:val="49ED65A4"/>
    <w:rsid w:val="4A307756"/>
    <w:rsid w:val="4A442B1E"/>
    <w:rsid w:val="4A4F33AF"/>
    <w:rsid w:val="4A6D7DCA"/>
    <w:rsid w:val="4A9910AB"/>
    <w:rsid w:val="4A992597"/>
    <w:rsid w:val="4A9B332A"/>
    <w:rsid w:val="4AD625B4"/>
    <w:rsid w:val="4AFF509B"/>
    <w:rsid w:val="4B1D284D"/>
    <w:rsid w:val="4B4014D1"/>
    <w:rsid w:val="4B5E2E2F"/>
    <w:rsid w:val="4B675E1C"/>
    <w:rsid w:val="4B7E32F5"/>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4A7CCC"/>
    <w:rsid w:val="504B329A"/>
    <w:rsid w:val="50510FED"/>
    <w:rsid w:val="50580297"/>
    <w:rsid w:val="50697817"/>
    <w:rsid w:val="506F6B37"/>
    <w:rsid w:val="5086682B"/>
    <w:rsid w:val="5090365A"/>
    <w:rsid w:val="51096E4A"/>
    <w:rsid w:val="51106525"/>
    <w:rsid w:val="511A6C71"/>
    <w:rsid w:val="512567F5"/>
    <w:rsid w:val="513C4D1D"/>
    <w:rsid w:val="514C3DAD"/>
    <w:rsid w:val="515047BA"/>
    <w:rsid w:val="515217CE"/>
    <w:rsid w:val="5157430C"/>
    <w:rsid w:val="51916F53"/>
    <w:rsid w:val="519B2DB4"/>
    <w:rsid w:val="51AA4C59"/>
    <w:rsid w:val="51AD182B"/>
    <w:rsid w:val="51CB4CC2"/>
    <w:rsid w:val="51D829D5"/>
    <w:rsid w:val="51ED0D38"/>
    <w:rsid w:val="51F31FFB"/>
    <w:rsid w:val="51FA103F"/>
    <w:rsid w:val="520170B1"/>
    <w:rsid w:val="524428F4"/>
    <w:rsid w:val="5247070E"/>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837CB"/>
    <w:rsid w:val="54723DA3"/>
    <w:rsid w:val="547A0454"/>
    <w:rsid w:val="548C2969"/>
    <w:rsid w:val="549624AE"/>
    <w:rsid w:val="54CF254E"/>
    <w:rsid w:val="55081F04"/>
    <w:rsid w:val="550B7745"/>
    <w:rsid w:val="554A42CB"/>
    <w:rsid w:val="55607267"/>
    <w:rsid w:val="556421BF"/>
    <w:rsid w:val="55676BB4"/>
    <w:rsid w:val="55835251"/>
    <w:rsid w:val="55913CA7"/>
    <w:rsid w:val="55CC6A83"/>
    <w:rsid w:val="560E3249"/>
    <w:rsid w:val="56186177"/>
    <w:rsid w:val="561B7A15"/>
    <w:rsid w:val="56293EE0"/>
    <w:rsid w:val="563F3703"/>
    <w:rsid w:val="56643F7B"/>
    <w:rsid w:val="56821842"/>
    <w:rsid w:val="569F0646"/>
    <w:rsid w:val="56B45E9F"/>
    <w:rsid w:val="56D3302D"/>
    <w:rsid w:val="56D973CF"/>
    <w:rsid w:val="56FC63ED"/>
    <w:rsid w:val="57035F7F"/>
    <w:rsid w:val="570E4942"/>
    <w:rsid w:val="573222F5"/>
    <w:rsid w:val="5737262D"/>
    <w:rsid w:val="579A0B0F"/>
    <w:rsid w:val="57A62FDE"/>
    <w:rsid w:val="57BA102C"/>
    <w:rsid w:val="57DD6DD0"/>
    <w:rsid w:val="582A366D"/>
    <w:rsid w:val="585169D2"/>
    <w:rsid w:val="585C225A"/>
    <w:rsid w:val="5861548F"/>
    <w:rsid w:val="586E664B"/>
    <w:rsid w:val="58861256"/>
    <w:rsid w:val="58D03F93"/>
    <w:rsid w:val="59016B9E"/>
    <w:rsid w:val="595963DC"/>
    <w:rsid w:val="595A456A"/>
    <w:rsid w:val="59607A95"/>
    <w:rsid w:val="59964FFE"/>
    <w:rsid w:val="59C4137C"/>
    <w:rsid w:val="59DB6FF7"/>
    <w:rsid w:val="59E20C6B"/>
    <w:rsid w:val="5A2515C6"/>
    <w:rsid w:val="5A2E66EC"/>
    <w:rsid w:val="5A395940"/>
    <w:rsid w:val="5A402FFF"/>
    <w:rsid w:val="5A513553"/>
    <w:rsid w:val="5A7632E8"/>
    <w:rsid w:val="5A782BA3"/>
    <w:rsid w:val="5A7F7348"/>
    <w:rsid w:val="5A8329E1"/>
    <w:rsid w:val="5A8D4028"/>
    <w:rsid w:val="5A976D2B"/>
    <w:rsid w:val="5A9B5D67"/>
    <w:rsid w:val="5AD059E8"/>
    <w:rsid w:val="5AE92B8E"/>
    <w:rsid w:val="5B075A06"/>
    <w:rsid w:val="5B153530"/>
    <w:rsid w:val="5B3168E5"/>
    <w:rsid w:val="5B4C3B08"/>
    <w:rsid w:val="5B520207"/>
    <w:rsid w:val="5B600DA7"/>
    <w:rsid w:val="5B6D574D"/>
    <w:rsid w:val="5B8338B0"/>
    <w:rsid w:val="5B885B4D"/>
    <w:rsid w:val="5BFB6474"/>
    <w:rsid w:val="5C0D7037"/>
    <w:rsid w:val="5C2A7DE1"/>
    <w:rsid w:val="5C6829AF"/>
    <w:rsid w:val="5C6D1843"/>
    <w:rsid w:val="5C806B92"/>
    <w:rsid w:val="5C8E21D6"/>
    <w:rsid w:val="5C8F1D6F"/>
    <w:rsid w:val="5C9F5B4C"/>
    <w:rsid w:val="5CAC586B"/>
    <w:rsid w:val="5CF26970"/>
    <w:rsid w:val="5D1860EA"/>
    <w:rsid w:val="5D2D075A"/>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8661B"/>
    <w:rsid w:val="5FAB7FB5"/>
    <w:rsid w:val="5FAD2544"/>
    <w:rsid w:val="5FB66017"/>
    <w:rsid w:val="5FFE29B9"/>
    <w:rsid w:val="60786190"/>
    <w:rsid w:val="608E7761"/>
    <w:rsid w:val="60915473"/>
    <w:rsid w:val="6092153B"/>
    <w:rsid w:val="609B683C"/>
    <w:rsid w:val="60A00576"/>
    <w:rsid w:val="60A531C7"/>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F57B08"/>
    <w:rsid w:val="6303429D"/>
    <w:rsid w:val="631A2E6B"/>
    <w:rsid w:val="63205356"/>
    <w:rsid w:val="63424833"/>
    <w:rsid w:val="635822A8"/>
    <w:rsid w:val="63583AEB"/>
    <w:rsid w:val="63737FC7"/>
    <w:rsid w:val="63C656BB"/>
    <w:rsid w:val="63CE3380"/>
    <w:rsid w:val="63E36016"/>
    <w:rsid w:val="63F21DB5"/>
    <w:rsid w:val="63FF6480"/>
    <w:rsid w:val="640A1EA8"/>
    <w:rsid w:val="642900E6"/>
    <w:rsid w:val="64302590"/>
    <w:rsid w:val="64495DD6"/>
    <w:rsid w:val="64623809"/>
    <w:rsid w:val="64746C6E"/>
    <w:rsid w:val="647C3D75"/>
    <w:rsid w:val="65080F89"/>
    <w:rsid w:val="651D10B4"/>
    <w:rsid w:val="651E4E2C"/>
    <w:rsid w:val="65436EA9"/>
    <w:rsid w:val="655A76A7"/>
    <w:rsid w:val="655C6589"/>
    <w:rsid w:val="659470A7"/>
    <w:rsid w:val="65CE1E5C"/>
    <w:rsid w:val="66047425"/>
    <w:rsid w:val="661052EF"/>
    <w:rsid w:val="66207331"/>
    <w:rsid w:val="66272FE9"/>
    <w:rsid w:val="662830CF"/>
    <w:rsid w:val="66747DFB"/>
    <w:rsid w:val="66767F83"/>
    <w:rsid w:val="66AA160B"/>
    <w:rsid w:val="66D54C1C"/>
    <w:rsid w:val="66F41F1E"/>
    <w:rsid w:val="6701113C"/>
    <w:rsid w:val="671C40AC"/>
    <w:rsid w:val="672D4EE4"/>
    <w:rsid w:val="677658C0"/>
    <w:rsid w:val="6797113A"/>
    <w:rsid w:val="67AF1F51"/>
    <w:rsid w:val="67BC1DD1"/>
    <w:rsid w:val="67C86935"/>
    <w:rsid w:val="67D14F07"/>
    <w:rsid w:val="67D66924"/>
    <w:rsid w:val="67E07000"/>
    <w:rsid w:val="67E77C07"/>
    <w:rsid w:val="67EA3883"/>
    <w:rsid w:val="67EC51A3"/>
    <w:rsid w:val="680F17C8"/>
    <w:rsid w:val="681211EB"/>
    <w:rsid w:val="681C04AD"/>
    <w:rsid w:val="683A6B4A"/>
    <w:rsid w:val="68444162"/>
    <w:rsid w:val="686A6F2B"/>
    <w:rsid w:val="68825416"/>
    <w:rsid w:val="68AA0B6B"/>
    <w:rsid w:val="68AC217A"/>
    <w:rsid w:val="68C77ED2"/>
    <w:rsid w:val="68E24AEE"/>
    <w:rsid w:val="68E331BF"/>
    <w:rsid w:val="68EB3BE2"/>
    <w:rsid w:val="6922138F"/>
    <w:rsid w:val="69553CC1"/>
    <w:rsid w:val="69766FE4"/>
    <w:rsid w:val="699B3AEE"/>
    <w:rsid w:val="69F85C86"/>
    <w:rsid w:val="69FB2DD8"/>
    <w:rsid w:val="6A09523D"/>
    <w:rsid w:val="6A1B26B7"/>
    <w:rsid w:val="6A244C92"/>
    <w:rsid w:val="6A2809FC"/>
    <w:rsid w:val="6A883CBC"/>
    <w:rsid w:val="6A902328"/>
    <w:rsid w:val="6AF77EBF"/>
    <w:rsid w:val="6B19056F"/>
    <w:rsid w:val="6B340F05"/>
    <w:rsid w:val="6B345E30"/>
    <w:rsid w:val="6B3A216D"/>
    <w:rsid w:val="6B505357"/>
    <w:rsid w:val="6B735ED1"/>
    <w:rsid w:val="6B874EAB"/>
    <w:rsid w:val="6B985938"/>
    <w:rsid w:val="6BFB3E5A"/>
    <w:rsid w:val="6BFD3458"/>
    <w:rsid w:val="6C00034A"/>
    <w:rsid w:val="6C423778"/>
    <w:rsid w:val="6CAF118B"/>
    <w:rsid w:val="6CBB7E1F"/>
    <w:rsid w:val="6CC01E51"/>
    <w:rsid w:val="6CF372CA"/>
    <w:rsid w:val="6D027F59"/>
    <w:rsid w:val="6D1A6D54"/>
    <w:rsid w:val="6D2D1C64"/>
    <w:rsid w:val="6D475F5F"/>
    <w:rsid w:val="6D600E21"/>
    <w:rsid w:val="6D68133A"/>
    <w:rsid w:val="6D952804"/>
    <w:rsid w:val="6DA82289"/>
    <w:rsid w:val="6DAC29BA"/>
    <w:rsid w:val="6DE915B6"/>
    <w:rsid w:val="6E061A11"/>
    <w:rsid w:val="6E345B45"/>
    <w:rsid w:val="6E63668A"/>
    <w:rsid w:val="6E671CA5"/>
    <w:rsid w:val="6E741E30"/>
    <w:rsid w:val="6E9A5352"/>
    <w:rsid w:val="6EA0733B"/>
    <w:rsid w:val="6EBB122E"/>
    <w:rsid w:val="6EBB2C83"/>
    <w:rsid w:val="6EC77A48"/>
    <w:rsid w:val="6EC77E06"/>
    <w:rsid w:val="6EC97030"/>
    <w:rsid w:val="6F0E4F29"/>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3051E4"/>
    <w:rsid w:val="727517BE"/>
    <w:rsid w:val="72BB53F2"/>
    <w:rsid w:val="73004C22"/>
    <w:rsid w:val="733777E5"/>
    <w:rsid w:val="73530396"/>
    <w:rsid w:val="73555EBD"/>
    <w:rsid w:val="735B0092"/>
    <w:rsid w:val="7386317F"/>
    <w:rsid w:val="73920EBF"/>
    <w:rsid w:val="7395781C"/>
    <w:rsid w:val="73A53748"/>
    <w:rsid w:val="73B01345"/>
    <w:rsid w:val="73F00452"/>
    <w:rsid w:val="73F97D41"/>
    <w:rsid w:val="74A353FC"/>
    <w:rsid w:val="74B55FCA"/>
    <w:rsid w:val="751604C0"/>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464D20"/>
    <w:rsid w:val="78897474"/>
    <w:rsid w:val="78A64B86"/>
    <w:rsid w:val="78BD078C"/>
    <w:rsid w:val="78DE3D6C"/>
    <w:rsid w:val="78E33867"/>
    <w:rsid w:val="78E52BDC"/>
    <w:rsid w:val="78EF290F"/>
    <w:rsid w:val="78F93EFF"/>
    <w:rsid w:val="790776EC"/>
    <w:rsid w:val="798701EE"/>
    <w:rsid w:val="798720C7"/>
    <w:rsid w:val="798B75C8"/>
    <w:rsid w:val="798D230A"/>
    <w:rsid w:val="79A3081B"/>
    <w:rsid w:val="79A8143C"/>
    <w:rsid w:val="79E65AC0"/>
    <w:rsid w:val="7A071D78"/>
    <w:rsid w:val="7A254C15"/>
    <w:rsid w:val="7A2D742D"/>
    <w:rsid w:val="7A5600FC"/>
    <w:rsid w:val="7A6447EC"/>
    <w:rsid w:val="7A6E489C"/>
    <w:rsid w:val="7A716D06"/>
    <w:rsid w:val="7AC662B5"/>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6852E4"/>
    <w:rsid w:val="7D7B5294"/>
    <w:rsid w:val="7D9D74DD"/>
    <w:rsid w:val="7DA92784"/>
    <w:rsid w:val="7DB37D69"/>
    <w:rsid w:val="7DCA019C"/>
    <w:rsid w:val="7DE5100B"/>
    <w:rsid w:val="7DE55723"/>
    <w:rsid w:val="7DED451A"/>
    <w:rsid w:val="7E0B01EB"/>
    <w:rsid w:val="7E2214CE"/>
    <w:rsid w:val="7E2F24BC"/>
    <w:rsid w:val="7E564EE1"/>
    <w:rsid w:val="7E6D3957"/>
    <w:rsid w:val="7E6D67B0"/>
    <w:rsid w:val="7E8D7C7B"/>
    <w:rsid w:val="7EA83077"/>
    <w:rsid w:val="7ECD0B10"/>
    <w:rsid w:val="7ED53E1B"/>
    <w:rsid w:val="7F1D6A6D"/>
    <w:rsid w:val="7F2554A7"/>
    <w:rsid w:val="7F2A34D9"/>
    <w:rsid w:val="7F4D44C9"/>
    <w:rsid w:val="7F6359A5"/>
    <w:rsid w:val="7F7A3881"/>
    <w:rsid w:val="7F9D53CD"/>
    <w:rsid w:val="7FA60682"/>
    <w:rsid w:val="7FB5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basedOn w:val="1"/>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next w:val="11"/>
    <w:autoRedefine/>
    <w:qFormat/>
    <w:uiPriority w:val="0"/>
    <w:pPr>
      <w:spacing w:after="120"/>
    </w:pPr>
  </w:style>
  <w:style w:type="paragraph" w:styleId="11">
    <w:name w:val="Body Text 2"/>
    <w:basedOn w:val="1"/>
    <w:autoRedefine/>
    <w:qFormat/>
    <w:uiPriority w:val="0"/>
    <w:pPr>
      <w:spacing w:line="500" w:lineRule="exact"/>
    </w:pPr>
  </w:style>
  <w:style w:type="paragraph" w:styleId="12">
    <w:name w:val="Body Text Indent"/>
    <w:basedOn w:val="1"/>
    <w:link w:val="44"/>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5"/>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Title"/>
    <w:basedOn w:val="1"/>
    <w:next w:val="1"/>
    <w:qFormat/>
    <w:uiPriority w:val="0"/>
    <w:pPr>
      <w:spacing w:line="360" w:lineRule="auto"/>
      <w:ind w:firstLine="200" w:firstLineChars="200"/>
      <w:jc w:val="both"/>
      <w:outlineLvl w:val="0"/>
    </w:pPr>
    <w:rPr>
      <w:b/>
      <w:bCs/>
      <w:sz w:val="28"/>
      <w:szCs w:val="32"/>
    </w:rPr>
  </w:style>
  <w:style w:type="paragraph" w:styleId="29">
    <w:name w:val="annotation subject"/>
    <w:basedOn w:val="9"/>
    <w:next w:val="9"/>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Hyperlink"/>
    <w:autoRedefine/>
    <w:qFormat/>
    <w:uiPriority w:val="0"/>
    <w:rPr>
      <w:color w:val="0000FF"/>
      <w:u w:val="single"/>
    </w:rPr>
  </w:style>
  <w:style w:type="character" w:styleId="38">
    <w:name w:val="annotation reference"/>
    <w:autoRedefine/>
    <w:qFormat/>
    <w:uiPriority w:val="0"/>
    <w:rPr>
      <w:sz w:val="21"/>
    </w:rPr>
  </w:style>
  <w:style w:type="paragraph" w:customStyle="1" w:styleId="39">
    <w:name w:val="Normal Indent1"/>
    <w:basedOn w:val="1"/>
    <w:autoRedefine/>
    <w:qFormat/>
    <w:uiPriority w:val="0"/>
    <w:pPr>
      <w:widowControl/>
      <w:ind w:firstLine="420"/>
      <w:jc w:val="left"/>
    </w:pPr>
    <w:rPr>
      <w:rFonts w:ascii="Times New Roman"/>
      <w:kern w:val="0"/>
    </w:rPr>
  </w:style>
  <w:style w:type="paragraph" w:customStyle="1" w:styleId="40">
    <w:name w:val="样式 宋体 行距: 1.5 倍行距"/>
    <w:basedOn w:val="41"/>
    <w:next w:val="1"/>
    <w:autoRedefine/>
    <w:qFormat/>
    <w:uiPriority w:val="0"/>
    <w:pPr>
      <w:jc w:val="center"/>
    </w:pPr>
    <w:rPr>
      <w:rFonts w:asci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Char Char2"/>
    <w:basedOn w:val="8"/>
    <w:autoRedefine/>
    <w:qFormat/>
    <w:uiPriority w:val="0"/>
    <w:pPr>
      <w:spacing w:line="240" w:lineRule="auto"/>
    </w:pPr>
  </w:style>
  <w:style w:type="character" w:customStyle="1" w:styleId="44">
    <w:name w:val="正文文本缩进 字符"/>
    <w:link w:val="12"/>
    <w:autoRedefine/>
    <w:qFormat/>
    <w:uiPriority w:val="0"/>
    <w:rPr>
      <w:rFonts w:ascii="宋体"/>
      <w:kern w:val="2"/>
      <w:sz w:val="24"/>
    </w:rPr>
  </w:style>
  <w:style w:type="character" w:customStyle="1" w:styleId="45">
    <w:name w:val="正文文本缩进 3 字符"/>
    <w:link w:val="24"/>
    <w:autoRedefine/>
    <w:qFormat/>
    <w:uiPriority w:val="0"/>
    <w:rPr>
      <w:rFonts w:ascii="宋体" w:eastAsia="宋体"/>
      <w:color w:val="FF0000"/>
      <w:kern w:val="2"/>
      <w:sz w:val="24"/>
      <w:lang w:val="en-US" w:eastAsia="zh-CN" w:bidi="ar-SA"/>
    </w:rPr>
  </w:style>
  <w:style w:type="character" w:customStyle="1" w:styleId="46">
    <w:name w:val="超链接 New New"/>
    <w:autoRedefine/>
    <w:qFormat/>
    <w:uiPriority w:val="0"/>
    <w:rPr>
      <w:color w:val="000000"/>
      <w:sz w:val="18"/>
      <w:szCs w:val="18"/>
      <w:u w:val="none"/>
    </w:rPr>
  </w:style>
  <w:style w:type="character" w:customStyle="1" w:styleId="47">
    <w:name w:val="超链接 New"/>
    <w:autoRedefine/>
    <w:qFormat/>
    <w:uiPriority w:val="0"/>
    <w:rPr>
      <w:color w:val="000000"/>
      <w:sz w:val="18"/>
      <w:szCs w:val="18"/>
      <w:u w:val="none"/>
    </w:rPr>
  </w:style>
  <w:style w:type="character" w:customStyle="1" w:styleId="48">
    <w:name w:val="默认段落字体1"/>
    <w:autoRedefine/>
    <w:qFormat/>
    <w:uiPriority w:val="0"/>
    <w:rPr>
      <w:rFonts w:hint="default"/>
    </w:rPr>
  </w:style>
  <w:style w:type="character" w:customStyle="1" w:styleId="49">
    <w:name w:val="默认段落字体 New New"/>
    <w:link w:val="50"/>
    <w:autoRedefine/>
    <w:qFormat/>
    <w:uiPriority w:val="0"/>
    <w:rPr>
      <w:rFonts w:ascii="Tahoma" w:hAnsi="Tahoma"/>
      <w:szCs w:val="24"/>
    </w:rPr>
  </w:style>
  <w:style w:type="paragraph" w:customStyle="1" w:styleId="50">
    <w:name w:val="Char New New"/>
    <w:basedOn w:val="1"/>
    <w:link w:val="49"/>
    <w:autoRedefine/>
    <w:qFormat/>
    <w:uiPriority w:val="0"/>
    <w:pPr>
      <w:spacing w:line="240" w:lineRule="auto"/>
    </w:pPr>
    <w:rPr>
      <w:rFonts w:ascii="Tahoma" w:hAnsi="Tahoma"/>
      <w:szCs w:val="24"/>
    </w:rPr>
  </w:style>
  <w:style w:type="character" w:customStyle="1" w:styleId="51">
    <w:name w:val="默认段落字体 New"/>
    <w:link w:val="52"/>
    <w:autoRedefine/>
    <w:qFormat/>
    <w:uiPriority w:val="0"/>
    <w:rPr>
      <w:rFonts w:ascii="Tahoma" w:hAnsi="Tahoma"/>
      <w:szCs w:val="24"/>
    </w:rPr>
  </w:style>
  <w:style w:type="paragraph" w:customStyle="1" w:styleId="52">
    <w:name w:val="Char New"/>
    <w:basedOn w:val="1"/>
    <w:link w:val="51"/>
    <w:autoRedefine/>
    <w:qFormat/>
    <w:uiPriority w:val="0"/>
    <w:pPr>
      <w:spacing w:line="240" w:lineRule="auto"/>
    </w:pPr>
    <w:rPr>
      <w:rFonts w:ascii="Tahoma" w:hAnsi="Tahoma"/>
      <w:szCs w:val="24"/>
    </w:rPr>
  </w:style>
  <w:style w:type="character" w:customStyle="1" w:styleId="53">
    <w:name w:val="页码 New New New"/>
    <w:autoRedefine/>
    <w:qFormat/>
    <w:uiPriority w:val="0"/>
    <w:rPr>
      <w:rFonts w:eastAsia="宋体"/>
      <w:kern w:val="2"/>
      <w:sz w:val="24"/>
      <w:szCs w:val="24"/>
      <w:lang w:val="en-US" w:eastAsia="zh-CN" w:bidi="ar-SA"/>
    </w:rPr>
  </w:style>
  <w:style w:type="character" w:customStyle="1" w:styleId="54">
    <w:name w:val="页码 New New"/>
    <w:autoRedefine/>
    <w:qFormat/>
    <w:uiPriority w:val="0"/>
    <w:rPr>
      <w:rFonts w:eastAsia="宋体"/>
      <w:kern w:val="2"/>
      <w:sz w:val="24"/>
      <w:szCs w:val="24"/>
      <w:lang w:val="en-US" w:eastAsia="zh-CN" w:bidi="ar-SA"/>
    </w:rPr>
  </w:style>
  <w:style w:type="character" w:customStyle="1" w:styleId="55">
    <w:name w:val="Char Char1"/>
    <w:autoRedefine/>
    <w:qFormat/>
    <w:uiPriority w:val="0"/>
    <w:rPr>
      <w:rFonts w:ascii="宋体" w:eastAsia="宋体"/>
      <w:color w:val="FF0000"/>
      <w:kern w:val="2"/>
      <w:sz w:val="24"/>
      <w:lang w:val="en-US" w:eastAsia="zh-CN" w:bidi="ar-SA"/>
    </w:rPr>
  </w:style>
  <w:style w:type="character" w:customStyle="1" w:styleId="56">
    <w:name w:val="页码 New"/>
    <w:autoRedefine/>
    <w:qFormat/>
    <w:uiPriority w:val="0"/>
    <w:rPr>
      <w:rFonts w:eastAsia="宋体"/>
      <w:kern w:val="2"/>
      <w:sz w:val="24"/>
      <w:szCs w:val="24"/>
      <w:lang w:val="en-US" w:eastAsia="zh-CN" w:bidi="ar-SA"/>
    </w:rPr>
  </w:style>
  <w:style w:type="paragraph" w:customStyle="1" w:styleId="57">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页脚 New New New New New New New New New New New New New"/>
    <w:basedOn w:val="60"/>
    <w:autoRedefine/>
    <w:qFormat/>
    <w:uiPriority w:val="0"/>
    <w:pPr>
      <w:widowControl/>
      <w:tabs>
        <w:tab w:val="center" w:pos="4153"/>
        <w:tab w:val="right" w:pos="8306"/>
      </w:tabs>
      <w:snapToGrid w:val="0"/>
      <w:jc w:val="left"/>
    </w:pPr>
    <w:rPr>
      <w:sz w:val="18"/>
    </w:rPr>
  </w:style>
  <w:style w:type="paragraph" w:customStyle="1" w:styleId="6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页脚 New New New New New"/>
    <w:basedOn w:val="65"/>
    <w:autoRedefine/>
    <w:qFormat/>
    <w:uiPriority w:val="0"/>
    <w:pPr>
      <w:tabs>
        <w:tab w:val="center" w:pos="4153"/>
        <w:tab w:val="right" w:pos="8306"/>
      </w:tabs>
      <w:snapToGrid w:val="0"/>
      <w:jc w:val="left"/>
    </w:pPr>
    <w:rPr>
      <w:sz w:val="18"/>
    </w:rPr>
  </w:style>
  <w:style w:type="paragraph" w:customStyle="1" w:styleId="65">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6">
    <w:name w:val="纯文本 New New"/>
    <w:basedOn w:val="67"/>
    <w:autoRedefine/>
    <w:qFormat/>
    <w:uiPriority w:val="0"/>
    <w:rPr>
      <w:rFonts w:ascii="宋体" w:hAnsi="Courier New"/>
      <w:szCs w:val="24"/>
    </w:rPr>
  </w:style>
  <w:style w:type="paragraph" w:customStyle="1" w:styleId="67">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9">
    <w:name w:val="页脚1"/>
    <w:basedOn w:val="68"/>
    <w:autoRedefine/>
    <w:qFormat/>
    <w:uiPriority w:val="0"/>
    <w:pPr>
      <w:widowControl/>
      <w:tabs>
        <w:tab w:val="center" w:pos="4153"/>
        <w:tab w:val="right" w:pos="8306"/>
      </w:tabs>
      <w:snapToGrid w:val="0"/>
      <w:jc w:val="left"/>
    </w:pPr>
    <w:rPr>
      <w:kern w:val="0"/>
      <w:sz w:val="18"/>
    </w:rPr>
  </w:style>
  <w:style w:type="paragraph" w:customStyle="1" w:styleId="70">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标题 3 New New"/>
    <w:basedOn w:val="72"/>
    <w:next w:val="72"/>
    <w:autoRedefine/>
    <w:qFormat/>
    <w:uiPriority w:val="0"/>
    <w:pPr>
      <w:keepNext/>
      <w:keepLines/>
      <w:spacing w:before="120" w:after="120"/>
      <w:jc w:val="center"/>
      <w:outlineLvl w:val="2"/>
    </w:pPr>
    <w:rPr>
      <w:sz w:val="24"/>
    </w:rPr>
  </w:style>
  <w:style w:type="paragraph" w:customStyle="1" w:styleId="72">
    <w:name w:val="正文缩进 New"/>
    <w:basedOn w:val="73"/>
    <w:autoRedefine/>
    <w:qFormat/>
    <w:uiPriority w:val="0"/>
    <w:pPr>
      <w:widowControl/>
      <w:ind w:firstLine="420"/>
      <w:jc w:val="left"/>
    </w:pPr>
    <w:rPr>
      <w:kern w:val="0"/>
      <w:sz w:val="20"/>
    </w:rPr>
  </w:style>
  <w:style w:type="paragraph" w:customStyle="1" w:styleId="73">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普通(网站) New"/>
    <w:basedOn w:val="75"/>
    <w:autoRedefine/>
    <w:qFormat/>
    <w:uiPriority w:val="0"/>
    <w:rPr>
      <w:sz w:val="24"/>
    </w:rPr>
  </w:style>
  <w:style w:type="paragraph" w:customStyle="1" w:styleId="7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
    <w:name w:val="正文文本缩进 New"/>
    <w:basedOn w:val="73"/>
    <w:autoRedefine/>
    <w:qFormat/>
    <w:uiPriority w:val="0"/>
    <w:pPr>
      <w:ind w:firstLine="560" w:firstLineChars="200"/>
    </w:pPr>
  </w:style>
  <w:style w:type="paragraph" w:customStyle="1" w:styleId="77">
    <w:name w:val="Char"/>
    <w:basedOn w:val="8"/>
    <w:autoRedefine/>
    <w:qFormat/>
    <w:uiPriority w:val="0"/>
    <w:pPr>
      <w:spacing w:line="240" w:lineRule="auto"/>
    </w:pPr>
  </w:style>
  <w:style w:type="paragraph" w:customStyle="1" w:styleId="7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页脚 New New New New"/>
    <w:basedOn w:val="80"/>
    <w:autoRedefine/>
    <w:qFormat/>
    <w:uiPriority w:val="0"/>
    <w:pPr>
      <w:tabs>
        <w:tab w:val="center" w:pos="4153"/>
        <w:tab w:val="right" w:pos="8306"/>
      </w:tabs>
      <w:snapToGrid w:val="0"/>
      <w:jc w:val="left"/>
    </w:pPr>
    <w:rPr>
      <w:sz w:val="18"/>
      <w:szCs w:val="18"/>
    </w:rPr>
  </w:style>
  <w:style w:type="paragraph" w:customStyle="1" w:styleId="8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页眉 New New New New New New New New New"/>
    <w:basedOn w:val="6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眉 New New New New New New New New"/>
    <w:basedOn w:val="86"/>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0">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1">
    <w:name w:val="样式2"/>
    <w:basedOn w:val="21"/>
    <w:autoRedefine/>
    <w:qFormat/>
    <w:uiPriority w:val="0"/>
    <w:pPr>
      <w:tabs>
        <w:tab w:val="right" w:leader="dot" w:pos="9345"/>
      </w:tabs>
    </w:pPr>
    <w:rPr>
      <w:rFonts w:hAnsi="宋体"/>
      <w:b/>
      <w:color w:val="0000FF"/>
      <w:u w:val="single"/>
    </w:rPr>
  </w:style>
  <w:style w:type="paragraph" w:customStyle="1" w:styleId="92">
    <w:name w:val="页脚 New New New New New New New New"/>
    <w:basedOn w:val="93"/>
    <w:autoRedefine/>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页脚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6">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页脚 New New New New New New"/>
    <w:basedOn w:val="75"/>
    <w:autoRedefine/>
    <w:qFormat/>
    <w:uiPriority w:val="0"/>
    <w:pPr>
      <w:tabs>
        <w:tab w:val="center" w:pos="4153"/>
        <w:tab w:val="right" w:pos="8306"/>
      </w:tabs>
      <w:snapToGrid w:val="0"/>
      <w:jc w:val="left"/>
    </w:pPr>
    <w:rPr>
      <w:sz w:val="18"/>
    </w:rPr>
  </w:style>
  <w:style w:type="paragraph" w:customStyle="1" w:styleId="9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页眉 New New New New New"/>
    <w:basedOn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2">
    <w:name w:val="页脚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103">
    <w:name w:val="页眉 New New New New New New"/>
    <w:basedOn w:val="82"/>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4">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页眉 New New"/>
    <w:basedOn w:val="6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页眉 New"/>
    <w:basedOn w:val="10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w:basedOn w:val="107"/>
    <w:autoRedefine/>
    <w:qFormat/>
    <w:uiPriority w:val="0"/>
    <w:pPr>
      <w:tabs>
        <w:tab w:val="center" w:pos="4153"/>
        <w:tab w:val="right" w:pos="8306"/>
      </w:tabs>
      <w:snapToGrid w:val="0"/>
      <w:jc w:val="left"/>
    </w:pPr>
    <w:rPr>
      <w:sz w:val="18"/>
      <w:szCs w:val="18"/>
    </w:rPr>
  </w:style>
  <w:style w:type="paragraph" w:customStyle="1" w:styleId="110">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页脚 New New New"/>
    <w:basedOn w:val="67"/>
    <w:autoRedefine/>
    <w:qFormat/>
    <w:uiPriority w:val="0"/>
    <w:pPr>
      <w:tabs>
        <w:tab w:val="center" w:pos="4153"/>
        <w:tab w:val="right" w:pos="8306"/>
      </w:tabs>
      <w:snapToGrid w:val="0"/>
      <w:jc w:val="left"/>
    </w:pPr>
    <w:rPr>
      <w:sz w:val="18"/>
      <w:szCs w:val="18"/>
    </w:rPr>
  </w:style>
  <w:style w:type="paragraph" w:customStyle="1" w:styleId="114">
    <w:name w:val="页眉 New New New New"/>
    <w:basedOn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5">
    <w:name w:val="纯文本 New"/>
    <w:basedOn w:val="62"/>
    <w:autoRedefine/>
    <w:qFormat/>
    <w:uiPriority w:val="0"/>
    <w:rPr>
      <w:rFonts w:ascii="宋体" w:hAnsi="Courier New"/>
      <w:szCs w:val="24"/>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New New"/>
    <w:basedOn w:val="122"/>
    <w:autoRedefine/>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目录 31"/>
    <w:basedOn w:val="68"/>
    <w:next w:val="68"/>
    <w:autoRedefine/>
    <w:qFormat/>
    <w:uiPriority w:val="0"/>
    <w:pPr>
      <w:ind w:left="561"/>
      <w:jc w:val="left"/>
    </w:pPr>
  </w:style>
  <w:style w:type="paragraph" w:customStyle="1" w:styleId="124">
    <w:name w:val="p0"/>
    <w:basedOn w:val="61"/>
    <w:autoRedefine/>
    <w:qFormat/>
    <w:uiPriority w:val="0"/>
    <w:pPr>
      <w:widowControl/>
      <w:spacing w:line="360" w:lineRule="auto"/>
    </w:pPr>
    <w:rPr>
      <w:rFonts w:ascii="宋体" w:hAnsi="宋体" w:cs="宋体"/>
      <w:kern w:val="0"/>
      <w:sz w:val="24"/>
      <w:szCs w:val="24"/>
    </w:rPr>
  </w:style>
  <w:style w:type="paragraph" w:customStyle="1" w:styleId="125">
    <w:name w:val="页眉 New New New New New New New"/>
    <w:basedOn w:val="9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标题 2 New"/>
    <w:basedOn w:val="8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0">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3">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4">
    <w:name w:val="正文文本缩进 New New New New"/>
    <w:basedOn w:val="127"/>
    <w:autoRedefine/>
    <w:qFormat/>
    <w:uiPriority w:val="0"/>
    <w:pPr>
      <w:ind w:firstLine="560" w:firstLineChars="200"/>
    </w:pPr>
    <w:rPr>
      <w:szCs w:val="28"/>
    </w:rPr>
  </w:style>
  <w:style w:type="paragraph" w:customStyle="1" w:styleId="135">
    <w:name w:val="页脚 New New New New New New New"/>
    <w:basedOn w:val="82"/>
    <w:autoRedefine/>
    <w:qFormat/>
    <w:uiPriority w:val="0"/>
    <w:pPr>
      <w:widowControl/>
      <w:tabs>
        <w:tab w:val="center" w:pos="4153"/>
        <w:tab w:val="right" w:pos="8306"/>
      </w:tabs>
      <w:snapToGrid w:val="0"/>
      <w:jc w:val="left"/>
    </w:pPr>
    <w:rPr>
      <w:kern w:val="0"/>
      <w:sz w:val="18"/>
      <w:szCs w:val="20"/>
    </w:rPr>
  </w:style>
  <w:style w:type="paragraph" w:customStyle="1" w:styleId="1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w:basedOn w:val="81"/>
    <w:autoRedefine/>
    <w:qFormat/>
    <w:uiPriority w:val="0"/>
    <w:pPr>
      <w:tabs>
        <w:tab w:val="center" w:pos="4153"/>
        <w:tab w:val="right" w:pos="8306"/>
      </w:tabs>
      <w:snapToGrid w:val="0"/>
      <w:jc w:val="left"/>
    </w:pPr>
    <w:rPr>
      <w:sz w:val="18"/>
      <w:szCs w:val="18"/>
    </w:rPr>
  </w:style>
  <w:style w:type="paragraph" w:customStyle="1" w:styleId="138">
    <w:name w:val="页脚 New New"/>
    <w:basedOn w:val="62"/>
    <w:autoRedefine/>
    <w:qFormat/>
    <w:uiPriority w:val="0"/>
    <w:pPr>
      <w:tabs>
        <w:tab w:val="center" w:pos="4153"/>
        <w:tab w:val="right" w:pos="8306"/>
      </w:tabs>
      <w:snapToGrid w:val="0"/>
      <w:jc w:val="left"/>
    </w:pPr>
    <w:rPr>
      <w:sz w:val="18"/>
      <w:szCs w:val="18"/>
    </w:rPr>
  </w:style>
  <w:style w:type="paragraph" w:customStyle="1" w:styleId="13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样式1"/>
    <w:basedOn w:val="5"/>
    <w:autoRedefine/>
    <w:qFormat/>
    <w:uiPriority w:val="0"/>
    <w:pPr>
      <w:tabs>
        <w:tab w:val="right" w:leader="dot" w:pos="9345"/>
      </w:tabs>
    </w:pPr>
    <w:rPr>
      <w:rFonts w:ascii="宋体" w:hAnsi="宋体"/>
      <w:b/>
      <w:caps/>
      <w:u w:val="single"/>
    </w:rPr>
  </w:style>
  <w:style w:type="paragraph" w:customStyle="1" w:styleId="143">
    <w:name w:val="页眉 New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6">
    <w:name w:val="正文正"/>
    <w:basedOn w:val="1"/>
    <w:autoRedefine/>
    <w:qFormat/>
    <w:uiPriority w:val="0"/>
    <w:pPr>
      <w:spacing w:line="560" w:lineRule="exact"/>
      <w:ind w:firstLine="561"/>
    </w:pPr>
    <w:rPr>
      <w:rFonts w:ascii="Calibri" w:hAnsi="Calibri"/>
      <w:sz w:val="28"/>
      <w:szCs w:val="2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8">
    <w:name w:val="标题 2 New New"/>
    <w:basedOn w:val="117"/>
    <w:next w:val="117"/>
    <w:autoRedefine/>
    <w:qFormat/>
    <w:uiPriority w:val="0"/>
    <w:pPr>
      <w:autoSpaceDE w:val="0"/>
      <w:autoSpaceDN w:val="0"/>
      <w:adjustRightInd w:val="0"/>
      <w:jc w:val="left"/>
      <w:outlineLvl w:val="1"/>
    </w:pPr>
    <w:rPr>
      <w:kern w:val="0"/>
      <w:sz w:val="24"/>
    </w:rPr>
  </w:style>
  <w:style w:type="paragraph" w:customStyle="1" w:styleId="149">
    <w:name w:val="标题 1 New"/>
    <w:basedOn w:val="117"/>
    <w:next w:val="117"/>
    <w:autoRedefine/>
    <w:qFormat/>
    <w:uiPriority w:val="0"/>
    <w:pPr>
      <w:autoSpaceDE w:val="0"/>
      <w:autoSpaceDN w:val="0"/>
      <w:adjustRightInd w:val="0"/>
      <w:jc w:val="left"/>
      <w:outlineLvl w:val="0"/>
    </w:pPr>
    <w:rPr>
      <w:kern w:val="0"/>
      <w:sz w:val="30"/>
    </w:rPr>
  </w:style>
  <w:style w:type="paragraph" w:customStyle="1" w:styleId="150">
    <w:name w:val="WPSOffice手动目录 1"/>
    <w:autoRedefine/>
    <w:qFormat/>
    <w:uiPriority w:val="0"/>
    <w:rPr>
      <w:rFonts w:ascii="Times New Roman" w:hAnsi="Times New Roman" w:eastAsia="宋体" w:cs="Times New Roman"/>
      <w:lang w:val="en-US" w:eastAsia="zh-CN" w:bidi="ar-SA"/>
    </w:rPr>
  </w:style>
  <w:style w:type="paragraph" w:customStyle="1" w:styleId="15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3">
    <w:name w:val="正文缩进1"/>
    <w:basedOn w:val="1"/>
    <w:autoRedefine/>
    <w:qFormat/>
    <w:uiPriority w:val="0"/>
    <w:pPr>
      <w:widowControl/>
      <w:ind w:firstLine="420"/>
      <w:jc w:val="left"/>
    </w:pPr>
    <w:rPr>
      <w:kern w:val="0"/>
    </w:rPr>
  </w:style>
  <w:style w:type="character" w:styleId="154">
    <w:name w:val="Placeholder Text"/>
    <w:basedOn w:val="33"/>
    <w:semiHidden/>
    <w:qFormat/>
    <w:uiPriority w:val="99"/>
    <w:rPr>
      <w:color w:val="808080"/>
    </w:rPr>
  </w:style>
  <w:style w:type="paragraph" w:customStyle="1" w:styleId="155">
    <w:name w:val="正文文本1"/>
    <w:basedOn w:val="1"/>
    <w:qFormat/>
    <w:uiPriority w:val="0"/>
    <w:pPr>
      <w:spacing w:after="120"/>
    </w:pPr>
  </w:style>
  <w:style w:type="character" w:customStyle="1" w:styleId="156">
    <w:name w:val="NormalCharacter"/>
    <w:autoRedefine/>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78</Pages>
  <Words>5009</Words>
  <Characters>5430</Characters>
  <Lines>292</Lines>
  <Paragraphs>82</Paragraphs>
  <TotalTime>1</TotalTime>
  <ScaleCrop>false</ScaleCrop>
  <LinksUpToDate>false</LinksUpToDate>
  <CharactersWithSpaces>5734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蔡小健 j1aN</cp:lastModifiedBy>
  <cp:lastPrinted>2026-06-02T03:58:00Z</cp:lastPrinted>
  <dcterms:modified xsi:type="dcterms:W3CDTF">2026-06-12T03:50:27Z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eyJoZGlkIjoiZGRiN2NkNGE1NDg1MGJjMjRjMmE1ZjM1NTY0OGU1MTciLCJ1c2VySWQiOiIzMDE1NjQ2MzcifQ==</vt:lpwstr>
  </property>
</Properties>
</file>