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15FFFB">
      <w:pPr>
        <w:pStyle w:val="139"/>
        <w:shd w:val="clear" w:color="auto" w:fill="auto"/>
        <w:wordWrap w:val="0"/>
        <w:adjustRightInd w:val="0"/>
        <w:snapToGrid w:val="0"/>
        <w:spacing w:line="360" w:lineRule="auto"/>
        <w:jc w:val="center"/>
        <w:rPr>
          <w:rFonts w:hint="default" w:ascii="宋体" w:hAnsi="宋体" w:eastAsia="宋体" w:cs="宋体"/>
          <w:b/>
          <w:snapToGrid w:val="0"/>
          <w:color w:val="auto"/>
          <w:kern w:val="0"/>
          <w:sz w:val="44"/>
          <w:szCs w:val="44"/>
          <w:highlight w:val="none"/>
          <w:lang w:val="en-US" w:eastAsia="zh-CN"/>
        </w:rPr>
      </w:pPr>
      <w:r>
        <w:rPr>
          <w:rFonts w:hint="eastAsia" w:ascii="宋体" w:hAnsi="宋体" w:eastAsia="宋体" w:cs="宋体"/>
          <w:b/>
          <w:snapToGrid w:val="0"/>
          <w:color w:val="auto"/>
          <w:kern w:val="0"/>
          <w:sz w:val="48"/>
          <w:szCs w:val="48"/>
          <w:highlight w:val="none"/>
          <w:lang w:eastAsia="zh-CN"/>
        </w:rPr>
        <w:t>仁化产业转移工业园区基础建设(二期)-韶关仁化产业园区大岭片区配套道路(G535线至新粮仓段)扩建项目监理</w:t>
      </w:r>
    </w:p>
    <w:p w14:paraId="4D975719">
      <w:pPr>
        <w:pStyle w:val="139"/>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4F2AB17A">
      <w:pPr>
        <w:pStyle w:val="139"/>
        <w:shd w:val="clear" w:color="auto" w:fill="auto"/>
        <w:wordWrap w:val="0"/>
        <w:adjustRightInd w:val="0"/>
        <w:snapToGrid w:val="0"/>
        <w:spacing w:line="360" w:lineRule="auto"/>
        <w:jc w:val="center"/>
        <w:rPr>
          <w:rFonts w:hint="eastAsia" w:ascii="宋体" w:hAnsi="宋体" w:eastAsia="宋体" w:cs="宋体"/>
          <w:b/>
          <w:bCs/>
          <w:snapToGrid w:val="0"/>
          <w:color w:val="auto"/>
          <w:kern w:val="0"/>
          <w:sz w:val="52"/>
          <w:szCs w:val="52"/>
          <w:highlight w:val="none"/>
          <w:lang w:val="en-US" w:eastAsia="zh-CN"/>
        </w:rPr>
      </w:pPr>
      <w:r>
        <w:rPr>
          <w:rFonts w:hint="eastAsia" w:ascii="宋体" w:hAnsi="宋体" w:eastAsia="宋体" w:cs="宋体"/>
          <w:b/>
          <w:bCs/>
          <w:snapToGrid w:val="0"/>
          <w:color w:val="auto"/>
          <w:kern w:val="0"/>
          <w:sz w:val="96"/>
          <w:szCs w:val="96"/>
          <w:highlight w:val="none"/>
        </w:rPr>
        <w:t>招标文件</w:t>
      </w:r>
    </w:p>
    <w:p w14:paraId="2A9EC3E3">
      <w:pPr>
        <w:pStyle w:val="9"/>
        <w:shd w:val="clear" w:color="auto" w:fill="auto"/>
        <w:rPr>
          <w:rFonts w:hint="eastAsia" w:hAnsi="宋体" w:cs="宋体"/>
          <w:b/>
          <w:bCs/>
          <w:snapToGrid w:val="0"/>
          <w:color w:val="auto"/>
          <w:sz w:val="48"/>
          <w:szCs w:val="48"/>
          <w:highlight w:val="none"/>
        </w:rPr>
      </w:pPr>
    </w:p>
    <w:p w14:paraId="39FEE712">
      <w:pPr>
        <w:rPr>
          <w:rFonts w:hint="eastAsia"/>
          <w:color w:val="auto"/>
          <w:highlight w:val="none"/>
        </w:rPr>
      </w:pPr>
    </w:p>
    <w:tbl>
      <w:tblPr>
        <w:tblStyle w:val="31"/>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603DDFDA">
        <w:tblPrEx>
          <w:tblCellMar>
            <w:top w:w="0" w:type="dxa"/>
            <w:left w:w="0" w:type="dxa"/>
            <w:bottom w:w="0" w:type="dxa"/>
            <w:right w:w="0" w:type="dxa"/>
          </w:tblCellMar>
        </w:tblPrEx>
        <w:trPr>
          <w:trHeight w:val="1057" w:hRule="atLeast"/>
        </w:trPr>
        <w:tc>
          <w:tcPr>
            <w:tcW w:w="4815" w:type="dxa"/>
            <w:noWrap w:val="0"/>
            <w:vAlign w:val="center"/>
          </w:tcPr>
          <w:p w14:paraId="1AA45157">
            <w:pPr>
              <w:pStyle w:val="58"/>
              <w:spacing w:line="240" w:lineRule="auto"/>
              <w:rPr>
                <w:rFonts w:hint="eastAsia" w:hAnsi="宋体" w:cs="宋体"/>
                <w:color w:val="auto"/>
                <w:sz w:val="28"/>
                <w:szCs w:val="28"/>
                <w:highlight w:val="none"/>
              </w:rPr>
            </w:pPr>
            <w:r>
              <w:rPr>
                <w:rFonts w:hint="eastAsia" w:hAnsi="宋体" w:cs="宋体"/>
                <w:color w:val="auto"/>
                <w:sz w:val="28"/>
                <w:szCs w:val="28"/>
                <w:highlight w:val="none"/>
              </w:rPr>
              <w:t>招        标        人（盖 章）：</w:t>
            </w:r>
          </w:p>
        </w:tc>
        <w:tc>
          <w:tcPr>
            <w:tcW w:w="4844" w:type="dxa"/>
            <w:noWrap w:val="0"/>
            <w:vAlign w:val="center"/>
          </w:tcPr>
          <w:p w14:paraId="29B0B35A">
            <w:pPr>
              <w:pStyle w:val="5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仁化县市政工程公司</w:t>
            </w:r>
          </w:p>
        </w:tc>
      </w:tr>
      <w:tr w14:paraId="283EC587">
        <w:tblPrEx>
          <w:tblCellMar>
            <w:top w:w="0" w:type="dxa"/>
            <w:left w:w="0" w:type="dxa"/>
            <w:bottom w:w="0" w:type="dxa"/>
            <w:right w:w="0" w:type="dxa"/>
          </w:tblCellMar>
        </w:tblPrEx>
        <w:trPr>
          <w:trHeight w:val="1158" w:hRule="atLeast"/>
        </w:trPr>
        <w:tc>
          <w:tcPr>
            <w:tcW w:w="4815" w:type="dxa"/>
            <w:noWrap w:val="0"/>
            <w:vAlign w:val="center"/>
          </w:tcPr>
          <w:p w14:paraId="546E4F45">
            <w:pPr>
              <w:pStyle w:val="5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7C232D38">
            <w:pPr>
              <w:pStyle w:val="58"/>
              <w:spacing w:line="240" w:lineRule="auto"/>
              <w:rPr>
                <w:rFonts w:hint="eastAsia" w:hAnsi="宋体" w:cs="宋体"/>
                <w:color w:val="auto"/>
                <w:sz w:val="28"/>
                <w:szCs w:val="28"/>
                <w:highlight w:val="none"/>
              </w:rPr>
            </w:pPr>
          </w:p>
        </w:tc>
      </w:tr>
      <w:tr w14:paraId="00F7A803">
        <w:tblPrEx>
          <w:tblCellMar>
            <w:top w:w="0" w:type="dxa"/>
            <w:left w:w="0" w:type="dxa"/>
            <w:bottom w:w="0" w:type="dxa"/>
            <w:right w:w="0" w:type="dxa"/>
          </w:tblCellMar>
        </w:tblPrEx>
        <w:trPr>
          <w:trHeight w:val="1083" w:hRule="atLeast"/>
        </w:trPr>
        <w:tc>
          <w:tcPr>
            <w:tcW w:w="4815" w:type="dxa"/>
            <w:noWrap w:val="0"/>
            <w:vAlign w:val="center"/>
          </w:tcPr>
          <w:p w14:paraId="11F17759">
            <w:pPr>
              <w:pStyle w:val="5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1D53D657">
            <w:pPr>
              <w:pStyle w:val="5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广东合正项目管理有限公司</w:t>
            </w:r>
          </w:p>
        </w:tc>
      </w:tr>
      <w:tr w14:paraId="4DDEDF31">
        <w:tblPrEx>
          <w:tblCellMar>
            <w:top w:w="0" w:type="dxa"/>
            <w:left w:w="0" w:type="dxa"/>
            <w:bottom w:w="0" w:type="dxa"/>
            <w:right w:w="0" w:type="dxa"/>
          </w:tblCellMar>
        </w:tblPrEx>
        <w:trPr>
          <w:trHeight w:val="1192" w:hRule="atLeast"/>
        </w:trPr>
        <w:tc>
          <w:tcPr>
            <w:tcW w:w="4815" w:type="dxa"/>
            <w:noWrap w:val="0"/>
            <w:vAlign w:val="center"/>
          </w:tcPr>
          <w:p w14:paraId="11DFDA6F">
            <w:pPr>
              <w:pStyle w:val="5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5E431CC2">
            <w:pPr>
              <w:pStyle w:val="58"/>
              <w:spacing w:line="240" w:lineRule="auto"/>
              <w:rPr>
                <w:rFonts w:hint="eastAsia" w:hAnsi="宋体" w:cs="宋体"/>
                <w:color w:val="auto"/>
                <w:sz w:val="28"/>
                <w:szCs w:val="28"/>
                <w:highlight w:val="none"/>
              </w:rPr>
            </w:pPr>
          </w:p>
        </w:tc>
      </w:tr>
      <w:tr w14:paraId="6C910399">
        <w:tblPrEx>
          <w:tblCellMar>
            <w:top w:w="0" w:type="dxa"/>
            <w:left w:w="0" w:type="dxa"/>
            <w:bottom w:w="0" w:type="dxa"/>
            <w:right w:w="0" w:type="dxa"/>
          </w:tblCellMar>
        </w:tblPrEx>
        <w:trPr>
          <w:trHeight w:val="1217" w:hRule="atLeast"/>
        </w:trPr>
        <w:tc>
          <w:tcPr>
            <w:tcW w:w="4815" w:type="dxa"/>
            <w:noWrap w:val="0"/>
            <w:vAlign w:val="center"/>
          </w:tcPr>
          <w:p w14:paraId="79310207">
            <w:pPr>
              <w:pStyle w:val="5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70E9C3C5">
            <w:pPr>
              <w:pStyle w:val="58"/>
              <w:spacing w:line="240" w:lineRule="auto"/>
              <w:rPr>
                <w:rFonts w:hint="eastAsia" w:hAnsi="宋体" w:cs="宋体"/>
                <w:color w:val="auto"/>
                <w:sz w:val="28"/>
                <w:szCs w:val="28"/>
                <w:highlight w:val="none"/>
              </w:rPr>
            </w:pPr>
          </w:p>
        </w:tc>
      </w:tr>
      <w:tr w14:paraId="76E30F8E">
        <w:tblPrEx>
          <w:tblCellMar>
            <w:top w:w="0" w:type="dxa"/>
            <w:left w:w="0" w:type="dxa"/>
            <w:bottom w:w="0" w:type="dxa"/>
            <w:right w:w="0" w:type="dxa"/>
          </w:tblCellMar>
        </w:tblPrEx>
        <w:trPr>
          <w:trHeight w:val="950" w:hRule="atLeast"/>
        </w:trPr>
        <w:tc>
          <w:tcPr>
            <w:tcW w:w="4815" w:type="dxa"/>
            <w:noWrap w:val="0"/>
            <w:vAlign w:val="center"/>
          </w:tcPr>
          <w:p w14:paraId="64E894CD">
            <w:pPr>
              <w:pStyle w:val="5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04C4C7AC">
            <w:pPr>
              <w:pStyle w:val="58"/>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6</w:t>
            </w:r>
            <w:r>
              <w:rPr>
                <w:rFonts w:hint="eastAsia" w:hAnsi="宋体" w:cs="宋体"/>
                <w:color w:val="auto"/>
                <w:sz w:val="28"/>
                <w:highlight w:val="none"/>
              </w:rPr>
              <w:t>月</w:t>
            </w:r>
          </w:p>
        </w:tc>
      </w:tr>
    </w:tbl>
    <w:p w14:paraId="7EA4ECD4">
      <w:pPr>
        <w:pStyle w:val="117"/>
        <w:tabs>
          <w:tab w:val="left" w:pos="1890"/>
          <w:tab w:val="left" w:pos="4935"/>
        </w:tabs>
        <w:rPr>
          <w:rFonts w:hint="eastAsia" w:ascii="宋体" w:hAnsi="宋体" w:eastAsia="宋体" w:cs="宋体"/>
          <w:b/>
          <w:color w:val="auto"/>
          <w:sz w:val="28"/>
          <w:szCs w:val="28"/>
          <w:highlight w:val="none"/>
        </w:rPr>
        <w:sectPr>
          <w:footerReference r:id="rId5"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p>
    <w:p w14:paraId="5622FE62">
      <w:pPr>
        <w:spacing w:line="240" w:lineRule="auto"/>
        <w:jc w:val="center"/>
        <w:rPr>
          <w:rFonts w:hAnsi="宋体"/>
          <w:b/>
          <w:bCs/>
          <w:color w:val="auto"/>
          <w:sz w:val="36"/>
          <w:szCs w:val="32"/>
          <w:highlight w:val="none"/>
        </w:rPr>
      </w:pPr>
    </w:p>
    <w:p w14:paraId="69F1A1E8">
      <w:pPr>
        <w:spacing w:line="240" w:lineRule="auto"/>
        <w:jc w:val="center"/>
        <w:rPr>
          <w:rFonts w:hAnsi="宋体"/>
          <w:b/>
          <w:bCs/>
          <w:color w:val="auto"/>
          <w:sz w:val="36"/>
          <w:szCs w:val="32"/>
          <w:highlight w:val="none"/>
        </w:rPr>
      </w:pPr>
    </w:p>
    <w:p w14:paraId="6E8E77DF">
      <w:pPr>
        <w:spacing w:line="240" w:lineRule="auto"/>
        <w:jc w:val="center"/>
        <w:rPr>
          <w:rFonts w:hAnsi="宋体"/>
          <w:b/>
          <w:bCs/>
          <w:color w:val="auto"/>
          <w:sz w:val="36"/>
          <w:szCs w:val="32"/>
          <w:highlight w:val="none"/>
        </w:rPr>
      </w:pPr>
    </w:p>
    <w:p w14:paraId="0673B8DD">
      <w:pPr>
        <w:spacing w:line="240" w:lineRule="auto"/>
        <w:jc w:val="center"/>
        <w:rPr>
          <w:rFonts w:hAnsi="宋体"/>
          <w:b/>
          <w:bCs/>
          <w:color w:val="auto"/>
          <w:sz w:val="36"/>
          <w:szCs w:val="32"/>
          <w:highlight w:val="none"/>
        </w:rPr>
      </w:pPr>
    </w:p>
    <w:p w14:paraId="066D72AA">
      <w:pPr>
        <w:spacing w:line="240" w:lineRule="auto"/>
        <w:jc w:val="center"/>
        <w:rPr>
          <w:rFonts w:hAnsi="宋体"/>
          <w:b/>
          <w:bCs/>
          <w:color w:val="auto"/>
          <w:sz w:val="36"/>
          <w:szCs w:val="32"/>
          <w:highlight w:val="none"/>
        </w:rPr>
      </w:pPr>
    </w:p>
    <w:p w14:paraId="06076F0C">
      <w:pPr>
        <w:spacing w:line="240" w:lineRule="auto"/>
        <w:jc w:val="center"/>
        <w:rPr>
          <w:rFonts w:hAnsi="宋体"/>
          <w:b/>
          <w:bCs/>
          <w:color w:val="auto"/>
          <w:sz w:val="36"/>
          <w:szCs w:val="32"/>
          <w:highlight w:val="none"/>
        </w:rPr>
      </w:pPr>
    </w:p>
    <w:p w14:paraId="4AA42975">
      <w:pPr>
        <w:spacing w:line="240" w:lineRule="auto"/>
        <w:jc w:val="center"/>
        <w:rPr>
          <w:rFonts w:hAnsi="宋体"/>
          <w:b/>
          <w:bCs/>
          <w:color w:val="auto"/>
          <w:sz w:val="36"/>
          <w:szCs w:val="32"/>
          <w:highlight w:val="none"/>
        </w:rPr>
      </w:pPr>
    </w:p>
    <w:p w14:paraId="712A9EE3">
      <w:pPr>
        <w:spacing w:line="240" w:lineRule="auto"/>
        <w:jc w:val="center"/>
        <w:rPr>
          <w:rFonts w:hAnsi="宋体"/>
          <w:b/>
          <w:bCs/>
          <w:color w:val="auto"/>
          <w:sz w:val="36"/>
          <w:szCs w:val="32"/>
          <w:highlight w:val="none"/>
        </w:rPr>
      </w:pPr>
    </w:p>
    <w:p w14:paraId="649DA885">
      <w:pPr>
        <w:spacing w:line="240" w:lineRule="auto"/>
        <w:jc w:val="center"/>
        <w:rPr>
          <w:rFonts w:hAnsi="宋体"/>
          <w:b/>
          <w:bCs/>
          <w:color w:val="auto"/>
          <w:sz w:val="36"/>
          <w:szCs w:val="32"/>
          <w:highlight w:val="none"/>
        </w:rPr>
      </w:pPr>
    </w:p>
    <w:p w14:paraId="7C72B544">
      <w:pPr>
        <w:spacing w:line="240" w:lineRule="auto"/>
        <w:jc w:val="center"/>
        <w:rPr>
          <w:rFonts w:hAnsi="宋体"/>
          <w:b/>
          <w:bCs/>
          <w:color w:val="auto"/>
          <w:sz w:val="36"/>
          <w:szCs w:val="32"/>
          <w:highlight w:val="none"/>
        </w:rPr>
      </w:pPr>
    </w:p>
    <w:p w14:paraId="0127A458">
      <w:pPr>
        <w:spacing w:line="240" w:lineRule="auto"/>
        <w:jc w:val="center"/>
        <w:rPr>
          <w:rFonts w:hAnsi="宋体"/>
          <w:b/>
          <w:bCs/>
          <w:color w:val="auto"/>
          <w:sz w:val="36"/>
          <w:szCs w:val="32"/>
          <w:highlight w:val="none"/>
        </w:rPr>
      </w:pPr>
    </w:p>
    <w:p w14:paraId="5807610B">
      <w:pPr>
        <w:spacing w:line="240" w:lineRule="auto"/>
        <w:jc w:val="center"/>
        <w:rPr>
          <w:rFonts w:hAnsi="宋体"/>
          <w:b/>
          <w:bCs/>
          <w:color w:val="auto"/>
          <w:sz w:val="36"/>
          <w:szCs w:val="32"/>
          <w:highlight w:val="none"/>
        </w:rPr>
      </w:pPr>
    </w:p>
    <w:p w14:paraId="377FA8EA">
      <w:pPr>
        <w:spacing w:line="240" w:lineRule="auto"/>
        <w:jc w:val="center"/>
        <w:rPr>
          <w:rFonts w:hAnsi="宋体"/>
          <w:b/>
          <w:bCs/>
          <w:color w:val="auto"/>
          <w:sz w:val="36"/>
          <w:szCs w:val="32"/>
          <w:highlight w:val="none"/>
        </w:rPr>
      </w:pPr>
    </w:p>
    <w:p w14:paraId="3A5D36E6">
      <w:pPr>
        <w:spacing w:line="240" w:lineRule="auto"/>
        <w:jc w:val="center"/>
        <w:rPr>
          <w:rFonts w:hAnsi="宋体"/>
          <w:b/>
          <w:bCs/>
          <w:color w:val="auto"/>
          <w:sz w:val="36"/>
          <w:szCs w:val="32"/>
          <w:highlight w:val="none"/>
        </w:rPr>
      </w:pPr>
    </w:p>
    <w:p w14:paraId="6BF51DFE">
      <w:pPr>
        <w:spacing w:line="240" w:lineRule="auto"/>
        <w:jc w:val="center"/>
        <w:rPr>
          <w:rFonts w:hAnsi="宋体"/>
          <w:b/>
          <w:bCs/>
          <w:color w:val="auto"/>
          <w:sz w:val="36"/>
          <w:szCs w:val="32"/>
          <w:highlight w:val="none"/>
        </w:rPr>
      </w:pPr>
    </w:p>
    <w:p w14:paraId="552BED8F">
      <w:pPr>
        <w:spacing w:line="240" w:lineRule="auto"/>
        <w:jc w:val="center"/>
        <w:rPr>
          <w:rFonts w:hAnsi="宋体"/>
          <w:b/>
          <w:bCs/>
          <w:color w:val="auto"/>
          <w:sz w:val="36"/>
          <w:szCs w:val="32"/>
          <w:highlight w:val="none"/>
        </w:rPr>
      </w:pPr>
    </w:p>
    <w:p w14:paraId="7D3D645E">
      <w:pPr>
        <w:spacing w:line="240" w:lineRule="auto"/>
        <w:jc w:val="center"/>
        <w:rPr>
          <w:rFonts w:hAnsi="宋体"/>
          <w:b/>
          <w:bCs/>
          <w:color w:val="auto"/>
          <w:sz w:val="36"/>
          <w:szCs w:val="32"/>
          <w:highlight w:val="none"/>
        </w:rPr>
      </w:pPr>
    </w:p>
    <w:p w14:paraId="76CE8816">
      <w:pPr>
        <w:spacing w:line="240" w:lineRule="auto"/>
        <w:jc w:val="center"/>
        <w:rPr>
          <w:rFonts w:hAnsi="宋体"/>
          <w:b/>
          <w:bCs/>
          <w:color w:val="auto"/>
          <w:sz w:val="36"/>
          <w:szCs w:val="32"/>
          <w:highlight w:val="none"/>
        </w:rPr>
      </w:pPr>
    </w:p>
    <w:p w14:paraId="38560CB3">
      <w:pPr>
        <w:spacing w:line="240" w:lineRule="auto"/>
        <w:jc w:val="center"/>
        <w:rPr>
          <w:rFonts w:hAnsi="宋体"/>
          <w:b/>
          <w:bCs/>
          <w:color w:val="auto"/>
          <w:sz w:val="36"/>
          <w:szCs w:val="32"/>
          <w:highlight w:val="none"/>
        </w:rPr>
      </w:pPr>
    </w:p>
    <w:p w14:paraId="731862A0">
      <w:pPr>
        <w:spacing w:line="240" w:lineRule="auto"/>
        <w:jc w:val="center"/>
        <w:rPr>
          <w:rFonts w:hAnsi="宋体"/>
          <w:b/>
          <w:bCs/>
          <w:color w:val="auto"/>
          <w:sz w:val="36"/>
          <w:szCs w:val="32"/>
          <w:highlight w:val="none"/>
        </w:rPr>
      </w:pPr>
    </w:p>
    <w:p w14:paraId="04151467">
      <w:pPr>
        <w:spacing w:line="240" w:lineRule="auto"/>
        <w:jc w:val="center"/>
        <w:rPr>
          <w:rFonts w:hAnsi="宋体"/>
          <w:b/>
          <w:bCs/>
          <w:color w:val="auto"/>
          <w:sz w:val="36"/>
          <w:szCs w:val="32"/>
          <w:highlight w:val="none"/>
        </w:rPr>
      </w:pPr>
    </w:p>
    <w:p w14:paraId="08CC9B48">
      <w:pPr>
        <w:spacing w:line="240" w:lineRule="auto"/>
        <w:jc w:val="center"/>
        <w:rPr>
          <w:rFonts w:hAnsi="宋体"/>
          <w:b/>
          <w:bCs/>
          <w:color w:val="auto"/>
          <w:sz w:val="36"/>
          <w:szCs w:val="32"/>
          <w:highlight w:val="none"/>
        </w:rPr>
      </w:pPr>
    </w:p>
    <w:p w14:paraId="28D3C11D">
      <w:pPr>
        <w:spacing w:line="240" w:lineRule="auto"/>
        <w:jc w:val="center"/>
        <w:rPr>
          <w:rFonts w:hAnsi="宋体"/>
          <w:b/>
          <w:bCs/>
          <w:color w:val="auto"/>
          <w:sz w:val="36"/>
          <w:szCs w:val="32"/>
          <w:highlight w:val="none"/>
        </w:rPr>
      </w:pPr>
    </w:p>
    <w:p w14:paraId="0B126239">
      <w:pPr>
        <w:spacing w:line="240" w:lineRule="auto"/>
        <w:jc w:val="center"/>
        <w:rPr>
          <w:rFonts w:hAnsi="宋体"/>
          <w:b/>
          <w:bCs/>
          <w:color w:val="auto"/>
          <w:sz w:val="36"/>
          <w:szCs w:val="32"/>
          <w:highlight w:val="none"/>
        </w:rPr>
      </w:pPr>
    </w:p>
    <w:p w14:paraId="0A444587">
      <w:pPr>
        <w:spacing w:line="240" w:lineRule="auto"/>
        <w:jc w:val="center"/>
        <w:rPr>
          <w:rFonts w:hAnsi="宋体"/>
          <w:b/>
          <w:bCs/>
          <w:color w:val="auto"/>
          <w:sz w:val="36"/>
          <w:szCs w:val="32"/>
          <w:highlight w:val="none"/>
        </w:rPr>
      </w:pPr>
    </w:p>
    <w:p w14:paraId="033CBDF4">
      <w:pPr>
        <w:spacing w:line="240" w:lineRule="auto"/>
        <w:jc w:val="center"/>
        <w:rPr>
          <w:rFonts w:hAnsi="宋体"/>
          <w:b/>
          <w:bCs/>
          <w:color w:val="auto"/>
          <w:sz w:val="36"/>
          <w:szCs w:val="32"/>
          <w:highlight w:val="none"/>
        </w:rPr>
      </w:pPr>
    </w:p>
    <w:p w14:paraId="3625DE91">
      <w:pPr>
        <w:spacing w:line="240" w:lineRule="auto"/>
        <w:jc w:val="center"/>
        <w:rPr>
          <w:rFonts w:hAnsi="宋体"/>
          <w:b/>
          <w:bCs/>
          <w:color w:val="auto"/>
          <w:sz w:val="36"/>
          <w:szCs w:val="32"/>
          <w:highlight w:val="none"/>
        </w:rPr>
      </w:pPr>
    </w:p>
    <w:p w14:paraId="7EEE2A6C">
      <w:pPr>
        <w:spacing w:line="240" w:lineRule="auto"/>
        <w:jc w:val="center"/>
        <w:rPr>
          <w:rFonts w:hAnsi="宋体"/>
          <w:b/>
          <w:bCs/>
          <w:color w:val="auto"/>
          <w:sz w:val="36"/>
          <w:szCs w:val="32"/>
          <w:highlight w:val="none"/>
        </w:rPr>
      </w:pPr>
    </w:p>
    <w:p w14:paraId="247BB27E">
      <w:pPr>
        <w:spacing w:line="240" w:lineRule="auto"/>
        <w:jc w:val="center"/>
        <w:rPr>
          <w:rFonts w:hAnsi="宋体"/>
          <w:b/>
          <w:bCs/>
          <w:color w:val="auto"/>
          <w:sz w:val="36"/>
          <w:szCs w:val="32"/>
          <w:highlight w:val="none"/>
        </w:rPr>
      </w:pPr>
    </w:p>
    <w:p w14:paraId="65C97C1D">
      <w:pPr>
        <w:spacing w:line="240" w:lineRule="auto"/>
        <w:jc w:val="center"/>
        <w:rPr>
          <w:b/>
          <w:bCs/>
          <w:color w:val="auto"/>
          <w:sz w:val="44"/>
          <w:szCs w:val="32"/>
          <w:highlight w:val="none"/>
        </w:rPr>
      </w:pPr>
      <w:r>
        <w:rPr>
          <w:rFonts w:hAnsi="宋体"/>
          <w:b/>
          <w:bCs/>
          <w:color w:val="auto"/>
          <w:sz w:val="36"/>
          <w:szCs w:val="32"/>
          <w:highlight w:val="none"/>
        </w:rPr>
        <w:t>目</w:t>
      </w:r>
      <w:r>
        <w:rPr>
          <w:rFonts w:hint="eastAsia" w:hAnsi="宋体"/>
          <w:b/>
          <w:bCs/>
          <w:color w:val="auto"/>
          <w:sz w:val="36"/>
          <w:szCs w:val="32"/>
          <w:highlight w:val="none"/>
        </w:rPr>
        <w:t xml:space="preserve">  </w:t>
      </w:r>
      <w:r>
        <w:rPr>
          <w:rFonts w:hAnsi="宋体"/>
          <w:b/>
          <w:bCs/>
          <w:color w:val="auto"/>
          <w:sz w:val="36"/>
          <w:szCs w:val="32"/>
          <w:highlight w:val="none"/>
        </w:rPr>
        <w:t>录</w:t>
      </w:r>
    </w:p>
    <w:p w14:paraId="019C3AC6">
      <w:pPr>
        <w:pStyle w:val="21"/>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TOC \o "1-3" \h \u </w:instrText>
      </w:r>
      <w:r>
        <w:rPr>
          <w:rFonts w:hint="eastAsia" w:hAnsi="宋体" w:cs="宋体"/>
          <w:color w:val="auto"/>
          <w:szCs w:val="24"/>
          <w:highlight w:val="none"/>
        </w:rPr>
        <w:fldChar w:fldCharType="separate"/>
      </w: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_Toc18357 </w:instrText>
      </w:r>
      <w:r>
        <w:rPr>
          <w:rFonts w:hint="eastAsia" w:hAnsi="宋体" w:cs="宋体"/>
          <w:b/>
          <w:bCs/>
          <w:color w:val="auto"/>
          <w:szCs w:val="24"/>
          <w:highlight w:val="none"/>
        </w:rPr>
        <w:fldChar w:fldCharType="separate"/>
      </w:r>
      <w:r>
        <w:rPr>
          <w:rFonts w:hint="eastAsia" w:ascii="Times New Roman"/>
          <w:b/>
          <w:bCs/>
          <w:snapToGrid w:val="0"/>
          <w:color w:val="auto"/>
          <w:szCs w:val="22"/>
          <w:highlight w:val="none"/>
        </w:rPr>
        <w:t>第一章 投标人须知</w:t>
      </w:r>
      <w:r>
        <w:rPr>
          <w:b/>
          <w:bCs/>
          <w:color w:val="auto"/>
          <w:highlight w:val="none"/>
        </w:rPr>
        <w:tab/>
      </w:r>
      <w:r>
        <w:rPr>
          <w:b/>
          <w:bCs/>
          <w:color w:val="auto"/>
          <w:highlight w:val="none"/>
        </w:rPr>
        <w:fldChar w:fldCharType="begin"/>
      </w:r>
      <w:r>
        <w:rPr>
          <w:b/>
          <w:bCs/>
          <w:color w:val="auto"/>
          <w:highlight w:val="none"/>
        </w:rPr>
        <w:instrText xml:space="preserve"> PAGEREF _Toc18357 \h </w:instrText>
      </w:r>
      <w:r>
        <w:rPr>
          <w:b/>
          <w:bCs/>
          <w:color w:val="auto"/>
          <w:highlight w:val="none"/>
        </w:rPr>
        <w:fldChar w:fldCharType="separate"/>
      </w:r>
      <w:r>
        <w:rPr>
          <w:b/>
          <w:bCs/>
          <w:color w:val="auto"/>
          <w:highlight w:val="none"/>
        </w:rPr>
        <w:t>4</w:t>
      </w:r>
      <w:r>
        <w:rPr>
          <w:b/>
          <w:bCs/>
          <w:color w:val="auto"/>
          <w:highlight w:val="none"/>
        </w:rPr>
        <w:fldChar w:fldCharType="end"/>
      </w:r>
      <w:r>
        <w:rPr>
          <w:rFonts w:hint="eastAsia" w:hAnsi="宋体" w:cs="宋体"/>
          <w:b/>
          <w:bCs/>
          <w:color w:val="auto"/>
          <w:szCs w:val="24"/>
          <w:highlight w:val="none"/>
        </w:rPr>
        <w:fldChar w:fldCharType="end"/>
      </w:r>
    </w:p>
    <w:p w14:paraId="57F1E274">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_Toc1463 </w:instrText>
      </w:r>
      <w:r>
        <w:rPr>
          <w:rFonts w:hint="eastAsia" w:hAnsi="宋体" w:cs="宋体"/>
          <w:color w:val="auto"/>
          <w:szCs w:val="24"/>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_Toc1463 \h </w:instrText>
      </w:r>
      <w:r>
        <w:rPr>
          <w:color w:val="auto"/>
          <w:highlight w:val="none"/>
        </w:rPr>
        <w:fldChar w:fldCharType="separate"/>
      </w:r>
      <w:r>
        <w:rPr>
          <w:color w:val="auto"/>
          <w:highlight w:val="none"/>
        </w:rPr>
        <w:t>4</w:t>
      </w:r>
      <w:r>
        <w:rPr>
          <w:color w:val="auto"/>
          <w:highlight w:val="none"/>
        </w:rPr>
        <w:fldChar w:fldCharType="end"/>
      </w:r>
      <w:r>
        <w:rPr>
          <w:rFonts w:hint="eastAsia" w:hAnsi="宋体" w:cs="宋体"/>
          <w:color w:val="auto"/>
          <w:szCs w:val="24"/>
          <w:highlight w:val="none"/>
        </w:rPr>
        <w:fldChar w:fldCharType="end"/>
      </w:r>
    </w:p>
    <w:p w14:paraId="57CA3091">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_Toc10191 </w:instrText>
      </w:r>
      <w:r>
        <w:rPr>
          <w:rFonts w:hint="eastAsia" w:hAnsi="宋体" w:cs="宋体"/>
          <w:color w:val="auto"/>
          <w:szCs w:val="24"/>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_Toc10191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504D8C73">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_Toc5529 </w:instrText>
      </w:r>
      <w:r>
        <w:rPr>
          <w:rFonts w:hint="eastAsia" w:hAnsi="宋体" w:cs="宋体"/>
          <w:color w:val="auto"/>
          <w:szCs w:val="24"/>
          <w:highlight w:val="none"/>
        </w:rPr>
        <w:fldChar w:fldCharType="separate"/>
      </w:r>
      <w:r>
        <w:rPr>
          <w:rFonts w:hint="eastAsia"/>
          <w:bCs/>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_Toc5529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71379DBA">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_Toc22199 </w:instrText>
      </w:r>
      <w:r>
        <w:rPr>
          <w:rFonts w:hint="eastAsia" w:hAnsi="宋体" w:cs="宋体"/>
          <w:color w:val="auto"/>
          <w:szCs w:val="24"/>
          <w:highlight w:val="none"/>
        </w:rPr>
        <w:fldChar w:fldCharType="separate"/>
      </w:r>
      <w:r>
        <w:rPr>
          <w:rFonts w:hint="eastAsia"/>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_Toc22199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71DA38F9">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_Toc8159 </w:instrText>
      </w:r>
      <w:r>
        <w:rPr>
          <w:rFonts w:hint="eastAsia" w:hAnsi="宋体" w:cs="宋体"/>
          <w:color w:val="auto"/>
          <w:szCs w:val="24"/>
          <w:highlight w:val="none"/>
        </w:rPr>
        <w:fldChar w:fldCharType="separate"/>
      </w:r>
      <w:r>
        <w:rPr>
          <w:rFonts w:hint="eastAsia"/>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_Toc8159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6B2FC6EB">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_Toc23314 </w:instrText>
      </w:r>
      <w:r>
        <w:rPr>
          <w:rFonts w:hint="eastAsia" w:hAnsi="宋体" w:cs="宋体"/>
          <w:color w:val="auto"/>
          <w:szCs w:val="24"/>
          <w:highlight w:val="none"/>
        </w:rPr>
        <w:fldChar w:fldCharType="separate"/>
      </w:r>
      <w:r>
        <w:rPr>
          <w:rFonts w:hint="eastAsia" w:ascii="宋体" w:hAnsi="宋体" w:cs="宋体"/>
          <w:bCs/>
          <w:snapToGrid w:val="0"/>
          <w:color w:val="auto"/>
          <w:kern w:val="0"/>
          <w:highlight w:val="none"/>
        </w:rPr>
        <w:t>3．获取招标文件</w:t>
      </w:r>
      <w:r>
        <w:rPr>
          <w:color w:val="auto"/>
          <w:highlight w:val="none"/>
        </w:rPr>
        <w:tab/>
      </w:r>
      <w:r>
        <w:rPr>
          <w:color w:val="auto"/>
          <w:highlight w:val="none"/>
        </w:rPr>
        <w:fldChar w:fldCharType="begin"/>
      </w:r>
      <w:r>
        <w:rPr>
          <w:color w:val="auto"/>
          <w:highlight w:val="none"/>
        </w:rPr>
        <w:instrText xml:space="preserve"> PAGEREF _Toc23314 \h </w:instrText>
      </w:r>
      <w:r>
        <w:rPr>
          <w:color w:val="auto"/>
          <w:highlight w:val="none"/>
        </w:rPr>
        <w:fldChar w:fldCharType="separate"/>
      </w:r>
      <w:r>
        <w:rPr>
          <w:color w:val="auto"/>
          <w:highlight w:val="none"/>
        </w:rPr>
        <w:t>14</w:t>
      </w:r>
      <w:r>
        <w:rPr>
          <w:color w:val="auto"/>
          <w:highlight w:val="none"/>
        </w:rPr>
        <w:fldChar w:fldCharType="end"/>
      </w:r>
      <w:r>
        <w:rPr>
          <w:rFonts w:hint="eastAsia" w:hAnsi="宋体" w:cs="宋体"/>
          <w:color w:val="auto"/>
          <w:szCs w:val="24"/>
          <w:highlight w:val="none"/>
        </w:rPr>
        <w:fldChar w:fldCharType="end"/>
      </w:r>
    </w:p>
    <w:p w14:paraId="5F073A21">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_Toc28899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_Toc28899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0F95C6F4">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_Toc30430 </w:instrText>
      </w:r>
      <w:r>
        <w:rPr>
          <w:rFonts w:hint="eastAsia" w:hAnsi="宋体" w:cs="宋体"/>
          <w:color w:val="auto"/>
          <w:szCs w:val="24"/>
          <w:highlight w:val="none"/>
        </w:rPr>
        <w:fldChar w:fldCharType="separate"/>
      </w:r>
      <w:r>
        <w:rPr>
          <w:rFonts w:hint="eastAsia" w:hAnsi="宋体" w:cs="宋体"/>
          <w:snapToGrid w:val="0"/>
          <w:color w:val="auto"/>
          <w:highlight w:val="none"/>
        </w:rPr>
        <w:t>5．服务标准</w:t>
      </w:r>
      <w:r>
        <w:rPr>
          <w:color w:val="auto"/>
          <w:highlight w:val="none"/>
        </w:rPr>
        <w:tab/>
      </w:r>
      <w:r>
        <w:rPr>
          <w:color w:val="auto"/>
          <w:highlight w:val="none"/>
        </w:rPr>
        <w:fldChar w:fldCharType="begin"/>
      </w:r>
      <w:r>
        <w:rPr>
          <w:color w:val="auto"/>
          <w:highlight w:val="none"/>
        </w:rPr>
        <w:instrText xml:space="preserve"> PAGEREF _Toc30430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147AADB3">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_Toc30102 </w:instrText>
      </w:r>
      <w:r>
        <w:rPr>
          <w:rFonts w:hint="eastAsia" w:hAnsi="宋体" w:cs="宋体"/>
          <w:color w:val="auto"/>
          <w:szCs w:val="24"/>
          <w:highlight w:val="none"/>
        </w:rPr>
        <w:fldChar w:fldCharType="separate"/>
      </w:r>
      <w:r>
        <w:rPr>
          <w:rFonts w:hint="eastAsia" w:hAnsi="宋体" w:cs="宋体"/>
          <w:snapToGrid w:val="0"/>
          <w:color w:val="auto"/>
          <w:highlight w:val="none"/>
        </w:rPr>
        <w:t>6．现场踏勘</w:t>
      </w:r>
      <w:r>
        <w:rPr>
          <w:color w:val="auto"/>
          <w:highlight w:val="none"/>
        </w:rPr>
        <w:tab/>
      </w:r>
      <w:r>
        <w:rPr>
          <w:color w:val="auto"/>
          <w:highlight w:val="none"/>
        </w:rPr>
        <w:fldChar w:fldCharType="begin"/>
      </w:r>
      <w:r>
        <w:rPr>
          <w:color w:val="auto"/>
          <w:highlight w:val="none"/>
        </w:rPr>
        <w:instrText xml:space="preserve"> PAGEREF _Toc30102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5D18F943">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_Toc21156 </w:instrText>
      </w:r>
      <w:r>
        <w:rPr>
          <w:rFonts w:hint="eastAsia" w:hAnsi="宋体" w:cs="宋体"/>
          <w:color w:val="auto"/>
          <w:szCs w:val="24"/>
          <w:highlight w:val="none"/>
        </w:rPr>
        <w:fldChar w:fldCharType="separate"/>
      </w:r>
      <w:r>
        <w:rPr>
          <w:rFonts w:hint="eastAsia" w:hAnsi="宋体" w:cs="宋体"/>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_Toc21156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15B49BBD">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_Toc20044 </w:instrText>
      </w:r>
      <w:r>
        <w:rPr>
          <w:rFonts w:hint="eastAsia" w:hAnsi="宋体" w:cs="宋体"/>
          <w:color w:val="auto"/>
          <w:szCs w:val="24"/>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_Toc20044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4150DC79">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_Toc1935 </w:instrText>
      </w:r>
      <w:r>
        <w:rPr>
          <w:rFonts w:hint="eastAsia" w:hAnsi="宋体" w:cs="宋体"/>
          <w:color w:val="auto"/>
          <w:szCs w:val="24"/>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_Toc1935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78516357">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_Toc26881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_Toc26881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szCs w:val="24"/>
          <w:highlight w:val="none"/>
        </w:rPr>
        <w:fldChar w:fldCharType="end"/>
      </w:r>
    </w:p>
    <w:p w14:paraId="49CC8296">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_Toc10022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11．电子投标</w:t>
      </w:r>
      <w:r>
        <w:rPr>
          <w:color w:val="auto"/>
          <w:highlight w:val="none"/>
        </w:rPr>
        <w:tab/>
      </w:r>
      <w:r>
        <w:rPr>
          <w:color w:val="auto"/>
          <w:highlight w:val="none"/>
        </w:rPr>
        <w:fldChar w:fldCharType="begin"/>
      </w:r>
      <w:r>
        <w:rPr>
          <w:color w:val="auto"/>
          <w:highlight w:val="none"/>
        </w:rPr>
        <w:instrText xml:space="preserve"> PAGEREF _Toc10022 \h </w:instrText>
      </w:r>
      <w:r>
        <w:rPr>
          <w:color w:val="auto"/>
          <w:highlight w:val="none"/>
        </w:rPr>
        <w:fldChar w:fldCharType="separate"/>
      </w:r>
      <w:r>
        <w:rPr>
          <w:color w:val="auto"/>
          <w:highlight w:val="none"/>
        </w:rPr>
        <w:t>21</w:t>
      </w:r>
      <w:r>
        <w:rPr>
          <w:color w:val="auto"/>
          <w:highlight w:val="none"/>
        </w:rPr>
        <w:fldChar w:fldCharType="end"/>
      </w:r>
      <w:r>
        <w:rPr>
          <w:rFonts w:hint="eastAsia" w:hAnsi="宋体" w:cs="宋体"/>
          <w:color w:val="auto"/>
          <w:szCs w:val="24"/>
          <w:highlight w:val="none"/>
        </w:rPr>
        <w:fldChar w:fldCharType="end"/>
      </w:r>
    </w:p>
    <w:p w14:paraId="768D3F81">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_Toc26299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12. 投标文件的提交</w:t>
      </w:r>
      <w:r>
        <w:rPr>
          <w:color w:val="auto"/>
          <w:highlight w:val="none"/>
        </w:rPr>
        <w:tab/>
      </w:r>
      <w:r>
        <w:rPr>
          <w:color w:val="auto"/>
          <w:highlight w:val="none"/>
        </w:rPr>
        <w:fldChar w:fldCharType="begin"/>
      </w:r>
      <w:r>
        <w:rPr>
          <w:color w:val="auto"/>
          <w:highlight w:val="none"/>
        </w:rPr>
        <w:instrText xml:space="preserve"> PAGEREF _Toc26299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szCs w:val="24"/>
          <w:highlight w:val="none"/>
        </w:rPr>
        <w:fldChar w:fldCharType="end"/>
      </w:r>
    </w:p>
    <w:p w14:paraId="36970615">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_Toc5536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13．投标有效期</w:t>
      </w:r>
      <w:r>
        <w:rPr>
          <w:color w:val="auto"/>
          <w:highlight w:val="none"/>
        </w:rPr>
        <w:tab/>
      </w:r>
      <w:r>
        <w:rPr>
          <w:color w:val="auto"/>
          <w:highlight w:val="none"/>
        </w:rPr>
        <w:fldChar w:fldCharType="begin"/>
      </w:r>
      <w:r>
        <w:rPr>
          <w:color w:val="auto"/>
          <w:highlight w:val="none"/>
        </w:rPr>
        <w:instrText xml:space="preserve"> PAGEREF _Toc5536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szCs w:val="24"/>
          <w:highlight w:val="none"/>
        </w:rPr>
        <w:fldChar w:fldCharType="end"/>
      </w:r>
    </w:p>
    <w:p w14:paraId="31500035">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_Toc27886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14．开标</w:t>
      </w:r>
      <w:r>
        <w:rPr>
          <w:color w:val="auto"/>
          <w:highlight w:val="none"/>
        </w:rPr>
        <w:tab/>
      </w:r>
      <w:r>
        <w:rPr>
          <w:color w:val="auto"/>
          <w:highlight w:val="none"/>
        </w:rPr>
        <w:fldChar w:fldCharType="begin"/>
      </w:r>
      <w:r>
        <w:rPr>
          <w:color w:val="auto"/>
          <w:highlight w:val="none"/>
        </w:rPr>
        <w:instrText xml:space="preserve"> PAGEREF _Toc27886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szCs w:val="24"/>
          <w:highlight w:val="none"/>
        </w:rPr>
        <w:fldChar w:fldCharType="end"/>
      </w:r>
    </w:p>
    <w:p w14:paraId="05DDDFEF">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_Toc29759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_Toc29759 \h </w:instrText>
      </w:r>
      <w:r>
        <w:rPr>
          <w:color w:val="auto"/>
          <w:highlight w:val="none"/>
        </w:rPr>
        <w:fldChar w:fldCharType="separate"/>
      </w:r>
      <w:r>
        <w:rPr>
          <w:color w:val="auto"/>
          <w:highlight w:val="none"/>
        </w:rPr>
        <w:t>24</w:t>
      </w:r>
      <w:r>
        <w:rPr>
          <w:color w:val="auto"/>
          <w:highlight w:val="none"/>
        </w:rPr>
        <w:fldChar w:fldCharType="end"/>
      </w:r>
      <w:r>
        <w:rPr>
          <w:rFonts w:hint="eastAsia" w:hAnsi="宋体" w:cs="宋体"/>
          <w:color w:val="auto"/>
          <w:szCs w:val="24"/>
          <w:highlight w:val="none"/>
        </w:rPr>
        <w:fldChar w:fldCharType="end"/>
      </w:r>
    </w:p>
    <w:p w14:paraId="7B214CB0">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_Toc19214 </w:instrText>
      </w:r>
      <w:r>
        <w:rPr>
          <w:rFonts w:hint="eastAsia" w:hAnsi="宋体" w:cs="宋体"/>
          <w:color w:val="auto"/>
          <w:szCs w:val="24"/>
          <w:highlight w:val="none"/>
        </w:rPr>
        <w:fldChar w:fldCharType="separate"/>
      </w:r>
      <w:r>
        <w:rPr>
          <w:rFonts w:hint="eastAsia" w:ascii="宋体" w:hAnsi="宋体" w:eastAsia="宋体" w:cs="宋体"/>
          <w:bCs/>
          <w:color w:val="auto"/>
          <w:szCs w:val="22"/>
          <w:highlight w:val="none"/>
        </w:rPr>
        <w:t>表1 综合评分表</w:t>
      </w:r>
      <w:r>
        <w:rPr>
          <w:color w:val="auto"/>
          <w:highlight w:val="none"/>
        </w:rPr>
        <w:tab/>
      </w:r>
      <w:r>
        <w:rPr>
          <w:color w:val="auto"/>
          <w:highlight w:val="none"/>
        </w:rPr>
        <w:fldChar w:fldCharType="begin"/>
      </w:r>
      <w:r>
        <w:rPr>
          <w:color w:val="auto"/>
          <w:highlight w:val="none"/>
        </w:rPr>
        <w:instrText xml:space="preserve"> PAGEREF _Toc19214 \h </w:instrText>
      </w:r>
      <w:r>
        <w:rPr>
          <w:color w:val="auto"/>
          <w:highlight w:val="none"/>
        </w:rPr>
        <w:fldChar w:fldCharType="separate"/>
      </w:r>
      <w:r>
        <w:rPr>
          <w:color w:val="auto"/>
          <w:highlight w:val="none"/>
        </w:rPr>
        <w:t>28</w:t>
      </w:r>
      <w:r>
        <w:rPr>
          <w:color w:val="auto"/>
          <w:highlight w:val="none"/>
        </w:rPr>
        <w:fldChar w:fldCharType="end"/>
      </w:r>
      <w:r>
        <w:rPr>
          <w:rFonts w:hint="eastAsia" w:hAnsi="宋体" w:cs="宋体"/>
          <w:color w:val="auto"/>
          <w:szCs w:val="24"/>
          <w:highlight w:val="none"/>
        </w:rPr>
        <w:fldChar w:fldCharType="end"/>
      </w:r>
    </w:p>
    <w:p w14:paraId="611E66B8">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_Toc24046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_Toc24046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7CBF7E85">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_Toc9239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_Toc9239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5DA1461E">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_Toc22253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_Toc22253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419D1B88">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_Toc24939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_Toc24939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35E490C1">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_Toc31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22288D85">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_Toc13284 </w:instrText>
      </w:r>
      <w:r>
        <w:rPr>
          <w:rFonts w:hint="eastAsia" w:hAnsi="宋体" w:cs="宋体"/>
          <w:color w:val="auto"/>
          <w:szCs w:val="24"/>
          <w:highlight w:val="none"/>
        </w:rPr>
        <w:fldChar w:fldCharType="separate"/>
      </w:r>
      <w:r>
        <w:rPr>
          <w:rFonts w:hint="eastAsia" w:ascii="宋体" w:hAnsi="宋体" w:eastAsia="宋体" w:cs="宋体"/>
          <w:bCs/>
          <w:color w:val="auto"/>
          <w:highlight w:val="none"/>
          <w:lang w:val="en-US" w:eastAsia="zh-CN"/>
        </w:rPr>
        <w:t>第五节 定标规定及细则</w:t>
      </w:r>
      <w:r>
        <w:rPr>
          <w:color w:val="auto"/>
          <w:highlight w:val="none"/>
        </w:rPr>
        <w:tab/>
      </w:r>
      <w:r>
        <w:rPr>
          <w:color w:val="auto"/>
          <w:highlight w:val="none"/>
        </w:rPr>
        <w:fldChar w:fldCharType="begin"/>
      </w:r>
      <w:r>
        <w:rPr>
          <w:color w:val="auto"/>
          <w:highlight w:val="none"/>
        </w:rPr>
        <w:instrText xml:space="preserve"> PAGEREF _Toc13284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4BA8ECDE">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_Toc18852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1</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eastAsia="zh-CN"/>
        </w:rPr>
        <w:t>定标规定</w:t>
      </w:r>
      <w:r>
        <w:rPr>
          <w:color w:val="auto"/>
          <w:highlight w:val="none"/>
        </w:rPr>
        <w:tab/>
      </w:r>
      <w:r>
        <w:rPr>
          <w:color w:val="auto"/>
          <w:highlight w:val="none"/>
        </w:rPr>
        <w:fldChar w:fldCharType="begin"/>
      </w:r>
      <w:r>
        <w:rPr>
          <w:color w:val="auto"/>
          <w:highlight w:val="none"/>
        </w:rPr>
        <w:instrText xml:space="preserve"> PAGEREF _Toc18852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26934B04">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_Toc4905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2.定标细则</w:t>
      </w:r>
      <w:r>
        <w:rPr>
          <w:color w:val="auto"/>
          <w:highlight w:val="none"/>
        </w:rPr>
        <w:tab/>
      </w:r>
      <w:r>
        <w:rPr>
          <w:color w:val="auto"/>
          <w:highlight w:val="none"/>
        </w:rPr>
        <w:fldChar w:fldCharType="begin"/>
      </w:r>
      <w:r>
        <w:rPr>
          <w:color w:val="auto"/>
          <w:highlight w:val="none"/>
        </w:rPr>
        <w:instrText xml:space="preserve"> PAGEREF _Toc4905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715A5E73">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_Toc31869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3.定标结果公示</w:t>
      </w:r>
      <w:r>
        <w:rPr>
          <w:color w:val="auto"/>
          <w:highlight w:val="none"/>
        </w:rPr>
        <w:tab/>
      </w:r>
      <w:r>
        <w:rPr>
          <w:color w:val="auto"/>
          <w:highlight w:val="none"/>
        </w:rPr>
        <w:fldChar w:fldCharType="begin"/>
      </w:r>
      <w:r>
        <w:rPr>
          <w:color w:val="auto"/>
          <w:highlight w:val="none"/>
        </w:rPr>
        <w:instrText xml:space="preserve"> PAGEREF _Toc31869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65D51B13">
      <w:pPr>
        <w:pStyle w:val="1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_Toc31812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4.中标确认</w:t>
      </w:r>
      <w:r>
        <w:rPr>
          <w:color w:val="auto"/>
          <w:highlight w:val="none"/>
        </w:rPr>
        <w:tab/>
      </w:r>
      <w:r>
        <w:rPr>
          <w:color w:val="auto"/>
          <w:highlight w:val="none"/>
        </w:rPr>
        <w:fldChar w:fldCharType="begin"/>
      </w:r>
      <w:r>
        <w:rPr>
          <w:color w:val="auto"/>
          <w:highlight w:val="none"/>
        </w:rPr>
        <w:instrText xml:space="preserve"> PAGEREF _Toc31812 \h </w:instrText>
      </w:r>
      <w:r>
        <w:rPr>
          <w:color w:val="auto"/>
          <w:highlight w:val="none"/>
        </w:rPr>
        <w:fldChar w:fldCharType="separate"/>
      </w:r>
      <w:r>
        <w:rPr>
          <w:color w:val="auto"/>
          <w:highlight w:val="none"/>
        </w:rPr>
        <w:t>42</w:t>
      </w:r>
      <w:r>
        <w:rPr>
          <w:color w:val="auto"/>
          <w:highlight w:val="none"/>
        </w:rPr>
        <w:fldChar w:fldCharType="end"/>
      </w:r>
      <w:r>
        <w:rPr>
          <w:rFonts w:hint="eastAsia" w:hAnsi="宋体" w:cs="宋体"/>
          <w:color w:val="auto"/>
          <w:szCs w:val="24"/>
          <w:highlight w:val="none"/>
        </w:rPr>
        <w:fldChar w:fldCharType="end"/>
      </w:r>
    </w:p>
    <w:p w14:paraId="4799FF30">
      <w:pPr>
        <w:pStyle w:val="21"/>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_Toc24921 </w:instrText>
      </w:r>
      <w:r>
        <w:rPr>
          <w:rFonts w:hint="eastAsia" w:hAnsi="宋体" w:cs="宋体"/>
          <w:b/>
          <w:bCs/>
          <w:color w:val="auto"/>
          <w:szCs w:val="24"/>
          <w:highlight w:val="none"/>
        </w:rPr>
        <w:fldChar w:fldCharType="separate"/>
      </w:r>
      <w:r>
        <w:rPr>
          <w:rFonts w:hint="eastAsia" w:hAnsi="宋体" w:cs="宋体"/>
          <w:b/>
          <w:bCs/>
          <w:snapToGrid w:val="0"/>
          <w:color w:val="auto"/>
          <w:szCs w:val="22"/>
          <w:highlight w:val="none"/>
        </w:rPr>
        <w:t>第二章 中标人须知</w:t>
      </w:r>
      <w:r>
        <w:rPr>
          <w:b/>
          <w:bCs/>
          <w:color w:val="auto"/>
          <w:highlight w:val="none"/>
        </w:rPr>
        <w:tab/>
      </w:r>
      <w:r>
        <w:rPr>
          <w:b/>
          <w:bCs/>
          <w:color w:val="auto"/>
          <w:highlight w:val="none"/>
        </w:rPr>
        <w:fldChar w:fldCharType="begin"/>
      </w:r>
      <w:r>
        <w:rPr>
          <w:b/>
          <w:bCs/>
          <w:color w:val="auto"/>
          <w:highlight w:val="none"/>
        </w:rPr>
        <w:instrText xml:space="preserve"> PAGEREF _Toc24921 \h </w:instrText>
      </w:r>
      <w:r>
        <w:rPr>
          <w:b/>
          <w:bCs/>
          <w:color w:val="auto"/>
          <w:highlight w:val="none"/>
        </w:rPr>
        <w:fldChar w:fldCharType="separate"/>
      </w:r>
      <w:r>
        <w:rPr>
          <w:b/>
          <w:bCs/>
          <w:color w:val="auto"/>
          <w:highlight w:val="none"/>
        </w:rPr>
        <w:t>43</w:t>
      </w:r>
      <w:r>
        <w:rPr>
          <w:b/>
          <w:bCs/>
          <w:color w:val="auto"/>
          <w:highlight w:val="none"/>
        </w:rPr>
        <w:fldChar w:fldCharType="end"/>
      </w:r>
      <w:r>
        <w:rPr>
          <w:rFonts w:hint="eastAsia" w:hAnsi="宋体" w:cs="宋体"/>
          <w:b/>
          <w:bCs/>
          <w:color w:val="auto"/>
          <w:szCs w:val="24"/>
          <w:highlight w:val="none"/>
        </w:rPr>
        <w:fldChar w:fldCharType="end"/>
      </w:r>
    </w:p>
    <w:p w14:paraId="7444D212">
      <w:pPr>
        <w:pStyle w:val="21"/>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_Toc29124 </w:instrText>
      </w:r>
      <w:r>
        <w:rPr>
          <w:rFonts w:hint="eastAsia" w:hAnsi="宋体" w:cs="宋体"/>
          <w:b/>
          <w:bCs/>
          <w:color w:val="auto"/>
          <w:szCs w:val="24"/>
          <w:highlight w:val="none"/>
        </w:rPr>
        <w:fldChar w:fldCharType="separate"/>
      </w:r>
      <w:r>
        <w:rPr>
          <w:rFonts w:hint="eastAsia" w:hAnsi="宋体" w:cs="宋体"/>
          <w:b/>
          <w:bCs/>
          <w:snapToGrid w:val="0"/>
          <w:color w:val="auto"/>
          <w:szCs w:val="32"/>
          <w:highlight w:val="none"/>
        </w:rPr>
        <w:t>第三章 拟签订合同的主要条款</w:t>
      </w:r>
      <w:r>
        <w:rPr>
          <w:b/>
          <w:bCs/>
          <w:color w:val="auto"/>
          <w:highlight w:val="none"/>
        </w:rPr>
        <w:tab/>
      </w:r>
      <w:r>
        <w:rPr>
          <w:b/>
          <w:bCs/>
          <w:color w:val="auto"/>
          <w:highlight w:val="none"/>
        </w:rPr>
        <w:fldChar w:fldCharType="begin"/>
      </w:r>
      <w:r>
        <w:rPr>
          <w:b/>
          <w:bCs/>
          <w:color w:val="auto"/>
          <w:highlight w:val="none"/>
        </w:rPr>
        <w:instrText xml:space="preserve"> PAGEREF _Toc29124 \h </w:instrText>
      </w:r>
      <w:r>
        <w:rPr>
          <w:b/>
          <w:bCs/>
          <w:color w:val="auto"/>
          <w:highlight w:val="none"/>
        </w:rPr>
        <w:fldChar w:fldCharType="separate"/>
      </w:r>
      <w:r>
        <w:rPr>
          <w:b/>
          <w:bCs/>
          <w:color w:val="auto"/>
          <w:highlight w:val="none"/>
        </w:rPr>
        <w:t>47</w:t>
      </w:r>
      <w:r>
        <w:rPr>
          <w:b/>
          <w:bCs/>
          <w:color w:val="auto"/>
          <w:highlight w:val="none"/>
        </w:rPr>
        <w:fldChar w:fldCharType="end"/>
      </w:r>
      <w:r>
        <w:rPr>
          <w:rFonts w:hint="eastAsia" w:hAnsi="宋体" w:cs="宋体"/>
          <w:b/>
          <w:bCs/>
          <w:color w:val="auto"/>
          <w:szCs w:val="24"/>
          <w:highlight w:val="none"/>
        </w:rPr>
        <w:fldChar w:fldCharType="end"/>
      </w:r>
    </w:p>
    <w:p w14:paraId="38D358C6">
      <w:pPr>
        <w:pStyle w:val="21"/>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_Toc21170 </w:instrText>
      </w:r>
      <w:r>
        <w:rPr>
          <w:rFonts w:hint="eastAsia" w:hAnsi="宋体" w:cs="宋体"/>
          <w:b/>
          <w:bCs/>
          <w:color w:val="auto"/>
          <w:szCs w:val="24"/>
          <w:highlight w:val="none"/>
        </w:rPr>
        <w:fldChar w:fldCharType="separate"/>
      </w:r>
      <w:r>
        <w:rPr>
          <w:rFonts w:hint="eastAsia" w:ascii="Times New Roman"/>
          <w:b/>
          <w:bCs/>
          <w:snapToGrid w:val="0"/>
          <w:color w:val="auto"/>
          <w:szCs w:val="22"/>
          <w:highlight w:val="none"/>
        </w:rPr>
        <w:t>第四章 技术要求</w:t>
      </w:r>
      <w:r>
        <w:rPr>
          <w:b/>
          <w:bCs/>
          <w:color w:val="auto"/>
          <w:highlight w:val="none"/>
        </w:rPr>
        <w:tab/>
      </w:r>
      <w:r>
        <w:rPr>
          <w:b/>
          <w:bCs/>
          <w:color w:val="auto"/>
          <w:highlight w:val="none"/>
        </w:rPr>
        <w:fldChar w:fldCharType="begin"/>
      </w:r>
      <w:r>
        <w:rPr>
          <w:b/>
          <w:bCs/>
          <w:color w:val="auto"/>
          <w:highlight w:val="none"/>
        </w:rPr>
        <w:instrText xml:space="preserve"> PAGEREF _Toc21170 \h </w:instrText>
      </w:r>
      <w:r>
        <w:rPr>
          <w:b/>
          <w:bCs/>
          <w:color w:val="auto"/>
          <w:highlight w:val="none"/>
        </w:rPr>
        <w:fldChar w:fldCharType="separate"/>
      </w:r>
      <w:r>
        <w:rPr>
          <w:b/>
          <w:bCs/>
          <w:color w:val="auto"/>
          <w:highlight w:val="none"/>
        </w:rPr>
        <w:t>61</w:t>
      </w:r>
      <w:r>
        <w:rPr>
          <w:b/>
          <w:bCs/>
          <w:color w:val="auto"/>
          <w:highlight w:val="none"/>
        </w:rPr>
        <w:fldChar w:fldCharType="end"/>
      </w:r>
      <w:r>
        <w:rPr>
          <w:rFonts w:hint="eastAsia" w:hAnsi="宋体" w:cs="宋体"/>
          <w:b/>
          <w:bCs/>
          <w:color w:val="auto"/>
          <w:szCs w:val="24"/>
          <w:highlight w:val="none"/>
        </w:rPr>
        <w:fldChar w:fldCharType="end"/>
      </w:r>
    </w:p>
    <w:p w14:paraId="57533698">
      <w:pPr>
        <w:pStyle w:val="21"/>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_Toc23308 </w:instrText>
      </w:r>
      <w:r>
        <w:rPr>
          <w:rFonts w:hint="eastAsia" w:hAnsi="宋体" w:cs="宋体"/>
          <w:b/>
          <w:bCs/>
          <w:color w:val="auto"/>
          <w:szCs w:val="24"/>
          <w:highlight w:val="none"/>
        </w:rPr>
        <w:fldChar w:fldCharType="separate"/>
      </w:r>
      <w:r>
        <w:rPr>
          <w:rFonts w:hint="eastAsia" w:ascii="Times New Roman"/>
          <w:b/>
          <w:bCs/>
          <w:snapToGrid w:val="0"/>
          <w:color w:val="auto"/>
          <w:szCs w:val="22"/>
          <w:highlight w:val="none"/>
        </w:rPr>
        <w:t>第五章 投标文件格式</w:t>
      </w:r>
      <w:r>
        <w:rPr>
          <w:b/>
          <w:bCs/>
          <w:color w:val="auto"/>
          <w:highlight w:val="none"/>
        </w:rPr>
        <w:tab/>
      </w:r>
      <w:r>
        <w:rPr>
          <w:b/>
          <w:bCs/>
          <w:color w:val="auto"/>
          <w:highlight w:val="none"/>
        </w:rPr>
        <w:fldChar w:fldCharType="begin"/>
      </w:r>
      <w:r>
        <w:rPr>
          <w:b/>
          <w:bCs/>
          <w:color w:val="auto"/>
          <w:highlight w:val="none"/>
        </w:rPr>
        <w:instrText xml:space="preserve"> PAGEREF _Toc23308 \h </w:instrText>
      </w:r>
      <w:r>
        <w:rPr>
          <w:b/>
          <w:bCs/>
          <w:color w:val="auto"/>
          <w:highlight w:val="none"/>
        </w:rPr>
        <w:fldChar w:fldCharType="separate"/>
      </w:r>
      <w:r>
        <w:rPr>
          <w:b/>
          <w:bCs/>
          <w:color w:val="auto"/>
          <w:highlight w:val="none"/>
        </w:rPr>
        <w:t>63</w:t>
      </w:r>
      <w:r>
        <w:rPr>
          <w:b/>
          <w:bCs/>
          <w:color w:val="auto"/>
          <w:highlight w:val="none"/>
        </w:rPr>
        <w:fldChar w:fldCharType="end"/>
      </w:r>
      <w:r>
        <w:rPr>
          <w:rFonts w:hint="eastAsia" w:hAnsi="宋体" w:cs="宋体"/>
          <w:b/>
          <w:bCs/>
          <w:color w:val="auto"/>
          <w:szCs w:val="24"/>
          <w:highlight w:val="none"/>
        </w:rPr>
        <w:fldChar w:fldCharType="end"/>
      </w:r>
    </w:p>
    <w:p w14:paraId="432F9965">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_Toc3155 </w:instrText>
      </w:r>
      <w:r>
        <w:rPr>
          <w:rFonts w:hint="eastAsia" w:hAnsi="宋体" w:cs="宋体"/>
          <w:color w:val="auto"/>
          <w:szCs w:val="24"/>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_Toc3155 \h </w:instrText>
      </w:r>
      <w:r>
        <w:rPr>
          <w:color w:val="auto"/>
          <w:highlight w:val="none"/>
        </w:rPr>
        <w:fldChar w:fldCharType="separate"/>
      </w:r>
      <w:r>
        <w:rPr>
          <w:color w:val="auto"/>
          <w:highlight w:val="none"/>
        </w:rPr>
        <w:t>63</w:t>
      </w:r>
      <w:r>
        <w:rPr>
          <w:color w:val="auto"/>
          <w:highlight w:val="none"/>
        </w:rPr>
        <w:fldChar w:fldCharType="end"/>
      </w:r>
      <w:r>
        <w:rPr>
          <w:rFonts w:hint="eastAsia" w:hAnsi="宋体" w:cs="宋体"/>
          <w:color w:val="auto"/>
          <w:szCs w:val="24"/>
          <w:highlight w:val="none"/>
        </w:rPr>
        <w:fldChar w:fldCharType="end"/>
      </w:r>
    </w:p>
    <w:p w14:paraId="06C583CB">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_Toc25707 </w:instrText>
      </w:r>
      <w:r>
        <w:rPr>
          <w:rFonts w:hint="eastAsia" w:hAnsi="宋体" w:cs="宋体"/>
          <w:color w:val="auto"/>
          <w:szCs w:val="24"/>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_Toc25707 \h </w:instrText>
      </w:r>
      <w:r>
        <w:rPr>
          <w:color w:val="auto"/>
          <w:highlight w:val="none"/>
        </w:rPr>
        <w:fldChar w:fldCharType="separate"/>
      </w:r>
      <w:r>
        <w:rPr>
          <w:color w:val="auto"/>
          <w:highlight w:val="none"/>
        </w:rPr>
        <w:t>64</w:t>
      </w:r>
      <w:r>
        <w:rPr>
          <w:color w:val="auto"/>
          <w:highlight w:val="none"/>
        </w:rPr>
        <w:fldChar w:fldCharType="end"/>
      </w:r>
      <w:r>
        <w:rPr>
          <w:rFonts w:hint="eastAsia" w:hAnsi="宋体" w:cs="宋体"/>
          <w:color w:val="auto"/>
          <w:szCs w:val="24"/>
          <w:highlight w:val="none"/>
        </w:rPr>
        <w:fldChar w:fldCharType="end"/>
      </w:r>
    </w:p>
    <w:p w14:paraId="728E3431">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_Toc30600 </w:instrText>
      </w:r>
      <w:r>
        <w:rPr>
          <w:rFonts w:hint="eastAsia" w:hAnsi="宋体" w:cs="宋体"/>
          <w:color w:val="auto"/>
          <w:szCs w:val="24"/>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_Toc30600 \h </w:instrText>
      </w:r>
      <w:r>
        <w:rPr>
          <w:color w:val="auto"/>
          <w:highlight w:val="none"/>
        </w:rPr>
        <w:fldChar w:fldCharType="separate"/>
      </w:r>
      <w:r>
        <w:rPr>
          <w:color w:val="auto"/>
          <w:highlight w:val="none"/>
        </w:rPr>
        <w:t>65</w:t>
      </w:r>
      <w:r>
        <w:rPr>
          <w:color w:val="auto"/>
          <w:highlight w:val="none"/>
        </w:rPr>
        <w:fldChar w:fldCharType="end"/>
      </w:r>
      <w:r>
        <w:rPr>
          <w:rFonts w:hint="eastAsia" w:hAnsi="宋体" w:cs="宋体"/>
          <w:color w:val="auto"/>
          <w:szCs w:val="24"/>
          <w:highlight w:val="none"/>
        </w:rPr>
        <w:fldChar w:fldCharType="end"/>
      </w:r>
    </w:p>
    <w:p w14:paraId="2C4AE918">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_Toc3697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_Toc3697 \h </w:instrText>
      </w:r>
      <w:r>
        <w:rPr>
          <w:color w:val="auto"/>
          <w:highlight w:val="none"/>
        </w:rPr>
        <w:fldChar w:fldCharType="separate"/>
      </w:r>
      <w:r>
        <w:rPr>
          <w:color w:val="auto"/>
          <w:highlight w:val="none"/>
        </w:rPr>
        <w:t>67</w:t>
      </w:r>
      <w:r>
        <w:rPr>
          <w:color w:val="auto"/>
          <w:highlight w:val="none"/>
        </w:rPr>
        <w:fldChar w:fldCharType="end"/>
      </w:r>
      <w:r>
        <w:rPr>
          <w:rFonts w:hint="eastAsia" w:hAnsi="宋体" w:cs="宋体"/>
          <w:color w:val="auto"/>
          <w:szCs w:val="24"/>
          <w:highlight w:val="none"/>
        </w:rPr>
        <w:fldChar w:fldCharType="end"/>
      </w:r>
    </w:p>
    <w:p w14:paraId="6FCE7461">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_Toc12713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_Toc12713 \h </w:instrText>
      </w:r>
      <w:r>
        <w:rPr>
          <w:color w:val="auto"/>
          <w:highlight w:val="none"/>
        </w:rPr>
        <w:fldChar w:fldCharType="separate"/>
      </w:r>
      <w:r>
        <w:rPr>
          <w:color w:val="auto"/>
          <w:highlight w:val="none"/>
        </w:rPr>
        <w:t>68</w:t>
      </w:r>
      <w:r>
        <w:rPr>
          <w:color w:val="auto"/>
          <w:highlight w:val="none"/>
        </w:rPr>
        <w:fldChar w:fldCharType="end"/>
      </w:r>
      <w:r>
        <w:rPr>
          <w:rFonts w:hint="eastAsia" w:hAnsi="宋体" w:cs="宋体"/>
          <w:color w:val="auto"/>
          <w:szCs w:val="24"/>
          <w:highlight w:val="none"/>
        </w:rPr>
        <w:fldChar w:fldCharType="end"/>
      </w:r>
    </w:p>
    <w:p w14:paraId="53617611">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_Toc17939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_Toc17939 \h </w:instrText>
      </w:r>
      <w:r>
        <w:rPr>
          <w:color w:val="auto"/>
          <w:highlight w:val="none"/>
        </w:rPr>
        <w:fldChar w:fldCharType="separate"/>
      </w:r>
      <w:r>
        <w:rPr>
          <w:color w:val="auto"/>
          <w:highlight w:val="none"/>
        </w:rPr>
        <w:t>69</w:t>
      </w:r>
      <w:r>
        <w:rPr>
          <w:color w:val="auto"/>
          <w:highlight w:val="none"/>
        </w:rPr>
        <w:fldChar w:fldCharType="end"/>
      </w:r>
      <w:r>
        <w:rPr>
          <w:rFonts w:hint="eastAsia" w:hAnsi="宋体" w:cs="宋体"/>
          <w:color w:val="auto"/>
          <w:szCs w:val="24"/>
          <w:highlight w:val="none"/>
        </w:rPr>
        <w:fldChar w:fldCharType="end"/>
      </w:r>
    </w:p>
    <w:p w14:paraId="7B29CECE">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_Toc11472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格式七  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_Toc11472 \h </w:instrText>
      </w:r>
      <w:r>
        <w:rPr>
          <w:color w:val="auto"/>
          <w:highlight w:val="none"/>
        </w:rPr>
        <w:fldChar w:fldCharType="separate"/>
      </w:r>
      <w:r>
        <w:rPr>
          <w:color w:val="auto"/>
          <w:highlight w:val="none"/>
        </w:rPr>
        <w:t>70</w:t>
      </w:r>
      <w:r>
        <w:rPr>
          <w:color w:val="auto"/>
          <w:highlight w:val="none"/>
        </w:rPr>
        <w:fldChar w:fldCharType="end"/>
      </w:r>
      <w:r>
        <w:rPr>
          <w:rFonts w:hint="eastAsia" w:hAnsi="宋体" w:cs="宋体"/>
          <w:color w:val="auto"/>
          <w:szCs w:val="24"/>
          <w:highlight w:val="none"/>
        </w:rPr>
        <w:fldChar w:fldCharType="end"/>
      </w:r>
    </w:p>
    <w:p w14:paraId="79B3D443">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_Toc29211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格式八 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_Toc29211 \h </w:instrText>
      </w:r>
      <w:r>
        <w:rPr>
          <w:color w:val="auto"/>
          <w:highlight w:val="none"/>
        </w:rPr>
        <w:fldChar w:fldCharType="separate"/>
      </w:r>
      <w:r>
        <w:rPr>
          <w:color w:val="auto"/>
          <w:highlight w:val="none"/>
        </w:rPr>
        <w:t>71</w:t>
      </w:r>
      <w:r>
        <w:rPr>
          <w:color w:val="auto"/>
          <w:highlight w:val="none"/>
        </w:rPr>
        <w:fldChar w:fldCharType="end"/>
      </w:r>
      <w:r>
        <w:rPr>
          <w:rFonts w:hint="eastAsia" w:hAnsi="宋体" w:cs="宋体"/>
          <w:color w:val="auto"/>
          <w:szCs w:val="24"/>
          <w:highlight w:val="none"/>
        </w:rPr>
        <w:fldChar w:fldCharType="end"/>
      </w:r>
    </w:p>
    <w:p w14:paraId="49BE3B47">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_Toc17768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格式九 总监理工程师任职项目情况表</w:t>
      </w:r>
      <w:r>
        <w:rPr>
          <w:color w:val="auto"/>
          <w:highlight w:val="none"/>
        </w:rPr>
        <w:tab/>
      </w:r>
      <w:r>
        <w:rPr>
          <w:color w:val="auto"/>
          <w:highlight w:val="none"/>
        </w:rPr>
        <w:fldChar w:fldCharType="begin"/>
      </w:r>
      <w:r>
        <w:rPr>
          <w:color w:val="auto"/>
          <w:highlight w:val="none"/>
        </w:rPr>
        <w:instrText xml:space="preserve"> PAGEREF _Toc17768 \h </w:instrText>
      </w:r>
      <w:r>
        <w:rPr>
          <w:color w:val="auto"/>
          <w:highlight w:val="none"/>
        </w:rPr>
        <w:fldChar w:fldCharType="separate"/>
      </w:r>
      <w:r>
        <w:rPr>
          <w:color w:val="auto"/>
          <w:highlight w:val="none"/>
        </w:rPr>
        <w:t>72</w:t>
      </w:r>
      <w:r>
        <w:rPr>
          <w:color w:val="auto"/>
          <w:highlight w:val="none"/>
        </w:rPr>
        <w:fldChar w:fldCharType="end"/>
      </w:r>
      <w:r>
        <w:rPr>
          <w:rFonts w:hint="eastAsia" w:hAnsi="宋体" w:cs="宋体"/>
          <w:color w:val="auto"/>
          <w:szCs w:val="24"/>
          <w:highlight w:val="none"/>
        </w:rPr>
        <w:fldChar w:fldCharType="end"/>
      </w:r>
    </w:p>
    <w:p w14:paraId="682398C7">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_Toc29412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w:t>
      </w:r>
      <w:r>
        <w:rPr>
          <w:rFonts w:hint="eastAsia" w:hAnsi="宋体" w:cs="宋体"/>
          <w:bCs/>
          <w:snapToGrid w:val="0"/>
          <w:color w:val="auto"/>
          <w:kern w:val="0"/>
          <w:szCs w:val="24"/>
          <w:highlight w:val="none"/>
        </w:rPr>
        <w:t>十 项目监理机构组成人员汇总表</w:t>
      </w:r>
      <w:r>
        <w:rPr>
          <w:color w:val="auto"/>
          <w:highlight w:val="none"/>
        </w:rPr>
        <w:tab/>
      </w:r>
      <w:r>
        <w:rPr>
          <w:color w:val="auto"/>
          <w:highlight w:val="none"/>
        </w:rPr>
        <w:fldChar w:fldCharType="begin"/>
      </w:r>
      <w:r>
        <w:rPr>
          <w:color w:val="auto"/>
          <w:highlight w:val="none"/>
        </w:rPr>
        <w:instrText xml:space="preserve"> PAGEREF _Toc29412 \h </w:instrText>
      </w:r>
      <w:r>
        <w:rPr>
          <w:color w:val="auto"/>
          <w:highlight w:val="none"/>
        </w:rPr>
        <w:fldChar w:fldCharType="separate"/>
      </w:r>
      <w:r>
        <w:rPr>
          <w:color w:val="auto"/>
          <w:highlight w:val="none"/>
        </w:rPr>
        <w:t>73</w:t>
      </w:r>
      <w:r>
        <w:rPr>
          <w:color w:val="auto"/>
          <w:highlight w:val="none"/>
        </w:rPr>
        <w:fldChar w:fldCharType="end"/>
      </w:r>
      <w:r>
        <w:rPr>
          <w:rFonts w:hint="eastAsia" w:hAnsi="宋体" w:cs="宋体"/>
          <w:color w:val="auto"/>
          <w:szCs w:val="24"/>
          <w:highlight w:val="none"/>
        </w:rPr>
        <w:fldChar w:fldCharType="end"/>
      </w:r>
    </w:p>
    <w:p w14:paraId="268DEB25">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_Toc379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格式十一  总监理工程师简历表</w:t>
      </w:r>
      <w:r>
        <w:rPr>
          <w:color w:val="auto"/>
          <w:highlight w:val="none"/>
        </w:rPr>
        <w:tab/>
      </w:r>
      <w:r>
        <w:rPr>
          <w:color w:val="auto"/>
          <w:highlight w:val="none"/>
        </w:rPr>
        <w:fldChar w:fldCharType="begin"/>
      </w:r>
      <w:r>
        <w:rPr>
          <w:color w:val="auto"/>
          <w:highlight w:val="none"/>
        </w:rPr>
        <w:instrText xml:space="preserve"> PAGEREF _Toc379 \h </w:instrText>
      </w:r>
      <w:r>
        <w:rPr>
          <w:color w:val="auto"/>
          <w:highlight w:val="none"/>
        </w:rPr>
        <w:fldChar w:fldCharType="separate"/>
      </w:r>
      <w:r>
        <w:rPr>
          <w:color w:val="auto"/>
          <w:highlight w:val="none"/>
        </w:rPr>
        <w:t>74</w:t>
      </w:r>
      <w:r>
        <w:rPr>
          <w:color w:val="auto"/>
          <w:highlight w:val="none"/>
        </w:rPr>
        <w:fldChar w:fldCharType="end"/>
      </w:r>
      <w:r>
        <w:rPr>
          <w:rFonts w:hint="eastAsia" w:hAnsi="宋体" w:cs="宋体"/>
          <w:color w:val="auto"/>
          <w:szCs w:val="24"/>
          <w:highlight w:val="none"/>
        </w:rPr>
        <w:fldChar w:fldCharType="end"/>
      </w:r>
    </w:p>
    <w:p w14:paraId="4FEAE1BC">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_Toc10500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格式十二  其他拟派人员简历表</w:t>
      </w:r>
      <w:r>
        <w:rPr>
          <w:color w:val="auto"/>
          <w:highlight w:val="none"/>
        </w:rPr>
        <w:tab/>
      </w:r>
      <w:r>
        <w:rPr>
          <w:color w:val="auto"/>
          <w:highlight w:val="none"/>
        </w:rPr>
        <w:fldChar w:fldCharType="begin"/>
      </w:r>
      <w:r>
        <w:rPr>
          <w:color w:val="auto"/>
          <w:highlight w:val="none"/>
        </w:rPr>
        <w:instrText xml:space="preserve"> PAGEREF _Toc10500 \h </w:instrText>
      </w:r>
      <w:r>
        <w:rPr>
          <w:color w:val="auto"/>
          <w:highlight w:val="none"/>
        </w:rPr>
        <w:fldChar w:fldCharType="separate"/>
      </w:r>
      <w:r>
        <w:rPr>
          <w:color w:val="auto"/>
          <w:highlight w:val="none"/>
        </w:rPr>
        <w:t>75</w:t>
      </w:r>
      <w:r>
        <w:rPr>
          <w:color w:val="auto"/>
          <w:highlight w:val="none"/>
        </w:rPr>
        <w:fldChar w:fldCharType="end"/>
      </w:r>
      <w:r>
        <w:rPr>
          <w:rFonts w:hint="eastAsia" w:hAnsi="宋体" w:cs="宋体"/>
          <w:color w:val="auto"/>
          <w:szCs w:val="24"/>
          <w:highlight w:val="none"/>
        </w:rPr>
        <w:fldChar w:fldCharType="end"/>
      </w:r>
    </w:p>
    <w:p w14:paraId="4973C15D">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_Toc12078 </w:instrText>
      </w:r>
      <w:r>
        <w:rPr>
          <w:rFonts w:hint="eastAsia" w:hAnsi="宋体" w:cs="宋体"/>
          <w:color w:val="auto"/>
          <w:szCs w:val="24"/>
          <w:highlight w:val="none"/>
        </w:rPr>
        <w:fldChar w:fldCharType="separate"/>
      </w:r>
      <w:r>
        <w:rPr>
          <w:rFonts w:hint="eastAsia"/>
          <w:bCs/>
          <w:color w:val="auto"/>
          <w:highlight w:val="none"/>
          <w:lang w:val="en-US" w:eastAsia="zh-CN"/>
        </w:rPr>
        <w:t>格式十三 原件一览表</w:t>
      </w:r>
      <w:r>
        <w:rPr>
          <w:color w:val="auto"/>
          <w:highlight w:val="none"/>
        </w:rPr>
        <w:tab/>
      </w:r>
      <w:r>
        <w:rPr>
          <w:color w:val="auto"/>
          <w:highlight w:val="none"/>
        </w:rPr>
        <w:fldChar w:fldCharType="begin"/>
      </w:r>
      <w:r>
        <w:rPr>
          <w:color w:val="auto"/>
          <w:highlight w:val="none"/>
        </w:rPr>
        <w:instrText xml:space="preserve"> PAGEREF _Toc12078 \h </w:instrText>
      </w:r>
      <w:r>
        <w:rPr>
          <w:color w:val="auto"/>
          <w:highlight w:val="none"/>
        </w:rPr>
        <w:fldChar w:fldCharType="separate"/>
      </w:r>
      <w:r>
        <w:rPr>
          <w:color w:val="auto"/>
          <w:highlight w:val="none"/>
        </w:rPr>
        <w:t>76</w:t>
      </w:r>
      <w:r>
        <w:rPr>
          <w:color w:val="auto"/>
          <w:highlight w:val="none"/>
        </w:rPr>
        <w:fldChar w:fldCharType="end"/>
      </w:r>
      <w:r>
        <w:rPr>
          <w:rFonts w:hint="eastAsia" w:hAnsi="宋体" w:cs="宋体"/>
          <w:color w:val="auto"/>
          <w:szCs w:val="24"/>
          <w:highlight w:val="none"/>
        </w:rPr>
        <w:fldChar w:fldCharType="end"/>
      </w:r>
    </w:p>
    <w:p w14:paraId="7DBC5EE5">
      <w:pPr>
        <w:pStyle w:val="25"/>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_Toc591 </w:instrText>
      </w:r>
      <w:r>
        <w:rPr>
          <w:rFonts w:hint="eastAsia" w:hAnsi="宋体" w:cs="宋体"/>
          <w:color w:val="auto"/>
          <w:szCs w:val="24"/>
          <w:highlight w:val="none"/>
        </w:rPr>
        <w:fldChar w:fldCharType="separate"/>
      </w:r>
      <w:r>
        <w:rPr>
          <w:rFonts w:hint="eastAsia" w:ascii="宋体" w:hAnsi="Times New Roman" w:eastAsia="宋体" w:cs="Times New Roman"/>
          <w:bCs/>
          <w:color w:val="auto"/>
          <w:highlight w:val="none"/>
          <w:lang w:val="en-US" w:eastAsia="zh-CN"/>
        </w:rPr>
        <w:t>格式十四 定标因素评审资料</w:t>
      </w:r>
      <w:r>
        <w:rPr>
          <w:color w:val="auto"/>
          <w:highlight w:val="none"/>
        </w:rPr>
        <w:tab/>
      </w:r>
      <w:r>
        <w:rPr>
          <w:color w:val="auto"/>
          <w:highlight w:val="none"/>
        </w:rPr>
        <w:fldChar w:fldCharType="begin"/>
      </w:r>
      <w:r>
        <w:rPr>
          <w:color w:val="auto"/>
          <w:highlight w:val="none"/>
        </w:rPr>
        <w:instrText xml:space="preserve"> PAGEREF _Toc591 \h </w:instrText>
      </w:r>
      <w:r>
        <w:rPr>
          <w:color w:val="auto"/>
          <w:highlight w:val="none"/>
        </w:rPr>
        <w:fldChar w:fldCharType="separate"/>
      </w:r>
      <w:r>
        <w:rPr>
          <w:color w:val="auto"/>
          <w:highlight w:val="none"/>
        </w:rPr>
        <w:t>77</w:t>
      </w:r>
      <w:r>
        <w:rPr>
          <w:color w:val="auto"/>
          <w:highlight w:val="none"/>
        </w:rPr>
        <w:fldChar w:fldCharType="end"/>
      </w:r>
      <w:r>
        <w:rPr>
          <w:rFonts w:hint="eastAsia" w:hAnsi="宋体" w:cs="宋体"/>
          <w:color w:val="auto"/>
          <w:szCs w:val="24"/>
          <w:highlight w:val="none"/>
        </w:rPr>
        <w:fldChar w:fldCharType="end"/>
      </w:r>
    </w:p>
    <w:p w14:paraId="713CCA9B">
      <w:pPr>
        <w:pStyle w:val="21"/>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_Toc1091 </w:instrText>
      </w:r>
      <w:r>
        <w:rPr>
          <w:rFonts w:hint="eastAsia" w:hAnsi="宋体" w:cs="宋体"/>
          <w:b/>
          <w:bCs/>
          <w:color w:val="auto"/>
          <w:szCs w:val="24"/>
          <w:highlight w:val="none"/>
        </w:rPr>
        <w:fldChar w:fldCharType="separate"/>
      </w:r>
      <w:r>
        <w:rPr>
          <w:rFonts w:hint="eastAsia" w:ascii="宋体" w:hAnsi="宋体" w:cs="宋体"/>
          <w:b/>
          <w:bCs/>
          <w:color w:val="auto"/>
          <w:kern w:val="44"/>
          <w:szCs w:val="22"/>
          <w:highlight w:val="none"/>
        </w:rPr>
        <w:t>第六章 建设工程监理合同</w:t>
      </w:r>
      <w:r>
        <w:rPr>
          <w:b/>
          <w:bCs/>
          <w:color w:val="auto"/>
          <w:highlight w:val="none"/>
        </w:rPr>
        <w:tab/>
      </w:r>
      <w:r>
        <w:rPr>
          <w:b/>
          <w:bCs/>
          <w:color w:val="auto"/>
          <w:highlight w:val="none"/>
        </w:rPr>
        <w:fldChar w:fldCharType="begin"/>
      </w:r>
      <w:r>
        <w:rPr>
          <w:b/>
          <w:bCs/>
          <w:color w:val="auto"/>
          <w:highlight w:val="none"/>
        </w:rPr>
        <w:instrText xml:space="preserve"> PAGEREF _Toc1091 \h </w:instrText>
      </w:r>
      <w:r>
        <w:rPr>
          <w:b/>
          <w:bCs/>
          <w:color w:val="auto"/>
          <w:highlight w:val="none"/>
        </w:rPr>
        <w:fldChar w:fldCharType="separate"/>
      </w:r>
      <w:r>
        <w:rPr>
          <w:b/>
          <w:bCs/>
          <w:color w:val="auto"/>
          <w:highlight w:val="none"/>
        </w:rPr>
        <w:t>78</w:t>
      </w:r>
      <w:r>
        <w:rPr>
          <w:b/>
          <w:bCs/>
          <w:color w:val="auto"/>
          <w:highlight w:val="none"/>
        </w:rPr>
        <w:fldChar w:fldCharType="end"/>
      </w:r>
      <w:r>
        <w:rPr>
          <w:rFonts w:hint="eastAsia" w:hAnsi="宋体" w:cs="宋体"/>
          <w:b/>
          <w:bCs/>
          <w:color w:val="auto"/>
          <w:szCs w:val="24"/>
          <w:highlight w:val="none"/>
        </w:rPr>
        <w:fldChar w:fldCharType="end"/>
      </w:r>
    </w:p>
    <w:p w14:paraId="04AFE2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szCs w:val="24"/>
          <w:highlight w:val="none"/>
        </w:rPr>
      </w:pPr>
      <w:r>
        <w:rPr>
          <w:rFonts w:hint="eastAsia" w:hAnsi="宋体" w:cs="宋体"/>
          <w:color w:val="auto"/>
          <w:szCs w:val="24"/>
          <w:highlight w:val="none"/>
        </w:rPr>
        <w:fldChar w:fldCharType="end"/>
      </w:r>
    </w:p>
    <w:p w14:paraId="72C6CDF7">
      <w:pPr>
        <w:bidi w:val="0"/>
        <w:rPr>
          <w:rFonts w:hint="eastAsia"/>
          <w:color w:val="auto"/>
          <w:highlight w:val="none"/>
        </w:rPr>
      </w:pPr>
    </w:p>
    <w:p w14:paraId="44E278EF">
      <w:pPr>
        <w:bidi w:val="0"/>
        <w:rPr>
          <w:rFonts w:hint="eastAsia"/>
          <w:color w:val="auto"/>
          <w:highlight w:val="none"/>
        </w:rPr>
      </w:pPr>
    </w:p>
    <w:p w14:paraId="4CFFDCA3">
      <w:pPr>
        <w:bidi w:val="0"/>
        <w:rPr>
          <w:rFonts w:hint="eastAsia"/>
          <w:color w:val="auto"/>
          <w:highlight w:val="none"/>
        </w:rPr>
      </w:pPr>
    </w:p>
    <w:p w14:paraId="49FACEF0">
      <w:pPr>
        <w:bidi w:val="0"/>
        <w:rPr>
          <w:rFonts w:hint="eastAsia"/>
          <w:color w:val="auto"/>
          <w:highlight w:val="none"/>
        </w:rPr>
      </w:pPr>
    </w:p>
    <w:p w14:paraId="67D59685">
      <w:pPr>
        <w:bidi w:val="0"/>
        <w:rPr>
          <w:rFonts w:hint="eastAsia"/>
          <w:color w:val="auto"/>
          <w:highlight w:val="none"/>
        </w:rPr>
      </w:pPr>
    </w:p>
    <w:p w14:paraId="3CF29BF7">
      <w:pPr>
        <w:bidi w:val="0"/>
        <w:rPr>
          <w:rFonts w:hint="eastAsia"/>
          <w:color w:val="auto"/>
          <w:highlight w:val="none"/>
        </w:rPr>
      </w:pPr>
    </w:p>
    <w:p w14:paraId="1C6B5B71">
      <w:pPr>
        <w:bidi w:val="0"/>
        <w:rPr>
          <w:rFonts w:hint="eastAsia"/>
          <w:color w:val="auto"/>
          <w:highlight w:val="none"/>
        </w:rPr>
      </w:pPr>
    </w:p>
    <w:p w14:paraId="11886F1D">
      <w:pPr>
        <w:pStyle w:val="5"/>
        <w:rPr>
          <w:rFonts w:hint="eastAsia"/>
          <w:color w:val="auto"/>
          <w:highlight w:val="none"/>
        </w:rPr>
      </w:pPr>
    </w:p>
    <w:p w14:paraId="00CD5A72">
      <w:pPr>
        <w:bidi w:val="0"/>
        <w:rPr>
          <w:rFonts w:hint="eastAsia"/>
          <w:color w:val="auto"/>
          <w:highlight w:val="none"/>
        </w:rPr>
      </w:pPr>
    </w:p>
    <w:p w14:paraId="7906C4F8">
      <w:pPr>
        <w:bidi w:val="0"/>
        <w:rPr>
          <w:rFonts w:hint="eastAsia"/>
          <w:color w:val="auto"/>
          <w:highlight w:val="none"/>
        </w:rPr>
      </w:pPr>
    </w:p>
    <w:p w14:paraId="7FA25707">
      <w:pPr>
        <w:bidi w:val="0"/>
        <w:rPr>
          <w:rFonts w:hint="eastAsia"/>
          <w:color w:val="auto"/>
          <w:highlight w:val="none"/>
        </w:rPr>
      </w:pPr>
    </w:p>
    <w:p w14:paraId="1AC08286">
      <w:pPr>
        <w:bidi w:val="0"/>
        <w:rPr>
          <w:rFonts w:hint="eastAsia"/>
          <w:color w:val="auto"/>
          <w:highlight w:val="none"/>
        </w:rPr>
      </w:pPr>
    </w:p>
    <w:p w14:paraId="73AD38DD">
      <w:pPr>
        <w:pStyle w:val="2"/>
        <w:wordWrap w:val="0"/>
        <w:autoSpaceDE/>
        <w:autoSpaceDN/>
        <w:snapToGrid w:val="0"/>
        <w:spacing w:line="440" w:lineRule="exact"/>
        <w:jc w:val="center"/>
        <w:rPr>
          <w:rFonts w:ascii="Times New Roman"/>
          <w:b/>
          <w:snapToGrid w:val="0"/>
          <w:color w:val="auto"/>
          <w:sz w:val="32"/>
          <w:szCs w:val="22"/>
          <w:highlight w:val="none"/>
        </w:rPr>
      </w:pPr>
      <w:bookmarkStart w:id="0" w:name="_Toc18357"/>
      <w:r>
        <w:rPr>
          <w:rFonts w:hint="eastAsia" w:ascii="Times New Roman"/>
          <w:b/>
          <w:snapToGrid w:val="0"/>
          <w:color w:val="auto"/>
          <w:sz w:val="32"/>
          <w:szCs w:val="22"/>
          <w:highlight w:val="none"/>
        </w:rPr>
        <w:t>第一章 投标人须知</w:t>
      </w:r>
      <w:bookmarkEnd w:id="0"/>
    </w:p>
    <w:p w14:paraId="64D39061">
      <w:pPr>
        <w:pStyle w:val="3"/>
        <w:wordWrap w:val="0"/>
        <w:autoSpaceDE/>
        <w:autoSpaceDN/>
        <w:snapToGrid w:val="0"/>
        <w:spacing w:before="260" w:after="260" w:line="440" w:lineRule="exact"/>
        <w:jc w:val="both"/>
        <w:rPr>
          <w:rFonts w:ascii="Times New Roman"/>
          <w:b/>
          <w:snapToGrid w:val="0"/>
          <w:color w:val="auto"/>
          <w:highlight w:val="none"/>
        </w:rPr>
      </w:pPr>
      <w:bookmarkStart w:id="1" w:name="_Hlt127175444"/>
      <w:bookmarkEnd w:id="1"/>
      <w:bookmarkStart w:id="2" w:name="_Toc4883"/>
      <w:bookmarkStart w:id="3" w:name="_Toc1463"/>
      <w:bookmarkStart w:id="4" w:name="_Hlt120077520"/>
      <w:r>
        <w:rPr>
          <w:rFonts w:hint="eastAsia" w:ascii="Times New Roman"/>
          <w:b/>
          <w:snapToGrid w:val="0"/>
          <w:color w:val="auto"/>
          <w:highlight w:val="none"/>
        </w:rPr>
        <w:t>第一节 投标人须知前附表</w:t>
      </w:r>
      <w:bookmarkEnd w:id="2"/>
      <w:bookmarkEnd w:id="3"/>
    </w:p>
    <w:tbl>
      <w:tblPr>
        <w:tblStyle w:val="31"/>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8"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5A039704">
            <w:pPr>
              <w:shd w:val="clear" w:color="auto" w:fill="auto"/>
              <w:tabs>
                <w:tab w:val="left" w:pos="1180"/>
              </w:tabs>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val="0"/>
                <w:snapToGrid w:val="0"/>
                <w:color w:val="auto"/>
                <w:kern w:val="0"/>
                <w:sz w:val="24"/>
                <w:szCs w:val="24"/>
                <w:highlight w:val="none"/>
                <w:lang w:eastAsia="zh-CN"/>
              </w:rPr>
              <w:t>仁化产业转移工业园区基础建设(二期)-韶关仁化产业园区大岭片区配套道路(G535线至新粮仓段)扩建项目监理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36C8F025">
            <w:pPr>
              <w:pStyle w:val="117"/>
              <w:shd w:val="clear" w:color="auto" w:fill="auto"/>
              <w:spacing w:line="240" w:lineRule="auto"/>
              <w:ind w:firstLine="240" w:firstLineChars="1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仁化县丹霞旅游经济开发试验区管理委员会</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0802AB74">
            <w:pPr>
              <w:keepNext w:val="0"/>
              <w:keepLines w:val="0"/>
              <w:pageBreakBefore w:val="0"/>
              <w:widowControl w:val="0"/>
              <w:kinsoku/>
              <w:wordWrap w:val="0"/>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仁化发展和改革局、仁化县</w:t>
            </w:r>
            <w:r>
              <w:rPr>
                <w:rFonts w:hint="eastAsia" w:ascii="宋体" w:hAnsi="宋体" w:eastAsia="宋体" w:cs="宋体"/>
                <w:color w:val="auto"/>
                <w:sz w:val="24"/>
                <w:szCs w:val="24"/>
                <w:highlight w:val="none"/>
                <w:lang w:val="en-US"/>
              </w:rPr>
              <w:t>发展改革</w:t>
            </w:r>
            <w:r>
              <w:rPr>
                <w:rFonts w:hint="eastAsia" w:ascii="宋体" w:hAnsi="宋体" w:eastAsia="宋体" w:cs="宋体"/>
                <w:color w:val="auto"/>
                <w:sz w:val="24"/>
                <w:szCs w:val="24"/>
                <w:highlight w:val="none"/>
                <w:lang w:val="en-US" w:eastAsia="zh-CN"/>
              </w:rPr>
              <w:t>和政务数据</w:t>
            </w:r>
            <w:r>
              <w:rPr>
                <w:rFonts w:hint="eastAsia" w:ascii="宋体" w:hAnsi="宋体" w:eastAsia="宋体" w:cs="宋体"/>
                <w:color w:val="auto"/>
                <w:sz w:val="24"/>
                <w:szCs w:val="24"/>
                <w:highlight w:val="none"/>
                <w:lang w:val="en-US"/>
              </w:rPr>
              <w:t>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52204F50">
            <w:pPr>
              <w:keepNext w:val="0"/>
              <w:keepLines w:val="0"/>
              <w:pageBreakBefore w:val="0"/>
              <w:widowControl w:val="0"/>
              <w:kinsoku/>
              <w:overflowPunct/>
              <w:topLinePunct w:val="0"/>
              <w:autoSpaceDE/>
              <w:autoSpaceDN/>
              <w:bidi w:val="0"/>
              <w:spacing w:line="460" w:lineRule="exact"/>
              <w:ind w:firstLine="240" w:firstLineChars="1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仁发改投审【2022】84号、仁</w:t>
            </w:r>
            <w:r>
              <w:rPr>
                <w:rFonts w:hint="eastAsia" w:ascii="宋体" w:hAnsi="宋体" w:eastAsia="宋体" w:cs="宋体"/>
                <w:color w:val="auto"/>
                <w:sz w:val="24"/>
                <w:szCs w:val="24"/>
                <w:highlight w:val="none"/>
                <w:lang w:val="en-US"/>
              </w:rPr>
              <w:t>发改</w:t>
            </w:r>
            <w:r>
              <w:rPr>
                <w:rFonts w:hint="eastAsia" w:ascii="宋体" w:hAnsi="宋体" w:eastAsia="宋体" w:cs="宋体"/>
                <w:color w:val="auto"/>
                <w:sz w:val="24"/>
                <w:szCs w:val="24"/>
                <w:highlight w:val="none"/>
                <w:lang w:val="en-US" w:eastAsia="zh-CN"/>
              </w:rPr>
              <w:t>和政数</w:t>
            </w:r>
            <w:r>
              <w:rPr>
                <w:rFonts w:hint="eastAsia" w:ascii="宋体" w:hAnsi="宋体" w:eastAsia="宋体" w:cs="宋体"/>
                <w:color w:val="auto"/>
                <w:sz w:val="24"/>
                <w:szCs w:val="24"/>
                <w:highlight w:val="none"/>
                <w:lang w:val="en-US"/>
              </w:rPr>
              <w:t>投审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2BAFF47C">
            <w:pPr>
              <w:pStyle w:val="117"/>
              <w:keepNext w:val="0"/>
              <w:keepLines w:val="0"/>
              <w:pageBreakBefore w:val="0"/>
              <w:widowControl w:val="0"/>
              <w:kinsoku/>
              <w:overflowPunct/>
              <w:topLinePunct w:val="0"/>
              <w:autoSpaceDE/>
              <w:autoSpaceDN/>
              <w:bidi w:val="0"/>
              <w:spacing w:line="460" w:lineRule="exact"/>
              <w:ind w:firstLine="240" w:firstLineChars="1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lang w:val="en-US" w:eastAsia="zh-CN"/>
              </w:rPr>
              <w:t>2208-440224-04-01-823973</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kinsoku/>
              <w:wordWrap w:val="0"/>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bidi="ar-SA"/>
              </w:rPr>
              <w:t>由上级资金和县级财政资金安排解决</w:t>
            </w:r>
            <w:r>
              <w:rPr>
                <w:rFonts w:hint="eastAsia" w:ascii="宋体" w:hAnsi="宋体" w:eastAsia="宋体" w:cs="宋体"/>
                <w:color w:val="auto"/>
                <w:kern w:val="0"/>
                <w:sz w:val="24"/>
                <w:szCs w:val="24"/>
                <w:highlight w:val="none"/>
                <w:lang w:val="en-US" w:eastAsia="zh-CN" w:bidi="ar-SA"/>
              </w:rPr>
              <w:t>；100%</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2B78CE3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仁化县市政工程公司</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247F9F6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广东合正项目管理有限公司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设计单位</w:t>
            </w:r>
          </w:p>
        </w:tc>
        <w:tc>
          <w:tcPr>
            <w:tcW w:w="6856" w:type="dxa"/>
            <w:tcBorders>
              <w:top w:val="single" w:color="auto" w:sz="4" w:space="0"/>
              <w:left w:val="single" w:color="auto" w:sz="4" w:space="0"/>
              <w:bottom w:val="single" w:color="auto" w:sz="4" w:space="0"/>
              <w:right w:val="single" w:color="auto" w:sz="4" w:space="0"/>
            </w:tcBorders>
            <w:vAlign w:val="center"/>
          </w:tcPr>
          <w:p w14:paraId="5A573BFA">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广东中颢工程设计有限公司</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240" w:firstLineChars="100"/>
              <w:rPr>
                <w:rFonts w:hint="eastAsia" w:ascii="宋体" w:hAnsi="宋体" w:eastAsia="宋体" w:cs="宋体"/>
                <w:bCs/>
                <w:snapToGrid w:val="0"/>
                <w:color w:val="auto"/>
                <w:kern w:val="0"/>
                <w:sz w:val="24"/>
                <w:szCs w:val="24"/>
                <w:highlight w:val="none"/>
                <w:lang w:val="en-US"/>
              </w:rPr>
            </w:pPr>
            <w:r>
              <w:rPr>
                <w:rFonts w:hint="eastAsia" w:ascii="宋体" w:hAnsi="宋体" w:eastAsia="宋体" w:cs="宋体"/>
                <w:color w:val="auto"/>
                <w:sz w:val="24"/>
                <w:szCs w:val="24"/>
                <w:highlight w:val="none"/>
                <w:lang w:val="en-US" w:eastAsia="zh-CN"/>
              </w:rPr>
              <w:t>韶关仁化产业园区大岭片区</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85"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78E28E24">
            <w:pPr>
              <w:keepNext w:val="0"/>
              <w:keepLines w:val="0"/>
              <w:pageBreakBefore w:val="0"/>
              <w:widowControl/>
              <w:suppressLineNumbers w:val="0"/>
              <w:shd w:val="clear" w:color="auto" w:fill="auto"/>
              <w:kinsoku/>
              <w:wordWrap/>
              <w:overflowPunct/>
              <w:topLinePunct w:val="0"/>
              <w:autoSpaceDE/>
              <w:autoSpaceDN/>
              <w:bidi w:val="0"/>
              <w:adjustRightInd/>
              <w:snapToGrid/>
              <w:spacing w:line="400" w:lineRule="exact"/>
              <w:ind w:left="0" w:leftChars="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□建设规模：/</w:t>
            </w:r>
          </w:p>
          <w:p w14:paraId="2359EBA7">
            <w:pPr>
              <w:keepNext w:val="0"/>
              <w:keepLines w:val="0"/>
              <w:pageBreakBefore w:val="0"/>
              <w:widowControl w:val="0"/>
              <w:kinsoku/>
              <w:wordWrap w:val="0"/>
              <w:overflowPunct/>
              <w:topLinePunct w:val="0"/>
              <w:autoSpaceDE/>
              <w:autoSpaceDN/>
              <w:bidi w:val="0"/>
              <w:adjustRightInd w:val="0"/>
              <w:snapToGrid w:val="0"/>
              <w:spacing w:line="500" w:lineRule="exact"/>
              <w:ind w:firstLine="240" w:firstLineChars="1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☑建设内容：</w:t>
            </w:r>
            <w:r>
              <w:rPr>
                <w:rFonts w:hint="eastAsia" w:ascii="宋体" w:hAnsi="宋体" w:eastAsia="宋体" w:cs="宋体"/>
                <w:color w:val="auto"/>
                <w:sz w:val="24"/>
                <w:szCs w:val="24"/>
                <w:highlight w:val="none"/>
                <w:lang w:val="en-US" w:eastAsia="zh-CN"/>
              </w:rPr>
              <w:t>新建约621米道路，采用水泥混凝土路面上铺沥青，沿线完善相关交通标线及挡土墙、水渠、路灯等配套设施。</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28"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shd w:val="clear" w:color="auto" w:fill="auto"/>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w:t>
            </w:r>
            <w:r>
              <w:rPr>
                <w:rFonts w:hint="eastAsia" w:ascii="宋体" w:hAnsi="宋体" w:eastAsia="宋体" w:cs="宋体"/>
                <w:color w:val="auto"/>
                <w:kern w:val="0"/>
                <w:sz w:val="24"/>
                <w:szCs w:val="24"/>
                <w:highlight w:val="none"/>
                <w:u w:val="none"/>
                <w:lang w:val="en-US" w:eastAsia="zh-CN"/>
              </w:rPr>
              <w:t>概算</w:t>
            </w:r>
            <w:r>
              <w:rPr>
                <w:rFonts w:hint="eastAsia" w:ascii="宋体" w:hAnsi="宋体" w:eastAsia="宋体" w:cs="宋体"/>
                <w:snapToGrid w:val="0"/>
                <w:color w:val="auto"/>
                <w:kern w:val="0"/>
                <w:sz w:val="24"/>
                <w:szCs w:val="24"/>
                <w:highlight w:val="none"/>
                <w:u w:val="none"/>
              </w:rPr>
              <w:t>投</w:t>
            </w:r>
            <w:r>
              <w:rPr>
                <w:rFonts w:hint="eastAsia" w:ascii="宋体" w:hAnsi="宋体" w:eastAsia="宋体" w:cs="宋体"/>
                <w:snapToGrid w:val="0"/>
                <w:color w:val="auto"/>
                <w:kern w:val="0"/>
                <w:sz w:val="24"/>
                <w:szCs w:val="24"/>
                <w:highlight w:val="none"/>
              </w:rPr>
              <w:t>资额</w:t>
            </w:r>
          </w:p>
        </w:tc>
        <w:tc>
          <w:tcPr>
            <w:tcW w:w="6856" w:type="dxa"/>
            <w:tcBorders>
              <w:top w:val="single" w:color="auto" w:sz="4" w:space="0"/>
              <w:left w:val="single" w:color="auto" w:sz="4" w:space="0"/>
              <w:bottom w:val="single" w:color="auto" w:sz="4" w:space="0"/>
              <w:right w:val="single" w:color="auto" w:sz="4" w:space="0"/>
            </w:tcBorders>
            <w:vAlign w:val="center"/>
          </w:tcPr>
          <w:p w14:paraId="5A4E55A0">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lang w:val="en-US"/>
              </w:rPr>
            </w:pPr>
            <w:r>
              <w:rPr>
                <w:rFonts w:hint="eastAsia" w:ascii="宋体" w:hAnsi="宋体" w:eastAsia="宋体" w:cs="宋体"/>
                <w:bCs/>
                <w:snapToGrid w:val="0"/>
                <w:color w:val="auto"/>
                <w:kern w:val="0"/>
                <w:sz w:val="24"/>
                <w:szCs w:val="24"/>
                <w:highlight w:val="none"/>
                <w:lang w:val="en-US" w:eastAsia="zh-CN" w:bidi="ar-SA"/>
              </w:rPr>
              <w:t>项目概算总投资966.81万元,其中工程费用643.73万元。</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项目建设施工阶段监理（含施工准备阶段、施工阶段、工程竣工结算阶段和保修阶段监理）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投标人须具备以下资质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工程监理综合资质或</w:t>
            </w:r>
            <w:r>
              <w:rPr>
                <w:rFonts w:hint="eastAsia" w:ascii="宋体" w:hAnsi="宋体" w:eastAsia="宋体" w:cs="宋体"/>
                <w:color w:val="auto"/>
                <w:sz w:val="24"/>
                <w:szCs w:val="24"/>
                <w:highlight w:val="none"/>
                <w:u w:val="single"/>
                <w:lang w:val="en-US" w:eastAsia="zh-CN"/>
              </w:rPr>
              <w:t>市政公用工程</w:t>
            </w:r>
            <w:r>
              <w:rPr>
                <w:rFonts w:hint="eastAsia" w:ascii="宋体" w:hAnsi="宋体" w:eastAsia="宋体" w:cs="宋体"/>
                <w:color w:val="auto"/>
                <w:sz w:val="24"/>
                <w:szCs w:val="24"/>
                <w:highlight w:val="none"/>
                <w:u w:val="single"/>
              </w:rPr>
              <w:t>专业监理乙级以上（含乙级）资质。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拟派总监理工程师为</w:t>
            </w:r>
            <w:r>
              <w:rPr>
                <w:rFonts w:hint="eastAsia" w:ascii="宋体" w:hAnsi="宋体" w:eastAsia="宋体" w:cs="宋体"/>
                <w:color w:val="auto"/>
                <w:sz w:val="24"/>
                <w:szCs w:val="24"/>
                <w:highlight w:val="none"/>
                <w:u w:val="single"/>
                <w:lang w:val="en-US" w:eastAsia="zh-CN"/>
              </w:rPr>
              <w:t>市政公用工程</w:t>
            </w:r>
            <w:r>
              <w:rPr>
                <w:rFonts w:hint="eastAsia" w:ascii="宋体" w:hAnsi="宋体" w:eastAsia="宋体" w:cs="宋体"/>
                <w:color w:val="auto"/>
                <w:sz w:val="24"/>
                <w:szCs w:val="24"/>
                <w:highlight w:val="none"/>
              </w:rPr>
              <w:t>专业注册监理工程师，应持有国家住建部印发的有效注册证书，其担任总监理工程师职务的其他在施（包括已中标未开工、已开工未竣工）建设工程项目不得超过</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kern w:val="0"/>
                <w:sz w:val="24"/>
                <w:szCs w:val="24"/>
                <w:highlight w:val="none"/>
              </w:rPr>
              <w:t>被“信用中国”网站（https://www.creditchina.gov.cn）发布的《法人和非法人组织公共信用信息报告》列为严重失信主体名单的</w:t>
            </w:r>
            <w:r>
              <w:rPr>
                <w:rFonts w:hint="eastAsia" w:ascii="宋体" w:hAnsi="宋体" w:eastAsia="宋体" w:cs="宋体"/>
                <w:color w:val="auto"/>
                <w:sz w:val="24"/>
                <w:szCs w:val="24"/>
                <w:highlight w:val="none"/>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招标人拒绝以下名单中的单位参加本次投标：</w:t>
            </w:r>
          </w:p>
          <w:tbl>
            <w:tblPr>
              <w:tblStyle w:val="31"/>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75"/>
              <w:gridCol w:w="2966"/>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875"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6"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5B757AB9">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2875" w:type="dxa"/>
                  <w:noWrap w:val="0"/>
                  <w:vAlign w:val="center"/>
                </w:tcPr>
                <w:p w14:paraId="33309A4E">
                  <w:pPr>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20" w:leftChars="50" w:right="120" w:rightChars="5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仁化县丹霞旅游经济开发试验区管理委员会</w:t>
                  </w:r>
                </w:p>
              </w:tc>
              <w:tc>
                <w:tcPr>
                  <w:tcW w:w="2966" w:type="dxa"/>
                  <w:noWrap w:val="0"/>
                  <w:vAlign w:val="center"/>
                </w:tcPr>
                <w:p w14:paraId="3109F4A9">
                  <w:pPr>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20" w:leftChars="50" w:right="120" w:rightChars="5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eastAsia="zh-CN"/>
                    </w:rPr>
                    <w:t>业主</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28FEDDA3">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2875" w:type="dxa"/>
                  <w:noWrap w:val="0"/>
                  <w:vAlign w:val="center"/>
                </w:tcPr>
                <w:p w14:paraId="22B974FA">
                  <w:pPr>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20" w:leftChars="50" w:right="120" w:rightChars="5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仁化县市政工程公司</w:t>
                  </w:r>
                </w:p>
              </w:tc>
              <w:tc>
                <w:tcPr>
                  <w:tcW w:w="2966" w:type="dxa"/>
                  <w:noWrap w:val="0"/>
                  <w:vAlign w:val="center"/>
                </w:tcPr>
                <w:p w14:paraId="3A221F21">
                  <w:pPr>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20" w:leftChars="50" w:right="120" w:rightChars="5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招标人</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74118216">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2875" w:type="dxa"/>
                  <w:noWrap w:val="0"/>
                  <w:vAlign w:val="center"/>
                </w:tcPr>
                <w:p w14:paraId="0A3FF80A">
                  <w:pPr>
                    <w:keepNext w:val="0"/>
                    <w:keepLines w:val="0"/>
                    <w:pageBreakBefore w:val="0"/>
                    <w:widowControl w:val="0"/>
                    <w:shd w:val="clear" w:color="auto" w:fill="auto"/>
                    <w:kinsoku/>
                    <w:overflowPunct/>
                    <w:topLinePunct w:val="0"/>
                    <w:autoSpaceDE/>
                    <w:autoSpaceDN/>
                    <w:bidi w:val="0"/>
                    <w:adjustRightInd w:val="0"/>
                    <w:snapToGrid/>
                    <w:spacing w:line="240" w:lineRule="auto"/>
                    <w:ind w:left="120" w:leftChars="50" w:right="120" w:rightChars="5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广东合正项目管理有限公司</w:t>
                  </w:r>
                </w:p>
              </w:tc>
              <w:tc>
                <w:tcPr>
                  <w:tcW w:w="2966" w:type="dxa"/>
                  <w:noWrap w:val="0"/>
                  <w:vAlign w:val="center"/>
                </w:tcPr>
                <w:p w14:paraId="5C95264F">
                  <w:pPr>
                    <w:keepNext w:val="0"/>
                    <w:keepLines w:val="0"/>
                    <w:pageBreakBefore w:val="0"/>
                    <w:widowControl w:val="0"/>
                    <w:shd w:val="clear" w:color="auto" w:fill="auto"/>
                    <w:kinsoku/>
                    <w:overflowPunct/>
                    <w:topLinePunct w:val="0"/>
                    <w:autoSpaceDE/>
                    <w:autoSpaceDN/>
                    <w:bidi w:val="0"/>
                    <w:adjustRightInd w:val="0"/>
                    <w:snapToGrid/>
                    <w:spacing w:line="240" w:lineRule="auto"/>
                    <w:ind w:left="120" w:leftChars="50" w:right="120" w:rightChars="5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为本招标项目的招标代理机构</w:t>
                  </w:r>
                </w:p>
              </w:tc>
            </w:tr>
            <w:tr w14:paraId="5E6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0D97E1E8">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w:t>
                  </w:r>
                </w:p>
              </w:tc>
              <w:tc>
                <w:tcPr>
                  <w:tcW w:w="2875" w:type="dxa"/>
                  <w:noWrap w:val="0"/>
                  <w:vAlign w:val="center"/>
                </w:tcPr>
                <w:p w14:paraId="5DD32DF6">
                  <w:pPr>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广东加达工程咨询有限公司</w:t>
                  </w:r>
                </w:p>
              </w:tc>
              <w:tc>
                <w:tcPr>
                  <w:tcW w:w="2966" w:type="dxa"/>
                  <w:noWrap w:val="0"/>
                  <w:vAlign w:val="center"/>
                </w:tcPr>
                <w:p w14:paraId="0884CAA7">
                  <w:pPr>
                    <w:pStyle w:val="88"/>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为本招标项目的造价单位</w:t>
                  </w:r>
                </w:p>
              </w:tc>
            </w:tr>
            <w:tr w14:paraId="223D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12C6AB1E">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w:t>
                  </w:r>
                </w:p>
              </w:tc>
              <w:tc>
                <w:tcPr>
                  <w:tcW w:w="2875" w:type="dxa"/>
                  <w:noWrap w:val="0"/>
                  <w:vAlign w:val="center"/>
                </w:tcPr>
                <w:p w14:paraId="08C50894">
                  <w:pPr>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仁化县住房和城乡建设管理局</w:t>
                  </w:r>
                </w:p>
              </w:tc>
              <w:tc>
                <w:tcPr>
                  <w:tcW w:w="2966" w:type="dxa"/>
                  <w:noWrap w:val="0"/>
                  <w:vAlign w:val="center"/>
                </w:tcPr>
                <w:p w14:paraId="0F42C53D">
                  <w:pPr>
                    <w:pStyle w:val="88"/>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为本项目的监督部门</w:t>
                  </w:r>
                </w:p>
              </w:tc>
            </w:tr>
            <w:tr w14:paraId="760D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7A14A53A">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6</w:t>
                  </w:r>
                </w:p>
              </w:tc>
              <w:tc>
                <w:tcPr>
                  <w:tcW w:w="2875" w:type="dxa"/>
                  <w:noWrap w:val="0"/>
                  <w:vAlign w:val="center"/>
                </w:tcPr>
                <w:p w14:paraId="6505610A">
                  <w:pPr>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广东伟达工程咨询顾问有限公司</w:t>
                  </w:r>
                </w:p>
              </w:tc>
              <w:tc>
                <w:tcPr>
                  <w:tcW w:w="2966" w:type="dxa"/>
                  <w:noWrap w:val="0"/>
                  <w:vAlign w:val="center"/>
                </w:tcPr>
                <w:p w14:paraId="14B3F354">
                  <w:pPr>
                    <w:pStyle w:val="88"/>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为本项目的可行性研究报告编制单位</w:t>
                  </w:r>
                </w:p>
              </w:tc>
            </w:tr>
            <w:tr w14:paraId="3413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6FE6D4A0">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7</w:t>
                  </w:r>
                </w:p>
              </w:tc>
              <w:tc>
                <w:tcPr>
                  <w:tcW w:w="2875" w:type="dxa"/>
                  <w:noWrap w:val="0"/>
                  <w:vAlign w:val="center"/>
                </w:tcPr>
                <w:p w14:paraId="1451D410">
                  <w:pPr>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广东中颢工程设计有限公司</w:t>
                  </w:r>
                </w:p>
              </w:tc>
              <w:tc>
                <w:tcPr>
                  <w:tcW w:w="2966" w:type="dxa"/>
                  <w:noWrap w:val="0"/>
                  <w:vAlign w:val="center"/>
                </w:tcPr>
                <w:p w14:paraId="39DCEF28">
                  <w:pPr>
                    <w:pStyle w:val="88"/>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15C2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5893B72B">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8</w:t>
                  </w:r>
                </w:p>
              </w:tc>
              <w:tc>
                <w:tcPr>
                  <w:tcW w:w="2875" w:type="dxa"/>
                  <w:noWrap w:val="0"/>
                  <w:vAlign w:val="center"/>
                </w:tcPr>
                <w:p w14:paraId="172CD4DF">
                  <w:pPr>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仁化县振华建筑工程有限公司</w:t>
                  </w:r>
                </w:p>
              </w:tc>
              <w:tc>
                <w:tcPr>
                  <w:tcW w:w="2966" w:type="dxa"/>
                  <w:noWrap w:val="0"/>
                  <w:vAlign w:val="center"/>
                </w:tcPr>
                <w:p w14:paraId="669EA459">
                  <w:pPr>
                    <w:pStyle w:val="88"/>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为本项目的施工单位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本项目施工招标工期为60个日历天，</w:t>
            </w:r>
            <w:r>
              <w:rPr>
                <w:rFonts w:hint="eastAsia" w:ascii="宋体" w:hAnsi="宋体" w:eastAsia="宋体" w:cs="宋体"/>
                <w:snapToGrid w:val="0"/>
                <w:color w:val="auto"/>
                <w:kern w:val="0"/>
                <w:sz w:val="24"/>
                <w:szCs w:val="24"/>
                <w:highlight w:val="none"/>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Cs/>
                <w:color w:val="auto"/>
                <w:sz w:val="24"/>
                <w:szCs w:val="24"/>
                <w:highlight w:val="none"/>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1.投标人须缴纳金额为人民币</w:t>
            </w:r>
            <w:r>
              <w:rPr>
                <w:rFonts w:hint="eastAsia" w:ascii="宋体" w:hAnsi="宋体" w:eastAsia="宋体" w:cs="宋体"/>
                <w:color w:val="auto"/>
                <w:sz w:val="24"/>
                <w:szCs w:val="24"/>
                <w:highlight w:val="none"/>
                <w:u w:val="single"/>
                <w:lang w:val="en-US" w:eastAsia="zh-CN"/>
              </w:rPr>
              <w:t>贰仟</w:t>
            </w:r>
            <w:r>
              <w:rPr>
                <w:rFonts w:hint="eastAsia" w:ascii="宋体" w:hAnsi="宋体" w:eastAsia="宋体" w:cs="宋体"/>
                <w:color w:val="auto"/>
                <w:sz w:val="24"/>
                <w:szCs w:val="24"/>
                <w:highlight w:val="none"/>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本次招标的投标有效期为</w:t>
            </w:r>
            <w:r>
              <w:rPr>
                <w:rFonts w:hint="eastAsia" w:ascii="宋体" w:hAnsi="宋体" w:eastAsia="宋体" w:cs="宋体"/>
                <w:snapToGrid w:val="0"/>
                <w:color w:val="auto"/>
                <w:kern w:val="0"/>
                <w:sz w:val="24"/>
                <w:szCs w:val="24"/>
                <w:highlight w:val="none"/>
                <w:u w:val="single"/>
              </w:rPr>
              <w:t xml:space="preserve"> 90 </w:t>
            </w:r>
            <w:r>
              <w:rPr>
                <w:rFonts w:hint="eastAsia" w:ascii="宋体" w:hAnsi="宋体" w:eastAsia="宋体" w:cs="宋体"/>
                <w:snapToGrid w:val="0"/>
                <w:color w:val="auto"/>
                <w:kern w:val="0"/>
                <w:sz w:val="24"/>
                <w:szCs w:val="24"/>
                <w:highlight w:val="none"/>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8"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0A5EC3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投标文件包括商务标书、监理大纲</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定标文件三</w:t>
            </w:r>
            <w:r>
              <w:rPr>
                <w:rFonts w:hint="eastAsia" w:ascii="宋体" w:hAnsi="宋体" w:eastAsia="宋体" w:cs="宋体"/>
                <w:snapToGrid w:val="0"/>
                <w:color w:val="auto"/>
                <w:kern w:val="0"/>
                <w:sz w:val="24"/>
                <w:szCs w:val="24"/>
                <w:highlight w:val="none"/>
              </w:rPr>
              <w:t>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综合评估法</w:t>
            </w:r>
          </w:p>
        </w:tc>
      </w:tr>
      <w:tr w14:paraId="75B13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5F2B9D9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23</w:t>
            </w:r>
          </w:p>
        </w:tc>
        <w:tc>
          <w:tcPr>
            <w:tcW w:w="1725" w:type="dxa"/>
            <w:tcBorders>
              <w:top w:val="single" w:color="auto" w:sz="4" w:space="0"/>
              <w:left w:val="single" w:color="auto" w:sz="4" w:space="0"/>
              <w:bottom w:val="single" w:color="auto" w:sz="4" w:space="0"/>
              <w:right w:val="single" w:color="auto" w:sz="4" w:space="0"/>
            </w:tcBorders>
            <w:vAlign w:val="center"/>
          </w:tcPr>
          <w:p w14:paraId="384C1E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定标办法</w:t>
            </w:r>
          </w:p>
        </w:tc>
        <w:tc>
          <w:tcPr>
            <w:tcW w:w="6856" w:type="dxa"/>
            <w:tcBorders>
              <w:top w:val="single" w:color="auto" w:sz="4" w:space="0"/>
              <w:left w:val="single" w:color="auto" w:sz="4" w:space="0"/>
              <w:bottom w:val="single" w:color="auto" w:sz="4" w:space="0"/>
              <w:right w:val="single" w:color="auto" w:sz="4" w:space="0"/>
            </w:tcBorders>
            <w:vAlign w:val="center"/>
          </w:tcPr>
          <w:p w14:paraId="3410BE91">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采用</w:t>
            </w:r>
            <w:r>
              <w:rPr>
                <w:rFonts w:hint="eastAsia" w:ascii="宋体" w:hAnsi="宋体" w:eastAsia="宋体" w:cs="宋体"/>
                <w:b/>
                <w:bCs w:val="0"/>
                <w:snapToGrid w:val="0"/>
                <w:color w:val="auto"/>
                <w:kern w:val="0"/>
                <w:sz w:val="24"/>
                <w:szCs w:val="24"/>
                <w:highlight w:val="none"/>
                <w:lang w:val="en-US" w:eastAsia="zh-CN"/>
              </w:rPr>
              <w:t>评定分离</w:t>
            </w:r>
            <w:r>
              <w:rPr>
                <w:rFonts w:hint="eastAsia" w:ascii="宋体" w:hAnsi="宋体" w:eastAsia="宋体" w:cs="宋体"/>
                <w:bCs/>
                <w:snapToGrid w:val="0"/>
                <w:color w:val="auto"/>
                <w:kern w:val="0"/>
                <w:sz w:val="24"/>
                <w:szCs w:val="24"/>
                <w:highlight w:val="none"/>
                <w:lang w:val="en-US" w:eastAsia="zh-CN"/>
              </w:rPr>
              <w:t>的项目，应选定下列定标办法：</w:t>
            </w:r>
          </w:p>
          <w:p w14:paraId="19B42425">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☑票决数量法</w:t>
            </w:r>
          </w:p>
          <w:p w14:paraId="2FCFF72B">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□票决计分法</w:t>
            </w:r>
          </w:p>
          <w:p w14:paraId="1F354B5D">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□集体议事法</w:t>
            </w:r>
          </w:p>
          <w:p w14:paraId="3E66347B">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□其他方法：</w:t>
            </w:r>
            <w:r>
              <w:rPr>
                <w:rFonts w:hint="eastAsia" w:ascii="宋体" w:hAnsi="宋体" w:eastAsia="宋体" w:cs="宋体"/>
                <w:bCs/>
                <w:snapToGrid w:val="0"/>
                <w:color w:val="auto"/>
                <w:kern w:val="0"/>
                <w:sz w:val="24"/>
                <w:szCs w:val="24"/>
                <w:highlight w:val="none"/>
                <w:u w:val="single"/>
                <w:lang w:val="en-US" w:eastAsia="zh-CN"/>
              </w:rPr>
              <w:t xml:space="preserve">       </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本次招标监理大纲</w:t>
            </w:r>
            <w:r>
              <w:rPr>
                <w:rFonts w:hint="eastAsia" w:ascii="宋体" w:hAnsi="宋体" w:eastAsia="宋体" w:cs="宋体"/>
                <w:snapToGrid w:val="0"/>
                <w:color w:val="auto"/>
                <w:kern w:val="0"/>
                <w:sz w:val="24"/>
                <w:szCs w:val="24"/>
                <w:highlight w:val="none"/>
                <w:u w:val="single"/>
              </w:rPr>
              <w:t xml:space="preserve"> 不采用 </w:t>
            </w:r>
            <w:r>
              <w:rPr>
                <w:rFonts w:hint="eastAsia" w:ascii="宋体" w:hAnsi="宋体" w:eastAsia="宋体" w:cs="宋体"/>
                <w:snapToGrid w:val="0"/>
                <w:color w:val="auto"/>
                <w:kern w:val="0"/>
                <w:sz w:val="24"/>
                <w:szCs w:val="24"/>
                <w:highlight w:val="none"/>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5</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评标委员会由</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rPr>
              <w:t xml:space="preserve"> 0 </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人。专家从广东省综合评标评审专家库</w:t>
            </w:r>
            <w:r>
              <w:rPr>
                <w:rFonts w:hint="eastAsia" w:ascii="宋体" w:hAnsi="宋体" w:eastAsia="宋体" w:cs="宋体"/>
                <w:snapToGrid w:val="0"/>
                <w:color w:val="auto"/>
                <w:kern w:val="0"/>
                <w:sz w:val="24"/>
                <w:szCs w:val="24"/>
                <w:highlight w:val="none"/>
                <w:lang w:val="en-US" w:eastAsia="zh-CN"/>
              </w:rPr>
              <w:t>-韶关区域</w:t>
            </w:r>
            <w:r>
              <w:rPr>
                <w:rFonts w:hint="eastAsia" w:ascii="宋体" w:hAnsi="宋体" w:eastAsia="宋体" w:cs="宋体"/>
                <w:snapToGrid w:val="0"/>
                <w:color w:val="auto"/>
                <w:kern w:val="0"/>
                <w:sz w:val="24"/>
                <w:szCs w:val="24"/>
                <w:highlight w:val="none"/>
              </w:rPr>
              <w:t>中随机抽取，其中技术类专家</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人。</w:t>
            </w:r>
          </w:p>
        </w:tc>
      </w:tr>
      <w:tr w14:paraId="4D4B4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7" w:hRule="atLeast"/>
        </w:trPr>
        <w:tc>
          <w:tcPr>
            <w:tcW w:w="721" w:type="dxa"/>
            <w:tcBorders>
              <w:top w:val="single" w:color="auto" w:sz="4" w:space="0"/>
              <w:left w:val="single" w:color="auto" w:sz="4" w:space="0"/>
              <w:bottom w:val="single" w:color="auto" w:sz="4" w:space="0"/>
              <w:right w:val="single" w:color="auto" w:sz="4" w:space="0"/>
            </w:tcBorders>
            <w:vAlign w:val="center"/>
          </w:tcPr>
          <w:p w14:paraId="4B5191B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26</w:t>
            </w:r>
          </w:p>
        </w:tc>
        <w:tc>
          <w:tcPr>
            <w:tcW w:w="1725" w:type="dxa"/>
            <w:tcBorders>
              <w:top w:val="single" w:color="auto" w:sz="4" w:space="0"/>
              <w:left w:val="single" w:color="auto" w:sz="4" w:space="0"/>
              <w:bottom w:val="single" w:color="auto" w:sz="4" w:space="0"/>
              <w:right w:val="single" w:color="auto" w:sz="4" w:space="0"/>
            </w:tcBorders>
            <w:vAlign w:val="center"/>
          </w:tcPr>
          <w:p w14:paraId="16D0E780">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定标委员会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0A9DB321">
            <w:pPr>
              <w:keepNext w:val="0"/>
              <w:keepLines w:val="0"/>
              <w:pageBreakBefore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本项目定标委员会组成人员为</w:t>
            </w:r>
            <w:r>
              <w:rPr>
                <w:rFonts w:hint="eastAsia" w:ascii="宋体" w:hAnsi="宋体" w:eastAsia="宋体" w:cs="宋体"/>
                <w:snapToGrid w:val="0"/>
                <w:color w:val="auto"/>
                <w:kern w:val="0"/>
                <w:sz w:val="24"/>
                <w:szCs w:val="24"/>
                <w:highlight w:val="none"/>
                <w:u w:val="single"/>
                <w:lang w:val="en-US" w:eastAsia="zh-CN"/>
              </w:rPr>
              <w:t xml:space="preserve"> 7 </w:t>
            </w:r>
            <w:r>
              <w:rPr>
                <w:rFonts w:hint="eastAsia" w:ascii="宋体" w:hAnsi="宋体" w:eastAsia="宋体" w:cs="宋体"/>
                <w:snapToGrid w:val="0"/>
                <w:color w:val="auto"/>
                <w:kern w:val="0"/>
                <w:sz w:val="24"/>
                <w:szCs w:val="24"/>
                <w:highlight w:val="none"/>
                <w:lang w:val="en-US" w:eastAsia="zh-CN"/>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7</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856"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ascii="宋体" w:hAnsi="宋体" w:eastAsia="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8</w:t>
            </w:r>
          </w:p>
        </w:tc>
        <w:tc>
          <w:tcPr>
            <w:tcW w:w="1725"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02293D6F">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仁化县市政工程公司</w:t>
            </w:r>
          </w:p>
          <w:p w14:paraId="5EC322AB">
            <w:pPr>
              <w:keepNext w:val="0"/>
              <w:keepLines w:val="0"/>
              <w:pageBreakBefore w:val="0"/>
              <w:widowControl/>
              <w:suppressLineNumbers w:val="0"/>
              <w:overflowPunct/>
              <w:topLinePunct w:val="0"/>
              <w:bidi w:val="0"/>
              <w:spacing w:line="240" w:lineRule="auto"/>
              <w:ind w:firstLine="240" w:firstLineChars="1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rPr>
              <w:t>办公地址：仁化县丹霞大道228号</w:t>
            </w:r>
          </w:p>
          <w:p w14:paraId="7CAE5FCA">
            <w:pPr>
              <w:keepNext w:val="0"/>
              <w:keepLines w:val="0"/>
              <w:pageBreakBefore w:val="0"/>
              <w:widowControl/>
              <w:suppressLineNumbers w:val="0"/>
              <w:overflowPunct/>
              <w:topLinePunct w:val="0"/>
              <w:bidi w:val="0"/>
              <w:spacing w:line="240" w:lineRule="auto"/>
              <w:ind w:firstLine="240" w:firstLineChars="1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联系人（部门）：</w:t>
            </w:r>
            <w:r>
              <w:rPr>
                <w:rFonts w:hint="eastAsia" w:ascii="宋体" w:hAnsi="宋体" w:eastAsia="宋体" w:cs="宋体"/>
                <w:snapToGrid w:val="0"/>
                <w:color w:val="auto"/>
                <w:kern w:val="0"/>
                <w:sz w:val="24"/>
                <w:szCs w:val="24"/>
                <w:highlight w:val="none"/>
              </w:rPr>
              <w:t>刘琼青</w:t>
            </w:r>
          </w:p>
          <w:p w14:paraId="62AFC57D">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联系电话：</w:t>
            </w:r>
            <w:r>
              <w:rPr>
                <w:rFonts w:hint="eastAsia" w:ascii="宋体" w:hAnsi="宋体" w:eastAsia="宋体" w:cs="宋体"/>
                <w:snapToGrid w:val="0"/>
                <w:color w:val="auto"/>
                <w:kern w:val="0"/>
                <w:sz w:val="24"/>
                <w:szCs w:val="24"/>
                <w:highlight w:val="none"/>
              </w:rPr>
              <w:t>0751-6341520</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18"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9</w:t>
            </w:r>
          </w:p>
        </w:tc>
        <w:tc>
          <w:tcPr>
            <w:tcW w:w="1725"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51431EA3">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单位名称：</w:t>
            </w:r>
            <w:r>
              <w:rPr>
                <w:rFonts w:hint="eastAsia" w:ascii="宋体" w:hAnsi="宋体" w:eastAsia="宋体" w:cs="宋体"/>
                <w:color w:val="auto"/>
                <w:sz w:val="24"/>
                <w:szCs w:val="24"/>
                <w:highlight w:val="none"/>
                <w:lang w:val="en-US" w:eastAsia="zh-CN"/>
              </w:rPr>
              <w:t>广东合正项目管理有限公司</w:t>
            </w:r>
          </w:p>
          <w:p w14:paraId="2760DCF7">
            <w:pPr>
              <w:shd w:val="clear" w:color="auto" w:fill="auto"/>
              <w:wordWrap w:val="0"/>
              <w:adjustRightInd w:val="0"/>
              <w:snapToGrid w:val="0"/>
              <w:spacing w:line="400" w:lineRule="exact"/>
              <w:ind w:left="240" w:leftChars="10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办公地址：</w:t>
            </w:r>
            <w:r>
              <w:rPr>
                <w:rFonts w:hint="eastAsia" w:ascii="宋体" w:hAnsi="宋体" w:eastAsia="宋体" w:cs="宋体"/>
                <w:color w:val="auto"/>
                <w:sz w:val="24"/>
                <w:szCs w:val="24"/>
                <w:highlight w:val="none"/>
                <w:lang w:val="en-US" w:eastAsia="zh-CN"/>
              </w:rPr>
              <w:t>广东省韶关市武江区百旺大道42号莞韶双创中心研发办公楼5楼03号</w:t>
            </w:r>
          </w:p>
          <w:p w14:paraId="5F15B627">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联系人（部门）：</w:t>
            </w:r>
          </w:p>
          <w:p w14:paraId="0713395B">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项目负责人：张慧新</w:t>
            </w:r>
          </w:p>
          <w:p w14:paraId="05A96290">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经办人：蔡健</w:t>
            </w:r>
          </w:p>
          <w:p w14:paraId="4FFE322C">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联系电话：0751-8219991</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30</w:t>
            </w:r>
          </w:p>
        </w:tc>
        <w:tc>
          <w:tcPr>
            <w:tcW w:w="1725"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C90D62C">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单位名称：韶关市公共资源交易中心</w:t>
            </w:r>
          </w:p>
          <w:p w14:paraId="64E39F9E">
            <w:pPr>
              <w:shd w:val="clear" w:color="auto" w:fill="auto"/>
              <w:wordWrap w:val="0"/>
              <w:adjustRightInd w:val="0"/>
              <w:snapToGrid w:val="0"/>
              <w:spacing w:line="400" w:lineRule="exact"/>
              <w:ind w:left="240" w:leftChars="100" w:firstLine="0" w:firstLineChars="0"/>
              <w:jc w:val="left"/>
              <w:rPr>
                <w:rFonts w:hint="eastAsia"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办公地址：仁化县丹霞大道228号12楼韶关市公共资源交易中心仁化分中心</w:t>
            </w:r>
          </w:p>
          <w:p w14:paraId="69FE8B51">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联系人（部门）：工程交易部</w:t>
            </w:r>
          </w:p>
          <w:p w14:paraId="0729A736">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联系电话：</w:t>
            </w:r>
            <w:r>
              <w:rPr>
                <w:rFonts w:hint="eastAsia" w:ascii="宋体" w:hAnsi="宋体" w:eastAsia="宋体" w:cs="宋体"/>
                <w:snapToGrid w:val="0"/>
                <w:color w:val="auto"/>
                <w:kern w:val="0"/>
                <w:sz w:val="24"/>
                <w:szCs w:val="24"/>
                <w:highlight w:val="none"/>
              </w:rPr>
              <w:t>0751-6354032</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74"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3AF5111">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单位名称：</w:t>
            </w:r>
            <w:r>
              <w:rPr>
                <w:rFonts w:hint="eastAsia" w:ascii="宋体" w:hAnsi="宋体" w:eastAsia="宋体" w:cs="宋体"/>
                <w:snapToGrid w:val="0"/>
                <w:color w:val="auto"/>
                <w:kern w:val="0"/>
                <w:sz w:val="24"/>
                <w:szCs w:val="24"/>
                <w:highlight w:val="none"/>
                <w:lang w:eastAsia="zh-CN"/>
              </w:rPr>
              <w:t>仁化县住房和城乡建设管理局</w:t>
            </w:r>
          </w:p>
          <w:p w14:paraId="2BD7DF47">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办公地址：仁化县丹霞大道228号仁化县行政服务中心6楼</w:t>
            </w:r>
          </w:p>
          <w:p w14:paraId="31C34B7D">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联系人（部门）：建筑业监督管理股</w:t>
            </w:r>
          </w:p>
          <w:p w14:paraId="02583E56">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 xml:space="preserve">联系电话：0751-6354573 </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bookmarkStart w:id="5" w:name="_Toc122769943"/>
            <w:bookmarkStart w:id="6" w:name="_Toc122859103"/>
            <w:bookmarkStart w:id="7" w:name="_Toc122671103"/>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2</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33</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招标代理费及评标专家酬劳</w:t>
            </w:r>
          </w:p>
        </w:tc>
        <w:tc>
          <w:tcPr>
            <w:tcW w:w="6856"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kern w:val="0"/>
                <w:sz w:val="24"/>
                <w:szCs w:val="24"/>
                <w:highlight w:val="none"/>
                <w:lang w:val="en-US" w:eastAsia="zh-CN"/>
              </w:rPr>
              <w:t>本项目的招标代理服务费和评标专家酬劳（包括食宿费用、交通费、专家评审劳务费等）由中标人支付。该费用不再另行报价，由投标人在投标报价时综合考虑在内。招标代理服务费参照《招标代理服务收费管理暂行办法》计价格[2002]1980号文计算；不足柒仟元按柒仟元整收取。中标人在领取中标通知书前须向招标代理机构一次性支付（评标专家酬劳先由招标代理垫付）。</w:t>
            </w:r>
          </w:p>
        </w:tc>
      </w:tr>
    </w:tbl>
    <w:p w14:paraId="5B470B04">
      <w:pPr>
        <w:pStyle w:val="3"/>
        <w:wordWrap w:val="0"/>
        <w:autoSpaceDE/>
        <w:autoSpaceDN/>
        <w:snapToGrid w:val="0"/>
        <w:spacing w:before="260" w:after="260" w:line="440" w:lineRule="exact"/>
        <w:jc w:val="both"/>
        <w:rPr>
          <w:rFonts w:ascii="Times New Roman"/>
          <w:b/>
          <w:snapToGrid w:val="0"/>
          <w:color w:val="auto"/>
          <w:sz w:val="24"/>
          <w:szCs w:val="24"/>
          <w:highlight w:val="none"/>
        </w:rPr>
        <w:sectPr>
          <w:footerReference r:id="rId6" w:type="default"/>
          <w:endnotePr>
            <w:numFmt w:val="decimal"/>
          </w:endnotePr>
          <w:pgSz w:w="11906" w:h="16838"/>
          <w:pgMar w:top="1417" w:right="1417" w:bottom="1417" w:left="1417" w:header="850" w:footer="992" w:gutter="0"/>
          <w:pgNumType w:start="1"/>
          <w:cols w:space="0" w:num="1"/>
          <w:docGrid w:linePitch="327" w:charSpace="0"/>
        </w:sectPr>
      </w:pPr>
    </w:p>
    <w:p w14:paraId="21CE9C32">
      <w:pPr>
        <w:pStyle w:val="3"/>
        <w:wordWrap w:val="0"/>
        <w:autoSpaceDE/>
        <w:autoSpaceDN/>
        <w:snapToGrid w:val="0"/>
        <w:spacing w:after="120" w:afterLines="50" w:line="440" w:lineRule="exact"/>
        <w:jc w:val="both"/>
        <w:rPr>
          <w:rFonts w:ascii="Times New Roman"/>
          <w:snapToGrid w:val="0"/>
          <w:color w:val="auto"/>
          <w:highlight w:val="none"/>
        </w:rPr>
      </w:pPr>
      <w:bookmarkStart w:id="8" w:name="_Toc714"/>
      <w:bookmarkStart w:id="9" w:name="_Toc10191"/>
      <w:r>
        <w:rPr>
          <w:rFonts w:hint="eastAsia" w:ascii="Times New Roman"/>
          <w:b/>
          <w:snapToGrid w:val="0"/>
          <w:color w:val="auto"/>
          <w:highlight w:val="none"/>
        </w:rPr>
        <w:t>第二节 重要事项时间地点一览表</w:t>
      </w:r>
      <w:bookmarkEnd w:id="8"/>
      <w:bookmarkEnd w:id="9"/>
    </w:p>
    <w:tbl>
      <w:tblPr>
        <w:tblStyle w:val="31"/>
        <w:tblW w:w="5081"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26"/>
        <w:gridCol w:w="1326"/>
        <w:gridCol w:w="7477"/>
      </w:tblGrid>
      <w:tr w14:paraId="1FCC57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15154A6">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7FC0689B">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6CF9F9BC">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1A14D70">
            <w:pPr>
              <w:pStyle w:val="88"/>
              <w:widowControl/>
              <w:snapToGrid w:val="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12</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17</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 xml:space="preserve"> </w:t>
            </w:r>
          </w:p>
        </w:tc>
      </w:tr>
      <w:tr w14:paraId="19E577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4"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A45AD0F">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13B17BC0">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获取招标文件</w:t>
            </w:r>
            <w:r>
              <w:rPr>
                <w:rFonts w:hint="eastAsia" w:ascii="宋体" w:hAnsi="宋体" w:eastAsia="宋体" w:cs="宋体"/>
                <w:snapToGrid w:val="0"/>
                <w:color w:val="auto"/>
                <w:kern w:val="0"/>
                <w:sz w:val="24"/>
                <w:szCs w:val="24"/>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56576377">
            <w:pPr>
              <w:pStyle w:val="88"/>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11</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 xml:space="preserve"> </w:t>
            </w:r>
          </w:p>
        </w:tc>
      </w:tr>
      <w:tr w14:paraId="19308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4"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D32DC5D">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0AF3A7CB">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2BE90DC1">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516B27F">
            <w:pPr>
              <w:pStyle w:val="88"/>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26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16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00 </w:t>
            </w:r>
            <w:r>
              <w:rPr>
                <w:rFonts w:hint="eastAsia" w:ascii="宋体" w:hAnsi="宋体" w:eastAsia="宋体" w:cs="宋体"/>
                <w:color w:val="auto"/>
                <w:kern w:val="0"/>
                <w:sz w:val="24"/>
                <w:szCs w:val="24"/>
                <w:highlight w:val="none"/>
              </w:rPr>
              <w:t>分</w:t>
            </w:r>
          </w:p>
        </w:tc>
      </w:tr>
      <w:tr w14:paraId="01F57E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98C0766">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34139913">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70A9C70E">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9EFA0E5">
            <w:pPr>
              <w:pStyle w:val="88"/>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26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16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30 </w:t>
            </w:r>
            <w:r>
              <w:rPr>
                <w:rFonts w:hint="eastAsia" w:ascii="宋体" w:hAnsi="宋体" w:eastAsia="宋体" w:cs="宋体"/>
                <w:color w:val="auto"/>
                <w:kern w:val="0"/>
                <w:sz w:val="24"/>
                <w:szCs w:val="24"/>
                <w:highlight w:val="none"/>
              </w:rPr>
              <w:t>分至</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29</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rPr>
              <w:t xml:space="preserve"> 16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00</w:t>
            </w:r>
            <w:r>
              <w:rPr>
                <w:rFonts w:hint="eastAsia" w:ascii="宋体" w:hAnsi="宋体" w:eastAsia="宋体" w:cs="宋体"/>
                <w:color w:val="auto"/>
                <w:kern w:val="0"/>
                <w:sz w:val="24"/>
                <w:szCs w:val="24"/>
                <w:highlight w:val="none"/>
              </w:rPr>
              <w:t>分</w:t>
            </w:r>
          </w:p>
        </w:tc>
      </w:tr>
      <w:tr w14:paraId="1F4DA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8"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050AA6F">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0B31F86">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249647CA">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0544092">
            <w:pPr>
              <w:pStyle w:val="88"/>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投标保证金到账截止时间：</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11</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w:t>
            </w:r>
          </w:p>
          <w:p w14:paraId="534D20EF">
            <w:pPr>
              <w:pStyle w:val="88"/>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投标保证担保上传截止时间：</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11</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w:t>
            </w:r>
          </w:p>
          <w:p w14:paraId="086C2F12">
            <w:pPr>
              <w:pStyle w:val="88"/>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投标保证保险投保截止时间：</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11</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w:t>
            </w:r>
          </w:p>
        </w:tc>
      </w:tr>
      <w:tr w14:paraId="5CEC7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6"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213E411F">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67DAD104">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3E473E72">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EF7FFA6">
            <w:pPr>
              <w:pStyle w:val="88"/>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11</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 xml:space="preserve">  </w:t>
            </w:r>
          </w:p>
        </w:tc>
      </w:tr>
      <w:tr w14:paraId="255B6A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2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0CC6312E">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2ED64A0B">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投标评审原件（如有）</w:t>
            </w:r>
          </w:p>
          <w:p w14:paraId="7F77CCDF">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递交时间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2F71BF2">
            <w:pPr>
              <w:pStyle w:val="88"/>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分至</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11</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 xml:space="preserve"> </w:t>
            </w:r>
          </w:p>
        </w:tc>
      </w:tr>
      <w:tr w14:paraId="7281F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2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7EB5C072">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39E24EC4">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投标评审原件（如有）</w:t>
            </w:r>
          </w:p>
          <w:p w14:paraId="3261A94D">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递交地点</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45C0668C">
            <w:pPr>
              <w:pStyle w:val="88"/>
              <w:widowControl/>
              <w:wordWrap w:val="0"/>
              <w:spacing w:line="400" w:lineRule="exact"/>
              <w:ind w:left="0"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u w:val="none"/>
                <w:lang w:val="en-US" w:eastAsia="zh-CN" w:bidi="ar-SA"/>
              </w:rPr>
              <w:t>递交场所：</w:t>
            </w:r>
            <w:r>
              <w:rPr>
                <w:rFonts w:hint="eastAsia" w:ascii="宋体" w:hAnsi="宋体" w:eastAsia="宋体" w:cs="宋体"/>
                <w:snapToGrid w:val="0"/>
                <w:color w:val="auto"/>
                <w:kern w:val="0"/>
                <w:sz w:val="24"/>
                <w:szCs w:val="24"/>
                <w:highlight w:val="none"/>
                <w:lang w:val="en-US" w:eastAsia="zh-CN" w:bidi="ar-SA"/>
              </w:rPr>
              <w:t>韶关市公共资源交易中心仁化分中心</w:t>
            </w:r>
          </w:p>
          <w:p w14:paraId="54D0F656">
            <w:pPr>
              <w:pStyle w:val="88"/>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bidi="ar-SA"/>
              </w:rPr>
              <w:t>地址：仁化县丹霞大道228号11楼韶关市公共资源交易中心仁化分中心，具体房间号以当日现场通知为准。</w:t>
            </w:r>
            <w:r>
              <w:rPr>
                <w:rFonts w:hint="eastAsia" w:ascii="宋体" w:hAnsi="宋体" w:eastAsia="宋体" w:cs="宋体"/>
                <w:snapToGrid w:val="0"/>
                <w:color w:val="auto"/>
                <w:kern w:val="0"/>
                <w:sz w:val="24"/>
                <w:szCs w:val="24"/>
                <w:highlight w:val="none"/>
                <w:lang w:eastAsia="zh-CN"/>
              </w:rPr>
              <w:t>。</w:t>
            </w:r>
          </w:p>
        </w:tc>
      </w:tr>
      <w:tr w14:paraId="6DA9E2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1"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6908499">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42877DA">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A9DFEE6">
            <w:pPr>
              <w:pStyle w:val="88"/>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kern w:val="0"/>
                <w:sz w:val="24"/>
                <w:szCs w:val="24"/>
                <w:highlight w:val="none"/>
                <w:u w:val="single"/>
              </w:rPr>
              <w:t>202</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11</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 xml:space="preserve">  </w:t>
            </w:r>
          </w:p>
        </w:tc>
      </w:tr>
      <w:tr w14:paraId="600A21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45"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3530CF7">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37D61018">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2212ABC">
            <w:pPr>
              <w:pStyle w:val="88"/>
              <w:widowControl/>
              <w:wordWrap w:val="0"/>
              <w:spacing w:line="400" w:lineRule="exact"/>
              <w:ind w:left="0" w:firstLine="240" w:firstLineChars="1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u w:val="none"/>
                <w:lang w:val="en-US" w:eastAsia="zh-CN" w:bidi="ar-SA"/>
              </w:rPr>
              <w:t>开标场所：</w:t>
            </w:r>
            <w:r>
              <w:rPr>
                <w:rFonts w:hint="eastAsia" w:ascii="宋体" w:hAnsi="宋体" w:eastAsia="宋体" w:cs="宋体"/>
                <w:snapToGrid w:val="0"/>
                <w:color w:val="auto"/>
                <w:kern w:val="0"/>
                <w:sz w:val="24"/>
                <w:szCs w:val="24"/>
                <w:highlight w:val="none"/>
                <w:lang w:val="en-US" w:eastAsia="zh-CN" w:bidi="ar-SA"/>
              </w:rPr>
              <w:t>韶关市公共资源交易中心仁化分中心</w:t>
            </w:r>
          </w:p>
          <w:p w14:paraId="5B1376CB">
            <w:pPr>
              <w:pStyle w:val="88"/>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地址：仁化县丹霞大道228号11楼韶关市公共资源交易中心仁化分中心，具体房间号以当日现场通知为准。</w:t>
            </w:r>
          </w:p>
        </w:tc>
      </w:tr>
      <w:tr w14:paraId="4FC69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45"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2F0B7FAB">
            <w:pPr>
              <w:pStyle w:val="88"/>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344A197">
            <w:pPr>
              <w:pStyle w:val="88"/>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自行下载招标文件、资料文件及招标答疑书等。若由于投标人自身原因未能及时取得上述资料的，由此发生的任何责任由投标人自负。</w:t>
            </w:r>
          </w:p>
        </w:tc>
      </w:tr>
    </w:tbl>
    <w:p w14:paraId="59E6F630">
      <w:pPr>
        <w:pStyle w:val="40"/>
        <w:rPr>
          <w:color w:val="auto"/>
          <w:highlight w:val="none"/>
        </w:rPr>
        <w:sectPr>
          <w:endnotePr>
            <w:numFmt w:val="decimal"/>
          </w:endnotePr>
          <w:pgSz w:w="11906" w:h="16838"/>
          <w:pgMar w:top="1417" w:right="1417" w:bottom="1417" w:left="1417" w:header="850" w:footer="992" w:gutter="0"/>
          <w:cols w:space="0" w:num="1"/>
          <w:docGrid w:linePitch="327" w:charSpace="0"/>
        </w:sectPr>
      </w:pPr>
    </w:p>
    <w:p w14:paraId="59BCED9A">
      <w:pPr>
        <w:pStyle w:val="3"/>
        <w:keepNext w:val="0"/>
        <w:keepLines w:val="0"/>
        <w:pageBreakBefore w:val="0"/>
        <w:topLinePunct w:val="0"/>
        <w:bidi w:val="0"/>
        <w:spacing w:line="500" w:lineRule="exact"/>
        <w:textAlignment w:val="auto"/>
        <w:rPr>
          <w:b/>
          <w:bCs/>
          <w:color w:val="auto"/>
          <w:highlight w:val="none"/>
        </w:rPr>
      </w:pPr>
      <w:bookmarkStart w:id="10" w:name="_Hlt87793819"/>
      <w:bookmarkEnd w:id="10"/>
      <w:bookmarkStart w:id="11" w:name="_Toc29916"/>
      <w:bookmarkStart w:id="12" w:name="_Toc5529"/>
      <w:bookmarkStart w:id="13" w:name="_Hlt69698705"/>
      <w:bookmarkStart w:id="14" w:name="_Hlt69698754"/>
      <w:r>
        <w:rPr>
          <w:rFonts w:hint="eastAsia"/>
          <w:b/>
          <w:bCs/>
          <w:color w:val="auto"/>
          <w:highlight w:val="none"/>
        </w:rPr>
        <w:t>第三节 投标人须知</w:t>
      </w:r>
      <w:bookmarkStart w:id="15" w:name="_Hlt69669159"/>
      <w:bookmarkEnd w:id="15"/>
      <w:r>
        <w:rPr>
          <w:rFonts w:hint="eastAsia"/>
          <w:b/>
          <w:bCs/>
          <w:color w:val="auto"/>
          <w:highlight w:val="none"/>
        </w:rPr>
        <w:t>正文</w:t>
      </w:r>
      <w:bookmarkEnd w:id="11"/>
      <w:bookmarkEnd w:id="12"/>
    </w:p>
    <w:bookmarkEnd w:id="13"/>
    <w:bookmarkEnd w:id="14"/>
    <w:p w14:paraId="291C4E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bookmarkStart w:id="16" w:name="_Toc22199"/>
      <w:r>
        <w:rPr>
          <w:rFonts w:hint="eastAsia" w:ascii="宋体" w:hAnsi="宋体" w:eastAsia="宋体" w:cs="宋体"/>
          <w:color w:val="auto"/>
          <w:kern w:val="0"/>
          <w:sz w:val="24"/>
          <w:szCs w:val="24"/>
          <w:highlight w:val="none"/>
          <w:u w:val="single"/>
          <w:lang w:val="en-US" w:eastAsia="zh-CN"/>
        </w:rPr>
        <w:t>仁化产业转移工业园区基础建设(二期)</w:t>
      </w:r>
      <w:r>
        <w:rPr>
          <w:rFonts w:hint="eastAsia" w:ascii="宋体" w:hAnsi="宋体" w:eastAsia="宋体" w:cs="宋体"/>
          <w:color w:val="auto"/>
          <w:kern w:val="0"/>
          <w:sz w:val="24"/>
          <w:szCs w:val="24"/>
          <w:highlight w:val="none"/>
          <w:u w:val="none"/>
          <w:lang w:val="en-US" w:eastAsia="zh-CN"/>
        </w:rPr>
        <w:t>经</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仁化发展和改革局</w:t>
      </w:r>
      <w:r>
        <w:rPr>
          <w:rFonts w:hint="eastAsia" w:ascii="宋体" w:hAnsi="宋体" w:eastAsia="宋体" w:cs="宋体"/>
          <w:color w:val="auto"/>
          <w:kern w:val="0"/>
          <w:sz w:val="24"/>
          <w:szCs w:val="24"/>
          <w:highlight w:val="none"/>
          <w:u w:val="single"/>
        </w:rPr>
        <w:t>以</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关于仁化产业转移工业园区基础建设(二期)项目建议书的批复</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仁发改投审【2022】84号、</w:t>
      </w:r>
      <w:r>
        <w:rPr>
          <w:rFonts w:hint="eastAsia" w:ascii="宋体" w:hAnsi="宋体" w:eastAsia="宋体" w:cs="宋体"/>
          <w:color w:val="auto"/>
          <w:sz w:val="24"/>
          <w:szCs w:val="24"/>
          <w:highlight w:val="none"/>
          <w:u w:val="single"/>
          <w:lang w:val="en-US" w:eastAsia="zh-CN"/>
        </w:rPr>
        <w:t>仁化县</w:t>
      </w:r>
      <w:r>
        <w:rPr>
          <w:rFonts w:hint="eastAsia" w:ascii="宋体" w:hAnsi="宋体" w:eastAsia="宋体" w:cs="宋体"/>
          <w:color w:val="auto"/>
          <w:sz w:val="24"/>
          <w:szCs w:val="24"/>
          <w:highlight w:val="none"/>
          <w:u w:val="single"/>
          <w:lang w:val="en-US"/>
        </w:rPr>
        <w:t>发展改革</w:t>
      </w:r>
      <w:r>
        <w:rPr>
          <w:rFonts w:hint="eastAsia" w:ascii="宋体" w:hAnsi="宋体" w:eastAsia="宋体" w:cs="宋体"/>
          <w:color w:val="auto"/>
          <w:sz w:val="24"/>
          <w:szCs w:val="24"/>
          <w:highlight w:val="none"/>
          <w:u w:val="single"/>
          <w:lang w:val="en-US" w:eastAsia="zh-CN"/>
        </w:rPr>
        <w:t>和政务数据</w:t>
      </w:r>
      <w:r>
        <w:rPr>
          <w:rFonts w:hint="eastAsia" w:ascii="宋体" w:hAnsi="宋体" w:eastAsia="宋体" w:cs="宋体"/>
          <w:color w:val="auto"/>
          <w:sz w:val="24"/>
          <w:szCs w:val="24"/>
          <w:highlight w:val="none"/>
          <w:u w:val="single"/>
          <w:lang w:val="en-US"/>
        </w:rPr>
        <w:t>局</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以</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关于</w:t>
      </w:r>
      <w:r>
        <w:rPr>
          <w:rFonts w:hint="eastAsia" w:ascii="宋体" w:hAnsi="宋体" w:eastAsia="宋体" w:cs="宋体"/>
          <w:color w:val="auto"/>
          <w:kern w:val="0"/>
          <w:sz w:val="24"/>
          <w:szCs w:val="24"/>
          <w:highlight w:val="none"/>
          <w:u w:val="single"/>
          <w:lang w:val="en-US" w:eastAsia="zh-CN"/>
        </w:rPr>
        <w:t>仁化产业转移工业园区基础建设(二期)-</w:t>
      </w:r>
      <w:r>
        <w:rPr>
          <w:rFonts w:hint="eastAsia" w:ascii="宋体" w:hAnsi="宋体" w:eastAsia="宋体" w:cs="宋体"/>
          <w:i w:val="0"/>
          <w:iCs w:val="0"/>
          <w:caps w:val="0"/>
          <w:color w:val="auto"/>
          <w:spacing w:val="0"/>
          <w:sz w:val="24"/>
          <w:szCs w:val="24"/>
          <w:highlight w:val="none"/>
          <w:u w:val="single"/>
          <w:lang w:eastAsia="zh-CN"/>
        </w:rPr>
        <w:t>韶关仁化产业园区大岭片区配套道路(G535线至新粮仓段)扩建项目</w:t>
      </w:r>
      <w:r>
        <w:rPr>
          <w:rFonts w:hint="eastAsia" w:ascii="宋体" w:hAnsi="宋体" w:eastAsia="宋体" w:cs="宋体"/>
          <w:b w:val="0"/>
          <w:bCs w:val="0"/>
          <w:color w:val="auto"/>
          <w:kern w:val="0"/>
          <w:sz w:val="24"/>
          <w:szCs w:val="24"/>
          <w:highlight w:val="none"/>
          <w:u w:val="single"/>
          <w:lang w:val="en-US" w:eastAsia="zh-CN"/>
        </w:rPr>
        <w:t>初步设计概算的批复</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仁</w:t>
      </w:r>
      <w:r>
        <w:rPr>
          <w:rFonts w:hint="eastAsia" w:ascii="宋体" w:hAnsi="宋体" w:eastAsia="宋体" w:cs="宋体"/>
          <w:color w:val="auto"/>
          <w:sz w:val="24"/>
          <w:szCs w:val="24"/>
          <w:highlight w:val="none"/>
          <w:u w:val="single"/>
          <w:lang w:val="en-US"/>
        </w:rPr>
        <w:t>发改</w:t>
      </w:r>
      <w:r>
        <w:rPr>
          <w:rFonts w:hint="eastAsia" w:ascii="宋体" w:hAnsi="宋体" w:eastAsia="宋体" w:cs="宋体"/>
          <w:color w:val="auto"/>
          <w:sz w:val="24"/>
          <w:szCs w:val="24"/>
          <w:highlight w:val="none"/>
          <w:u w:val="single"/>
          <w:lang w:val="en-US" w:eastAsia="zh-CN"/>
        </w:rPr>
        <w:t>和政数</w:t>
      </w:r>
      <w:r>
        <w:rPr>
          <w:rFonts w:hint="eastAsia" w:ascii="宋体" w:hAnsi="宋体" w:eastAsia="宋体" w:cs="宋体"/>
          <w:color w:val="auto"/>
          <w:sz w:val="24"/>
          <w:szCs w:val="24"/>
          <w:highlight w:val="none"/>
          <w:u w:val="single"/>
          <w:lang w:val="en-US"/>
        </w:rPr>
        <w:t>投审〔202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rPr>
        <w:t>〕2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rPr>
        <w:t>号</w:t>
      </w:r>
      <w:r>
        <w:rPr>
          <w:rFonts w:hint="eastAsia" w:ascii="宋体" w:hAnsi="宋体" w:eastAsia="宋体" w:cs="宋体"/>
          <w:color w:val="auto"/>
          <w:kern w:val="0"/>
          <w:sz w:val="24"/>
          <w:szCs w:val="24"/>
          <w:highlight w:val="none"/>
        </w:rPr>
        <w:t>文批准建设，项目代码为</w:t>
      </w:r>
      <w:r>
        <w:rPr>
          <w:rFonts w:hint="eastAsia" w:ascii="宋体" w:hAnsi="宋体" w:eastAsia="宋体" w:cs="宋体"/>
          <w:color w:val="auto"/>
          <w:kern w:val="0"/>
          <w:sz w:val="24"/>
          <w:szCs w:val="24"/>
          <w:highlight w:val="none"/>
          <w:u w:val="single"/>
          <w:lang w:val="en-US" w:eastAsia="zh-CN"/>
        </w:rPr>
        <w:t>2208-440224-04-01-823973</w:t>
      </w:r>
      <w:r>
        <w:rPr>
          <w:rFonts w:hint="eastAsia" w:ascii="宋体" w:hAnsi="宋体" w:eastAsia="宋体" w:cs="宋体"/>
          <w:color w:val="auto"/>
          <w:kern w:val="0"/>
          <w:sz w:val="24"/>
          <w:szCs w:val="24"/>
          <w:highlight w:val="none"/>
        </w:rPr>
        <w:t>。本项目业主为</w:t>
      </w:r>
      <w:r>
        <w:rPr>
          <w:rFonts w:hint="eastAsia" w:ascii="宋体" w:hAnsi="宋体" w:eastAsia="宋体" w:cs="宋体"/>
          <w:color w:val="auto"/>
          <w:sz w:val="24"/>
          <w:szCs w:val="24"/>
          <w:highlight w:val="none"/>
          <w:u w:val="single"/>
          <w:lang w:val="en-US" w:eastAsia="zh-CN"/>
        </w:rPr>
        <w:t>仁化县丹霞旅游经济开发试验区管理委员会</w:t>
      </w:r>
      <w:r>
        <w:rPr>
          <w:rFonts w:hint="eastAsia" w:ascii="宋体" w:hAnsi="宋体" w:eastAsia="宋体" w:cs="宋体"/>
          <w:color w:val="auto"/>
          <w:kern w:val="0"/>
          <w:sz w:val="24"/>
          <w:szCs w:val="24"/>
          <w:highlight w:val="none"/>
        </w:rPr>
        <w:t>，建设资金</w:t>
      </w:r>
      <w:r>
        <w:rPr>
          <w:rFonts w:hint="eastAsia" w:ascii="宋体" w:hAnsi="宋体" w:eastAsia="宋体" w:cs="宋体"/>
          <w:bCs/>
          <w:snapToGrid w:val="0"/>
          <w:color w:val="auto"/>
          <w:kern w:val="0"/>
          <w:sz w:val="24"/>
          <w:szCs w:val="24"/>
          <w:highlight w:val="none"/>
          <w:u w:val="single"/>
          <w:lang w:val="en-US" w:eastAsia="zh-CN" w:bidi="ar-SA"/>
        </w:rPr>
        <w:t>由上级资金和县级财政资金安排解决</w:t>
      </w:r>
      <w:r>
        <w:rPr>
          <w:rFonts w:hint="eastAsia" w:ascii="宋体" w:hAnsi="宋体" w:eastAsia="宋体" w:cs="宋体"/>
          <w:color w:val="auto"/>
          <w:kern w:val="0"/>
          <w:sz w:val="24"/>
          <w:szCs w:val="24"/>
          <w:highlight w:val="none"/>
        </w:rPr>
        <w:t>，</w:t>
      </w:r>
      <w:r>
        <w:rPr>
          <w:rFonts w:hint="eastAsia" w:ascii="宋体" w:hAnsi="宋体" w:eastAsia="宋体" w:cs="宋体"/>
          <w:snapToGrid w:val="0"/>
          <w:color w:val="auto"/>
          <w:kern w:val="0"/>
          <w:sz w:val="24"/>
          <w:szCs w:val="24"/>
          <w:highlight w:val="none"/>
        </w:rPr>
        <w:t>出资比例为</w:t>
      </w:r>
      <w:r>
        <w:rPr>
          <w:rFonts w:hint="eastAsia" w:ascii="宋体" w:hAnsi="宋体" w:eastAsia="宋体" w:cs="宋体"/>
          <w:snapToGrid w:val="0"/>
          <w:color w:val="auto"/>
          <w:kern w:val="0"/>
          <w:sz w:val="24"/>
          <w:szCs w:val="24"/>
          <w:highlight w:val="none"/>
          <w:u w:val="single"/>
        </w:rPr>
        <w:t xml:space="preserve"> 100% </w:t>
      </w:r>
      <w:r>
        <w:rPr>
          <w:rFonts w:hint="eastAsia" w:ascii="宋体" w:hAnsi="宋体" w:eastAsia="宋体" w:cs="宋体"/>
          <w:snapToGrid w:val="0"/>
          <w:color w:val="auto"/>
          <w:kern w:val="0"/>
          <w:sz w:val="24"/>
          <w:szCs w:val="24"/>
          <w:highlight w:val="none"/>
        </w:rPr>
        <w:t>，</w:t>
      </w:r>
      <w:r>
        <w:rPr>
          <w:rFonts w:hint="eastAsia" w:ascii="宋体" w:hAnsi="宋体" w:eastAsia="宋体" w:cs="宋体"/>
          <w:color w:val="auto"/>
          <w:kern w:val="0"/>
          <w:sz w:val="24"/>
          <w:szCs w:val="24"/>
          <w:highlight w:val="none"/>
        </w:rPr>
        <w:t>招标人为</w:t>
      </w:r>
      <w:r>
        <w:rPr>
          <w:rFonts w:hint="eastAsia" w:ascii="宋体" w:hAnsi="宋体" w:eastAsia="宋体" w:cs="宋体"/>
          <w:color w:val="auto"/>
          <w:kern w:val="0"/>
          <w:sz w:val="24"/>
          <w:szCs w:val="24"/>
          <w:highlight w:val="none"/>
          <w:u w:val="single"/>
          <w:lang w:eastAsia="zh-CN"/>
        </w:rPr>
        <w:t>仁化县市政工程公司</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招标代理机构为</w:t>
      </w:r>
      <w:r>
        <w:rPr>
          <w:rFonts w:hint="eastAsia" w:ascii="宋体" w:hAnsi="宋体" w:eastAsia="宋体" w:cs="宋体"/>
          <w:color w:val="auto"/>
          <w:sz w:val="24"/>
          <w:szCs w:val="24"/>
          <w:highlight w:val="none"/>
          <w:u w:val="single"/>
          <w:lang w:eastAsia="zh-CN"/>
        </w:rPr>
        <w:t>广东合正项目管理有限公司</w:t>
      </w:r>
      <w:r>
        <w:rPr>
          <w:rFonts w:hint="eastAsia" w:ascii="宋体" w:hAnsi="宋体" w:eastAsia="宋体" w:cs="宋体"/>
          <w:color w:val="auto"/>
          <w:sz w:val="24"/>
          <w:szCs w:val="24"/>
          <w:highlight w:val="none"/>
        </w:rPr>
        <w:t>。项目已具备招标条件，现对该项目的</w:t>
      </w:r>
      <w:r>
        <w:rPr>
          <w:rFonts w:hint="eastAsia" w:ascii="宋体" w:hAnsi="宋体" w:eastAsia="宋体" w:cs="宋体"/>
          <w:color w:val="auto"/>
          <w:sz w:val="24"/>
          <w:szCs w:val="24"/>
          <w:highlight w:val="none"/>
          <w:u w:val="single"/>
          <w:lang w:val="en-US" w:eastAsia="zh-CN"/>
        </w:rPr>
        <w:t>监理</w:t>
      </w:r>
      <w:r>
        <w:rPr>
          <w:rFonts w:hint="eastAsia" w:ascii="宋体" w:hAnsi="宋体" w:eastAsia="宋体" w:cs="宋体"/>
          <w:color w:val="auto"/>
          <w:sz w:val="24"/>
          <w:szCs w:val="24"/>
          <w:highlight w:val="none"/>
        </w:rPr>
        <w:t>进行公开招标。</w:t>
      </w:r>
    </w:p>
    <w:p w14:paraId="6E939B6A">
      <w:pPr>
        <w:pStyle w:val="88"/>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1．项目概况、招标范围和标段划分、投标费用</w:t>
      </w:r>
      <w:bookmarkEnd w:id="16"/>
    </w:p>
    <w:p w14:paraId="5A9B532C">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w:t>
      </w:r>
      <w:r>
        <w:rPr>
          <w:rFonts w:hint="eastAsia" w:ascii="宋体" w:hAnsi="宋体" w:eastAsia="宋体" w:cs="宋体"/>
          <w:snapToGrid w:val="0"/>
          <w:color w:val="auto"/>
          <w:kern w:val="0"/>
          <w:sz w:val="24"/>
          <w:szCs w:val="24"/>
          <w:highlight w:val="none"/>
        </w:rPr>
        <w:t xml:space="preserve"> 项目概况</w:t>
      </w:r>
    </w:p>
    <w:p w14:paraId="457EF3D7">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1.1.1</w:t>
      </w:r>
      <w:r>
        <w:rPr>
          <w:rFonts w:hint="eastAsia" w:ascii="宋体" w:hAnsi="宋体" w:eastAsia="宋体" w:cs="宋体"/>
          <w:snapToGrid w:val="0"/>
          <w:color w:val="auto"/>
          <w:kern w:val="0"/>
          <w:sz w:val="24"/>
          <w:szCs w:val="24"/>
          <w:highlight w:val="none"/>
        </w:rPr>
        <w:t xml:space="preserve"> 建设地点：</w:t>
      </w:r>
      <w:r>
        <w:rPr>
          <w:rFonts w:hint="eastAsia" w:ascii="宋体" w:hAnsi="宋体" w:eastAsia="宋体" w:cs="宋体"/>
          <w:color w:val="auto"/>
          <w:sz w:val="24"/>
          <w:szCs w:val="24"/>
          <w:highlight w:val="none"/>
          <w:u w:val="single"/>
          <w:lang w:val="en-US" w:eastAsia="zh-CN"/>
        </w:rPr>
        <w:t>韶关仁化产业园区大岭片区。</w:t>
      </w:r>
    </w:p>
    <w:p w14:paraId="74BEFDF3">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 xml:space="preserve">1.1.2 </w:t>
      </w:r>
      <w:r>
        <w:rPr>
          <w:rFonts w:hint="eastAsia" w:ascii="宋体" w:hAnsi="宋体" w:eastAsia="宋体" w:cs="宋体"/>
          <w:b w:val="0"/>
          <w:bCs w:val="0"/>
          <w:snapToGrid w:val="0"/>
          <w:color w:val="auto"/>
          <w:kern w:val="0"/>
          <w:sz w:val="24"/>
          <w:szCs w:val="24"/>
          <w:highlight w:val="none"/>
          <w:lang w:val="en-US" w:eastAsia="zh-CN"/>
        </w:rPr>
        <w:t>建设内容和规模：</w:t>
      </w:r>
      <w:r>
        <w:rPr>
          <w:rFonts w:hint="eastAsia" w:ascii="宋体" w:hAnsi="宋体" w:eastAsia="宋体" w:cs="宋体"/>
          <w:color w:val="auto"/>
          <w:sz w:val="24"/>
          <w:szCs w:val="24"/>
          <w:highlight w:val="none"/>
          <w:u w:val="single"/>
          <w:lang w:val="en-US" w:eastAsia="zh-CN"/>
        </w:rPr>
        <w:t>新建约621米道路，采用水泥混凝土路面上铺沥青，沿线完善相关交通标线及挡土墙、水渠、路灯等配套设施。</w:t>
      </w:r>
    </w:p>
    <w:p w14:paraId="7FDC4FD4">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b/>
          <w:bCs/>
          <w:snapToGrid w:val="0"/>
          <w:color w:val="auto"/>
          <w:kern w:val="0"/>
          <w:sz w:val="24"/>
          <w:szCs w:val="24"/>
          <w:highlight w:val="none"/>
        </w:rPr>
        <w:t xml:space="preserve">1.1.3 </w:t>
      </w:r>
      <w:r>
        <w:rPr>
          <w:rFonts w:hint="eastAsia" w:ascii="宋体" w:hAnsi="宋体" w:eastAsia="宋体" w:cs="宋体"/>
          <w:snapToGrid w:val="0"/>
          <w:color w:val="auto"/>
          <w:kern w:val="0"/>
          <w:sz w:val="24"/>
          <w:szCs w:val="24"/>
          <w:highlight w:val="none"/>
        </w:rPr>
        <w:t>项</w:t>
      </w:r>
      <w:r>
        <w:rPr>
          <w:rFonts w:hint="eastAsia" w:ascii="宋体" w:hAnsi="宋体" w:eastAsia="宋体" w:cs="宋体"/>
          <w:snapToGrid w:val="0"/>
          <w:color w:val="auto"/>
          <w:kern w:val="0"/>
          <w:sz w:val="24"/>
          <w:szCs w:val="24"/>
          <w:highlight w:val="none"/>
          <w:u w:val="none"/>
        </w:rPr>
        <w:t>目</w:t>
      </w:r>
      <w:r>
        <w:rPr>
          <w:rFonts w:hint="eastAsia" w:ascii="宋体" w:hAnsi="宋体" w:eastAsia="宋体" w:cs="宋体"/>
          <w:snapToGrid w:val="0"/>
          <w:color w:val="auto"/>
          <w:kern w:val="0"/>
          <w:sz w:val="24"/>
          <w:szCs w:val="24"/>
          <w:highlight w:val="none"/>
          <w:u w:val="none"/>
          <w:lang w:eastAsia="zh-CN"/>
        </w:rPr>
        <w:t>概算</w:t>
      </w:r>
      <w:r>
        <w:rPr>
          <w:rFonts w:hint="eastAsia" w:ascii="宋体" w:hAnsi="宋体" w:eastAsia="宋体" w:cs="宋体"/>
          <w:snapToGrid w:val="0"/>
          <w:color w:val="auto"/>
          <w:kern w:val="0"/>
          <w:sz w:val="24"/>
          <w:szCs w:val="24"/>
          <w:highlight w:val="none"/>
        </w:rPr>
        <w:t>投资额：</w:t>
      </w:r>
      <w:r>
        <w:rPr>
          <w:rFonts w:hint="eastAsia" w:ascii="宋体" w:hAnsi="宋体" w:eastAsia="宋体" w:cs="宋体"/>
          <w:bCs/>
          <w:snapToGrid w:val="0"/>
          <w:color w:val="auto"/>
          <w:kern w:val="0"/>
          <w:sz w:val="24"/>
          <w:szCs w:val="24"/>
          <w:highlight w:val="none"/>
          <w:u w:val="single"/>
          <w:lang w:val="en-US" w:eastAsia="zh-CN" w:bidi="ar-SA"/>
        </w:rPr>
        <w:t>项目概算总投资966.81万元,其中工程费用643.73万元。</w:t>
      </w:r>
    </w:p>
    <w:p w14:paraId="737B5441">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1.2 </w:t>
      </w:r>
      <w:r>
        <w:rPr>
          <w:rFonts w:hint="eastAsia" w:ascii="宋体" w:hAnsi="宋体" w:eastAsia="宋体" w:cs="宋体"/>
          <w:snapToGrid w:val="0"/>
          <w:color w:val="auto"/>
          <w:kern w:val="0"/>
          <w:sz w:val="24"/>
          <w:szCs w:val="24"/>
          <w:highlight w:val="none"/>
        </w:rPr>
        <w:t>招标范围和标段划分</w:t>
      </w:r>
    </w:p>
    <w:p w14:paraId="5C8BB663">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1.2.1</w:t>
      </w:r>
      <w:r>
        <w:rPr>
          <w:rFonts w:hint="eastAsia" w:ascii="宋体" w:hAnsi="宋体" w:eastAsia="宋体" w:cs="宋体"/>
          <w:snapToGrid w:val="0"/>
          <w:color w:val="auto"/>
          <w:kern w:val="0"/>
          <w:sz w:val="24"/>
          <w:szCs w:val="24"/>
          <w:highlight w:val="none"/>
        </w:rPr>
        <w:t xml:space="preserve"> 招标范围</w:t>
      </w:r>
    </w:p>
    <w:p w14:paraId="0F812CFE">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1.2.2</w:t>
      </w:r>
      <w:r>
        <w:rPr>
          <w:rFonts w:hint="eastAsia" w:ascii="宋体" w:hAnsi="宋体" w:eastAsia="宋体" w:cs="宋体"/>
          <w:snapToGrid w:val="0"/>
          <w:color w:val="auto"/>
          <w:kern w:val="0"/>
          <w:sz w:val="24"/>
          <w:szCs w:val="24"/>
          <w:highlight w:val="none"/>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1.3</w:t>
      </w:r>
      <w:r>
        <w:rPr>
          <w:rFonts w:hint="eastAsia" w:ascii="宋体" w:hAnsi="宋体" w:eastAsia="宋体" w:cs="宋体"/>
          <w:snapToGrid w:val="0"/>
          <w:color w:val="auto"/>
          <w:kern w:val="0"/>
          <w:sz w:val="24"/>
          <w:szCs w:val="24"/>
          <w:highlight w:val="none"/>
        </w:rPr>
        <w:t xml:space="preserve"> 投标费用：投标人应承担所有准备和参加投标的相关费用，不论投标结果如何，招标人均无义务和责任承担这些费用。</w:t>
      </w:r>
    </w:p>
    <w:p w14:paraId="6BE91A1C">
      <w:pPr>
        <w:pStyle w:val="88"/>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ascii="宋体" w:hAnsi="宋体" w:eastAsia="宋体" w:cs="宋体"/>
          <w:b/>
          <w:bCs/>
          <w:snapToGrid w:val="0"/>
          <w:color w:val="auto"/>
          <w:kern w:val="0"/>
          <w:sz w:val="24"/>
          <w:szCs w:val="24"/>
          <w:highlight w:val="none"/>
        </w:rPr>
      </w:pPr>
      <w:bookmarkStart w:id="17" w:name="_Toc8159"/>
      <w:bookmarkStart w:id="18" w:name="_Toc31795"/>
      <w:r>
        <w:rPr>
          <w:rFonts w:hint="eastAsia" w:ascii="宋体" w:hAnsi="宋体" w:eastAsia="宋体" w:cs="宋体"/>
          <w:b/>
          <w:bCs/>
          <w:snapToGrid w:val="0"/>
          <w:color w:val="auto"/>
          <w:kern w:val="0"/>
          <w:sz w:val="24"/>
          <w:szCs w:val="24"/>
          <w:highlight w:val="none"/>
        </w:rPr>
        <w:t>2．投标人资格要求</w:t>
      </w:r>
      <w:bookmarkEnd w:id="17"/>
      <w:bookmarkEnd w:id="18"/>
      <w:bookmarkStart w:id="19" w:name="_Hlt74496495"/>
      <w:bookmarkEnd w:id="19"/>
    </w:p>
    <w:p w14:paraId="229AFBAA">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2.1</w:t>
      </w:r>
      <w:r>
        <w:rPr>
          <w:rFonts w:hint="eastAsia" w:ascii="宋体" w:hAnsi="宋体" w:eastAsia="宋体" w:cs="宋体"/>
          <w:snapToGrid w:val="0"/>
          <w:color w:val="auto"/>
          <w:kern w:val="0"/>
          <w:sz w:val="24"/>
          <w:szCs w:val="24"/>
          <w:highlight w:val="none"/>
        </w:rPr>
        <w:t xml:space="preserve"> 本次招标</w:t>
      </w:r>
      <w:r>
        <w:rPr>
          <w:rFonts w:hint="eastAsia" w:ascii="宋体" w:hAnsi="宋体" w:eastAsia="宋体" w:cs="宋体"/>
          <w:snapToGrid w:val="0"/>
          <w:color w:val="auto"/>
          <w:kern w:val="0"/>
          <w:sz w:val="24"/>
          <w:szCs w:val="24"/>
          <w:highlight w:val="none"/>
          <w:u w:val="single"/>
        </w:rPr>
        <w:t>不接受</w:t>
      </w:r>
      <w:r>
        <w:rPr>
          <w:rFonts w:hint="eastAsia" w:ascii="宋体" w:hAnsi="宋体" w:eastAsia="宋体" w:cs="宋体"/>
          <w:snapToGrid w:val="0"/>
          <w:color w:val="auto"/>
          <w:kern w:val="0"/>
          <w:sz w:val="24"/>
          <w:szCs w:val="24"/>
          <w:highlight w:val="none"/>
        </w:rPr>
        <w:t>联合体投标。</w:t>
      </w:r>
    </w:p>
    <w:p w14:paraId="376870ED">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w:t>
      </w:r>
      <w:r>
        <w:rPr>
          <w:rFonts w:hint="eastAsia" w:ascii="宋体" w:hAnsi="宋体" w:eastAsia="宋体" w:cs="宋体"/>
          <w:snapToGrid w:val="0"/>
          <w:color w:val="auto"/>
          <w:kern w:val="0"/>
          <w:sz w:val="24"/>
          <w:szCs w:val="24"/>
          <w:highlight w:val="none"/>
        </w:rPr>
        <w:t xml:space="preserve"> 资格资质要求</w:t>
      </w:r>
    </w:p>
    <w:p w14:paraId="296608D7">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2.2.1</w:t>
      </w:r>
      <w:r>
        <w:rPr>
          <w:rFonts w:hint="eastAsia" w:ascii="宋体" w:hAnsi="宋体" w:eastAsia="宋体" w:cs="宋体"/>
          <w:snapToGrid w:val="0"/>
          <w:color w:val="auto"/>
          <w:kern w:val="0"/>
          <w:sz w:val="24"/>
          <w:szCs w:val="24"/>
          <w:highlight w:val="none"/>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2.2.2</w:t>
      </w:r>
      <w:r>
        <w:rPr>
          <w:rFonts w:hint="eastAsia" w:ascii="宋体" w:hAnsi="宋体" w:eastAsia="宋体" w:cs="宋体"/>
          <w:snapToGrid w:val="0"/>
          <w:color w:val="auto"/>
          <w:kern w:val="0"/>
          <w:sz w:val="24"/>
          <w:szCs w:val="24"/>
          <w:highlight w:val="none"/>
        </w:rPr>
        <w:t xml:space="preserve"> 投标人须具备以下资质：</w:t>
      </w:r>
      <w:r>
        <w:rPr>
          <w:rFonts w:hint="eastAsia" w:ascii="宋体" w:hAnsi="宋体" w:eastAsia="宋体" w:cs="宋体"/>
          <w:snapToGrid w:val="0"/>
          <w:color w:val="auto"/>
          <w:kern w:val="0"/>
          <w:sz w:val="24"/>
          <w:szCs w:val="24"/>
          <w:highlight w:val="none"/>
          <w:u w:val="single"/>
          <w:lang w:eastAsia="zh-CN"/>
        </w:rPr>
        <w:t>工程监理综合资质或</w:t>
      </w:r>
      <w:r>
        <w:rPr>
          <w:rFonts w:hint="eastAsia" w:ascii="宋体" w:hAnsi="宋体" w:eastAsia="宋体" w:cs="宋体"/>
          <w:snapToGrid w:val="0"/>
          <w:color w:val="auto"/>
          <w:kern w:val="0"/>
          <w:sz w:val="24"/>
          <w:szCs w:val="24"/>
          <w:highlight w:val="none"/>
          <w:u w:val="single"/>
          <w:lang w:val="en-US" w:eastAsia="zh-CN"/>
        </w:rPr>
        <w:t>市政公用</w:t>
      </w:r>
      <w:r>
        <w:rPr>
          <w:rFonts w:hint="eastAsia" w:ascii="宋体" w:hAnsi="宋体" w:eastAsia="宋体" w:cs="宋体"/>
          <w:snapToGrid w:val="0"/>
          <w:color w:val="auto"/>
          <w:kern w:val="0"/>
          <w:sz w:val="24"/>
          <w:szCs w:val="24"/>
          <w:highlight w:val="none"/>
          <w:u w:val="single"/>
          <w:lang w:eastAsia="zh-CN"/>
        </w:rPr>
        <w:t>工程专业监理乙级以上（含乙级）资质。</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2.2.3</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投标人的企业相关证书、人员资质、资格有效期到期的，均按该证书的发证机构相关行业主管部门最新文件执行（如自动顺延或推迟办理延期业务的通知），</w:t>
      </w:r>
      <w:r>
        <w:rPr>
          <w:rFonts w:hint="eastAsia" w:ascii="宋体" w:hAnsi="宋体" w:eastAsia="宋体" w:cs="宋体"/>
          <w:b/>
          <w:bCs/>
          <w:color w:val="auto"/>
          <w:sz w:val="24"/>
          <w:szCs w:val="24"/>
          <w:highlight w:val="none"/>
        </w:rPr>
        <w:t>投标人必须将相关文件附在该证书后面中，证明在开标日继续有效。</w:t>
      </w:r>
    </w:p>
    <w:p w14:paraId="53EE3233">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w:t>
      </w:r>
      <w:r>
        <w:rPr>
          <w:rFonts w:hint="eastAsia" w:ascii="宋体" w:hAnsi="宋体" w:eastAsia="宋体" w:cs="宋体"/>
          <w:snapToGrid w:val="0"/>
          <w:color w:val="auto"/>
          <w:kern w:val="0"/>
          <w:sz w:val="24"/>
          <w:szCs w:val="24"/>
          <w:highlight w:val="none"/>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2.3.1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拟派总监理工程师为</w:t>
      </w:r>
      <w:r>
        <w:rPr>
          <w:rFonts w:hint="eastAsia" w:ascii="宋体" w:hAnsi="宋体" w:eastAsia="宋体" w:cs="宋体"/>
          <w:snapToGrid w:val="0"/>
          <w:color w:val="auto"/>
          <w:kern w:val="0"/>
          <w:sz w:val="24"/>
          <w:szCs w:val="24"/>
          <w:highlight w:val="none"/>
          <w:u w:val="single"/>
          <w:lang w:val="en-US" w:eastAsia="zh-CN"/>
        </w:rPr>
        <w:t>市政公用工程</w:t>
      </w:r>
      <w:r>
        <w:rPr>
          <w:rFonts w:hint="eastAsia" w:ascii="宋体" w:hAnsi="宋体" w:eastAsia="宋体" w:cs="宋体"/>
          <w:color w:val="auto"/>
          <w:sz w:val="24"/>
          <w:szCs w:val="24"/>
          <w:highlight w:val="none"/>
        </w:rPr>
        <w:t>专业注册监理工程师，应持有国家住建部印发的有效注册证书，其担任总监理工程师职务的其他在施（包括已中标未开工、已开工未竣工）建设工程项目不得超过</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个。</w:t>
      </w:r>
    </w:p>
    <w:p w14:paraId="1B937DB3">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拟派总监理工程师现阶段有担任其他在施建设工程项目总监理工程师职务的，须得到任职项目建设单位书面同意后方可担任本招标项目总监理工程师。</w:t>
      </w:r>
    </w:p>
    <w:p w14:paraId="729B3FCF">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2.3.2</w:t>
      </w:r>
      <w:r>
        <w:rPr>
          <w:rFonts w:hint="eastAsia" w:ascii="宋体" w:hAnsi="宋体" w:eastAsia="宋体" w:cs="宋体"/>
          <w:snapToGrid w:val="0"/>
          <w:color w:val="auto"/>
          <w:kern w:val="0"/>
          <w:sz w:val="24"/>
          <w:szCs w:val="24"/>
          <w:highlight w:val="none"/>
        </w:rPr>
        <w:t xml:space="preserve"> 投标人与其拟派往本项目监理机构的所有人员之间必须具备合法、唯一的劳动聘用关系。拟派人员中具备注册执业资格的，其注册单位须与投标人保持一致。</w:t>
      </w:r>
    </w:p>
    <w:p w14:paraId="51D5C150">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2.4</w:t>
      </w:r>
      <w:r>
        <w:rPr>
          <w:rFonts w:hint="eastAsia" w:ascii="宋体" w:hAnsi="宋体" w:eastAsia="宋体" w:cs="宋体"/>
          <w:snapToGrid w:val="0"/>
          <w:color w:val="auto"/>
          <w:kern w:val="0"/>
          <w:sz w:val="24"/>
          <w:szCs w:val="24"/>
          <w:highlight w:val="none"/>
        </w:rPr>
        <w:t xml:space="preserve"> 禁止投标条款</w:t>
      </w:r>
    </w:p>
    <w:p w14:paraId="7D7AD0E4">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2.4.1</w:t>
      </w:r>
      <w:r>
        <w:rPr>
          <w:rFonts w:hint="eastAsia" w:ascii="宋体" w:hAnsi="宋体" w:eastAsia="宋体" w:cs="宋体"/>
          <w:snapToGrid w:val="0"/>
          <w:color w:val="auto"/>
          <w:kern w:val="0"/>
          <w:sz w:val="24"/>
          <w:szCs w:val="24"/>
          <w:highlight w:val="none"/>
        </w:rPr>
        <w:t xml:space="preserve"> 投标人不得存在下列情形之一：</w:t>
      </w:r>
    </w:p>
    <w:p w14:paraId="23B2DC3C">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（1）为招标人不具有独立法人资格的附属机构（单位）；</w:t>
      </w:r>
    </w:p>
    <w:p w14:paraId="7B77E298">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（2）与招标人存在利害关系且可能影响招标公正性；</w:t>
      </w:r>
    </w:p>
    <w:p w14:paraId="66A8637F">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（3）与本招标项目的其他投标人为同一个单位负责人；</w:t>
      </w:r>
    </w:p>
    <w:p w14:paraId="6445557B">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（4）与本招标项目的其他投标人存在控股、管理关系；</w:t>
      </w:r>
    </w:p>
    <w:p w14:paraId="66EBD7D7">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（5）为本招标项目的代建人；</w:t>
      </w:r>
    </w:p>
    <w:p w14:paraId="2102A470">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（6）为本招标项目的招标代理机构；</w:t>
      </w:r>
    </w:p>
    <w:p w14:paraId="22A7EB6B">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（7）与本招标项目的代建人或招标代理机构同为一个法定代表人；</w:t>
      </w:r>
    </w:p>
    <w:p w14:paraId="3FC11BF5">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（8）与本招标项目的代建人或招标代理机构存在控股或参股关系；</w:t>
      </w:r>
    </w:p>
    <w:p w14:paraId="12857A0D">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（9）与本招标项目的施工承包人以及建筑材料、建筑构配件和设备供应商有隶属关系或者其他利害关系；</w:t>
      </w:r>
    </w:p>
    <w:p w14:paraId="4A6FC44A">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（10）被依法暂停或者取消投标资格；</w:t>
      </w:r>
    </w:p>
    <w:p w14:paraId="68E70B2D">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（11）被责令停产停业、暂扣或者吊销许可证、暂扣或者吊销执照；</w:t>
      </w:r>
    </w:p>
    <w:p w14:paraId="75517A3D">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（12）进入清算程序，或被宣告破产，或其他丧失履约能力的情形；</w:t>
      </w:r>
    </w:p>
    <w:p w14:paraId="40C303D7">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（13）在最近三年内发生重大监理质量问题（以相关行业主管部门的行政处罚决定或司法机关出具的有关法律文书为准）；</w:t>
      </w:r>
    </w:p>
    <w:p w14:paraId="331A83DA">
      <w:pPr>
        <w:pStyle w:val="88"/>
        <w:keepNext w:val="0"/>
        <w:keepLines w:val="0"/>
        <w:pageBreakBefore w:val="0"/>
        <w:wordWrap w:val="0"/>
        <w:topLinePunct w:val="0"/>
        <w:bidi w:val="0"/>
        <w:adjustRightInd w:val="0"/>
        <w:snapToGrid w:val="0"/>
        <w:spacing w:line="500" w:lineRule="exact"/>
        <w:ind w:firstLine="240" w:firstLineChars="1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（14）</w:t>
      </w:r>
      <w:r>
        <w:rPr>
          <w:rFonts w:hint="eastAsia" w:ascii="宋体" w:hAnsi="宋体" w:eastAsia="宋体" w:cs="宋体"/>
          <w:color w:val="auto"/>
          <w:kern w:val="0"/>
          <w:sz w:val="24"/>
          <w:szCs w:val="24"/>
          <w:highlight w:val="none"/>
        </w:rPr>
        <w:t>被“信用中国”网站（https://www.creditchina.gov.cn）发布的《法人和非法人组织公共信用信息报告》列为严重失信主体名单的</w:t>
      </w:r>
      <w:r>
        <w:rPr>
          <w:rFonts w:hint="eastAsia" w:ascii="宋体" w:hAnsi="宋体" w:eastAsia="宋体" w:cs="宋体"/>
          <w:snapToGrid w:val="0"/>
          <w:color w:val="auto"/>
          <w:kern w:val="0"/>
          <w:sz w:val="24"/>
          <w:szCs w:val="24"/>
          <w:highlight w:val="none"/>
        </w:rPr>
        <w:t>。</w:t>
      </w:r>
    </w:p>
    <w:p w14:paraId="6D2A9BC1">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2.4.2</w:t>
      </w:r>
      <w:r>
        <w:rPr>
          <w:rFonts w:hint="eastAsia" w:ascii="宋体" w:hAnsi="宋体" w:eastAsia="宋体" w:cs="宋体"/>
          <w:snapToGrid w:val="0"/>
          <w:color w:val="auto"/>
          <w:kern w:val="0"/>
          <w:sz w:val="24"/>
          <w:szCs w:val="24"/>
          <w:highlight w:val="none"/>
        </w:rPr>
        <w:t xml:space="preserve"> 招标人拒绝以下名单中的单位参加本次投标：</w:t>
      </w:r>
    </w:p>
    <w:tbl>
      <w:tblPr>
        <w:tblStyle w:val="31"/>
        <w:tblW w:w="871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732"/>
        <w:gridCol w:w="4204"/>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83"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732"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4204"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3" w:type="dxa"/>
            <w:noWrap w:val="0"/>
            <w:vAlign w:val="center"/>
          </w:tcPr>
          <w:p w14:paraId="247CC672">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3732" w:type="dxa"/>
            <w:noWrap w:val="0"/>
            <w:vAlign w:val="center"/>
          </w:tcPr>
          <w:p w14:paraId="48F92AA4">
            <w:pPr>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20" w:leftChars="50" w:right="120" w:rightChars="5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仁化县丹霞旅游经济开发试验区管理委员会</w:t>
            </w:r>
          </w:p>
        </w:tc>
        <w:tc>
          <w:tcPr>
            <w:tcW w:w="4204" w:type="dxa"/>
            <w:noWrap w:val="0"/>
            <w:vAlign w:val="center"/>
          </w:tcPr>
          <w:p w14:paraId="1CA7E40F">
            <w:pPr>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20" w:leftChars="50" w:right="120" w:rightChars="5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eastAsia="zh-CN"/>
              </w:rPr>
              <w:t>业主</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3" w:type="dxa"/>
            <w:noWrap w:val="0"/>
            <w:vAlign w:val="center"/>
          </w:tcPr>
          <w:p w14:paraId="308BACF3">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3732" w:type="dxa"/>
            <w:noWrap w:val="0"/>
            <w:vAlign w:val="center"/>
          </w:tcPr>
          <w:p w14:paraId="2C7FB050">
            <w:pPr>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20" w:leftChars="50" w:right="120" w:rightChars="5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仁化县市政工程公司</w:t>
            </w:r>
          </w:p>
        </w:tc>
        <w:tc>
          <w:tcPr>
            <w:tcW w:w="4204" w:type="dxa"/>
            <w:noWrap w:val="0"/>
            <w:vAlign w:val="center"/>
          </w:tcPr>
          <w:p w14:paraId="3659449E">
            <w:pPr>
              <w:keepNext w:val="0"/>
              <w:keepLines w:val="0"/>
              <w:pageBreakBefore w:val="0"/>
              <w:widowControl w:val="0"/>
              <w:shd w:val="clear" w:color="auto" w:fill="auto"/>
              <w:kinsoku/>
              <w:wordWrap w:val="0"/>
              <w:overflowPunct/>
              <w:topLinePunct w:val="0"/>
              <w:autoSpaceDE/>
              <w:autoSpaceDN/>
              <w:bidi w:val="0"/>
              <w:adjustRightInd w:val="0"/>
              <w:snapToGrid/>
              <w:spacing w:line="240" w:lineRule="auto"/>
              <w:ind w:left="120" w:leftChars="50" w:right="120" w:rightChars="5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招标人</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3" w:type="dxa"/>
            <w:noWrap w:val="0"/>
            <w:vAlign w:val="center"/>
          </w:tcPr>
          <w:p w14:paraId="00828124">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3732" w:type="dxa"/>
            <w:noWrap w:val="0"/>
            <w:vAlign w:val="center"/>
          </w:tcPr>
          <w:p w14:paraId="76EC56A5">
            <w:pPr>
              <w:keepNext w:val="0"/>
              <w:keepLines w:val="0"/>
              <w:pageBreakBefore w:val="0"/>
              <w:widowControl w:val="0"/>
              <w:shd w:val="clear" w:color="auto" w:fill="auto"/>
              <w:kinsoku/>
              <w:overflowPunct/>
              <w:topLinePunct w:val="0"/>
              <w:autoSpaceDE/>
              <w:autoSpaceDN/>
              <w:bidi w:val="0"/>
              <w:adjustRightInd w:val="0"/>
              <w:snapToGrid/>
              <w:spacing w:line="240" w:lineRule="auto"/>
              <w:ind w:left="120" w:leftChars="50" w:right="120" w:rightChars="5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广东合正项目管理有限公司</w:t>
            </w:r>
          </w:p>
        </w:tc>
        <w:tc>
          <w:tcPr>
            <w:tcW w:w="4204" w:type="dxa"/>
            <w:noWrap w:val="0"/>
            <w:vAlign w:val="center"/>
          </w:tcPr>
          <w:p w14:paraId="7789CE8C">
            <w:pPr>
              <w:keepNext w:val="0"/>
              <w:keepLines w:val="0"/>
              <w:pageBreakBefore w:val="0"/>
              <w:widowControl w:val="0"/>
              <w:shd w:val="clear" w:color="auto" w:fill="auto"/>
              <w:kinsoku/>
              <w:overflowPunct/>
              <w:topLinePunct w:val="0"/>
              <w:autoSpaceDE/>
              <w:autoSpaceDN/>
              <w:bidi w:val="0"/>
              <w:adjustRightInd w:val="0"/>
              <w:snapToGrid/>
              <w:spacing w:line="240" w:lineRule="auto"/>
              <w:ind w:left="120" w:leftChars="50" w:right="120" w:rightChars="5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为本招标项目的招标代理机构</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3" w:type="dxa"/>
            <w:noWrap w:val="0"/>
            <w:vAlign w:val="center"/>
          </w:tcPr>
          <w:p w14:paraId="618896A2">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w:t>
            </w:r>
          </w:p>
        </w:tc>
        <w:tc>
          <w:tcPr>
            <w:tcW w:w="3732" w:type="dxa"/>
            <w:noWrap w:val="0"/>
            <w:vAlign w:val="center"/>
          </w:tcPr>
          <w:p w14:paraId="6D80ECC2">
            <w:pPr>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广东加达工程咨询有限公司</w:t>
            </w:r>
          </w:p>
        </w:tc>
        <w:tc>
          <w:tcPr>
            <w:tcW w:w="4204" w:type="dxa"/>
            <w:noWrap w:val="0"/>
            <w:vAlign w:val="center"/>
          </w:tcPr>
          <w:p w14:paraId="0C8722C2">
            <w:pPr>
              <w:pStyle w:val="88"/>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为本招标项目的造价单位</w:t>
            </w:r>
          </w:p>
        </w:tc>
      </w:tr>
      <w:tr w14:paraId="0D27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3" w:type="dxa"/>
            <w:noWrap w:val="0"/>
            <w:vAlign w:val="center"/>
          </w:tcPr>
          <w:p w14:paraId="68376C47">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w:t>
            </w:r>
          </w:p>
        </w:tc>
        <w:tc>
          <w:tcPr>
            <w:tcW w:w="3732" w:type="dxa"/>
            <w:noWrap w:val="0"/>
            <w:vAlign w:val="center"/>
          </w:tcPr>
          <w:p w14:paraId="36D3299C">
            <w:pPr>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仁化县住房和城乡建设管理局</w:t>
            </w:r>
          </w:p>
        </w:tc>
        <w:tc>
          <w:tcPr>
            <w:tcW w:w="4204" w:type="dxa"/>
            <w:noWrap w:val="0"/>
            <w:vAlign w:val="center"/>
          </w:tcPr>
          <w:p w14:paraId="6C823A43">
            <w:pPr>
              <w:pStyle w:val="88"/>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为本项目的监督部门</w:t>
            </w:r>
          </w:p>
        </w:tc>
      </w:tr>
      <w:tr w14:paraId="755E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3" w:type="dxa"/>
            <w:noWrap w:val="0"/>
            <w:vAlign w:val="center"/>
          </w:tcPr>
          <w:p w14:paraId="389B6806">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6</w:t>
            </w:r>
          </w:p>
        </w:tc>
        <w:tc>
          <w:tcPr>
            <w:tcW w:w="3732" w:type="dxa"/>
            <w:noWrap w:val="0"/>
            <w:vAlign w:val="center"/>
          </w:tcPr>
          <w:p w14:paraId="2F046477">
            <w:pPr>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广东伟达工程咨询顾问有限公司</w:t>
            </w:r>
          </w:p>
        </w:tc>
        <w:tc>
          <w:tcPr>
            <w:tcW w:w="4204" w:type="dxa"/>
            <w:noWrap w:val="0"/>
            <w:vAlign w:val="center"/>
          </w:tcPr>
          <w:p w14:paraId="0FBA7D9D">
            <w:pPr>
              <w:pStyle w:val="88"/>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为本项目的可行性研究报告编制单位</w:t>
            </w:r>
          </w:p>
        </w:tc>
      </w:tr>
      <w:tr w14:paraId="2DC3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3" w:type="dxa"/>
            <w:noWrap w:val="0"/>
            <w:vAlign w:val="center"/>
          </w:tcPr>
          <w:p w14:paraId="3EA86F4F">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7</w:t>
            </w:r>
          </w:p>
        </w:tc>
        <w:tc>
          <w:tcPr>
            <w:tcW w:w="3732" w:type="dxa"/>
            <w:noWrap w:val="0"/>
            <w:vAlign w:val="center"/>
          </w:tcPr>
          <w:p w14:paraId="73342DB5">
            <w:pPr>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lang w:val="en-US" w:eastAsia="zh-CN"/>
              </w:rPr>
              <w:t>广东中颢工程设计有限公司</w:t>
            </w:r>
          </w:p>
        </w:tc>
        <w:tc>
          <w:tcPr>
            <w:tcW w:w="4204" w:type="dxa"/>
            <w:noWrap w:val="0"/>
            <w:vAlign w:val="center"/>
          </w:tcPr>
          <w:p w14:paraId="0137FCBB">
            <w:pPr>
              <w:pStyle w:val="88"/>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43FC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3" w:type="dxa"/>
            <w:noWrap w:val="0"/>
            <w:vAlign w:val="center"/>
          </w:tcPr>
          <w:p w14:paraId="0EE57FA2">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8</w:t>
            </w:r>
          </w:p>
        </w:tc>
        <w:tc>
          <w:tcPr>
            <w:tcW w:w="3732" w:type="dxa"/>
            <w:noWrap w:val="0"/>
            <w:vAlign w:val="center"/>
          </w:tcPr>
          <w:p w14:paraId="62BCC62B">
            <w:pPr>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lang w:val="en-US" w:eastAsia="zh-CN"/>
              </w:rPr>
              <w:t>仁化县振华建筑工程有限公司</w:t>
            </w:r>
          </w:p>
        </w:tc>
        <w:tc>
          <w:tcPr>
            <w:tcW w:w="4204" w:type="dxa"/>
            <w:noWrap w:val="0"/>
            <w:vAlign w:val="center"/>
          </w:tcPr>
          <w:p w14:paraId="675AF6DB">
            <w:pPr>
              <w:pStyle w:val="88"/>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为本项目的施工单位</w:t>
            </w:r>
          </w:p>
        </w:tc>
      </w:tr>
    </w:tbl>
    <w:p w14:paraId="436A391F">
      <w:pPr>
        <w:pStyle w:val="88"/>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2.5</w:t>
      </w:r>
      <w:r>
        <w:rPr>
          <w:rFonts w:hint="eastAsia" w:ascii="宋体" w:hAnsi="宋体" w:eastAsia="宋体" w:cs="宋体"/>
          <w:snapToGrid w:val="0"/>
          <w:color w:val="auto"/>
          <w:kern w:val="0"/>
          <w:sz w:val="24"/>
          <w:szCs w:val="24"/>
          <w:highlight w:val="none"/>
        </w:rPr>
        <w:t xml:space="preserve"> 其他要求</w:t>
      </w:r>
    </w:p>
    <w:p w14:paraId="574A12A8">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8"/>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hint="eastAsia" w:ascii="宋体" w:hAnsi="宋体" w:eastAsia="宋体" w:cs="宋体"/>
          <w:b/>
          <w:bCs/>
          <w:snapToGrid w:val="0"/>
          <w:color w:val="auto"/>
          <w:kern w:val="0"/>
          <w:sz w:val="24"/>
          <w:szCs w:val="24"/>
          <w:highlight w:val="none"/>
        </w:rPr>
      </w:pPr>
      <w:bookmarkStart w:id="20" w:name="_Toc23314"/>
      <w:r>
        <w:rPr>
          <w:rFonts w:hint="eastAsia" w:ascii="宋体" w:hAnsi="宋体" w:eastAsia="宋体" w:cs="宋体"/>
          <w:b/>
          <w:bCs/>
          <w:snapToGrid w:val="0"/>
          <w:color w:val="auto"/>
          <w:kern w:val="0"/>
          <w:sz w:val="24"/>
          <w:szCs w:val="24"/>
          <w:highlight w:val="none"/>
        </w:rPr>
        <w:t>3．获取招标文件</w:t>
      </w:r>
      <w:bookmarkEnd w:id="20"/>
    </w:p>
    <w:p w14:paraId="1DF04FBD">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snapToGrid w:val="0"/>
          <w:color w:val="auto"/>
          <w:kern w:val="0"/>
          <w:sz w:val="24"/>
          <w:szCs w:val="24"/>
          <w:highlight w:val="none"/>
        </w:rPr>
        <w:t xml:space="preserve">3.1 </w:t>
      </w:r>
      <w:r>
        <w:rPr>
          <w:rFonts w:hint="eastAsia" w:ascii="宋体" w:hAnsi="宋体" w:eastAsia="宋体" w:cs="宋体"/>
          <w:color w:val="auto"/>
          <w:sz w:val="24"/>
          <w:szCs w:val="24"/>
          <w:highlight w:val="none"/>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宋体" w:hAnsi="宋体" w:eastAsia="宋体" w:cs="宋体"/>
          <w:bCs/>
          <w:color w:val="auto"/>
          <w:sz w:val="24"/>
          <w:szCs w:val="24"/>
          <w:highlight w:val="none"/>
        </w:rPr>
        <w:t xml:space="preserve"> </w:t>
      </w:r>
    </w:p>
    <w:p w14:paraId="3710C648">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rPr>
        <w:t>已入库企业的有关信息（如单位名称、基本账号、资质、人员等）发生变化的，应及时在建设工程交易系统进行相应变更。投标人未及时变更而造成的损失和后果，由投标人自行承担。</w:t>
      </w:r>
    </w:p>
    <w:p w14:paraId="5349E3D5">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3.3 投标保证</w:t>
      </w:r>
    </w:p>
    <w:p w14:paraId="71FD51AC">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3.3.1 投标人须缴纳金额为人民币</w:t>
      </w:r>
      <w:r>
        <w:rPr>
          <w:rFonts w:hint="eastAsia" w:ascii="宋体" w:hAnsi="宋体" w:eastAsia="宋体" w:cs="宋体"/>
          <w:color w:val="auto"/>
          <w:sz w:val="24"/>
          <w:szCs w:val="24"/>
          <w:highlight w:val="none"/>
          <w:u w:val="single"/>
          <w:shd w:val="clear" w:color="auto" w:fill="FFFFFF"/>
          <w:lang w:val="en-US" w:eastAsia="zh-CN"/>
        </w:rPr>
        <w:t>贰仟</w:t>
      </w:r>
      <w:r>
        <w:rPr>
          <w:rFonts w:hint="eastAsia" w:ascii="宋体" w:hAnsi="宋体" w:eastAsia="宋体" w:cs="宋体"/>
          <w:color w:val="auto"/>
          <w:sz w:val="24"/>
          <w:szCs w:val="24"/>
          <w:highlight w:val="none"/>
          <w:shd w:val="clear" w:color="auto" w:fill="FFFFFF"/>
        </w:rPr>
        <w:t xml:space="preserve">元的投标保证。 </w:t>
      </w:r>
    </w:p>
    <w:p w14:paraId="081C9AA3">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ascii="宋体" w:hAnsi="宋体" w:eastAsia="宋体" w:cs="宋体"/>
          <w:color w:val="auto"/>
          <w:sz w:val="24"/>
          <w:szCs w:val="24"/>
          <w:highlight w:val="none"/>
          <w:lang w:val="en-US" w:eastAsia="zh-CN"/>
        </w:rPr>
        <w:t>见</w:t>
      </w:r>
      <w:r>
        <w:rPr>
          <w:rFonts w:hint="eastAsia" w:ascii="宋体" w:hAnsi="宋体" w:eastAsia="宋体" w:cs="宋体"/>
          <w:color w:val="auto"/>
          <w:sz w:val="24"/>
          <w:szCs w:val="24"/>
          <w:highlight w:val="none"/>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360" w:lineRule="auto"/>
        <w:ind w:firstLine="482" w:firstLineChars="200"/>
        <w:textAlignment w:val="auto"/>
        <w:outlineLvl w:val="2"/>
        <w:rPr>
          <w:rFonts w:hint="eastAsia" w:ascii="宋体" w:hAnsi="宋体" w:eastAsia="宋体" w:cs="宋体"/>
          <w:snapToGrid w:val="0"/>
          <w:color w:val="auto"/>
          <w:kern w:val="0"/>
          <w:sz w:val="24"/>
          <w:szCs w:val="24"/>
          <w:highlight w:val="none"/>
        </w:rPr>
      </w:pPr>
      <w:bookmarkStart w:id="21" w:name="_Toc28899"/>
      <w:r>
        <w:rPr>
          <w:rFonts w:hint="eastAsia" w:ascii="宋体" w:hAnsi="宋体" w:eastAsia="宋体" w:cs="宋体"/>
          <w:b/>
          <w:bCs/>
          <w:snapToGrid w:val="0"/>
          <w:color w:val="auto"/>
          <w:kern w:val="0"/>
          <w:sz w:val="24"/>
          <w:szCs w:val="24"/>
          <w:highlight w:val="none"/>
        </w:rPr>
        <w:t>4．服务期限</w:t>
      </w:r>
      <w:bookmarkEnd w:id="21"/>
    </w:p>
    <w:p w14:paraId="222B7AA0">
      <w:pPr>
        <w:keepNext w:val="0"/>
        <w:keepLines w:val="0"/>
        <w:pageBreakBefore w:val="0"/>
        <w:tabs>
          <w:tab w:val="left" w:pos="7020"/>
        </w:tabs>
        <w:wordWrap w:val="0"/>
        <w:topLinePunct w:val="0"/>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4.1</w:t>
      </w:r>
      <w:r>
        <w:rPr>
          <w:rFonts w:hint="eastAsia" w:ascii="宋体" w:hAnsi="宋体" w:eastAsia="宋体" w:cs="宋体"/>
          <w:snapToGrid w:val="0"/>
          <w:color w:val="auto"/>
          <w:kern w:val="0"/>
          <w:sz w:val="24"/>
          <w:szCs w:val="24"/>
          <w:highlight w:val="none"/>
        </w:rPr>
        <w:t xml:space="preserve"> 监理：</w:t>
      </w:r>
      <w:r>
        <w:rPr>
          <w:rFonts w:hint="eastAsia" w:ascii="宋体" w:hAnsi="宋体" w:eastAsia="宋体" w:cs="宋体"/>
          <w:snapToGrid w:val="0"/>
          <w:color w:val="auto"/>
          <w:kern w:val="0"/>
          <w:sz w:val="24"/>
          <w:szCs w:val="24"/>
          <w:highlight w:val="none"/>
          <w:lang w:val="en-US" w:eastAsia="zh-CN"/>
        </w:rPr>
        <w:t>本项目施工招标工期为60个日历天，</w:t>
      </w:r>
      <w:r>
        <w:rPr>
          <w:rFonts w:hint="eastAsia" w:ascii="宋体" w:hAnsi="宋体" w:eastAsia="宋体" w:cs="宋体"/>
          <w:snapToGrid w:val="0"/>
          <w:color w:val="auto"/>
          <w:kern w:val="0"/>
          <w:sz w:val="24"/>
          <w:szCs w:val="24"/>
          <w:highlight w:val="none"/>
        </w:rPr>
        <w:t>监理服务期从监理合同签订之日起计，至本工程缺陷责任保修期结束且本工程结算金额经政府主管部门审定且双方的责任义务履行完毕时止。</w:t>
      </w:r>
    </w:p>
    <w:p w14:paraId="1B68FEE8">
      <w:pPr>
        <w:pStyle w:val="4"/>
        <w:keepNext w:val="0"/>
        <w:keepLines w:val="0"/>
        <w:pageBreakBefore w:val="0"/>
        <w:wordWrap w:val="0"/>
        <w:topLinePunct w:val="0"/>
        <w:autoSpaceDE/>
        <w:autoSpaceDN/>
        <w:bidi w:val="0"/>
        <w:snapToGrid w:val="0"/>
        <w:spacing w:line="360" w:lineRule="auto"/>
        <w:ind w:firstLine="480"/>
        <w:jc w:val="both"/>
        <w:textAlignment w:val="auto"/>
        <w:outlineLvl w:val="2"/>
        <w:rPr>
          <w:rFonts w:hint="eastAsia" w:ascii="宋体" w:hAnsi="宋体" w:eastAsia="宋体" w:cs="宋体"/>
          <w:b/>
          <w:snapToGrid w:val="0"/>
          <w:color w:val="auto"/>
          <w:sz w:val="24"/>
          <w:szCs w:val="24"/>
          <w:highlight w:val="none"/>
        </w:rPr>
      </w:pPr>
      <w:bookmarkStart w:id="22" w:name="_Toc30430"/>
      <w:bookmarkStart w:id="23" w:name="_Toc10746"/>
      <w:r>
        <w:rPr>
          <w:rFonts w:hint="eastAsia" w:ascii="宋体" w:hAnsi="宋体" w:eastAsia="宋体" w:cs="宋体"/>
          <w:b/>
          <w:snapToGrid w:val="0"/>
          <w:color w:val="auto"/>
          <w:sz w:val="24"/>
          <w:szCs w:val="24"/>
          <w:highlight w:val="none"/>
        </w:rPr>
        <w:t>5．服务标准</w:t>
      </w:r>
      <w:bookmarkEnd w:id="22"/>
      <w:bookmarkEnd w:id="23"/>
    </w:p>
    <w:p w14:paraId="3DCFC342">
      <w:pPr>
        <w:pStyle w:val="4"/>
        <w:keepNext w:val="0"/>
        <w:keepLines w:val="0"/>
        <w:pageBreakBefore w:val="0"/>
        <w:wordWrap w:val="0"/>
        <w:topLinePunct w:val="0"/>
        <w:autoSpaceDE/>
        <w:autoSpaceDN/>
        <w:bidi w:val="0"/>
        <w:snapToGrid w:val="0"/>
        <w:spacing w:line="360" w:lineRule="auto"/>
        <w:ind w:firstLine="480"/>
        <w:jc w:val="both"/>
        <w:textAlignment w:val="auto"/>
        <w:outlineLvl w:val="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snapToGrid w:val="0"/>
          <w:color w:val="auto"/>
          <w:kern w:val="0"/>
          <w:sz w:val="24"/>
          <w:szCs w:val="24"/>
          <w:highlight w:val="none"/>
        </w:rPr>
        <w:t xml:space="preserve"> 监理：</w:t>
      </w:r>
      <w:r>
        <w:rPr>
          <w:rFonts w:hint="eastAsia" w:ascii="宋体" w:hAnsi="宋体" w:eastAsia="宋体" w:cs="宋体"/>
          <w:color w:val="auto"/>
          <w:sz w:val="24"/>
          <w:szCs w:val="24"/>
          <w:highlight w:val="none"/>
        </w:rPr>
        <w:t>工程质量达到合格或以上标准。</w:t>
      </w:r>
      <w:r>
        <w:rPr>
          <w:rFonts w:hint="eastAsia" w:ascii="宋体" w:hAnsi="宋体" w:eastAsia="宋体" w:cs="宋体"/>
          <w:snapToGrid w:val="0"/>
          <w:color w:val="auto"/>
          <w:kern w:val="0"/>
          <w:sz w:val="24"/>
          <w:szCs w:val="24"/>
          <w:highlight w:val="none"/>
        </w:rPr>
        <w:t xml:space="preserve"> </w:t>
      </w:r>
      <w:bookmarkStart w:id="24" w:name="_Toc30102"/>
      <w:bookmarkStart w:id="25" w:name="_Toc32757"/>
    </w:p>
    <w:p w14:paraId="4CCCF34C">
      <w:pPr>
        <w:keepNext w:val="0"/>
        <w:keepLines w:val="0"/>
        <w:pageBreakBefore w:val="0"/>
        <w:wordWrap w:val="0"/>
        <w:topLinePunct w:val="0"/>
        <w:bidi w:val="0"/>
        <w:adjustRightInd w:val="0"/>
        <w:snapToGrid w:val="0"/>
        <w:spacing w:line="360" w:lineRule="auto"/>
        <w:ind w:firstLine="482" w:firstLineChars="200"/>
        <w:textAlignment w:val="auto"/>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6．现场踏勘</w:t>
      </w:r>
      <w:bookmarkEnd w:id="24"/>
      <w:bookmarkEnd w:id="25"/>
    </w:p>
    <w:p w14:paraId="1F65B6C3">
      <w:pPr>
        <w:keepNext w:val="0"/>
        <w:keepLines w:val="0"/>
        <w:pageBreakBefore w:val="0"/>
        <w:wordWrap w:val="0"/>
        <w:topLinePunct w:val="0"/>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6.1</w:t>
      </w:r>
      <w:r>
        <w:rPr>
          <w:rFonts w:hint="eastAsia" w:ascii="宋体" w:hAnsi="宋体" w:eastAsia="宋体" w:cs="宋体"/>
          <w:snapToGrid w:val="0"/>
          <w:color w:val="auto"/>
          <w:kern w:val="0"/>
          <w:sz w:val="24"/>
          <w:szCs w:val="24"/>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w:t>
      </w:r>
      <w:r>
        <w:rPr>
          <w:rFonts w:hint="eastAsia" w:ascii="宋体" w:hAnsi="宋体" w:eastAsia="宋体" w:cs="宋体"/>
          <w:snapToGrid w:val="0"/>
          <w:color w:val="auto"/>
          <w:kern w:val="0"/>
          <w:sz w:val="24"/>
          <w:szCs w:val="24"/>
          <w:highlight w:val="none"/>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int="eastAsia" w:ascii="宋体" w:hAnsi="宋体" w:eastAsia="宋体" w:cs="宋体"/>
          <w:b/>
          <w:snapToGrid w:val="0"/>
          <w:color w:val="auto"/>
          <w:sz w:val="24"/>
          <w:szCs w:val="24"/>
          <w:highlight w:val="none"/>
        </w:rPr>
      </w:pPr>
      <w:r>
        <w:rPr>
          <w:rFonts w:hint="eastAsia" w:ascii="宋体" w:hAnsi="宋体" w:eastAsia="宋体" w:cs="宋体"/>
          <w:b/>
          <w:bCs/>
          <w:snapToGrid w:val="0"/>
          <w:color w:val="auto"/>
          <w:kern w:val="0"/>
          <w:sz w:val="24"/>
          <w:szCs w:val="24"/>
          <w:highlight w:val="none"/>
        </w:rPr>
        <w:t>6.3</w:t>
      </w:r>
      <w:r>
        <w:rPr>
          <w:rFonts w:hint="eastAsia" w:ascii="宋体" w:hAnsi="宋体" w:eastAsia="宋体" w:cs="宋体"/>
          <w:snapToGrid w:val="0"/>
          <w:color w:val="auto"/>
          <w:kern w:val="0"/>
          <w:sz w:val="24"/>
          <w:szCs w:val="24"/>
          <w:highlight w:val="none"/>
        </w:rPr>
        <w:t xml:space="preserve"> 现场踏勘期间的交通、食宿由投标人自行安排，费用自理。</w:t>
      </w:r>
    </w:p>
    <w:p w14:paraId="7ACE9C36">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int="eastAsia" w:ascii="宋体" w:hAnsi="宋体" w:eastAsia="宋体" w:cs="宋体"/>
          <w:b/>
          <w:snapToGrid w:val="0"/>
          <w:color w:val="auto"/>
          <w:sz w:val="24"/>
          <w:szCs w:val="24"/>
          <w:highlight w:val="none"/>
        </w:rPr>
      </w:pPr>
      <w:bookmarkStart w:id="26" w:name="_Toc8198"/>
      <w:bookmarkStart w:id="27" w:name="_Toc21156"/>
      <w:r>
        <w:rPr>
          <w:rFonts w:hint="eastAsia" w:ascii="宋体" w:hAnsi="宋体" w:eastAsia="宋体" w:cs="宋体"/>
          <w:b/>
          <w:snapToGrid w:val="0"/>
          <w:color w:val="auto"/>
          <w:sz w:val="24"/>
          <w:szCs w:val="24"/>
          <w:highlight w:val="none"/>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b/>
          <w:bCs/>
          <w:snapToGrid w:val="0"/>
          <w:color w:val="auto"/>
          <w:kern w:val="0"/>
          <w:sz w:val="24"/>
          <w:szCs w:val="24"/>
          <w:highlight w:val="none"/>
        </w:rPr>
        <w:t>7.1</w:t>
      </w:r>
      <w:r>
        <w:rPr>
          <w:rFonts w:hint="eastAsia" w:ascii="宋体" w:hAnsi="宋体" w:eastAsia="宋体" w:cs="宋体"/>
          <w:snapToGrid w:val="0"/>
          <w:color w:val="auto"/>
          <w:kern w:val="0"/>
          <w:sz w:val="24"/>
          <w:szCs w:val="24"/>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ascii="宋体" w:hAnsi="宋体" w:eastAsia="宋体" w:cs="宋体"/>
          <w:snapToGrid w:val="0"/>
          <w:color w:val="auto"/>
          <w:kern w:val="0"/>
          <w:sz w:val="24"/>
          <w:szCs w:val="24"/>
          <w:highlight w:val="none"/>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7.2 </w:t>
      </w:r>
      <w:r>
        <w:rPr>
          <w:rFonts w:hint="eastAsia" w:ascii="宋体" w:hAnsi="宋体" w:eastAsia="宋体" w:cs="宋体"/>
          <w:snapToGrid w:val="0"/>
          <w:color w:val="auto"/>
          <w:kern w:val="0"/>
          <w:sz w:val="24"/>
          <w:szCs w:val="24"/>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7.3</w:t>
      </w:r>
      <w:r>
        <w:rPr>
          <w:rFonts w:hint="eastAsia" w:ascii="宋体" w:hAnsi="宋体" w:eastAsia="宋体" w:cs="宋体"/>
          <w:snapToGrid w:val="0"/>
          <w:color w:val="auto"/>
          <w:kern w:val="0"/>
          <w:sz w:val="24"/>
          <w:szCs w:val="24"/>
          <w:highlight w:val="none"/>
        </w:rPr>
        <w:t xml:space="preserve"> 招标人对招标文件所作的答疑（或修改）公告，构成招标文件的组成部分。</w:t>
      </w:r>
    </w:p>
    <w:p w14:paraId="3906303B">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sz w:val="24"/>
          <w:szCs w:val="24"/>
          <w:highlight w:val="none"/>
        </w:rPr>
      </w:pPr>
      <w:bookmarkStart w:id="29" w:name="_Hlt92513715"/>
      <w:bookmarkEnd w:id="29"/>
      <w:bookmarkStart w:id="30" w:name="_Hlt92513711"/>
      <w:bookmarkEnd w:id="30"/>
      <w:bookmarkStart w:id="31" w:name="_Hlt69699188"/>
      <w:bookmarkEnd w:id="31"/>
      <w:bookmarkStart w:id="32" w:name="_Toc20044"/>
      <w:bookmarkStart w:id="33" w:name="_Toc23036"/>
      <w:r>
        <w:rPr>
          <w:rFonts w:hint="eastAsia" w:ascii="宋体" w:hAnsi="宋体" w:eastAsia="宋体" w:cs="宋体"/>
          <w:b/>
          <w:snapToGrid w:val="0"/>
          <w:color w:val="auto"/>
          <w:sz w:val="24"/>
          <w:szCs w:val="24"/>
          <w:highlight w:val="none"/>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8.1</w:t>
      </w:r>
      <w:r>
        <w:rPr>
          <w:rFonts w:hint="eastAsia" w:ascii="宋体" w:hAnsi="宋体" w:eastAsia="宋体" w:cs="宋体"/>
          <w:snapToGrid w:val="0"/>
          <w:color w:val="auto"/>
          <w:kern w:val="0"/>
          <w:sz w:val="24"/>
          <w:szCs w:val="24"/>
          <w:highlight w:val="none"/>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（1）项目概算投资额；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（5）项目所在地市场价格。</w:t>
      </w:r>
    </w:p>
    <w:p w14:paraId="729BA8FC">
      <w:pPr>
        <w:pStyle w:val="40"/>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szCs w:val="24"/>
          <w:highlight w:val="none"/>
          <w:u w:val="none"/>
        </w:rPr>
      </w:pPr>
      <w:r>
        <w:rPr>
          <w:rFonts w:hint="eastAsia" w:ascii="宋体" w:hAnsi="宋体" w:eastAsia="宋体" w:cs="宋体"/>
          <w:bCs/>
          <w:snapToGrid w:val="0"/>
          <w:color w:val="auto"/>
          <w:kern w:val="0"/>
          <w:sz w:val="24"/>
          <w:szCs w:val="24"/>
          <w:highlight w:val="none"/>
        </w:rPr>
        <w:t xml:space="preserve">   8.2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 w:val="0"/>
          <w:bCs/>
          <w:snapToGrid w:val="0"/>
          <w:color w:val="auto"/>
          <w:kern w:val="0"/>
          <w:sz w:val="24"/>
          <w:szCs w:val="24"/>
          <w:highlight w:val="none"/>
        </w:rPr>
        <w:t>本次招标最高投标限价为人民币（大写）：</w:t>
      </w:r>
      <w:r>
        <w:rPr>
          <w:rFonts w:hint="eastAsia" w:ascii="宋体" w:hAnsi="宋体" w:eastAsia="宋体" w:cs="宋体"/>
          <w:b w:val="0"/>
          <w:bCs/>
          <w:snapToGrid w:val="0"/>
          <w:color w:val="auto"/>
          <w:kern w:val="0"/>
          <w:sz w:val="24"/>
          <w:szCs w:val="24"/>
          <w:highlight w:val="none"/>
          <w:u w:val="single"/>
          <w:lang w:val="en-US" w:eastAsia="zh-CN"/>
        </w:rPr>
        <w:t>壹拾肆万贰仟捌佰陆拾陆元壹角玖分（小写：￥142866.19元）监理服务费投标取费费率上限为</w:t>
      </w:r>
      <w:r>
        <w:rPr>
          <w:rFonts w:hint="eastAsia" w:ascii="宋体" w:hAnsi="宋体" w:cs="宋体"/>
          <w:b w:val="0"/>
          <w:bCs/>
          <w:snapToGrid w:val="0"/>
          <w:color w:val="auto"/>
          <w:kern w:val="0"/>
          <w:sz w:val="24"/>
          <w:szCs w:val="24"/>
          <w:highlight w:val="none"/>
          <w:u w:val="single"/>
          <w:lang w:val="en-US" w:eastAsia="zh-CN"/>
        </w:rPr>
        <w:t>2.219</w:t>
      </w:r>
      <w:r>
        <w:rPr>
          <w:rFonts w:hint="eastAsia" w:ascii="宋体" w:hAnsi="宋体" w:eastAsia="宋体" w:cs="宋体"/>
          <w:b w:val="0"/>
          <w:bCs/>
          <w:snapToGrid w:val="0"/>
          <w:color w:val="auto"/>
          <w:kern w:val="0"/>
          <w:sz w:val="24"/>
          <w:szCs w:val="24"/>
          <w:highlight w:val="none"/>
          <w:u w:val="single"/>
          <w:lang w:val="en-US" w:eastAsia="zh-CN"/>
        </w:rPr>
        <w:t>%</w:t>
      </w:r>
      <w:r>
        <w:rPr>
          <w:rFonts w:hint="eastAsia" w:ascii="宋体" w:hAnsi="宋体" w:eastAsia="宋体" w:cs="宋体"/>
          <w:b w:val="0"/>
          <w:bCs/>
          <w:snapToGrid w:val="0"/>
          <w:color w:val="auto"/>
          <w:kern w:val="0"/>
          <w:sz w:val="24"/>
          <w:szCs w:val="24"/>
          <w:highlight w:val="none"/>
          <w:u w:val="single"/>
        </w:rPr>
        <w:t>。</w:t>
      </w:r>
    </w:p>
    <w:p w14:paraId="08F85732">
      <w:pPr>
        <w:pStyle w:val="4"/>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int="eastAsia" w:ascii="宋体" w:hAnsi="宋体" w:eastAsia="宋体" w:cs="宋体"/>
          <w:b/>
          <w:snapToGrid w:val="0"/>
          <w:color w:val="auto"/>
          <w:sz w:val="24"/>
          <w:szCs w:val="24"/>
          <w:highlight w:val="none"/>
        </w:rPr>
      </w:pPr>
      <w:bookmarkStart w:id="34" w:name="_Toc7437"/>
      <w:bookmarkStart w:id="35" w:name="_Toc1935"/>
      <w:r>
        <w:rPr>
          <w:rFonts w:hint="eastAsia" w:ascii="宋体" w:hAnsi="宋体" w:eastAsia="宋体" w:cs="宋体"/>
          <w:b/>
          <w:snapToGrid w:val="0"/>
          <w:color w:val="auto"/>
          <w:sz w:val="24"/>
          <w:szCs w:val="24"/>
          <w:highlight w:val="none"/>
        </w:rPr>
        <w:t>9．投标报价</w:t>
      </w:r>
      <w:bookmarkEnd w:id="34"/>
      <w:bookmarkEnd w:id="35"/>
      <w:bookmarkStart w:id="36" w:name="_Hlt74498519"/>
      <w:bookmarkEnd w:id="36"/>
    </w:p>
    <w:p w14:paraId="21AC1C5C">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9.1</w:t>
      </w:r>
      <w:r>
        <w:rPr>
          <w:rFonts w:hint="eastAsia" w:ascii="宋体" w:hAnsi="宋体" w:eastAsia="宋体" w:cs="宋体"/>
          <w:snapToGrid w:val="0"/>
          <w:color w:val="auto"/>
          <w:kern w:val="0"/>
          <w:sz w:val="24"/>
          <w:szCs w:val="24"/>
          <w:highlight w:val="none"/>
        </w:rPr>
        <w:t xml:space="preserve"> 本次招标采用填报</w:t>
      </w:r>
      <w:r>
        <w:rPr>
          <w:rFonts w:hint="eastAsia" w:ascii="宋体" w:hAnsi="宋体" w:eastAsia="宋体" w:cs="宋体"/>
          <w:snapToGrid w:val="0"/>
          <w:color w:val="auto"/>
          <w:kern w:val="0"/>
          <w:sz w:val="24"/>
          <w:szCs w:val="24"/>
          <w:highlight w:val="none"/>
          <w:u w:val="single"/>
        </w:rPr>
        <w:t xml:space="preserve"> 投标报价</w:t>
      </w:r>
      <w:r>
        <w:rPr>
          <w:rFonts w:hint="eastAsia" w:hAnsi="宋体" w:cs="宋体"/>
          <w:snapToGrid w:val="0"/>
          <w:color w:val="auto"/>
          <w:kern w:val="0"/>
          <w:u w:val="single"/>
        </w:rPr>
        <w:t>及取费费率</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的方式进行报价。投标人应在《投标函》（格式二）中进行报价。</w:t>
      </w:r>
      <w:r>
        <w:rPr>
          <w:rFonts w:hint="eastAsia" w:hAnsi="宋体" w:cs="宋体"/>
          <w:snapToGrid w:val="0"/>
          <w:color w:val="auto"/>
          <w:kern w:val="0"/>
        </w:rPr>
        <w:t>投标取费费率=投标总价÷建安工程费暂定价×100%，并保留</w:t>
      </w:r>
      <w:r>
        <w:rPr>
          <w:rFonts w:hint="eastAsia" w:hAnsi="宋体" w:cs="宋体"/>
          <w:snapToGrid w:val="0"/>
          <w:color w:val="auto"/>
          <w:kern w:val="0"/>
          <w:lang w:val="en-US" w:eastAsia="zh-CN"/>
        </w:rPr>
        <w:t>三</w:t>
      </w:r>
      <w:r>
        <w:rPr>
          <w:rFonts w:hint="eastAsia" w:hAnsi="宋体" w:cs="宋体"/>
          <w:snapToGrid w:val="0"/>
          <w:color w:val="auto"/>
          <w:kern w:val="0"/>
        </w:rPr>
        <w:t>位小数。</w:t>
      </w:r>
      <w:r>
        <w:rPr>
          <w:rFonts w:hint="eastAsia" w:hAnsi="宋体" w:cs="宋体"/>
          <w:b w:val="0"/>
          <w:bCs w:val="0"/>
          <w:snapToGrid w:val="0"/>
          <w:color w:val="auto"/>
          <w:kern w:val="0"/>
        </w:rPr>
        <w:t>本项目的建安工程费暂定价为人民币</w:t>
      </w:r>
      <w:r>
        <w:rPr>
          <w:rFonts w:hint="eastAsia" w:hAnsi="宋体" w:cs="宋体"/>
          <w:b w:val="0"/>
          <w:bCs w:val="0"/>
          <w:snapToGrid w:val="0"/>
          <w:color w:val="auto"/>
          <w:kern w:val="0"/>
          <w:u w:val="single"/>
          <w:lang w:val="en-US" w:eastAsia="zh-CN"/>
        </w:rPr>
        <w:t>643.73</w:t>
      </w:r>
      <w:r>
        <w:rPr>
          <w:rFonts w:hint="eastAsia" w:hAnsi="宋体" w:cs="宋体"/>
          <w:b w:val="0"/>
          <w:bCs w:val="0"/>
          <w:snapToGrid w:val="0"/>
          <w:color w:val="auto"/>
          <w:kern w:val="0"/>
        </w:rPr>
        <w:t>万元。</w:t>
      </w:r>
    </w:p>
    <w:p w14:paraId="3066843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9.2</w:t>
      </w:r>
      <w:r>
        <w:rPr>
          <w:rFonts w:hint="eastAsia" w:ascii="宋体" w:hAnsi="宋体" w:eastAsia="宋体" w:cs="宋体"/>
          <w:snapToGrid w:val="0"/>
          <w:color w:val="auto"/>
          <w:kern w:val="0"/>
          <w:sz w:val="24"/>
          <w:szCs w:val="24"/>
          <w:highlight w:val="none"/>
        </w:rPr>
        <w:t xml:space="preserve"> 所有报价均以人民币“元”为单位，并保留两位小数。</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9.3 </w:t>
      </w:r>
      <w:r>
        <w:rPr>
          <w:rFonts w:hint="eastAsia" w:ascii="宋体" w:hAnsi="宋体" w:eastAsia="宋体" w:cs="宋体"/>
          <w:b w:val="0"/>
          <w:bCs w:val="0"/>
          <w:snapToGrid w:val="0"/>
          <w:color w:val="auto"/>
          <w:kern w:val="0"/>
          <w:sz w:val="24"/>
          <w:szCs w:val="24"/>
          <w:highlight w:val="none"/>
        </w:rPr>
        <w:t>监理服务费结算价在项目的合同价范围内按实结算，即：以施工</w:t>
      </w:r>
      <w:r>
        <w:rPr>
          <w:rFonts w:hint="eastAsia" w:ascii="宋体" w:hAnsi="宋体" w:eastAsia="宋体" w:cs="宋体"/>
          <w:b w:val="0"/>
          <w:bCs w:val="0"/>
          <w:snapToGrid w:val="0"/>
          <w:color w:val="auto"/>
          <w:kern w:val="0"/>
          <w:sz w:val="24"/>
          <w:szCs w:val="24"/>
          <w:highlight w:val="none"/>
          <w:lang w:val="en-US" w:eastAsia="zh-CN"/>
        </w:rPr>
        <w:t>财审</w:t>
      </w:r>
      <w:r>
        <w:rPr>
          <w:rFonts w:hint="eastAsia" w:ascii="宋体" w:hAnsi="宋体" w:eastAsia="宋体" w:cs="宋体"/>
          <w:b w:val="0"/>
          <w:bCs w:val="0"/>
          <w:snapToGrid w:val="0"/>
          <w:color w:val="auto"/>
          <w:kern w:val="0"/>
          <w:sz w:val="24"/>
          <w:szCs w:val="24"/>
          <w:highlight w:val="none"/>
        </w:rPr>
        <w:t>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9.4</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w:t>
      </w:r>
      <w:r>
        <w:rPr>
          <w:rFonts w:hint="eastAsia" w:ascii="宋体" w:hAnsi="宋体" w:eastAsia="宋体" w:cs="宋体"/>
          <w:b/>
          <w:bCs/>
          <w:snapToGrid w:val="0"/>
          <w:color w:val="auto"/>
          <w:kern w:val="0"/>
          <w:sz w:val="24"/>
          <w:szCs w:val="24"/>
          <w:highlight w:val="none"/>
          <w:lang w:val="en-US" w:eastAsia="zh-CN"/>
        </w:rPr>
        <w:t xml:space="preserve">5 </w:t>
      </w:r>
      <w:r>
        <w:rPr>
          <w:rFonts w:hint="eastAsia" w:ascii="宋体" w:hAnsi="宋体" w:eastAsia="宋体" w:cs="宋体"/>
          <w:snapToGrid w:val="0"/>
          <w:color w:val="auto"/>
          <w:kern w:val="0"/>
          <w:sz w:val="24"/>
          <w:szCs w:val="24"/>
          <w:highlight w:val="none"/>
        </w:rPr>
        <w:t>投标总价应包括国家规定的增值税税金。本次招标增值税税金按</w:t>
      </w:r>
      <w:r>
        <w:rPr>
          <w:rFonts w:hint="eastAsia" w:ascii="宋体" w:hAnsi="宋体" w:eastAsia="宋体" w:cs="宋体"/>
          <w:snapToGrid w:val="0"/>
          <w:color w:val="auto"/>
          <w:kern w:val="0"/>
          <w:sz w:val="24"/>
          <w:szCs w:val="24"/>
          <w:highlight w:val="none"/>
          <w:u w:val="single"/>
        </w:rPr>
        <w:t xml:space="preserve"> 一般 </w:t>
      </w:r>
      <w:r>
        <w:rPr>
          <w:rFonts w:hint="eastAsia" w:ascii="宋体" w:hAnsi="宋体" w:eastAsia="宋体" w:cs="宋体"/>
          <w:snapToGrid w:val="0"/>
          <w:color w:val="auto"/>
          <w:kern w:val="0"/>
          <w:sz w:val="24"/>
          <w:szCs w:val="24"/>
          <w:highlight w:val="none"/>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w:t>
      </w:r>
      <w:r>
        <w:rPr>
          <w:rFonts w:hint="eastAsia" w:ascii="宋体" w:hAnsi="宋体" w:eastAsia="宋体" w:cs="宋体"/>
          <w:b/>
          <w:bCs/>
          <w:snapToGrid w:val="0"/>
          <w:color w:val="auto"/>
          <w:kern w:val="0"/>
          <w:sz w:val="24"/>
          <w:szCs w:val="24"/>
          <w:highlight w:val="none"/>
          <w:lang w:val="en-US" w:eastAsia="zh-CN"/>
        </w:rPr>
        <w:t xml:space="preserve">6 </w:t>
      </w:r>
      <w:r>
        <w:rPr>
          <w:rFonts w:hint="eastAsia" w:ascii="宋体" w:hAnsi="宋体" w:eastAsia="宋体" w:cs="宋体"/>
          <w:snapToGrid w:val="0"/>
          <w:color w:val="auto"/>
          <w:kern w:val="0"/>
          <w:sz w:val="24"/>
          <w:szCs w:val="24"/>
          <w:highlight w:val="none"/>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b/>
          <w:snapToGrid w:val="0"/>
          <w:color w:val="auto"/>
          <w:sz w:val="24"/>
          <w:szCs w:val="24"/>
          <w:highlight w:val="none"/>
        </w:rPr>
      </w:pPr>
      <w:r>
        <w:rPr>
          <w:rFonts w:hint="eastAsia" w:ascii="宋体" w:hAnsi="宋体" w:eastAsia="宋体" w:cs="宋体"/>
          <w:b/>
          <w:bCs/>
          <w:snapToGrid w:val="0"/>
          <w:color w:val="auto"/>
          <w:kern w:val="0"/>
          <w:sz w:val="24"/>
          <w:szCs w:val="24"/>
          <w:highlight w:val="none"/>
        </w:rPr>
        <w:t>9.</w:t>
      </w:r>
      <w:r>
        <w:rPr>
          <w:rFonts w:hint="eastAsia" w:ascii="宋体" w:hAnsi="宋体" w:eastAsia="宋体" w:cs="宋体"/>
          <w:b/>
          <w:bCs/>
          <w:snapToGrid w:val="0"/>
          <w:color w:val="auto"/>
          <w:kern w:val="0"/>
          <w:sz w:val="24"/>
          <w:szCs w:val="24"/>
          <w:highlight w:val="none"/>
          <w:lang w:val="en-US" w:eastAsia="zh-CN"/>
        </w:rPr>
        <w:t xml:space="preserve">7 </w:t>
      </w:r>
      <w:r>
        <w:rPr>
          <w:rFonts w:hint="eastAsia" w:ascii="宋体" w:hAnsi="宋体" w:eastAsia="宋体" w:cs="宋体"/>
          <w:snapToGrid w:val="0"/>
          <w:color w:val="auto"/>
          <w:kern w:val="0"/>
          <w:sz w:val="24"/>
          <w:szCs w:val="24"/>
          <w:highlight w:val="none"/>
        </w:rPr>
        <w:t>投标人应充分了解招标项目的总体情况以及影响投标报价的其他要素。</w:t>
      </w:r>
      <w:bookmarkStart w:id="37" w:name="_（十）投标文件的编制、包装、密封"/>
      <w:bookmarkEnd w:id="37"/>
    </w:p>
    <w:p w14:paraId="182D9B17">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int="eastAsia" w:ascii="宋体" w:hAnsi="宋体" w:eastAsia="宋体" w:cs="宋体"/>
          <w:b/>
          <w:strike/>
          <w:snapToGrid w:val="0"/>
          <w:color w:val="auto"/>
          <w:sz w:val="24"/>
          <w:szCs w:val="24"/>
          <w:highlight w:val="none"/>
        </w:rPr>
      </w:pPr>
      <w:bookmarkStart w:id="38" w:name="_Toc684"/>
      <w:bookmarkStart w:id="39" w:name="_Toc26881"/>
      <w:r>
        <w:rPr>
          <w:rFonts w:hint="eastAsia" w:ascii="宋体" w:hAnsi="宋体" w:eastAsia="宋体" w:cs="宋体"/>
          <w:b/>
          <w:snapToGrid w:val="0"/>
          <w:color w:val="auto"/>
          <w:sz w:val="24"/>
          <w:szCs w:val="24"/>
          <w:highlight w:val="none"/>
        </w:rPr>
        <w:t>10．投标文件的编制</w:t>
      </w:r>
      <w:bookmarkStart w:id="40" w:name="_Hlt69332370"/>
      <w:bookmarkEnd w:id="40"/>
      <w:bookmarkStart w:id="41" w:name="_Hlt69208262"/>
      <w:bookmarkEnd w:id="41"/>
      <w:r>
        <w:rPr>
          <w:rFonts w:hint="eastAsia" w:ascii="宋体" w:hAnsi="宋体" w:eastAsia="宋体" w:cs="宋体"/>
          <w:b/>
          <w:snapToGrid w:val="0"/>
          <w:color w:val="auto"/>
          <w:sz w:val="24"/>
          <w:szCs w:val="24"/>
          <w:highlight w:val="none"/>
        </w:rPr>
        <w:t>要求</w:t>
      </w:r>
      <w:bookmarkEnd w:id="38"/>
      <w:bookmarkEnd w:id="39"/>
      <w:bookmarkStart w:id="42" w:name="_Hlt74495594"/>
      <w:bookmarkEnd w:id="42"/>
      <w:bookmarkStart w:id="43" w:name="_Hlt78768224"/>
      <w:bookmarkEnd w:id="43"/>
      <w:bookmarkStart w:id="44" w:name="_Hlt74497202"/>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w:t>
      </w:r>
      <w:r>
        <w:rPr>
          <w:rFonts w:hint="eastAsia" w:ascii="宋体" w:hAnsi="宋体" w:eastAsia="宋体" w:cs="宋体"/>
          <w:bCs/>
          <w:snapToGrid w:val="0"/>
          <w:color w:val="auto"/>
          <w:kern w:val="0"/>
          <w:sz w:val="24"/>
          <w:szCs w:val="24"/>
          <w:highlight w:val="none"/>
        </w:rPr>
        <w:t xml:space="preserve"> 一般要求</w:t>
      </w:r>
    </w:p>
    <w:p w14:paraId="35DD415F">
      <w:pPr>
        <w:pStyle w:val="12"/>
        <w:keepNext w:val="0"/>
        <w:keepLines w:val="0"/>
        <w:pageBreakBefore w:val="0"/>
        <w:wordWrap w:val="0"/>
        <w:topLinePunct w:val="0"/>
        <w:bidi w:val="0"/>
        <w:adjustRightInd w:val="0"/>
        <w:snapToGrid w:val="0"/>
        <w:spacing w:line="500" w:lineRule="exact"/>
        <w:ind w:firstLineChars="0"/>
        <w:textAlignment w:val="auto"/>
        <w:rPr>
          <w:rFonts w:hint="eastAsia" w:ascii="宋体" w:hAnsi="宋体" w:eastAsia="宋体" w:cs="宋体"/>
          <w:snapToGrid w:val="0"/>
          <w:color w:val="auto"/>
          <w:kern w:val="0"/>
          <w:sz w:val="24"/>
          <w:szCs w:val="24"/>
          <w:highlight w:val="none"/>
        </w:rPr>
      </w:pPr>
      <w:bookmarkStart w:id="45" w:name="_Hlt74496890"/>
      <w:bookmarkEnd w:id="45"/>
      <w:r>
        <w:rPr>
          <w:rFonts w:hint="eastAsia" w:ascii="宋体" w:hAnsi="宋体" w:eastAsia="宋体" w:cs="宋体"/>
          <w:snapToGrid w:val="0"/>
          <w:color w:val="auto"/>
          <w:kern w:val="0"/>
          <w:sz w:val="24"/>
          <w:szCs w:val="24"/>
          <w:highlight w:val="none"/>
        </w:rPr>
        <w:t>投标文件应按第五章 投标文件格式规定的内容，投标人提交的投标文件应当使用招标文件所提供的投标文件全部格式。</w:t>
      </w:r>
    </w:p>
    <w:p w14:paraId="467E50B9">
      <w:pPr>
        <w:pStyle w:val="12"/>
        <w:keepNext w:val="0"/>
        <w:keepLines w:val="0"/>
        <w:pageBreakBefore w:val="0"/>
        <w:wordWrap w:val="0"/>
        <w:topLinePunct w:val="0"/>
        <w:bidi w:val="0"/>
        <w:adjustRightInd w:val="0"/>
        <w:snapToGrid w:val="0"/>
        <w:spacing w:line="500" w:lineRule="exact"/>
        <w:ind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10.1.1</w:t>
      </w:r>
      <w:r>
        <w:rPr>
          <w:rFonts w:hint="eastAsia" w:ascii="宋体" w:hAnsi="宋体" w:eastAsia="宋体" w:cs="宋体"/>
          <w:snapToGrid w:val="0"/>
          <w:color w:val="auto"/>
          <w:kern w:val="0"/>
          <w:sz w:val="24"/>
          <w:szCs w:val="24"/>
          <w:highlight w:val="none"/>
        </w:rPr>
        <w:t>投标人必须响应招标文件，并在充分理解招标文件的基础上编制投标文件。因投标文件不符合招标文件的要求而造成的损失和后果，由投标人自行承担。</w:t>
      </w:r>
    </w:p>
    <w:p w14:paraId="59E34259">
      <w:pPr>
        <w:pStyle w:val="12"/>
        <w:keepNext w:val="0"/>
        <w:keepLines w:val="0"/>
        <w:pageBreakBefore w:val="0"/>
        <w:wordWrap w:val="0"/>
        <w:topLinePunct w:val="0"/>
        <w:bidi w:val="0"/>
        <w:adjustRightInd w:val="0"/>
        <w:snapToGrid w:val="0"/>
        <w:spacing w:line="500" w:lineRule="exact"/>
        <w:ind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10.1.2</w:t>
      </w:r>
      <w:r>
        <w:rPr>
          <w:rFonts w:hint="eastAsia" w:ascii="宋体" w:hAnsi="宋体" w:eastAsia="宋体" w:cs="宋体"/>
          <w:snapToGrid w:val="0"/>
          <w:color w:val="auto"/>
          <w:kern w:val="0"/>
          <w:sz w:val="24"/>
          <w:szCs w:val="24"/>
          <w:highlight w:val="none"/>
        </w:rPr>
        <w:t xml:space="preserve"> 投标文件包括商务标书、监理大纲</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定标文件三</w:t>
      </w:r>
      <w:r>
        <w:rPr>
          <w:rFonts w:hint="eastAsia" w:ascii="宋体" w:hAnsi="宋体" w:eastAsia="宋体" w:cs="宋体"/>
          <w:snapToGrid w:val="0"/>
          <w:color w:val="auto"/>
          <w:kern w:val="0"/>
          <w:sz w:val="24"/>
          <w:szCs w:val="24"/>
          <w:highlight w:val="none"/>
        </w:rPr>
        <w:t>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2"/>
        <w:keepNext w:val="0"/>
        <w:keepLines w:val="0"/>
        <w:pageBreakBefore w:val="0"/>
        <w:wordWrap w:val="0"/>
        <w:topLinePunct w:val="0"/>
        <w:bidi w:val="0"/>
        <w:adjustRightInd w:val="0"/>
        <w:snapToGrid w:val="0"/>
        <w:spacing w:line="500" w:lineRule="exact"/>
        <w:ind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10.1.3</w:t>
      </w:r>
      <w:r>
        <w:rPr>
          <w:rFonts w:hint="eastAsia" w:ascii="宋体" w:hAnsi="宋体" w:eastAsia="宋体" w:cs="宋体"/>
          <w:snapToGrid w:val="0"/>
          <w:color w:val="auto"/>
          <w:kern w:val="0"/>
          <w:sz w:val="24"/>
          <w:szCs w:val="24"/>
          <w:highlight w:val="none"/>
        </w:rPr>
        <w:t xml:space="preserve"> 投标文件需按以下要求签字、盖章：</w:t>
      </w:r>
    </w:p>
    <w:p w14:paraId="756F2778">
      <w:pPr>
        <w:pStyle w:val="12"/>
        <w:keepNext w:val="0"/>
        <w:keepLines w:val="0"/>
        <w:pageBreakBefore w:val="0"/>
        <w:wordWrap w:val="0"/>
        <w:topLinePunct w:val="0"/>
        <w:bidi w:val="0"/>
        <w:adjustRightInd w:val="0"/>
        <w:snapToGrid w:val="0"/>
        <w:spacing w:line="500" w:lineRule="exact"/>
        <w:ind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10.1.3.1</w:t>
      </w:r>
      <w:r>
        <w:rPr>
          <w:rFonts w:hint="eastAsia" w:ascii="宋体" w:hAnsi="宋体" w:eastAsia="宋体" w:cs="宋体"/>
          <w:snapToGrid w:val="0"/>
          <w:color w:val="auto"/>
          <w:kern w:val="0"/>
          <w:sz w:val="24"/>
          <w:szCs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2"/>
        <w:keepNext w:val="0"/>
        <w:keepLines w:val="0"/>
        <w:pageBreakBefore w:val="0"/>
        <w:wordWrap w:val="0"/>
        <w:topLinePunct w:val="0"/>
        <w:bidi w:val="0"/>
        <w:adjustRightInd w:val="0"/>
        <w:snapToGrid w:val="0"/>
        <w:spacing w:line="500" w:lineRule="exact"/>
        <w:ind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10.1.3.2</w:t>
      </w:r>
      <w:r>
        <w:rPr>
          <w:rFonts w:hint="eastAsia" w:ascii="宋体" w:hAnsi="宋体" w:eastAsia="宋体" w:cs="宋体"/>
          <w:snapToGrid w:val="0"/>
          <w:color w:val="auto"/>
          <w:kern w:val="0"/>
          <w:sz w:val="24"/>
          <w:szCs w:val="24"/>
          <w:highlight w:val="none"/>
        </w:rPr>
        <w:t xml:space="preserve"> 投标文件封套、封面、组成内容中凡要求录入投标人名称且注明“盖单位章”处盖单位法人公章（电子印章）。</w:t>
      </w:r>
    </w:p>
    <w:p w14:paraId="02444178">
      <w:pPr>
        <w:pStyle w:val="12"/>
        <w:keepNext w:val="0"/>
        <w:keepLines w:val="0"/>
        <w:pageBreakBefore w:val="0"/>
        <w:wordWrap w:val="0"/>
        <w:topLinePunct w:val="0"/>
        <w:bidi w:val="0"/>
        <w:adjustRightInd w:val="0"/>
        <w:snapToGrid w:val="0"/>
        <w:spacing w:line="500" w:lineRule="exact"/>
        <w:ind w:firstLineChars="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10.1.3.3</w:t>
      </w:r>
      <w:r>
        <w:rPr>
          <w:rFonts w:hint="eastAsia" w:ascii="宋体" w:hAnsi="宋体" w:eastAsia="宋体" w:cs="宋体"/>
          <w:snapToGrid w:val="0"/>
          <w:color w:val="auto"/>
          <w:kern w:val="0"/>
          <w:sz w:val="24"/>
          <w:szCs w:val="24"/>
          <w:highlight w:val="none"/>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int="eastAsia" w:ascii="宋体" w:hAnsi="宋体" w:eastAsia="宋体" w:cs="宋体"/>
          <w:b/>
          <w:bCs/>
          <w:snapToGrid w:val="0"/>
          <w:color w:val="auto"/>
          <w:kern w:val="0"/>
          <w:sz w:val="24"/>
          <w:szCs w:val="24"/>
          <w:highlight w:val="none"/>
        </w:rPr>
      </w:pPr>
      <w:bookmarkStart w:id="46" w:name="_Toc257031159"/>
      <w:bookmarkStart w:id="47" w:name="_Toc274313880"/>
      <w:r>
        <w:rPr>
          <w:rFonts w:hint="eastAsia" w:ascii="宋体" w:hAnsi="宋体" w:eastAsia="宋体" w:cs="宋体"/>
          <w:b/>
          <w:bCs/>
          <w:snapToGrid w:val="0"/>
          <w:color w:val="auto"/>
          <w:kern w:val="0"/>
          <w:sz w:val="24"/>
          <w:szCs w:val="24"/>
          <w:highlight w:val="none"/>
        </w:rPr>
        <w:t>10.2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bCs/>
          <w:snapToGrid w:val="0"/>
          <w:color w:val="auto"/>
          <w:kern w:val="0"/>
          <w:sz w:val="24"/>
          <w:szCs w:val="24"/>
          <w:highlight w:val="none"/>
        </w:rPr>
        <w:t>10.2.1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Cs/>
          <w:snapToGrid w:val="0"/>
          <w:color w:val="auto"/>
          <w:kern w:val="0"/>
          <w:sz w:val="24"/>
          <w:szCs w:val="24"/>
          <w:highlight w:val="none"/>
        </w:rPr>
        <w:t>商务标书</w:t>
      </w:r>
      <w:r>
        <w:rPr>
          <w:rFonts w:hint="eastAsia" w:ascii="宋体" w:hAnsi="宋体" w:eastAsia="宋体" w:cs="宋体"/>
          <w:snapToGrid w:val="0"/>
          <w:color w:val="auto"/>
          <w:kern w:val="0"/>
          <w:sz w:val="24"/>
          <w:szCs w:val="24"/>
          <w:highlight w:val="none"/>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（14）详细评审阶段要求提供的评审资料（详见本节第</w:t>
      </w:r>
      <w:r>
        <w:rPr>
          <w:rFonts w:hint="eastAsia" w:ascii="宋体" w:hAnsi="宋体" w:eastAsia="宋体" w:cs="宋体"/>
          <w:b/>
          <w:bCs/>
          <w:snapToGrid w:val="0"/>
          <w:color w:val="auto"/>
          <w:kern w:val="0"/>
          <w:sz w:val="24"/>
          <w:szCs w:val="24"/>
          <w:highlight w:val="none"/>
        </w:rPr>
        <w:t>15.5.1</w:t>
      </w:r>
      <w:r>
        <w:rPr>
          <w:rFonts w:hint="eastAsia" w:ascii="宋体" w:hAnsi="宋体" w:eastAsia="宋体" w:cs="宋体"/>
          <w:snapToGrid w:val="0"/>
          <w:color w:val="auto"/>
          <w:kern w:val="0"/>
          <w:sz w:val="24"/>
          <w:szCs w:val="24"/>
          <w:highlight w:val="none"/>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10.2.2</w:t>
      </w:r>
      <w:r>
        <w:rPr>
          <w:rFonts w:hint="eastAsia" w:ascii="宋体" w:hAnsi="宋体" w:eastAsia="宋体" w:cs="宋体"/>
          <w:snapToGrid w:val="0"/>
          <w:color w:val="auto"/>
          <w:kern w:val="0"/>
          <w:sz w:val="24"/>
          <w:szCs w:val="24"/>
          <w:highlight w:val="none"/>
        </w:rPr>
        <w:t xml:space="preserve"> 本节第</w:t>
      </w:r>
      <w:r>
        <w:rPr>
          <w:rFonts w:hint="eastAsia" w:ascii="宋体" w:hAnsi="宋体" w:eastAsia="宋体" w:cs="宋体"/>
          <w:b/>
          <w:bCs/>
          <w:snapToGrid w:val="0"/>
          <w:color w:val="auto"/>
          <w:kern w:val="0"/>
          <w:sz w:val="24"/>
          <w:szCs w:val="24"/>
          <w:highlight w:val="none"/>
        </w:rPr>
        <w:t>10.2.1</w:t>
      </w:r>
      <w:r>
        <w:rPr>
          <w:rFonts w:hint="eastAsia" w:ascii="宋体" w:hAnsi="宋体" w:eastAsia="宋体" w:cs="宋体"/>
          <w:snapToGrid w:val="0"/>
          <w:color w:val="auto"/>
          <w:kern w:val="0"/>
          <w:sz w:val="24"/>
          <w:szCs w:val="24"/>
          <w:highlight w:val="none"/>
        </w:rPr>
        <w:t>目中所列出的商务标书组成内容中，第（1）至第（13）项所有投标人均应提供。</w:t>
      </w:r>
      <w:r>
        <w:rPr>
          <w:rFonts w:hint="eastAsia" w:ascii="宋体" w:hAnsi="宋体" w:eastAsia="宋体" w:cs="宋体"/>
          <w:b/>
          <w:bCs/>
          <w:snapToGrid w:val="0"/>
          <w:color w:val="auto"/>
          <w:kern w:val="0"/>
          <w:sz w:val="24"/>
          <w:szCs w:val="24"/>
          <w:highlight w:val="none"/>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10.2.3</w:t>
      </w:r>
      <w:r>
        <w:rPr>
          <w:rFonts w:hint="eastAsia" w:ascii="宋体" w:hAnsi="宋体" w:eastAsia="宋体" w:cs="宋体"/>
          <w:snapToGrid w:val="0"/>
          <w:color w:val="auto"/>
          <w:kern w:val="0"/>
          <w:sz w:val="24"/>
          <w:szCs w:val="24"/>
          <w:highlight w:val="none"/>
        </w:rPr>
        <w:t xml:space="preserve"> 商务标书的组成内容按本节第</w:t>
      </w:r>
      <w:r>
        <w:rPr>
          <w:rFonts w:hint="eastAsia" w:ascii="宋体" w:hAnsi="宋体" w:eastAsia="宋体" w:cs="宋体"/>
          <w:b/>
          <w:bCs/>
          <w:snapToGrid w:val="0"/>
          <w:color w:val="auto"/>
          <w:kern w:val="0"/>
          <w:sz w:val="24"/>
          <w:szCs w:val="24"/>
          <w:highlight w:val="none"/>
        </w:rPr>
        <w:t>10.2.1</w:t>
      </w:r>
      <w:r>
        <w:rPr>
          <w:rFonts w:hint="eastAsia" w:ascii="宋体" w:hAnsi="宋体" w:eastAsia="宋体" w:cs="宋体"/>
          <w:snapToGrid w:val="0"/>
          <w:color w:val="auto"/>
          <w:kern w:val="0"/>
          <w:sz w:val="24"/>
          <w:szCs w:val="24"/>
          <w:highlight w:val="none"/>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10.3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10.3.1</w:t>
      </w:r>
      <w:r>
        <w:rPr>
          <w:rFonts w:hint="eastAsia" w:ascii="宋体" w:hAnsi="宋体" w:eastAsia="宋体" w:cs="宋体"/>
          <w:bCs/>
          <w:snapToGrid w:val="0"/>
          <w:color w:val="auto"/>
          <w:kern w:val="0"/>
          <w:sz w:val="24"/>
          <w:szCs w:val="24"/>
          <w:highlight w:val="none"/>
        </w:rPr>
        <w:t xml:space="preserve"> 监理大纲</w:t>
      </w:r>
      <w:r>
        <w:rPr>
          <w:rFonts w:hint="eastAsia" w:ascii="宋体" w:hAnsi="宋体" w:eastAsia="宋体" w:cs="宋体"/>
          <w:snapToGrid w:val="0"/>
          <w:color w:val="auto"/>
          <w:kern w:val="0"/>
          <w:sz w:val="24"/>
          <w:szCs w:val="24"/>
          <w:highlight w:val="none"/>
        </w:rPr>
        <w:t>的编制依据包括且不限于</w:t>
      </w:r>
      <w:r>
        <w:rPr>
          <w:rFonts w:hint="eastAsia" w:ascii="宋体" w:hAnsi="宋体" w:eastAsia="宋体" w:cs="宋体"/>
          <w:bCs/>
          <w:snapToGrid w:val="0"/>
          <w:color w:val="auto"/>
          <w:kern w:val="0"/>
          <w:sz w:val="24"/>
          <w:szCs w:val="24"/>
          <w:highlight w:val="none"/>
        </w:rPr>
        <w:t>：</w:t>
      </w:r>
    </w:p>
    <w:p w14:paraId="34E3B350">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（1）招标文件及</w:t>
      </w:r>
      <w:r>
        <w:rPr>
          <w:rFonts w:hint="eastAsia" w:ascii="宋体" w:hAnsi="宋体" w:eastAsia="宋体" w:cs="宋体"/>
          <w:snapToGrid w:val="0"/>
          <w:color w:val="auto"/>
          <w:kern w:val="0"/>
          <w:sz w:val="24"/>
          <w:szCs w:val="24"/>
          <w:highlight w:val="none"/>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10.3.2</w:t>
      </w:r>
      <w:r>
        <w:rPr>
          <w:rFonts w:hint="eastAsia" w:ascii="宋体" w:hAnsi="宋体" w:eastAsia="宋体" w:cs="宋体"/>
          <w:bCs/>
          <w:snapToGrid w:val="0"/>
          <w:color w:val="auto"/>
          <w:kern w:val="0"/>
          <w:sz w:val="24"/>
          <w:szCs w:val="24"/>
          <w:highlight w:val="none"/>
        </w:rPr>
        <w:t xml:space="preserve"> 监理大纲</w:t>
      </w:r>
      <w:r>
        <w:rPr>
          <w:rFonts w:hint="eastAsia" w:ascii="宋体" w:hAnsi="宋体" w:eastAsia="宋体" w:cs="宋体"/>
          <w:snapToGrid w:val="0"/>
          <w:color w:val="auto"/>
          <w:kern w:val="0"/>
          <w:sz w:val="24"/>
          <w:szCs w:val="24"/>
          <w:highlight w:val="none"/>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10.3.3</w:t>
      </w:r>
      <w:r>
        <w:rPr>
          <w:rFonts w:hint="eastAsia" w:ascii="宋体" w:hAnsi="宋体" w:eastAsia="宋体" w:cs="宋体"/>
          <w:snapToGrid w:val="0"/>
          <w:color w:val="auto"/>
          <w:kern w:val="0"/>
          <w:sz w:val="24"/>
          <w:szCs w:val="24"/>
          <w:highlight w:val="none"/>
        </w:rPr>
        <w:t xml:space="preserve"> 本节第</w:t>
      </w:r>
      <w:r>
        <w:rPr>
          <w:rFonts w:hint="eastAsia" w:ascii="宋体" w:hAnsi="宋体" w:eastAsia="宋体" w:cs="宋体"/>
          <w:b/>
          <w:bCs/>
          <w:snapToGrid w:val="0"/>
          <w:color w:val="auto"/>
          <w:kern w:val="0"/>
          <w:sz w:val="24"/>
          <w:szCs w:val="24"/>
          <w:highlight w:val="none"/>
        </w:rPr>
        <w:t>10.3.2</w:t>
      </w:r>
      <w:r>
        <w:rPr>
          <w:rFonts w:hint="eastAsia" w:ascii="宋体" w:hAnsi="宋体" w:eastAsia="宋体" w:cs="宋体"/>
          <w:snapToGrid w:val="0"/>
          <w:color w:val="auto"/>
          <w:kern w:val="0"/>
          <w:sz w:val="24"/>
          <w:szCs w:val="24"/>
          <w:highlight w:val="none"/>
        </w:rPr>
        <w:t>目中所列出的</w:t>
      </w:r>
      <w:r>
        <w:rPr>
          <w:rFonts w:hint="eastAsia" w:ascii="宋体" w:hAnsi="宋体" w:eastAsia="宋体" w:cs="宋体"/>
          <w:bCs/>
          <w:snapToGrid w:val="0"/>
          <w:color w:val="auto"/>
          <w:kern w:val="0"/>
          <w:sz w:val="24"/>
          <w:szCs w:val="24"/>
          <w:highlight w:val="none"/>
        </w:rPr>
        <w:t>监理大纲</w:t>
      </w:r>
      <w:r>
        <w:rPr>
          <w:rFonts w:hint="eastAsia" w:ascii="宋体" w:hAnsi="宋体" w:eastAsia="宋体" w:cs="宋体"/>
          <w:snapToGrid w:val="0"/>
          <w:color w:val="auto"/>
          <w:kern w:val="0"/>
          <w:sz w:val="24"/>
          <w:szCs w:val="24"/>
          <w:highlight w:val="none"/>
        </w:rPr>
        <w:t>组成内容，所有投标人均应提供。</w:t>
      </w:r>
    </w:p>
    <w:p w14:paraId="281692E9">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10.3.4</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Cs/>
          <w:snapToGrid w:val="0"/>
          <w:color w:val="auto"/>
          <w:kern w:val="0"/>
          <w:sz w:val="24"/>
          <w:szCs w:val="24"/>
          <w:highlight w:val="none"/>
        </w:rPr>
        <w:t>监理大纲</w:t>
      </w:r>
      <w:r>
        <w:rPr>
          <w:rFonts w:hint="eastAsia" w:ascii="宋体" w:hAnsi="宋体" w:eastAsia="宋体" w:cs="宋体"/>
          <w:snapToGrid w:val="0"/>
          <w:color w:val="auto"/>
          <w:kern w:val="0"/>
          <w:sz w:val="24"/>
          <w:szCs w:val="24"/>
          <w:highlight w:val="none"/>
        </w:rPr>
        <w:t>的组成内容按本节第</w:t>
      </w:r>
      <w:r>
        <w:rPr>
          <w:rFonts w:hint="eastAsia" w:ascii="宋体" w:hAnsi="宋体" w:eastAsia="宋体" w:cs="宋体"/>
          <w:b/>
          <w:bCs/>
          <w:snapToGrid w:val="0"/>
          <w:color w:val="auto"/>
          <w:kern w:val="0"/>
          <w:sz w:val="24"/>
          <w:szCs w:val="24"/>
          <w:highlight w:val="none"/>
        </w:rPr>
        <w:t>10.3.2</w:t>
      </w:r>
      <w:r>
        <w:rPr>
          <w:rFonts w:hint="eastAsia" w:ascii="宋体" w:hAnsi="宋体" w:eastAsia="宋体" w:cs="宋体"/>
          <w:snapToGrid w:val="0"/>
          <w:color w:val="auto"/>
          <w:kern w:val="0"/>
          <w:sz w:val="24"/>
          <w:szCs w:val="24"/>
          <w:highlight w:val="none"/>
        </w:rPr>
        <w:t>目规定的顺序整理、编排后，逐页（页码起始从封面开始）连续标记页码。</w:t>
      </w:r>
    </w:p>
    <w:p w14:paraId="7126D010">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10.4 定标文件的编制要求：</w:t>
      </w:r>
    </w:p>
    <w:p w14:paraId="637B509F">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 xml:space="preserve">10.4.1 </w:t>
      </w:r>
      <w:r>
        <w:rPr>
          <w:rFonts w:hint="eastAsia" w:ascii="宋体" w:hAnsi="宋体" w:eastAsia="宋体" w:cs="宋体"/>
          <w:snapToGrid w:val="0"/>
          <w:color w:val="auto"/>
          <w:kern w:val="0"/>
          <w:sz w:val="24"/>
          <w:szCs w:val="24"/>
          <w:highlight w:val="none"/>
          <w:lang w:val="en-US" w:eastAsia="zh-CN"/>
        </w:rPr>
        <w:t>定标文件包括但不限于以下内容：</w:t>
      </w:r>
    </w:p>
    <w:p w14:paraId="02C42CC8">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（1）封面（格式一）；</w:t>
      </w:r>
    </w:p>
    <w:p w14:paraId="176C9059">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（2）目录；</w:t>
      </w:r>
    </w:p>
    <w:p w14:paraId="5990ED94">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（3）定标因素评审资料（格式十四）。</w:t>
      </w:r>
    </w:p>
    <w:p w14:paraId="4195E301">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10.4.2</w:t>
      </w:r>
      <w:r>
        <w:rPr>
          <w:rFonts w:hint="eastAsia" w:ascii="宋体" w:hAnsi="宋体" w:eastAsia="宋体" w:cs="宋体"/>
          <w:snapToGrid w:val="0"/>
          <w:color w:val="auto"/>
          <w:kern w:val="0"/>
          <w:sz w:val="24"/>
          <w:szCs w:val="24"/>
          <w:highlight w:val="none"/>
          <w:lang w:val="en-US" w:eastAsia="zh-CN"/>
        </w:rPr>
        <w:t xml:space="preserve"> 本节第</w:t>
      </w:r>
      <w:r>
        <w:rPr>
          <w:rFonts w:hint="eastAsia" w:ascii="宋体" w:hAnsi="宋体" w:eastAsia="宋体" w:cs="宋体"/>
          <w:b/>
          <w:bCs/>
          <w:snapToGrid w:val="0"/>
          <w:color w:val="auto"/>
          <w:kern w:val="0"/>
          <w:sz w:val="24"/>
          <w:szCs w:val="24"/>
          <w:highlight w:val="none"/>
          <w:lang w:val="en-US" w:eastAsia="zh-CN"/>
        </w:rPr>
        <w:t>10.4.1</w:t>
      </w:r>
      <w:r>
        <w:rPr>
          <w:rFonts w:hint="eastAsia" w:ascii="宋体" w:hAnsi="宋体" w:eastAsia="宋体" w:cs="宋体"/>
          <w:snapToGrid w:val="0"/>
          <w:color w:val="auto"/>
          <w:kern w:val="0"/>
          <w:sz w:val="24"/>
          <w:szCs w:val="24"/>
          <w:highlight w:val="none"/>
          <w:lang w:val="en-US" w:eastAsia="zh-CN"/>
        </w:rPr>
        <w:t>目中所列出的组成内容中，第（1）项所有投标人均应提供。</w:t>
      </w:r>
    </w:p>
    <w:p w14:paraId="79A97868">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sz w:val="24"/>
          <w:szCs w:val="24"/>
          <w:highlight w:val="none"/>
        </w:rPr>
      </w:pPr>
      <w:bookmarkStart w:id="48" w:name="_Toc2864"/>
      <w:bookmarkStart w:id="49" w:name="_Toc10022"/>
      <w:r>
        <w:rPr>
          <w:rFonts w:hint="eastAsia" w:ascii="宋体" w:hAnsi="宋体" w:eastAsia="宋体" w:cs="宋体"/>
          <w:b/>
          <w:snapToGrid w:val="0"/>
          <w:color w:val="auto"/>
          <w:sz w:val="24"/>
          <w:szCs w:val="24"/>
          <w:highlight w:val="none"/>
        </w:rPr>
        <w:t>11．</w:t>
      </w:r>
      <w:bookmarkEnd w:id="48"/>
      <w:r>
        <w:rPr>
          <w:rFonts w:hint="eastAsia" w:ascii="宋体" w:hAnsi="宋体" w:eastAsia="宋体" w:cs="宋体"/>
          <w:b/>
          <w:snapToGrid w:val="0"/>
          <w:color w:val="auto"/>
          <w:sz w:val="24"/>
          <w:szCs w:val="24"/>
          <w:highlight w:val="none"/>
        </w:rPr>
        <w:t>电子投标</w:t>
      </w:r>
      <w:bookmarkEnd w:id="49"/>
    </w:p>
    <w:p w14:paraId="72F1BB7A">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11.1</w:t>
      </w:r>
      <w:r>
        <w:rPr>
          <w:rFonts w:hint="eastAsia" w:ascii="宋体" w:hAnsi="宋体" w:eastAsia="宋体" w:cs="宋体"/>
          <w:snapToGrid w:val="0"/>
          <w:color w:val="auto"/>
          <w:kern w:val="0"/>
          <w:sz w:val="24"/>
          <w:szCs w:val="24"/>
          <w:highlight w:val="none"/>
        </w:rPr>
        <w:t>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11.2</w:t>
      </w:r>
      <w:r>
        <w:rPr>
          <w:rFonts w:hint="eastAsia" w:ascii="宋体" w:hAnsi="宋体" w:eastAsia="宋体" w:cs="宋体"/>
          <w:snapToGrid w:val="0"/>
          <w:color w:val="auto"/>
          <w:kern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11.3 </w:t>
      </w:r>
      <w:r>
        <w:rPr>
          <w:rFonts w:hint="eastAsia" w:ascii="宋体" w:hAnsi="宋体" w:eastAsia="宋体" w:cs="宋体"/>
          <w:snapToGrid w:val="0"/>
          <w:color w:val="auto"/>
          <w:kern w:val="0"/>
          <w:sz w:val="24"/>
          <w:szCs w:val="24"/>
          <w:highlight w:val="none"/>
        </w:rPr>
        <w:t>电子投标解密失败及突发情况的补救</w:t>
      </w:r>
    </w:p>
    <w:p w14:paraId="55067ABC">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11.3.1</w:t>
      </w:r>
      <w:r>
        <w:rPr>
          <w:rFonts w:hint="eastAsia" w:ascii="宋体" w:hAnsi="宋体" w:eastAsia="宋体" w:cs="宋体"/>
          <w:snapToGrid w:val="0"/>
          <w:color w:val="auto"/>
          <w:kern w:val="0"/>
          <w:sz w:val="24"/>
          <w:szCs w:val="24"/>
          <w:highlight w:val="none"/>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11.3.2</w:t>
      </w:r>
      <w:r>
        <w:rPr>
          <w:rFonts w:hint="eastAsia" w:ascii="宋体" w:hAnsi="宋体" w:eastAsia="宋体" w:cs="宋体"/>
          <w:snapToGrid w:val="0"/>
          <w:color w:val="auto"/>
          <w:kern w:val="0"/>
          <w:sz w:val="24"/>
          <w:szCs w:val="24"/>
          <w:highlight w:val="none"/>
        </w:rPr>
        <w:t>补救方案：</w:t>
      </w:r>
    </w:p>
    <w:p w14:paraId="0B52C661">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（3）除发生上述情况外，开标评标均以投标人通过交易平台网上提交的电子投标文件为准。</w:t>
      </w:r>
    </w:p>
    <w:p w14:paraId="07C6E646">
      <w:pPr>
        <w:pStyle w:val="4"/>
        <w:keepNext w:val="0"/>
        <w:keepLines w:val="0"/>
        <w:pageBreakBefore w:val="0"/>
        <w:wordWrap w:val="0"/>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sz w:val="24"/>
          <w:szCs w:val="24"/>
          <w:highlight w:val="none"/>
        </w:rPr>
      </w:pPr>
      <w:bookmarkStart w:id="50" w:name="_Toc26299"/>
      <w:r>
        <w:rPr>
          <w:rFonts w:hint="eastAsia" w:ascii="宋体" w:hAnsi="宋体" w:eastAsia="宋体" w:cs="宋体"/>
          <w:b/>
          <w:snapToGrid w:val="0"/>
          <w:color w:val="auto"/>
          <w:sz w:val="24"/>
          <w:szCs w:val="24"/>
          <w:highlight w:val="none"/>
        </w:rPr>
        <w:t>12. 投标文件的提交</w:t>
      </w:r>
      <w:bookmarkEnd w:id="50"/>
    </w:p>
    <w:p w14:paraId="63A3794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12.1</w:t>
      </w:r>
      <w:r>
        <w:rPr>
          <w:rFonts w:hint="eastAsia" w:ascii="宋体" w:hAnsi="宋体" w:eastAsia="宋体" w:cs="宋体"/>
          <w:snapToGrid w:val="0"/>
          <w:color w:val="auto"/>
          <w:kern w:val="0"/>
          <w:sz w:val="24"/>
          <w:szCs w:val="24"/>
          <w:highlight w:val="none"/>
        </w:rPr>
        <w:t>在电子投标截止时间前，投标人通过全国公共资源交易平台（广东省·韶关市）提交已加密投标文件。逾期提交的电子投标文件，全国公共资源交易平台（广东省·韶关市）将予以拒收。</w:t>
      </w:r>
    </w:p>
    <w:p w14:paraId="7CF91D7D">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12.2</w:t>
      </w:r>
      <w:r>
        <w:rPr>
          <w:rFonts w:hint="eastAsia" w:ascii="宋体" w:hAnsi="宋体" w:eastAsia="宋体" w:cs="宋体"/>
          <w:snapToGrid w:val="0"/>
          <w:color w:val="auto"/>
          <w:kern w:val="0"/>
          <w:sz w:val="24"/>
          <w:szCs w:val="24"/>
          <w:highlight w:val="none"/>
        </w:rPr>
        <w:t>投标文件提交截止时间（同电子投标截止时间）：见本章第二节“重要事项时间地点一览表”。</w:t>
      </w:r>
    </w:p>
    <w:p w14:paraId="348B16E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12.3</w:t>
      </w:r>
      <w:r>
        <w:rPr>
          <w:rFonts w:hint="eastAsia" w:ascii="宋体" w:hAnsi="宋体" w:eastAsia="宋体" w:cs="宋体"/>
          <w:snapToGrid w:val="0"/>
          <w:color w:val="auto"/>
          <w:kern w:val="0"/>
          <w:sz w:val="24"/>
          <w:szCs w:val="24"/>
          <w:highlight w:val="none"/>
        </w:rPr>
        <w:t>代理机构对因不可抗力事件造成的投标文件的损坏、丢失的，不承担责任。</w:t>
      </w:r>
      <w:r>
        <w:rPr>
          <w:rFonts w:hint="eastAsia" w:ascii="宋体" w:hAnsi="宋体" w:eastAsia="宋体" w:cs="宋体"/>
          <w:b/>
          <w:bCs/>
          <w:snapToGrid w:val="0"/>
          <w:color w:val="auto"/>
          <w:kern w:val="0"/>
          <w:sz w:val="24"/>
          <w:szCs w:val="24"/>
          <w:highlight w:val="none"/>
        </w:rPr>
        <w:t xml:space="preserve">  </w:t>
      </w:r>
    </w:p>
    <w:p w14:paraId="16456DE3">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12.4 </w:t>
      </w:r>
      <w:r>
        <w:rPr>
          <w:rFonts w:hint="eastAsia" w:ascii="宋体" w:hAnsi="宋体" w:eastAsia="宋体" w:cs="宋体"/>
          <w:snapToGrid w:val="0"/>
          <w:color w:val="auto"/>
          <w:kern w:val="0"/>
          <w:sz w:val="24"/>
          <w:szCs w:val="24"/>
          <w:highlight w:val="none"/>
        </w:rPr>
        <w:t>投标人法定代表人或其委托代理人（以下简称“投标人代表”）应在指定的时间和地点递交以下的资料</w:t>
      </w:r>
      <w:r>
        <w:rPr>
          <w:rFonts w:hint="eastAsia" w:ascii="宋体" w:hAnsi="宋体" w:eastAsia="宋体" w:cs="宋体"/>
          <w:b/>
          <w:bCs/>
          <w:snapToGrid w:val="0"/>
          <w:color w:val="auto"/>
          <w:kern w:val="0"/>
          <w:sz w:val="24"/>
          <w:szCs w:val="24"/>
          <w:highlight w:val="none"/>
        </w:rPr>
        <w:t>（如有）</w:t>
      </w:r>
      <w:r>
        <w:rPr>
          <w:rFonts w:hint="eastAsia" w:ascii="宋体" w:hAnsi="宋体" w:eastAsia="宋体" w:cs="宋体"/>
          <w:snapToGrid w:val="0"/>
          <w:color w:val="auto"/>
          <w:kern w:val="0"/>
          <w:sz w:val="24"/>
          <w:szCs w:val="24"/>
          <w:highlight w:val="none"/>
        </w:rPr>
        <w:t>：招标文件要求提交的用于评审的证书、证件、证明原件（附一式</w:t>
      </w:r>
      <w:r>
        <w:rPr>
          <w:rFonts w:hint="eastAsia" w:ascii="宋体" w:hAnsi="宋体" w:eastAsia="宋体" w:cs="宋体"/>
          <w:snapToGrid w:val="0"/>
          <w:color w:val="auto"/>
          <w:kern w:val="0"/>
          <w:sz w:val="24"/>
          <w:szCs w:val="24"/>
          <w:highlight w:val="none"/>
          <w:u w:val="single"/>
        </w:rPr>
        <w:t xml:space="preserve"> 两 </w:t>
      </w:r>
      <w:r>
        <w:rPr>
          <w:rFonts w:hint="eastAsia" w:ascii="宋体" w:hAnsi="宋体" w:eastAsia="宋体" w:cs="宋体"/>
          <w:snapToGrid w:val="0"/>
          <w:color w:val="auto"/>
          <w:kern w:val="0"/>
          <w:sz w:val="24"/>
          <w:szCs w:val="24"/>
          <w:highlight w:val="none"/>
        </w:rPr>
        <w:t>份清单）。</w:t>
      </w:r>
    </w:p>
    <w:p w14:paraId="513CE89F">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12.5</w:t>
      </w:r>
      <w:r>
        <w:rPr>
          <w:rFonts w:hint="eastAsia" w:ascii="宋体" w:hAnsi="宋体" w:eastAsia="宋体" w:cs="宋体"/>
          <w:snapToGrid w:val="0"/>
          <w:color w:val="auto"/>
          <w:kern w:val="0"/>
          <w:sz w:val="24"/>
          <w:szCs w:val="24"/>
          <w:highlight w:val="none"/>
        </w:rPr>
        <w:t>出现下述情形之一，属于未成功提交投标文件，按无效投标处理：</w:t>
      </w:r>
    </w:p>
    <w:p w14:paraId="06E3DFD5">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（1）至电子投标截止时间时，投标文件未完整上传或未提交投标</w:t>
      </w:r>
      <w:r>
        <w:rPr>
          <w:rFonts w:hint="eastAsia" w:ascii="宋体" w:hAnsi="宋体" w:eastAsia="宋体" w:cs="宋体"/>
          <w:snapToGrid w:val="0"/>
          <w:color w:val="auto"/>
          <w:kern w:val="0"/>
          <w:sz w:val="24"/>
          <w:szCs w:val="24"/>
          <w:highlight w:val="none"/>
          <w:lang w:eastAsia="zh-CN"/>
        </w:rPr>
        <w:t>；</w:t>
      </w:r>
    </w:p>
    <w:p w14:paraId="393C44A8">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（2）解密失败且在规定时间内未重新提交投标文件的；</w:t>
      </w:r>
    </w:p>
    <w:p w14:paraId="1C2ECEAF">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int="eastAsia" w:ascii="宋体" w:hAnsi="宋体" w:eastAsia="宋体" w:cs="宋体"/>
          <w:snapToGrid w:val="0"/>
          <w:color w:val="auto"/>
          <w:kern w:val="0"/>
          <w:sz w:val="24"/>
          <w:szCs w:val="24"/>
          <w:highlight w:val="none"/>
        </w:rPr>
      </w:pPr>
      <w:bookmarkStart w:id="51" w:name="_Toc5536"/>
      <w:r>
        <w:rPr>
          <w:rFonts w:hint="eastAsia" w:ascii="宋体" w:hAnsi="宋体" w:eastAsia="宋体" w:cs="宋体"/>
          <w:b/>
          <w:snapToGrid w:val="0"/>
          <w:color w:val="auto"/>
          <w:kern w:val="0"/>
          <w:sz w:val="24"/>
          <w:szCs w:val="24"/>
          <w:highlight w:val="none"/>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本次招标投标有效期为</w:t>
      </w:r>
      <w:r>
        <w:rPr>
          <w:rFonts w:hint="eastAsia" w:ascii="宋体" w:hAnsi="宋体" w:eastAsia="宋体" w:cs="宋体"/>
          <w:snapToGrid w:val="0"/>
          <w:color w:val="auto"/>
          <w:kern w:val="0"/>
          <w:sz w:val="24"/>
          <w:szCs w:val="24"/>
          <w:highlight w:val="none"/>
          <w:u w:val="single"/>
        </w:rPr>
        <w:t xml:space="preserve">  90  </w:t>
      </w:r>
      <w:r>
        <w:rPr>
          <w:rFonts w:hint="eastAsia" w:ascii="宋体" w:hAnsi="宋体" w:eastAsia="宋体" w:cs="宋体"/>
          <w:snapToGrid w:val="0"/>
          <w:color w:val="auto"/>
          <w:kern w:val="0"/>
          <w:sz w:val="24"/>
          <w:szCs w:val="24"/>
          <w:highlight w:val="none"/>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int="eastAsia" w:ascii="宋体" w:hAnsi="宋体" w:eastAsia="宋体" w:cs="宋体"/>
          <w:snapToGrid w:val="0"/>
          <w:color w:val="auto"/>
          <w:kern w:val="0"/>
          <w:sz w:val="24"/>
          <w:szCs w:val="24"/>
          <w:highlight w:val="none"/>
        </w:rPr>
      </w:pPr>
      <w:bookmarkStart w:id="52" w:name="_Toc27886"/>
      <w:r>
        <w:rPr>
          <w:rFonts w:hint="eastAsia" w:ascii="宋体" w:hAnsi="宋体" w:eastAsia="宋体" w:cs="宋体"/>
          <w:b/>
          <w:snapToGrid w:val="0"/>
          <w:color w:val="auto"/>
          <w:kern w:val="0"/>
          <w:sz w:val="24"/>
          <w:szCs w:val="24"/>
          <w:highlight w:val="none"/>
        </w:rPr>
        <w:t>14．开标</w:t>
      </w:r>
      <w:bookmarkEnd w:id="52"/>
    </w:p>
    <w:p w14:paraId="36A9A778">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w:t>
      </w:r>
      <w:r>
        <w:rPr>
          <w:rFonts w:hint="eastAsia" w:ascii="宋体" w:hAnsi="宋体" w:eastAsia="宋体" w:cs="宋体"/>
          <w:snapToGrid w:val="0"/>
          <w:color w:val="auto"/>
          <w:kern w:val="0"/>
          <w:sz w:val="24"/>
          <w:szCs w:val="24"/>
          <w:highlight w:val="none"/>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14.1.1</w:t>
      </w:r>
      <w:r>
        <w:rPr>
          <w:rFonts w:hint="eastAsia" w:ascii="宋体" w:hAnsi="宋体" w:eastAsia="宋体" w:cs="宋体"/>
          <w:snapToGrid w:val="0"/>
          <w:color w:val="auto"/>
          <w:kern w:val="0"/>
          <w:sz w:val="24"/>
          <w:szCs w:val="24"/>
          <w:highlight w:val="none"/>
        </w:rPr>
        <w:t xml:space="preserve"> 开标时间和地点：见本章第二节“重要事项时间地点一览表”。</w:t>
      </w:r>
    </w:p>
    <w:p w14:paraId="4500A2D1">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14.1.2</w:t>
      </w:r>
      <w:r>
        <w:rPr>
          <w:rFonts w:hint="eastAsia" w:ascii="宋体" w:hAnsi="宋体" w:eastAsia="宋体" w:cs="宋体"/>
          <w:snapToGrid w:val="0"/>
          <w:color w:val="auto"/>
          <w:kern w:val="0"/>
          <w:sz w:val="24"/>
          <w:szCs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14.2</w:t>
      </w:r>
      <w:r>
        <w:rPr>
          <w:rFonts w:hint="eastAsia" w:ascii="宋体" w:hAnsi="宋体" w:eastAsia="宋体" w:cs="宋体"/>
          <w:snapToGrid w:val="0"/>
          <w:color w:val="auto"/>
          <w:kern w:val="0"/>
          <w:sz w:val="24"/>
          <w:szCs w:val="24"/>
          <w:highlight w:val="none"/>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14.3</w:t>
      </w:r>
      <w:r>
        <w:rPr>
          <w:rFonts w:hint="eastAsia" w:ascii="宋体" w:hAnsi="宋体" w:eastAsia="宋体" w:cs="宋体"/>
          <w:snapToGrid w:val="0"/>
          <w:color w:val="auto"/>
          <w:kern w:val="0"/>
          <w:sz w:val="24"/>
          <w:szCs w:val="24"/>
          <w:highlight w:val="none"/>
        </w:rPr>
        <w:t xml:space="preserve"> 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14.4</w:t>
      </w:r>
      <w:r>
        <w:rPr>
          <w:rFonts w:hint="eastAsia" w:ascii="宋体" w:hAnsi="宋体" w:eastAsia="宋体" w:cs="宋体"/>
          <w:snapToGrid w:val="0"/>
          <w:color w:val="auto"/>
          <w:kern w:val="0"/>
          <w:sz w:val="24"/>
          <w:szCs w:val="24"/>
          <w:highlight w:val="none"/>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int="eastAsia" w:ascii="宋体" w:hAnsi="宋体" w:eastAsia="宋体" w:cs="宋体"/>
          <w:b/>
          <w:snapToGrid w:val="0"/>
          <w:color w:val="auto"/>
          <w:kern w:val="0"/>
          <w:sz w:val="24"/>
          <w:szCs w:val="24"/>
          <w:highlight w:val="none"/>
        </w:rPr>
      </w:pPr>
      <w:bookmarkStart w:id="53" w:name="_Hlt127093805"/>
      <w:bookmarkEnd w:id="53"/>
      <w:bookmarkStart w:id="54" w:name="_Toc29759"/>
      <w:r>
        <w:rPr>
          <w:rFonts w:hint="eastAsia" w:ascii="宋体" w:hAnsi="宋体" w:eastAsia="宋体" w:cs="宋体"/>
          <w:b/>
          <w:snapToGrid w:val="0"/>
          <w:color w:val="auto"/>
          <w:kern w:val="0"/>
          <w:sz w:val="24"/>
          <w:szCs w:val="24"/>
          <w:highlight w:val="none"/>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15.1</w:t>
      </w:r>
      <w:r>
        <w:rPr>
          <w:rFonts w:hint="eastAsia" w:ascii="宋体" w:hAnsi="宋体" w:eastAsia="宋体" w:cs="宋体"/>
          <w:bCs/>
          <w:snapToGrid w:val="0"/>
          <w:color w:val="auto"/>
          <w:kern w:val="0"/>
          <w:sz w:val="24"/>
          <w:szCs w:val="24"/>
          <w:highlight w:val="none"/>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15.1.1</w:t>
      </w:r>
      <w:r>
        <w:rPr>
          <w:rFonts w:hint="eastAsia" w:ascii="宋体" w:hAnsi="宋体" w:eastAsia="宋体" w:cs="宋体"/>
          <w:snapToGrid w:val="0"/>
          <w:color w:val="auto"/>
          <w:kern w:val="0"/>
          <w:sz w:val="24"/>
          <w:szCs w:val="24"/>
          <w:highlight w:val="none"/>
        </w:rPr>
        <w:t xml:space="preserve"> 评标委员会由</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lang w:val="en-US" w:eastAsia="zh-CN"/>
        </w:rPr>
        <w:t>0</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人。专家从广东省综合评标评审专家库</w:t>
      </w:r>
      <w:r>
        <w:rPr>
          <w:rFonts w:hint="eastAsia" w:ascii="宋体" w:hAnsi="宋体" w:eastAsia="宋体" w:cs="宋体"/>
          <w:snapToGrid w:val="0"/>
          <w:color w:val="auto"/>
          <w:kern w:val="0"/>
          <w:sz w:val="24"/>
          <w:szCs w:val="24"/>
          <w:highlight w:val="none"/>
          <w:lang w:val="en-US" w:eastAsia="zh-CN"/>
        </w:rPr>
        <w:t>-韶关区域</w:t>
      </w:r>
      <w:r>
        <w:rPr>
          <w:rFonts w:hint="eastAsia" w:ascii="宋体" w:hAnsi="宋体" w:eastAsia="宋体" w:cs="宋体"/>
          <w:snapToGrid w:val="0"/>
          <w:color w:val="auto"/>
          <w:kern w:val="0"/>
          <w:sz w:val="24"/>
          <w:szCs w:val="24"/>
          <w:highlight w:val="none"/>
        </w:rPr>
        <w:t>中随机抽取，其中技术类专家</w:t>
      </w:r>
      <w:r>
        <w:rPr>
          <w:rFonts w:hint="eastAsia" w:ascii="宋体" w:hAnsi="宋体" w:eastAsia="宋体" w:cs="宋体"/>
          <w:snapToGrid w:val="0"/>
          <w:color w:val="auto"/>
          <w:kern w:val="0"/>
          <w:sz w:val="24"/>
          <w:szCs w:val="24"/>
          <w:highlight w:val="none"/>
          <w:u w:val="single"/>
        </w:rPr>
        <w:t xml:space="preserve">3 </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 xml:space="preserve"> 2</w:t>
      </w:r>
      <w:r>
        <w:rPr>
          <w:rFonts w:hint="eastAsia" w:ascii="宋体" w:hAnsi="宋体" w:eastAsia="宋体" w:cs="宋体"/>
          <w:snapToGrid w:val="0"/>
          <w:color w:val="auto"/>
          <w:kern w:val="0"/>
          <w:sz w:val="24"/>
          <w:szCs w:val="24"/>
          <w:highlight w:val="none"/>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15.1.2</w:t>
      </w:r>
      <w:r>
        <w:rPr>
          <w:rFonts w:hint="eastAsia" w:ascii="宋体" w:hAnsi="宋体" w:eastAsia="宋体" w:cs="宋体"/>
          <w:snapToGrid w:val="0"/>
          <w:color w:val="auto"/>
          <w:kern w:val="0"/>
          <w:sz w:val="24"/>
          <w:szCs w:val="24"/>
          <w:highlight w:val="none"/>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评标委员会成员有以上情形之一的，应主动提出回避。</w:t>
      </w:r>
    </w:p>
    <w:p w14:paraId="0BBB0817">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15.1.3</w:t>
      </w:r>
      <w:r>
        <w:rPr>
          <w:rFonts w:hint="eastAsia" w:ascii="宋体" w:hAnsi="宋体" w:eastAsia="宋体" w:cs="宋体"/>
          <w:snapToGrid w:val="0"/>
          <w:color w:val="auto"/>
          <w:kern w:val="0"/>
          <w:sz w:val="24"/>
          <w:szCs w:val="24"/>
          <w:highlight w:val="none"/>
        </w:rPr>
        <w:t xml:space="preserve"> 评标全过程实行封闭式管理，在中标结果公布前，禁止评标委员会成员以任何方式私下接触投标人。</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15.1.4</w:t>
      </w:r>
      <w:r>
        <w:rPr>
          <w:rFonts w:hint="eastAsia" w:ascii="宋体" w:hAnsi="宋体" w:eastAsia="宋体" w:cs="宋体"/>
          <w:snapToGrid w:val="0"/>
          <w:color w:val="auto"/>
          <w:kern w:val="0"/>
          <w:sz w:val="24"/>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15.1.5</w:t>
      </w:r>
      <w:r>
        <w:rPr>
          <w:rFonts w:hint="eastAsia" w:ascii="宋体" w:hAnsi="宋体" w:eastAsia="宋体" w:cs="宋体"/>
          <w:snapToGrid w:val="0"/>
          <w:color w:val="auto"/>
          <w:kern w:val="0"/>
          <w:sz w:val="24"/>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15.2</w:t>
      </w:r>
      <w:r>
        <w:rPr>
          <w:rFonts w:hint="eastAsia" w:ascii="宋体" w:hAnsi="宋体" w:eastAsia="宋体" w:cs="宋体"/>
          <w:bCs/>
          <w:snapToGrid w:val="0"/>
          <w:color w:val="auto"/>
          <w:kern w:val="0"/>
          <w:sz w:val="24"/>
          <w:szCs w:val="24"/>
          <w:highlight w:val="none"/>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int="eastAsia" w:ascii="宋体" w:hAnsi="宋体" w:eastAsia="宋体" w:cs="宋体"/>
          <w:i/>
          <w:i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15.3</w:t>
      </w:r>
      <w:r>
        <w:rPr>
          <w:rFonts w:hint="eastAsia" w:ascii="宋体" w:hAnsi="宋体" w:eastAsia="宋体" w:cs="宋体"/>
          <w:bCs/>
          <w:snapToGrid w:val="0"/>
          <w:color w:val="auto"/>
          <w:kern w:val="0"/>
          <w:sz w:val="24"/>
          <w:szCs w:val="24"/>
          <w:highlight w:val="none"/>
        </w:rPr>
        <w:t xml:space="preserve"> 评审范围：</w:t>
      </w:r>
      <w:r>
        <w:rPr>
          <w:rFonts w:hint="eastAsia" w:ascii="宋体" w:hAnsi="宋体" w:eastAsia="宋体" w:cs="宋体"/>
          <w:snapToGrid w:val="0"/>
          <w:color w:val="auto"/>
          <w:kern w:val="0"/>
          <w:sz w:val="24"/>
          <w:szCs w:val="24"/>
          <w:highlight w:val="none"/>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15.4</w:t>
      </w:r>
      <w:r>
        <w:rPr>
          <w:rFonts w:hint="eastAsia" w:ascii="宋体" w:hAnsi="宋体" w:eastAsia="宋体" w:cs="宋体"/>
          <w:snapToGrid w:val="0"/>
          <w:color w:val="auto"/>
          <w:kern w:val="0"/>
          <w:sz w:val="24"/>
          <w:szCs w:val="24"/>
          <w:highlight w:val="none"/>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15.4.1</w:t>
      </w:r>
      <w:r>
        <w:rPr>
          <w:rFonts w:hint="eastAsia" w:ascii="宋体" w:hAnsi="宋体" w:eastAsia="宋体" w:cs="宋体"/>
          <w:snapToGrid w:val="0"/>
          <w:color w:val="auto"/>
          <w:kern w:val="0"/>
          <w:sz w:val="24"/>
          <w:szCs w:val="24"/>
          <w:highlight w:val="none"/>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（1）投标人是否符合本章第三节第</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总监理工程师任职项目情况表》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15.4.2</w:t>
      </w:r>
      <w:r>
        <w:rPr>
          <w:rFonts w:hint="eastAsia" w:ascii="宋体" w:hAnsi="宋体" w:eastAsia="宋体" w:cs="宋体"/>
          <w:snapToGrid w:val="0"/>
          <w:color w:val="auto"/>
          <w:kern w:val="0"/>
          <w:sz w:val="24"/>
          <w:szCs w:val="24"/>
          <w:highlight w:val="none"/>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（2）本节第</w:t>
      </w:r>
      <w:r>
        <w:rPr>
          <w:rFonts w:hint="eastAsia" w:ascii="宋体" w:hAnsi="宋体" w:eastAsia="宋体" w:cs="宋体"/>
          <w:b/>
          <w:bCs/>
          <w:snapToGrid w:val="0"/>
          <w:color w:val="auto"/>
          <w:kern w:val="0"/>
          <w:sz w:val="24"/>
          <w:szCs w:val="24"/>
          <w:highlight w:val="none"/>
        </w:rPr>
        <w:t>10.2.2</w:t>
      </w:r>
      <w:r>
        <w:rPr>
          <w:rFonts w:hint="eastAsia" w:ascii="宋体" w:hAnsi="宋体" w:eastAsia="宋体" w:cs="宋体"/>
          <w:snapToGrid w:val="0"/>
          <w:color w:val="auto"/>
          <w:kern w:val="0"/>
          <w:sz w:val="24"/>
          <w:szCs w:val="24"/>
          <w:highlight w:val="none"/>
        </w:rPr>
        <w:t>目、第</w:t>
      </w:r>
      <w:r>
        <w:rPr>
          <w:rFonts w:hint="eastAsia" w:ascii="宋体" w:hAnsi="宋体" w:eastAsia="宋体" w:cs="宋体"/>
          <w:b/>
          <w:bCs/>
          <w:snapToGrid w:val="0"/>
          <w:color w:val="auto"/>
          <w:kern w:val="0"/>
          <w:sz w:val="24"/>
          <w:szCs w:val="24"/>
          <w:highlight w:val="none"/>
        </w:rPr>
        <w:t>10.3.3</w:t>
      </w:r>
      <w:r>
        <w:rPr>
          <w:rFonts w:hint="eastAsia" w:ascii="宋体" w:hAnsi="宋体" w:eastAsia="宋体" w:cs="宋体"/>
          <w:snapToGrid w:val="0"/>
          <w:color w:val="auto"/>
          <w:kern w:val="0"/>
          <w:sz w:val="24"/>
          <w:szCs w:val="24"/>
          <w:highlight w:val="none"/>
        </w:rPr>
        <w:t>目中规定的“所有投标人均应提供”的组成内容（包括该组成内容的所附资料）是否完整、齐全。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15.4.3</w:t>
      </w:r>
      <w:r>
        <w:rPr>
          <w:rFonts w:hint="eastAsia" w:ascii="宋体" w:hAnsi="宋体" w:eastAsia="宋体" w:cs="宋体"/>
          <w:snapToGrid w:val="0"/>
          <w:color w:val="auto"/>
          <w:kern w:val="0"/>
          <w:sz w:val="24"/>
          <w:szCs w:val="24"/>
          <w:highlight w:val="none"/>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15.4.4</w:t>
      </w:r>
      <w:r>
        <w:rPr>
          <w:rFonts w:hint="eastAsia" w:ascii="宋体" w:hAnsi="宋体" w:eastAsia="宋体" w:cs="宋体"/>
          <w:snapToGrid w:val="0"/>
          <w:color w:val="auto"/>
          <w:kern w:val="0"/>
          <w:sz w:val="24"/>
          <w:szCs w:val="24"/>
          <w:highlight w:val="none"/>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初步评审阶段各个环节否决投标的全部条件，在本章第四节“否决投标条件”第</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条至第</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    15.5</w:t>
      </w:r>
      <w:r>
        <w:rPr>
          <w:rFonts w:hint="eastAsia" w:ascii="宋体" w:hAnsi="宋体" w:eastAsia="宋体" w:cs="宋体"/>
          <w:snapToGrid w:val="0"/>
          <w:color w:val="auto"/>
          <w:kern w:val="0"/>
          <w:sz w:val="24"/>
          <w:szCs w:val="24"/>
          <w:highlight w:val="none"/>
        </w:rPr>
        <w:t xml:space="preserve"> 详细评审</w:t>
      </w:r>
      <w:bookmarkStart w:id="55" w:name="_Hlt121629839"/>
      <w:r>
        <w:rPr>
          <w:rFonts w:hint="eastAsia" w:ascii="宋体" w:hAnsi="宋体" w:eastAsia="宋体" w:cs="宋体"/>
          <w:snapToGrid w:val="0"/>
          <w:color w:val="auto"/>
          <w:kern w:val="0"/>
          <w:sz w:val="24"/>
          <w:szCs w:val="24"/>
          <w:highlight w:val="none"/>
        </w:rPr>
        <w:t>阶段</w:t>
      </w:r>
    </w:p>
    <w:p w14:paraId="7AA415AA">
      <w:pPr>
        <w:keepNext w:val="0"/>
        <w:keepLines w:val="0"/>
        <w:pageBreakBefore w:val="0"/>
        <w:wordWrap w:val="0"/>
        <w:topLinePunct w:val="0"/>
        <w:bidi w:val="0"/>
        <w:adjustRightInd w:val="0"/>
        <w:snapToGrid w:val="0"/>
        <w:spacing w:line="500" w:lineRule="exac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    15.5.1</w:t>
      </w:r>
      <w:r>
        <w:rPr>
          <w:rFonts w:hint="eastAsia" w:ascii="宋体" w:hAnsi="宋体" w:eastAsia="宋体" w:cs="宋体"/>
          <w:bCs/>
          <w:snapToGrid w:val="0"/>
          <w:color w:val="auto"/>
          <w:kern w:val="0"/>
          <w:sz w:val="24"/>
          <w:szCs w:val="24"/>
          <w:highlight w:val="none"/>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评审内容分为商务、技术和投标报价三大部分，综合得分满分为100分。其中，商务满分为</w:t>
      </w:r>
      <w:r>
        <w:rPr>
          <w:rFonts w:hint="eastAsia" w:ascii="宋体" w:hAnsi="宋体" w:eastAsia="宋体" w:cs="宋体"/>
          <w:snapToGrid w:val="0"/>
          <w:color w:val="auto"/>
          <w:kern w:val="0"/>
          <w:sz w:val="24"/>
          <w:szCs w:val="24"/>
          <w:highlight w:val="none"/>
          <w:u w:val="single"/>
          <w:lang w:val="en-US" w:eastAsia="zh-CN"/>
        </w:rPr>
        <w:t xml:space="preserve"> 5</w:t>
      </w:r>
      <w:r>
        <w:rPr>
          <w:rFonts w:hint="eastAsia" w:hAnsi="宋体" w:cs="宋体"/>
          <w:snapToGrid w:val="0"/>
          <w:color w:val="auto"/>
          <w:kern w:val="0"/>
          <w:sz w:val="24"/>
          <w:szCs w:val="24"/>
          <w:highlight w:val="none"/>
          <w:u w:val="single"/>
          <w:lang w:val="en-US" w:eastAsia="zh-CN"/>
        </w:rPr>
        <w:t>0</w:t>
      </w:r>
      <w:r>
        <w:rPr>
          <w:rFonts w:hint="eastAsia" w:ascii="宋体" w:hAnsi="宋体" w:eastAsia="宋体" w:cs="宋体"/>
          <w:snapToGrid w:val="0"/>
          <w:color w:val="auto"/>
          <w:kern w:val="0"/>
          <w:sz w:val="24"/>
          <w:szCs w:val="24"/>
          <w:highlight w:val="none"/>
        </w:rPr>
        <w:t>分，技术满分为</w:t>
      </w:r>
      <w:r>
        <w:rPr>
          <w:rFonts w:hint="eastAsia" w:ascii="宋体" w:hAnsi="宋体" w:eastAsia="宋体" w:cs="宋体"/>
          <w:snapToGrid w:val="0"/>
          <w:color w:val="auto"/>
          <w:kern w:val="0"/>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1</w:t>
      </w:r>
      <w:r>
        <w:rPr>
          <w:rFonts w:hint="eastAsia" w:ascii="宋体" w:hAnsi="宋体" w:eastAsia="宋体" w:cs="宋体"/>
          <w:snapToGrid w:val="0"/>
          <w:color w:val="auto"/>
          <w:kern w:val="0"/>
          <w:sz w:val="24"/>
          <w:szCs w:val="24"/>
          <w:highlight w:val="none"/>
          <w:u w:val="single"/>
          <w:lang w:val="en-US" w:eastAsia="zh-CN"/>
        </w:rPr>
        <w:t>0</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分，投标报价部分满分为</w:t>
      </w:r>
      <w:r>
        <w:rPr>
          <w:rFonts w:hint="eastAsia" w:ascii="宋体" w:hAnsi="宋体" w:eastAsia="宋体" w:cs="宋体"/>
          <w:snapToGrid w:val="0"/>
          <w:color w:val="auto"/>
          <w:kern w:val="0"/>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40</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（1）商务得分M</w:t>
      </w:r>
      <w:r>
        <w:rPr>
          <w:rFonts w:hint="eastAsia" w:ascii="宋体" w:hAnsi="宋体" w:eastAsia="宋体" w:cs="宋体"/>
          <w:snapToGrid w:val="0"/>
          <w:color w:val="auto"/>
          <w:kern w:val="0"/>
          <w:sz w:val="24"/>
          <w:szCs w:val="24"/>
          <w:highlight w:val="none"/>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auto"/>
          <w:kern w:val="0"/>
          <w:sz w:val="24"/>
          <w:szCs w:val="24"/>
          <w:highlight w:val="none"/>
          <w:vertAlign w:val="subscript"/>
        </w:rPr>
        <w:t>1</w:t>
      </w:r>
      <w:r>
        <w:rPr>
          <w:rFonts w:hint="eastAsia" w:ascii="宋体" w:hAnsi="宋体" w:eastAsia="宋体" w:cs="宋体"/>
          <w:snapToGrid w:val="0"/>
          <w:color w:val="auto"/>
          <w:kern w:val="0"/>
          <w:sz w:val="24"/>
          <w:szCs w:val="24"/>
          <w:highlight w:val="none"/>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（2）技术得分M</w:t>
      </w:r>
      <w:r>
        <w:rPr>
          <w:rFonts w:hint="eastAsia" w:ascii="宋体" w:hAnsi="宋体" w:eastAsia="宋体" w:cs="宋体"/>
          <w:snapToGrid w:val="0"/>
          <w:color w:val="auto"/>
          <w:kern w:val="0"/>
          <w:sz w:val="24"/>
          <w:szCs w:val="24"/>
          <w:highlight w:val="none"/>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ascii="宋体" w:hAnsi="宋体" w:eastAsia="宋体" w:cs="宋体"/>
          <w:snapToGrid w:val="0"/>
          <w:color w:val="auto"/>
          <w:kern w:val="0"/>
          <w:sz w:val="24"/>
          <w:szCs w:val="24"/>
          <w:highlight w:val="none"/>
          <w:vertAlign w:val="subscript"/>
        </w:rPr>
        <w:t>2</w:t>
      </w:r>
      <w:r>
        <w:rPr>
          <w:rFonts w:hint="eastAsia" w:ascii="宋体" w:hAnsi="宋体" w:eastAsia="宋体" w:cs="宋体"/>
          <w:snapToGrid w:val="0"/>
          <w:color w:val="auto"/>
          <w:kern w:val="0"/>
          <w:sz w:val="24"/>
          <w:szCs w:val="24"/>
          <w:highlight w:val="none"/>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（3）投标报价得分M</w:t>
      </w:r>
      <w:r>
        <w:rPr>
          <w:rFonts w:hint="eastAsia" w:ascii="宋体" w:hAnsi="宋体" w:eastAsia="宋体" w:cs="宋体"/>
          <w:snapToGrid w:val="0"/>
          <w:color w:val="auto"/>
          <w:kern w:val="0"/>
          <w:sz w:val="24"/>
          <w:szCs w:val="24"/>
          <w:highlight w:val="none"/>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b．采用内插法计算某投标人的投标报价得分M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，即当投标人的投标总价等于评标基准价时得满分，每高于评标基准价一个百分点扣</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分, 每低于评标基准价一个百分点扣0.</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E为扣分因子。当Di＞D时，E＝</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；当Di＜D时，E＝</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M＝M</w:t>
      </w:r>
      <w:r>
        <w:rPr>
          <w:rFonts w:hint="eastAsia" w:ascii="宋体" w:hAnsi="宋体" w:eastAsia="宋体" w:cs="宋体"/>
          <w:snapToGrid w:val="0"/>
          <w:color w:val="auto"/>
          <w:kern w:val="0"/>
          <w:sz w:val="24"/>
          <w:szCs w:val="24"/>
          <w:highlight w:val="none"/>
          <w:vertAlign w:val="subscript"/>
        </w:rPr>
        <w:t>1</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2</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式中：M为综合得分，M</w:t>
      </w:r>
      <w:r>
        <w:rPr>
          <w:rFonts w:hint="eastAsia" w:ascii="宋体" w:hAnsi="宋体" w:eastAsia="宋体" w:cs="宋体"/>
          <w:snapToGrid w:val="0"/>
          <w:color w:val="auto"/>
          <w:kern w:val="0"/>
          <w:sz w:val="24"/>
          <w:szCs w:val="24"/>
          <w:highlight w:val="none"/>
          <w:vertAlign w:val="subscript"/>
        </w:rPr>
        <w:t>1</w:t>
      </w:r>
      <w:r>
        <w:rPr>
          <w:rFonts w:hint="eastAsia" w:ascii="宋体" w:hAnsi="宋体" w:eastAsia="宋体" w:cs="宋体"/>
          <w:snapToGrid w:val="0"/>
          <w:color w:val="auto"/>
          <w:kern w:val="0"/>
          <w:sz w:val="24"/>
          <w:szCs w:val="24"/>
          <w:highlight w:val="none"/>
        </w:rPr>
        <w:t>为商务得分，M</w:t>
      </w:r>
      <w:r>
        <w:rPr>
          <w:rFonts w:hint="eastAsia" w:ascii="宋体" w:hAnsi="宋体" w:eastAsia="宋体" w:cs="宋体"/>
          <w:snapToGrid w:val="0"/>
          <w:color w:val="auto"/>
          <w:kern w:val="0"/>
          <w:sz w:val="24"/>
          <w:szCs w:val="24"/>
          <w:highlight w:val="none"/>
          <w:vertAlign w:val="subscript"/>
        </w:rPr>
        <w:t>2</w:t>
      </w:r>
      <w:r>
        <w:rPr>
          <w:rFonts w:hint="eastAsia" w:ascii="宋体" w:hAnsi="宋体" w:eastAsia="宋体" w:cs="宋体"/>
          <w:snapToGrid w:val="0"/>
          <w:color w:val="auto"/>
          <w:kern w:val="0"/>
          <w:sz w:val="24"/>
          <w:szCs w:val="24"/>
          <w:highlight w:val="none"/>
        </w:rPr>
        <w:t>为技术得分，M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为投标报价得分。</w:t>
      </w:r>
    </w:p>
    <w:p w14:paraId="54DFCA09">
      <w:pPr>
        <w:bidi w:val="0"/>
        <w:rPr>
          <w:rFonts w:hint="eastAsia" w:ascii="宋体" w:hAnsi="宋体" w:eastAsia="宋体" w:cs="宋体"/>
          <w:color w:val="auto"/>
          <w:sz w:val="24"/>
          <w:szCs w:val="24"/>
          <w:highlight w:val="none"/>
          <w:lang w:val="en-US" w:eastAsia="zh-CN"/>
        </w:rPr>
      </w:pPr>
      <w:bookmarkStart w:id="56" w:name="_Toc6276"/>
      <w:bookmarkStart w:id="57" w:name="_Toc31548"/>
    </w:p>
    <w:p w14:paraId="566ABFDA">
      <w:pPr>
        <w:bidi w:val="0"/>
        <w:rPr>
          <w:rFonts w:hint="eastAsia" w:ascii="宋体" w:hAnsi="宋体" w:eastAsia="宋体" w:cs="宋体"/>
          <w:color w:val="auto"/>
          <w:sz w:val="24"/>
          <w:szCs w:val="24"/>
          <w:highlight w:val="none"/>
          <w:lang w:val="en-US" w:eastAsia="zh-CN"/>
        </w:rPr>
      </w:pPr>
    </w:p>
    <w:p w14:paraId="17C17EA4">
      <w:pPr>
        <w:bidi w:val="0"/>
        <w:rPr>
          <w:rFonts w:hint="eastAsia"/>
          <w:color w:val="auto"/>
          <w:highlight w:val="none"/>
          <w:lang w:val="en-US" w:eastAsia="zh-CN"/>
        </w:rPr>
      </w:pPr>
    </w:p>
    <w:p w14:paraId="0096D610">
      <w:pPr>
        <w:bidi w:val="0"/>
        <w:rPr>
          <w:rFonts w:hint="eastAsia"/>
          <w:color w:val="auto"/>
          <w:highlight w:val="none"/>
          <w:lang w:val="en-US" w:eastAsia="zh-CN"/>
        </w:rPr>
      </w:pPr>
    </w:p>
    <w:p w14:paraId="36C78AF5">
      <w:pPr>
        <w:bidi w:val="0"/>
        <w:rPr>
          <w:rFonts w:hint="eastAsia"/>
          <w:color w:val="auto"/>
          <w:highlight w:val="none"/>
          <w:lang w:val="en-US" w:eastAsia="zh-CN"/>
        </w:rPr>
      </w:pPr>
    </w:p>
    <w:p w14:paraId="2B846775">
      <w:pPr>
        <w:bidi w:val="0"/>
        <w:rPr>
          <w:rFonts w:hint="eastAsia"/>
          <w:color w:val="auto"/>
          <w:highlight w:val="none"/>
          <w:lang w:val="en-US" w:eastAsia="zh-CN"/>
        </w:rPr>
      </w:pPr>
    </w:p>
    <w:p w14:paraId="18BAA559">
      <w:pPr>
        <w:bidi w:val="0"/>
        <w:rPr>
          <w:rFonts w:hint="eastAsia"/>
          <w:color w:val="auto"/>
          <w:highlight w:val="none"/>
          <w:lang w:val="en-US" w:eastAsia="zh-CN"/>
        </w:rPr>
      </w:pPr>
    </w:p>
    <w:p w14:paraId="12800DA2">
      <w:pPr>
        <w:bidi w:val="0"/>
        <w:rPr>
          <w:rFonts w:hint="eastAsia"/>
          <w:color w:val="auto"/>
          <w:highlight w:val="none"/>
          <w:lang w:val="en-US" w:eastAsia="zh-CN"/>
        </w:rPr>
      </w:pPr>
    </w:p>
    <w:p w14:paraId="51940FB0">
      <w:pPr>
        <w:bidi w:val="0"/>
        <w:rPr>
          <w:rFonts w:hint="eastAsia"/>
          <w:color w:val="auto"/>
          <w:highlight w:val="none"/>
          <w:lang w:val="en-US" w:eastAsia="zh-CN"/>
        </w:rPr>
      </w:pPr>
    </w:p>
    <w:p w14:paraId="276917D2">
      <w:pPr>
        <w:bidi w:val="0"/>
        <w:rPr>
          <w:rFonts w:hint="eastAsia"/>
          <w:color w:val="auto"/>
          <w:highlight w:val="none"/>
          <w:lang w:val="en-US" w:eastAsia="zh-CN"/>
        </w:rPr>
      </w:pPr>
    </w:p>
    <w:p w14:paraId="29ADD6A5">
      <w:pPr>
        <w:bidi w:val="0"/>
        <w:rPr>
          <w:rFonts w:hint="eastAsia"/>
          <w:color w:val="auto"/>
          <w:highlight w:val="none"/>
          <w:lang w:val="en-US" w:eastAsia="zh-CN"/>
        </w:rPr>
      </w:pPr>
    </w:p>
    <w:p w14:paraId="2B3D81AC">
      <w:pPr>
        <w:bidi w:val="0"/>
        <w:rPr>
          <w:rFonts w:hint="eastAsia"/>
          <w:color w:val="auto"/>
          <w:highlight w:val="none"/>
          <w:lang w:val="en-US" w:eastAsia="zh-CN"/>
        </w:rPr>
      </w:pPr>
    </w:p>
    <w:p w14:paraId="087D1E69">
      <w:pPr>
        <w:bidi w:val="0"/>
        <w:rPr>
          <w:rFonts w:hint="eastAsia"/>
          <w:color w:val="auto"/>
          <w:highlight w:val="none"/>
          <w:lang w:val="en-US" w:eastAsia="zh-CN"/>
        </w:rPr>
      </w:pPr>
    </w:p>
    <w:p w14:paraId="7E20D73D">
      <w:pPr>
        <w:bidi w:val="0"/>
        <w:rPr>
          <w:rFonts w:hint="eastAsia"/>
          <w:color w:val="auto"/>
          <w:highlight w:val="none"/>
          <w:lang w:val="en-US" w:eastAsia="zh-CN"/>
        </w:rPr>
      </w:pPr>
    </w:p>
    <w:p w14:paraId="1E2EA585">
      <w:pPr>
        <w:bidi w:val="0"/>
        <w:rPr>
          <w:rFonts w:hint="eastAsia"/>
          <w:color w:val="auto"/>
          <w:highlight w:val="none"/>
          <w:lang w:val="en-US" w:eastAsia="zh-CN"/>
        </w:rPr>
      </w:pPr>
    </w:p>
    <w:p w14:paraId="04AF113C">
      <w:pPr>
        <w:bidi w:val="0"/>
        <w:rPr>
          <w:rFonts w:hint="eastAsia"/>
          <w:color w:val="auto"/>
          <w:highlight w:val="none"/>
          <w:lang w:val="en-US" w:eastAsia="zh-CN"/>
        </w:rPr>
      </w:pPr>
    </w:p>
    <w:p w14:paraId="70C690A2">
      <w:pPr>
        <w:bidi w:val="0"/>
        <w:rPr>
          <w:rFonts w:hint="eastAsia"/>
          <w:color w:val="auto"/>
          <w:highlight w:val="none"/>
          <w:lang w:val="en-US" w:eastAsia="zh-CN"/>
        </w:rPr>
      </w:pPr>
    </w:p>
    <w:p w14:paraId="67AE0DF9">
      <w:pPr>
        <w:bidi w:val="0"/>
        <w:rPr>
          <w:rFonts w:hint="eastAsia"/>
          <w:color w:val="auto"/>
          <w:highlight w:val="none"/>
          <w:lang w:val="en-US" w:eastAsia="zh-CN"/>
        </w:rPr>
      </w:pPr>
    </w:p>
    <w:p w14:paraId="5B940BA3">
      <w:pPr>
        <w:bidi w:val="0"/>
        <w:rPr>
          <w:rFonts w:hint="eastAsia"/>
          <w:color w:val="auto"/>
          <w:highlight w:val="none"/>
          <w:lang w:val="en-US" w:eastAsia="zh-CN"/>
        </w:rPr>
      </w:pPr>
    </w:p>
    <w:p w14:paraId="086905B1">
      <w:pPr>
        <w:pStyle w:val="4"/>
        <w:rPr>
          <w:rFonts w:ascii="宋体" w:hAnsi="宋体" w:cs="宋体"/>
          <w:color w:val="auto"/>
          <w:sz w:val="24"/>
          <w:highlight w:val="none"/>
        </w:rPr>
      </w:pPr>
      <w:bookmarkStart w:id="58" w:name="_Toc19214"/>
      <w:r>
        <w:rPr>
          <w:rFonts w:hint="eastAsia" w:ascii="宋体" w:hAnsi="宋体" w:eastAsia="宋体" w:cs="宋体"/>
          <w:b/>
          <w:bCs/>
          <w:color w:val="auto"/>
          <w:sz w:val="32"/>
          <w:szCs w:val="22"/>
          <w:highlight w:val="none"/>
        </w:rPr>
        <w:t>表1 综合评分表</w:t>
      </w:r>
      <w:bookmarkEnd w:id="56"/>
      <w:bookmarkEnd w:id="57"/>
      <w:bookmarkEnd w:id="58"/>
    </w:p>
    <w:tbl>
      <w:tblPr>
        <w:tblStyle w:val="31"/>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4135"/>
        <w:gridCol w:w="4252"/>
      </w:tblGrid>
      <w:tr w14:paraId="04E3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08" w:type="dxa"/>
            <w:gridSpan w:val="3"/>
            <w:shd w:val="clear" w:color="auto" w:fill="BEBEBE"/>
            <w:noWrap w:val="0"/>
            <w:vAlign w:val="center"/>
          </w:tcPr>
          <w:p w14:paraId="78E5E072">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宋体" w:hAnsi="宋体" w:eastAsia="宋体" w:cs="宋体"/>
                <w:b/>
                <w:bCs/>
                <w:strike w:val="0"/>
                <w:dstrike w:val="0"/>
                <w:snapToGrid w:val="0"/>
                <w:color w:val="auto"/>
                <w:kern w:val="0"/>
                <w:sz w:val="22"/>
                <w:szCs w:val="22"/>
                <w:highlight w:val="none"/>
              </w:rPr>
            </w:pPr>
            <w:r>
              <w:rPr>
                <w:rFonts w:hint="eastAsia" w:ascii="宋体" w:hAnsi="宋体" w:eastAsia="宋体" w:cs="宋体"/>
                <w:b/>
                <w:bCs/>
                <w:strike w:val="0"/>
                <w:dstrike w:val="0"/>
                <w:snapToGrid w:val="0"/>
                <w:color w:val="auto"/>
                <w:kern w:val="0"/>
                <w:sz w:val="22"/>
                <w:szCs w:val="22"/>
                <w:highlight w:val="none"/>
              </w:rPr>
              <w:t>商务部分满分：</w:t>
            </w:r>
            <w:r>
              <w:rPr>
                <w:rFonts w:hint="eastAsia" w:ascii="宋体" w:hAnsi="宋体" w:eastAsia="宋体" w:cs="宋体"/>
                <w:b/>
                <w:bCs/>
                <w:strike w:val="0"/>
                <w:dstrike w:val="0"/>
                <w:snapToGrid w:val="0"/>
                <w:color w:val="auto"/>
                <w:kern w:val="0"/>
                <w:sz w:val="22"/>
                <w:szCs w:val="22"/>
                <w:highlight w:val="none"/>
                <w:u w:val="single"/>
                <w:lang w:val="en-US" w:eastAsia="zh-CN"/>
              </w:rPr>
              <w:t>50</w:t>
            </w:r>
            <w:r>
              <w:rPr>
                <w:rFonts w:hint="eastAsia" w:ascii="宋体" w:hAnsi="宋体" w:eastAsia="宋体" w:cs="宋体"/>
                <w:b/>
                <w:bCs/>
                <w:strike w:val="0"/>
                <w:dstrike w:val="0"/>
                <w:snapToGrid w:val="0"/>
                <w:color w:val="auto"/>
                <w:kern w:val="0"/>
                <w:sz w:val="22"/>
                <w:szCs w:val="22"/>
                <w:highlight w:val="none"/>
              </w:rPr>
              <w:t>分。</w:t>
            </w:r>
          </w:p>
        </w:tc>
      </w:tr>
      <w:tr w14:paraId="06F1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21" w:type="dxa"/>
            <w:noWrap w:val="0"/>
            <w:vAlign w:val="center"/>
          </w:tcPr>
          <w:p w14:paraId="23646983">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240" w:lineRule="auto"/>
              <w:jc w:val="center"/>
              <w:textAlignment w:val="auto"/>
              <w:rPr>
                <w:rFonts w:hint="eastAsia" w:ascii="宋体" w:hAnsi="宋体" w:eastAsia="宋体" w:cs="宋体"/>
                <w:b/>
                <w:bCs/>
                <w:strike w:val="0"/>
                <w:dstrike w:val="0"/>
                <w:snapToGrid w:val="0"/>
                <w:color w:val="auto"/>
                <w:kern w:val="0"/>
                <w:sz w:val="22"/>
                <w:szCs w:val="22"/>
                <w:highlight w:val="none"/>
                <w:lang w:val="en-US" w:eastAsia="zh-CN" w:bidi="ar-SA"/>
              </w:rPr>
            </w:pPr>
            <w:r>
              <w:rPr>
                <w:rFonts w:hint="eastAsia" w:ascii="宋体" w:hAnsi="宋体" w:eastAsia="宋体" w:cs="宋体"/>
                <w:b/>
                <w:bCs/>
                <w:strike w:val="0"/>
                <w:dstrike w:val="0"/>
                <w:snapToGrid w:val="0"/>
                <w:color w:val="auto"/>
                <w:kern w:val="0"/>
                <w:sz w:val="22"/>
                <w:szCs w:val="22"/>
                <w:highlight w:val="none"/>
                <w:lang w:val="en-US" w:eastAsia="zh-CN" w:bidi="ar-SA"/>
              </w:rPr>
              <w:t>评分因素</w:t>
            </w:r>
          </w:p>
        </w:tc>
        <w:tc>
          <w:tcPr>
            <w:tcW w:w="4135" w:type="dxa"/>
            <w:noWrap w:val="0"/>
            <w:vAlign w:val="center"/>
          </w:tcPr>
          <w:p w14:paraId="51495740">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240" w:lineRule="auto"/>
              <w:jc w:val="center"/>
              <w:textAlignment w:val="auto"/>
              <w:rPr>
                <w:rFonts w:hint="eastAsia" w:ascii="宋体" w:hAnsi="宋体" w:eastAsia="宋体" w:cs="宋体"/>
                <w:b/>
                <w:bCs/>
                <w:strike w:val="0"/>
                <w:dstrike w:val="0"/>
                <w:snapToGrid w:val="0"/>
                <w:color w:val="auto"/>
                <w:kern w:val="0"/>
                <w:sz w:val="22"/>
                <w:szCs w:val="22"/>
                <w:highlight w:val="none"/>
                <w:lang w:val="en-US" w:eastAsia="zh-CN" w:bidi="ar-SA"/>
              </w:rPr>
            </w:pPr>
            <w:r>
              <w:rPr>
                <w:rFonts w:hint="eastAsia" w:ascii="宋体" w:hAnsi="宋体" w:eastAsia="宋体" w:cs="宋体"/>
                <w:b/>
                <w:bCs/>
                <w:strike w:val="0"/>
                <w:dstrike w:val="0"/>
                <w:snapToGrid w:val="0"/>
                <w:color w:val="auto"/>
                <w:kern w:val="0"/>
                <w:sz w:val="22"/>
                <w:szCs w:val="22"/>
                <w:highlight w:val="none"/>
                <w:lang w:val="en-US" w:eastAsia="zh-CN" w:bidi="ar-SA"/>
              </w:rPr>
              <w:t>评分标准</w:t>
            </w:r>
          </w:p>
        </w:tc>
        <w:tc>
          <w:tcPr>
            <w:tcW w:w="4252" w:type="dxa"/>
            <w:noWrap w:val="0"/>
            <w:vAlign w:val="center"/>
          </w:tcPr>
          <w:p w14:paraId="6AB437CF">
            <w:pPr>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afterLines="0" w:afterAutospacing="0" w:line="240" w:lineRule="auto"/>
              <w:jc w:val="center"/>
              <w:textAlignment w:val="auto"/>
              <w:rPr>
                <w:rFonts w:hint="eastAsia" w:ascii="宋体" w:hAnsi="宋体" w:eastAsia="宋体" w:cs="宋体"/>
                <w:b/>
                <w:bCs/>
                <w:strike w:val="0"/>
                <w:dstrike w:val="0"/>
                <w:snapToGrid w:val="0"/>
                <w:color w:val="auto"/>
                <w:kern w:val="0"/>
                <w:sz w:val="22"/>
                <w:szCs w:val="22"/>
                <w:highlight w:val="none"/>
                <w:lang w:val="en-US" w:eastAsia="zh-CN" w:bidi="ar-SA"/>
              </w:rPr>
            </w:pPr>
            <w:r>
              <w:rPr>
                <w:rFonts w:hint="eastAsia" w:ascii="宋体" w:hAnsi="宋体" w:eastAsia="宋体" w:cs="宋体"/>
                <w:b/>
                <w:bCs/>
                <w:strike w:val="0"/>
                <w:dstrike w:val="0"/>
                <w:snapToGrid w:val="0"/>
                <w:color w:val="auto"/>
                <w:kern w:val="0"/>
                <w:sz w:val="22"/>
                <w:szCs w:val="22"/>
                <w:highlight w:val="none"/>
                <w:lang w:val="en-US" w:eastAsia="zh-CN" w:bidi="ar-SA"/>
              </w:rPr>
              <w:t>备注</w:t>
            </w:r>
          </w:p>
        </w:tc>
      </w:tr>
      <w:tr w14:paraId="5634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1" w:type="dxa"/>
            <w:noWrap w:val="0"/>
            <w:vAlign w:val="center"/>
          </w:tcPr>
          <w:p w14:paraId="22338BD6">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企业奖项</w:t>
            </w:r>
          </w:p>
          <w:p w14:paraId="6BE55D74">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pPr>
            <w:r>
              <w:rPr>
                <w:rFonts w:hint="eastAsia" w:ascii="宋体" w:hAnsi="宋体" w:eastAsia="宋体" w:cs="宋体"/>
                <w:b/>
                <w:bCs/>
                <w:color w:val="auto"/>
                <w:kern w:val="0"/>
                <w:sz w:val="22"/>
                <w:szCs w:val="22"/>
                <w:highlight w:val="none"/>
                <w:lang w:val="en-US" w:eastAsia="zh-CN" w:bidi="ar-SA"/>
              </w:rPr>
              <w:t>（10分）</w:t>
            </w:r>
          </w:p>
        </w:tc>
        <w:tc>
          <w:tcPr>
            <w:tcW w:w="4135" w:type="dxa"/>
            <w:noWrap w:val="0"/>
            <w:vAlign w:val="center"/>
          </w:tcPr>
          <w:p w14:paraId="7F4FD7D7">
            <w:pPr>
              <w:overflowPunct w:val="0"/>
              <w:spacing w:line="360" w:lineRule="auto"/>
              <w:rPr>
                <w:rFonts w:hint="eastAsia" w:ascii="宋体" w:hAnsi="宋体" w:eastAsia="宋体" w:cs="宋体"/>
                <w:color w:val="auto"/>
                <w:spacing w:val="8"/>
                <w:sz w:val="22"/>
                <w:szCs w:val="22"/>
                <w:highlight w:val="none"/>
              </w:rPr>
            </w:pPr>
            <w:r>
              <w:rPr>
                <w:rFonts w:hint="eastAsia" w:ascii="宋体" w:hAnsi="宋体" w:eastAsia="宋体" w:cs="宋体"/>
                <w:b w:val="0"/>
                <w:bCs w:val="0"/>
                <w:color w:val="auto"/>
                <w:sz w:val="22"/>
                <w:szCs w:val="22"/>
                <w:highlight w:val="none"/>
                <w:lang w:eastAsia="zh-CN"/>
              </w:rPr>
              <w:t>投标人</w:t>
            </w:r>
            <w:r>
              <w:rPr>
                <w:rFonts w:hint="eastAsia" w:ascii="宋体" w:hAnsi="宋体" w:eastAsia="宋体" w:cs="宋体"/>
                <w:b w:val="0"/>
                <w:bCs w:val="0"/>
                <w:color w:val="auto"/>
                <w:sz w:val="22"/>
                <w:szCs w:val="22"/>
                <w:highlight w:val="none"/>
              </w:rPr>
              <w:t>近年</w:t>
            </w:r>
            <w:r>
              <w:rPr>
                <w:rFonts w:hint="eastAsia" w:ascii="宋体" w:hAnsi="宋体" w:eastAsia="宋体" w:cs="宋体"/>
                <w:b w:val="0"/>
                <w:bCs w:val="0"/>
                <w:color w:val="auto"/>
                <w:sz w:val="22"/>
                <w:szCs w:val="22"/>
                <w:highlight w:val="none"/>
                <w:lang w:eastAsia="zh-CN"/>
              </w:rPr>
              <w:t>来</w:t>
            </w:r>
            <w:r>
              <w:rPr>
                <w:rFonts w:hint="eastAsia" w:ascii="宋体" w:hAnsi="宋体" w:eastAsia="宋体" w:cs="宋体"/>
                <w:b w:val="0"/>
                <w:bCs w:val="0"/>
                <w:color w:val="auto"/>
                <w:sz w:val="22"/>
                <w:szCs w:val="22"/>
                <w:highlight w:val="none"/>
              </w:rPr>
              <w:t>（2</w:t>
            </w:r>
            <w:r>
              <w:rPr>
                <w:rFonts w:hint="eastAsia" w:ascii="宋体" w:hAnsi="宋体" w:eastAsia="宋体" w:cs="宋体"/>
                <w:b w:val="0"/>
                <w:bCs w:val="0"/>
                <w:color w:val="auto"/>
                <w:sz w:val="22"/>
                <w:szCs w:val="22"/>
                <w:highlight w:val="none"/>
                <w:lang w:val="en-US" w:eastAsia="zh-CN"/>
              </w:rPr>
              <w:t>021</w:t>
            </w:r>
            <w:r>
              <w:rPr>
                <w:rFonts w:hint="eastAsia" w:ascii="宋体" w:hAnsi="宋体" w:eastAsia="宋体" w:cs="宋体"/>
                <w:b w:val="0"/>
                <w:bCs w:val="0"/>
                <w:color w:val="auto"/>
                <w:sz w:val="22"/>
                <w:szCs w:val="22"/>
                <w:highlight w:val="none"/>
              </w:rPr>
              <w:t>年</w:t>
            </w: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月1日至今</w:t>
            </w:r>
            <w:r>
              <w:rPr>
                <w:rFonts w:hint="eastAsia" w:ascii="宋体" w:hAnsi="宋体" w:eastAsia="宋体" w:cs="宋体"/>
                <w:b w:val="0"/>
                <w:bCs w:val="0"/>
                <w:color w:val="auto"/>
                <w:sz w:val="22"/>
                <w:szCs w:val="22"/>
                <w:highlight w:val="none"/>
                <w:lang w:eastAsia="zh-CN"/>
              </w:rPr>
              <w:t>）所</w:t>
            </w:r>
            <w:r>
              <w:rPr>
                <w:rFonts w:hint="eastAsia" w:ascii="宋体" w:hAnsi="宋体" w:eastAsia="宋体" w:cs="宋体"/>
                <w:b w:val="0"/>
                <w:bCs w:val="0"/>
                <w:color w:val="auto"/>
                <w:sz w:val="22"/>
                <w:szCs w:val="22"/>
                <w:highlight w:val="none"/>
              </w:rPr>
              <w:t>监理的工程类项目获奖情况</w:t>
            </w:r>
            <w:r>
              <w:rPr>
                <w:rFonts w:hint="eastAsia" w:ascii="宋体" w:hAnsi="宋体" w:eastAsia="宋体" w:cs="宋体"/>
                <w:color w:val="auto"/>
                <w:spacing w:val="8"/>
                <w:sz w:val="22"/>
                <w:szCs w:val="22"/>
                <w:highlight w:val="none"/>
              </w:rPr>
              <w:t>：</w:t>
            </w:r>
          </w:p>
          <w:p w14:paraId="4D3626C1">
            <w:pPr>
              <w:overflowPunct w:val="0"/>
              <w:spacing w:line="360" w:lineRule="auto"/>
              <w:jc w:val="left"/>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1.获得省级</w:t>
            </w:r>
            <w:r>
              <w:rPr>
                <w:rFonts w:hint="eastAsia" w:ascii="宋体" w:hAnsi="宋体" w:eastAsia="宋体" w:cs="宋体"/>
                <w:color w:val="auto"/>
                <w:spacing w:val="8"/>
                <w:sz w:val="22"/>
                <w:szCs w:val="22"/>
                <w:highlight w:val="none"/>
                <w:lang w:val="en-US" w:eastAsia="zh-CN"/>
              </w:rPr>
              <w:t>或以上</w:t>
            </w:r>
            <w:r>
              <w:rPr>
                <w:rFonts w:hint="eastAsia" w:ascii="宋体" w:hAnsi="宋体" w:eastAsia="宋体" w:cs="宋体"/>
                <w:color w:val="auto"/>
                <w:spacing w:val="8"/>
                <w:sz w:val="22"/>
                <w:szCs w:val="22"/>
                <w:highlight w:val="none"/>
              </w:rPr>
              <w:t>奖项的，每个得</w:t>
            </w:r>
            <w:r>
              <w:rPr>
                <w:rFonts w:hint="eastAsia" w:ascii="宋体" w:hAnsi="宋体" w:eastAsia="宋体" w:cs="宋体"/>
                <w:color w:val="auto"/>
                <w:spacing w:val="8"/>
                <w:sz w:val="22"/>
                <w:szCs w:val="22"/>
                <w:highlight w:val="none"/>
                <w:lang w:val="en-US" w:eastAsia="zh-CN"/>
              </w:rPr>
              <w:t>10</w:t>
            </w:r>
            <w:r>
              <w:rPr>
                <w:rFonts w:hint="eastAsia" w:ascii="宋体" w:hAnsi="宋体" w:eastAsia="宋体" w:cs="宋体"/>
                <w:color w:val="auto"/>
                <w:spacing w:val="8"/>
                <w:sz w:val="22"/>
                <w:szCs w:val="22"/>
                <w:highlight w:val="none"/>
              </w:rPr>
              <w:t>分；</w:t>
            </w:r>
          </w:p>
          <w:p w14:paraId="68FD9D42">
            <w:pPr>
              <w:overflowPunct w:val="0"/>
              <w:spacing w:line="360" w:lineRule="auto"/>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2.获得地市级奖项的，每个得</w:t>
            </w:r>
            <w:r>
              <w:rPr>
                <w:rFonts w:hint="eastAsia" w:ascii="宋体" w:hAnsi="宋体" w:eastAsia="宋体" w:cs="宋体"/>
                <w:color w:val="auto"/>
                <w:spacing w:val="8"/>
                <w:sz w:val="22"/>
                <w:szCs w:val="22"/>
                <w:highlight w:val="none"/>
                <w:lang w:val="en-US" w:eastAsia="zh-CN"/>
              </w:rPr>
              <w:t>5</w:t>
            </w:r>
            <w:r>
              <w:rPr>
                <w:rFonts w:hint="eastAsia" w:ascii="宋体" w:hAnsi="宋体" w:eastAsia="宋体" w:cs="宋体"/>
                <w:color w:val="auto"/>
                <w:spacing w:val="8"/>
                <w:sz w:val="22"/>
                <w:szCs w:val="22"/>
                <w:highlight w:val="none"/>
              </w:rPr>
              <w:t>分；</w:t>
            </w:r>
          </w:p>
          <w:p w14:paraId="5005F0BA">
            <w:pPr>
              <w:pStyle w:val="10"/>
              <w:keepNext w:val="0"/>
              <w:keepLines w:val="0"/>
              <w:pageBreakBefore w:val="0"/>
              <w:tabs>
                <w:tab w:val="left" w:pos="1354"/>
                <w:tab w:val="left" w:pos="1459"/>
                <w:tab w:val="center" w:pos="3902"/>
                <w:tab w:val="right" w:pos="7805"/>
              </w:tabs>
              <w:kinsoku/>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3.其他情形的，不予计分</w:t>
            </w:r>
            <w:r>
              <w:rPr>
                <w:rFonts w:hint="eastAsia" w:ascii="宋体" w:hAnsi="宋体" w:eastAsia="宋体" w:cs="宋体"/>
                <w:bCs/>
                <w:color w:val="auto"/>
                <w:sz w:val="22"/>
                <w:szCs w:val="22"/>
                <w:highlight w:val="none"/>
              </w:rPr>
              <w:t>。</w:t>
            </w:r>
          </w:p>
          <w:p w14:paraId="2F0CB548">
            <w:pPr>
              <w:keepNext w:val="0"/>
              <w:keepLines w:val="0"/>
              <w:pageBreakBefore w:val="0"/>
              <w:widowControl w:val="0"/>
              <w:kinsoku/>
              <w:wordWrap/>
              <w:overflowPunct/>
              <w:topLinePunct w:val="0"/>
              <w:autoSpaceDE/>
              <w:autoSpaceDN/>
              <w:bidi w:val="0"/>
              <w:adjustRightInd w:val="0"/>
              <w:snapToGrid/>
              <w:spacing w:line="400" w:lineRule="exact"/>
              <w:jc w:val="left"/>
              <w:outlineLvl w:val="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说明：本项最高得</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tc>
        <w:tc>
          <w:tcPr>
            <w:tcW w:w="4252" w:type="dxa"/>
            <w:noWrap w:val="0"/>
            <w:vAlign w:val="center"/>
          </w:tcPr>
          <w:p w14:paraId="1A5F0D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1.同一业绩只按最高级别奖项计分一次，不同业绩按照各自最高获奖等级的得分累加。</w:t>
            </w:r>
          </w:p>
          <w:p w14:paraId="7AE721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需附有关奖项证明彩色扫描件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如发证单位为行业协会的，还需提供该行业协会在全国社会组织信用信息公示平台的登记信息查询结果截图，否则不得分。</w:t>
            </w:r>
          </w:p>
          <w:p w14:paraId="1CF693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3.颁发机构限定以下范围：</w:t>
            </w:r>
          </w:p>
          <w:p w14:paraId="7BA69E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①国家级奖项：国务院、住建部、国家级行业协会；（</w:t>
            </w:r>
            <w:r>
              <w:rPr>
                <w:rFonts w:hint="eastAsia" w:ascii="宋体" w:hAnsi="宋体" w:eastAsia="宋体" w:cs="宋体"/>
                <w:b/>
                <w:bCs/>
                <w:color w:val="auto"/>
                <w:sz w:val="22"/>
                <w:szCs w:val="22"/>
                <w:highlight w:val="none"/>
              </w:rPr>
              <w:t>相关协会需经民政部门备案</w:t>
            </w:r>
            <w:r>
              <w:rPr>
                <w:rFonts w:hint="eastAsia" w:ascii="宋体" w:hAnsi="宋体" w:eastAsia="宋体" w:cs="宋体"/>
                <w:color w:val="auto"/>
                <w:sz w:val="22"/>
                <w:szCs w:val="22"/>
                <w:highlight w:val="none"/>
              </w:rPr>
              <w:t>）</w:t>
            </w:r>
          </w:p>
          <w:p w14:paraId="6B6855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②省级奖项：省级人民政府、省级住建部门、省级行业协会；（</w:t>
            </w:r>
            <w:r>
              <w:rPr>
                <w:rFonts w:hint="eastAsia" w:ascii="宋体" w:hAnsi="宋体" w:eastAsia="宋体" w:cs="宋体"/>
                <w:b/>
                <w:bCs/>
                <w:color w:val="auto"/>
                <w:sz w:val="22"/>
                <w:szCs w:val="22"/>
                <w:highlight w:val="none"/>
              </w:rPr>
              <w:t>相关协会需经民政部门备案</w:t>
            </w:r>
            <w:r>
              <w:rPr>
                <w:rFonts w:hint="eastAsia" w:ascii="宋体" w:hAnsi="宋体" w:eastAsia="宋体" w:cs="宋体"/>
                <w:color w:val="auto"/>
                <w:sz w:val="22"/>
                <w:szCs w:val="22"/>
                <w:highlight w:val="none"/>
              </w:rPr>
              <w:t>）</w:t>
            </w:r>
          </w:p>
          <w:p w14:paraId="5C2A892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③地市级奖项：地市级人民政府、地市级住建部门、地市级行业协会。（</w:t>
            </w:r>
            <w:r>
              <w:rPr>
                <w:rFonts w:hint="eastAsia" w:ascii="宋体" w:hAnsi="宋体" w:eastAsia="宋体" w:cs="宋体"/>
                <w:b/>
                <w:bCs/>
                <w:color w:val="auto"/>
                <w:sz w:val="22"/>
                <w:szCs w:val="22"/>
                <w:highlight w:val="none"/>
              </w:rPr>
              <w:t>相关协会需经民政部门备</w:t>
            </w:r>
            <w:r>
              <w:rPr>
                <w:rFonts w:hint="eastAsia" w:ascii="宋体" w:hAnsi="宋体" w:eastAsia="宋体" w:cs="宋体"/>
                <w:b/>
                <w:bCs/>
                <w:color w:val="auto"/>
                <w:kern w:val="0"/>
                <w:sz w:val="22"/>
                <w:szCs w:val="22"/>
                <w:highlight w:val="none"/>
                <w:lang w:val="en-US" w:eastAsia="zh-CN" w:bidi="ar-SA"/>
              </w:rPr>
              <w:t>案</w:t>
            </w:r>
            <w:r>
              <w:rPr>
                <w:rFonts w:hint="eastAsia" w:ascii="宋体" w:hAnsi="宋体" w:eastAsia="宋体" w:cs="宋体"/>
                <w:color w:val="auto"/>
                <w:kern w:val="0"/>
                <w:sz w:val="22"/>
                <w:szCs w:val="22"/>
                <w:highlight w:val="none"/>
                <w:lang w:val="en-US" w:eastAsia="zh-CN" w:bidi="ar-SA"/>
              </w:rPr>
              <w:t>）</w:t>
            </w:r>
          </w:p>
          <w:p w14:paraId="0B20EA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4.获奖时间以奖项证明的落款日期为准。</w:t>
            </w:r>
          </w:p>
          <w:p w14:paraId="65D645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5．任一奖项有以下情形之一的，该奖项视为无效，不予计分：</w:t>
            </w:r>
          </w:p>
          <w:p w14:paraId="5C1C97E5">
            <w:pPr>
              <w:keepNext w:val="0"/>
              <w:keepLines w:val="0"/>
              <w:widowControl/>
              <w:suppressLineNumbers w:val="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①奖项不属于指定类别的； </w:t>
            </w:r>
          </w:p>
          <w:p w14:paraId="3039D96D">
            <w:pPr>
              <w:keepNext w:val="0"/>
              <w:keepLines w:val="0"/>
              <w:widowControl/>
              <w:suppressLineNumbers w:val="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②颁发机构不符合要求的；</w:t>
            </w:r>
          </w:p>
          <w:p w14:paraId="3F7732CD">
            <w:pPr>
              <w:keepNext w:val="0"/>
              <w:keepLines w:val="0"/>
              <w:widowControl/>
              <w:suppressLineNumbers w:val="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③获奖时间不符合要求的。</w:t>
            </w:r>
          </w:p>
        </w:tc>
      </w:tr>
      <w:tr w14:paraId="2D6D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jc w:val="center"/>
        </w:trPr>
        <w:tc>
          <w:tcPr>
            <w:tcW w:w="1121" w:type="dxa"/>
            <w:noWrap w:val="0"/>
            <w:vAlign w:val="center"/>
          </w:tcPr>
          <w:p w14:paraId="0F60F28F">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t>业绩情况</w:t>
            </w:r>
          </w:p>
          <w:p w14:paraId="199F59B8">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pPr>
            <w:r>
              <w:rPr>
                <w:rFonts w:hint="eastAsia" w:ascii="宋体" w:hAnsi="宋体" w:eastAsia="宋体" w:cs="宋体"/>
                <w:b/>
                <w:bCs/>
                <w:caps w:val="0"/>
                <w:smallCaps w:val="0"/>
                <w:snapToGrid w:val="0"/>
                <w:color w:val="auto"/>
                <w:spacing w:val="0"/>
                <w:kern w:val="0"/>
                <w:sz w:val="22"/>
                <w:szCs w:val="22"/>
                <w:highlight w:val="none"/>
                <w:u w:val="none"/>
                <w:lang w:val="en-US" w:eastAsia="zh-CN" w:bidi="ar-SA"/>
              </w:rPr>
              <w:t>（10分）</w:t>
            </w:r>
          </w:p>
        </w:tc>
        <w:tc>
          <w:tcPr>
            <w:tcW w:w="4135" w:type="dxa"/>
            <w:noWrap w:val="0"/>
            <w:vAlign w:val="center"/>
          </w:tcPr>
          <w:p w14:paraId="3CED5E28">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t>投标人近年来（2021年1月1日至今）</w:t>
            </w:r>
            <w:r>
              <w:rPr>
                <w:rFonts w:hint="eastAsia" w:ascii="宋体" w:hAnsi="宋体" w:eastAsia="宋体" w:cs="宋体"/>
                <w:color w:val="auto"/>
                <w:kern w:val="0"/>
                <w:sz w:val="22"/>
                <w:szCs w:val="22"/>
                <w:highlight w:val="none"/>
                <w:lang w:val="en-US" w:eastAsia="zh-CN" w:bidi="ar-SA"/>
              </w:rPr>
              <w:t>的业绩情况：</w:t>
            </w:r>
          </w:p>
          <w:p w14:paraId="18CEEF96">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w:t>
            </w:r>
            <w:r>
              <w:rPr>
                <w:rFonts w:hint="eastAsia" w:ascii="宋体" w:hAnsi="宋体" w:eastAsia="宋体" w:cs="宋体"/>
                <w:b w:val="0"/>
                <w:bCs w:val="0"/>
                <w:caps w:val="0"/>
                <w:smallCaps w:val="0"/>
                <w:snapToGrid w:val="0"/>
                <w:color w:val="auto"/>
                <w:spacing w:val="0"/>
                <w:kern w:val="0"/>
                <w:sz w:val="22"/>
                <w:szCs w:val="22"/>
                <w:highlight w:val="none"/>
                <w:u w:val="single"/>
                <w:lang w:val="en-US" w:eastAsia="zh-CN" w:bidi="ar-SA"/>
              </w:rPr>
              <w:t>承接</w:t>
            </w:r>
            <w:r>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t>过</w:t>
            </w:r>
            <w:r>
              <w:rPr>
                <w:rFonts w:hint="eastAsia" w:ascii="宋体" w:hAnsi="宋体" w:eastAsia="宋体" w:cs="宋体"/>
                <w:color w:val="auto"/>
                <w:kern w:val="0"/>
                <w:sz w:val="22"/>
                <w:szCs w:val="22"/>
                <w:highlight w:val="none"/>
                <w:lang w:val="en-US" w:eastAsia="zh-CN" w:bidi="ar-SA"/>
              </w:rPr>
              <w:t>类似项目的，每个得</w:t>
            </w:r>
            <w:r>
              <w:rPr>
                <w:rFonts w:hint="eastAsia" w:ascii="宋体" w:hAnsi="宋体" w:eastAsia="宋体" w:cs="宋体"/>
                <w:color w:val="auto"/>
                <w:kern w:val="0"/>
                <w:sz w:val="22"/>
                <w:szCs w:val="22"/>
                <w:highlight w:val="none"/>
                <w:u w:val="single"/>
                <w:lang w:val="en-US" w:eastAsia="zh-CN" w:bidi="ar-SA"/>
              </w:rPr>
              <w:t>5</w:t>
            </w:r>
            <w:r>
              <w:rPr>
                <w:rFonts w:hint="eastAsia" w:ascii="宋体" w:hAnsi="宋体" w:eastAsia="宋体" w:cs="宋体"/>
                <w:color w:val="auto"/>
                <w:kern w:val="0"/>
                <w:sz w:val="22"/>
                <w:szCs w:val="22"/>
                <w:highlight w:val="none"/>
                <w:lang w:val="en-US" w:eastAsia="zh-CN" w:bidi="ar-SA"/>
              </w:rPr>
              <w:t>分；</w:t>
            </w:r>
          </w:p>
          <w:p w14:paraId="04E339BF">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2.未</w:t>
            </w:r>
            <w:r>
              <w:rPr>
                <w:rFonts w:hint="eastAsia" w:ascii="宋体" w:hAnsi="宋体" w:eastAsia="宋体" w:cs="宋体"/>
                <w:b w:val="0"/>
                <w:bCs w:val="0"/>
                <w:caps w:val="0"/>
                <w:smallCaps w:val="0"/>
                <w:snapToGrid w:val="0"/>
                <w:color w:val="auto"/>
                <w:spacing w:val="0"/>
                <w:kern w:val="0"/>
                <w:sz w:val="22"/>
                <w:szCs w:val="22"/>
                <w:highlight w:val="none"/>
                <w:u w:val="single"/>
                <w:lang w:val="en-US" w:eastAsia="zh-CN" w:bidi="ar-SA"/>
              </w:rPr>
              <w:t>承接</w:t>
            </w:r>
            <w:r>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t>过</w:t>
            </w:r>
            <w:r>
              <w:rPr>
                <w:rFonts w:hint="eastAsia" w:ascii="宋体" w:hAnsi="宋体" w:eastAsia="宋体" w:cs="宋体"/>
                <w:color w:val="auto"/>
                <w:kern w:val="0"/>
                <w:sz w:val="22"/>
                <w:szCs w:val="22"/>
                <w:highlight w:val="none"/>
                <w:lang w:val="en-US" w:eastAsia="zh-CN" w:bidi="ar-SA"/>
              </w:rPr>
              <w:t>类似项目，不予计分；</w:t>
            </w:r>
          </w:p>
          <w:p w14:paraId="6B708654">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t>说明：本项最高得15分。</w:t>
            </w:r>
          </w:p>
        </w:tc>
        <w:tc>
          <w:tcPr>
            <w:tcW w:w="4252" w:type="dxa"/>
            <w:noWrap w:val="0"/>
            <w:vAlign w:val="center"/>
          </w:tcPr>
          <w:p w14:paraId="6E0FEC91">
            <w:pPr>
              <w:pStyle w:val="10"/>
              <w:wordWrap w:val="0"/>
              <w:adjustRightInd w:val="0"/>
              <w:snapToGrid w:val="0"/>
              <w:spacing w:after="0"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1.类似项目：是指市政公用类监理项目。</w:t>
            </w:r>
          </w:p>
          <w:p w14:paraId="02B6D5C4">
            <w:pPr>
              <w:pStyle w:val="10"/>
              <w:wordWrap w:val="0"/>
              <w:adjustRightInd w:val="0"/>
              <w:snapToGrid w:val="0"/>
              <w:spacing w:after="0"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2.需附有关业绩中标通知书或监理合同关键页彩色扫描件。</w:t>
            </w:r>
          </w:p>
          <w:p w14:paraId="5BCD2372">
            <w:pPr>
              <w:pStyle w:val="10"/>
              <w:wordWrap w:val="0"/>
              <w:adjustRightInd w:val="0"/>
              <w:snapToGrid w:val="0"/>
              <w:spacing w:after="0"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3.业绩时间以中标通知书或监理合同签订时间为准。</w:t>
            </w:r>
          </w:p>
          <w:p w14:paraId="68EEE0EB">
            <w:pPr>
              <w:pStyle w:val="10"/>
              <w:wordWrap w:val="0"/>
              <w:adjustRightInd w:val="0"/>
              <w:snapToGrid w:val="0"/>
              <w:spacing w:after="0"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4．任一业绩有以下情形之一的，该业绩视为无效，不予计分： </w:t>
            </w:r>
          </w:p>
          <w:p w14:paraId="212AA792">
            <w:pPr>
              <w:pStyle w:val="10"/>
              <w:wordWrap w:val="0"/>
              <w:adjustRightInd w:val="0"/>
              <w:snapToGrid w:val="0"/>
              <w:spacing w:after="0"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①业绩不属于类似项目的； </w:t>
            </w:r>
          </w:p>
          <w:p w14:paraId="6A8F133A">
            <w:pPr>
              <w:pStyle w:val="10"/>
              <w:wordWrap w:val="0"/>
              <w:adjustRightInd w:val="0"/>
              <w:snapToGrid w:val="0"/>
              <w:spacing w:after="0"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②业绩时间不符合要求的。</w:t>
            </w:r>
          </w:p>
        </w:tc>
      </w:tr>
      <w:tr w14:paraId="033D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121" w:type="dxa"/>
            <w:noWrap w:val="0"/>
            <w:vAlign w:val="center"/>
          </w:tcPr>
          <w:p w14:paraId="307346BC">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t>企业管理体系认证</w:t>
            </w:r>
          </w:p>
          <w:p w14:paraId="1637907B">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pPr>
            <w:r>
              <w:rPr>
                <w:rFonts w:hint="eastAsia" w:ascii="宋体" w:hAnsi="宋体" w:eastAsia="宋体" w:cs="宋体"/>
                <w:b/>
                <w:bCs/>
                <w:caps w:val="0"/>
                <w:smallCaps w:val="0"/>
                <w:snapToGrid w:val="0"/>
                <w:color w:val="auto"/>
                <w:spacing w:val="0"/>
                <w:kern w:val="0"/>
                <w:sz w:val="22"/>
                <w:szCs w:val="22"/>
                <w:highlight w:val="none"/>
                <w:u w:val="none"/>
                <w:lang w:val="en-US" w:eastAsia="zh-CN" w:bidi="ar-SA"/>
              </w:rPr>
              <w:t>（10分）</w:t>
            </w:r>
          </w:p>
        </w:tc>
        <w:tc>
          <w:tcPr>
            <w:tcW w:w="4135" w:type="dxa"/>
            <w:noWrap w:val="0"/>
            <w:vAlign w:val="center"/>
          </w:tcPr>
          <w:p w14:paraId="1F4C097D">
            <w:pPr>
              <w:keepNext w:val="0"/>
              <w:keepLines w:val="0"/>
              <w:pageBreakBefore w:val="0"/>
              <w:widowControl w:val="0"/>
              <w:kinsoku/>
              <w:wordWrap/>
              <w:overflowPunct/>
              <w:topLinePunct w:val="0"/>
              <w:autoSpaceDE/>
              <w:autoSpaceDN/>
              <w:bidi w:val="0"/>
              <w:adjustRightInd w:val="0"/>
              <w:snapToGrid/>
              <w:spacing w:line="336" w:lineRule="auto"/>
              <w:jc w:val="left"/>
              <w:textAlignment w:val="auto"/>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pPr>
            <w:r>
              <w:rPr>
                <w:rFonts w:hint="eastAsia" w:ascii="宋体" w:hAnsi="宋体" w:eastAsia="宋体" w:cs="宋体"/>
                <w:color w:val="auto"/>
                <w:sz w:val="22"/>
                <w:szCs w:val="22"/>
                <w:highlight w:val="none"/>
              </w:rPr>
              <w:t>投标人具有在有效期内的环境管理体系认证、职业健康安全管理体系认证、质量管理体系认证</w:t>
            </w:r>
            <w:r>
              <w:rPr>
                <w:rFonts w:hint="eastAsia" w:ascii="宋体" w:hAnsi="宋体" w:eastAsia="宋体" w:cs="宋体"/>
                <w:color w:val="auto"/>
                <w:sz w:val="22"/>
                <w:szCs w:val="22"/>
                <w:highlight w:val="none"/>
                <w:lang w:val="en-US" w:eastAsia="zh-CN"/>
              </w:rPr>
              <w:t>的得10分，</w:t>
            </w:r>
            <w:r>
              <w:rPr>
                <w:rFonts w:hint="eastAsia" w:ascii="宋体" w:hAnsi="宋体" w:eastAsia="宋体" w:cs="宋体"/>
                <w:color w:val="000000" w:themeColor="text1"/>
                <w:sz w:val="22"/>
                <w:szCs w:val="22"/>
                <w:highlight w:val="none"/>
                <w14:textFill>
                  <w14:solidFill>
                    <w14:schemeClr w14:val="tx1"/>
                  </w14:solidFill>
                </w14:textFill>
              </w:rPr>
              <w:t>缺一项不得分。</w:t>
            </w:r>
          </w:p>
          <w:p w14:paraId="7A95C486">
            <w:pPr>
              <w:pStyle w:val="5"/>
              <w:pageBreakBefore w:val="0"/>
              <w:widowControl w:val="0"/>
              <w:numPr>
                <w:ilvl w:val="0"/>
                <w:numId w:val="0"/>
              </w:numPr>
              <w:kinsoku/>
              <w:wordWrap/>
              <w:overflowPunct/>
              <w:topLinePunct w:val="0"/>
              <w:autoSpaceDE/>
              <w:autoSpaceDN/>
              <w:bidi w:val="0"/>
              <w:snapToGrid/>
              <w:spacing w:before="0" w:beforeLines="0" w:after="0" w:afterLines="0" w:line="336" w:lineRule="auto"/>
              <w:ind w:lef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t>说明：本项最高得10分。</w:t>
            </w:r>
          </w:p>
        </w:tc>
        <w:tc>
          <w:tcPr>
            <w:tcW w:w="4252" w:type="dxa"/>
            <w:noWrap w:val="0"/>
            <w:vAlign w:val="center"/>
          </w:tcPr>
          <w:p w14:paraId="41CDB24E">
            <w:pPr>
              <w:pStyle w:val="10"/>
              <w:wordWrap w:val="0"/>
              <w:adjustRightInd w:val="0"/>
              <w:snapToGrid w:val="0"/>
              <w:spacing w:after="0"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1．需附在有效期内的认证证书彩色扫描件。</w:t>
            </w:r>
          </w:p>
          <w:p w14:paraId="64E769AB">
            <w:pPr>
              <w:pStyle w:val="10"/>
              <w:wordWrap w:val="0"/>
              <w:adjustRightInd w:val="0"/>
              <w:snapToGrid w:val="0"/>
              <w:spacing w:after="0"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2．任一认证证书不在有效期内的，该认证证书视为无效，不予计分。</w:t>
            </w:r>
          </w:p>
        </w:tc>
      </w:tr>
      <w:tr w14:paraId="4B94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1121" w:type="dxa"/>
            <w:noWrap w:val="0"/>
            <w:vAlign w:val="center"/>
          </w:tcPr>
          <w:p w14:paraId="08917C57">
            <w:pPr>
              <w:keepNext w:val="0"/>
              <w:keepLines w:val="0"/>
              <w:pageBreakBefore w:val="0"/>
              <w:widowControl w:val="0"/>
              <w:kinsoku/>
              <w:wordWrap/>
              <w:overflowPunct/>
              <w:topLinePunct w:val="0"/>
              <w:autoSpaceDE/>
              <w:autoSpaceDN/>
              <w:bidi w:val="0"/>
              <w:adjustRightInd w:val="0"/>
              <w:snapToGrid/>
              <w:spacing w:after="0" w:afterLines="0" w:afterAutospacing="0" w:line="40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企业纳税等级</w:t>
            </w:r>
          </w:p>
          <w:p w14:paraId="54A28F63">
            <w:pPr>
              <w:keepNext w:val="0"/>
              <w:keepLines w:val="0"/>
              <w:pageBreakBefore w:val="0"/>
              <w:widowControl w:val="0"/>
              <w:kinsoku/>
              <w:wordWrap/>
              <w:overflowPunct/>
              <w:topLinePunct w:val="0"/>
              <w:autoSpaceDE/>
              <w:autoSpaceDN/>
              <w:bidi w:val="0"/>
              <w:adjustRightInd w:val="0"/>
              <w:snapToGrid/>
              <w:spacing w:after="0" w:afterLines="0" w:afterAutospacing="0" w:line="40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bCs/>
                <w:strike w:val="0"/>
                <w:dstrike w:val="0"/>
                <w:snapToGrid w:val="0"/>
                <w:color w:val="auto"/>
                <w:kern w:val="0"/>
                <w:sz w:val="22"/>
                <w:szCs w:val="22"/>
                <w:highlight w:val="none"/>
                <w:u w:val="none"/>
                <w:lang w:val="en-US" w:eastAsia="zh-CN" w:bidi="ar-SA"/>
              </w:rPr>
              <w:t>（5分）</w:t>
            </w:r>
          </w:p>
        </w:tc>
        <w:tc>
          <w:tcPr>
            <w:tcW w:w="4135" w:type="dxa"/>
            <w:noWrap w:val="0"/>
            <w:vAlign w:val="center"/>
          </w:tcPr>
          <w:p w14:paraId="31A4280F">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获得税务部门颁发</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纳税信用A级证书</w:t>
            </w:r>
            <w:r>
              <w:rPr>
                <w:rFonts w:hint="eastAsia" w:ascii="宋体" w:hAnsi="宋体" w:eastAsia="宋体" w:cs="宋体"/>
                <w:color w:val="auto"/>
                <w:sz w:val="22"/>
                <w:szCs w:val="22"/>
                <w:highlight w:val="none"/>
                <w:lang w:val="en-US" w:eastAsia="zh-CN"/>
              </w:rPr>
              <w:t>情况</w:t>
            </w:r>
            <w:r>
              <w:rPr>
                <w:rFonts w:hint="eastAsia" w:ascii="宋体" w:hAnsi="宋体" w:eastAsia="宋体" w:cs="宋体"/>
                <w:color w:val="auto"/>
                <w:sz w:val="22"/>
                <w:szCs w:val="22"/>
                <w:highlight w:val="none"/>
              </w:rPr>
              <w:t>：</w:t>
            </w:r>
          </w:p>
          <w:p w14:paraId="00EA33E8">
            <w:pPr>
              <w:keepNext w:val="0"/>
              <w:keepLines w:val="0"/>
              <w:pageBreakBefore w:val="0"/>
              <w:kinsoku/>
              <w:wordWrap/>
              <w:overflowPunct/>
              <w:topLinePunct w:val="0"/>
              <w:autoSpaceDE/>
              <w:autoSpaceDN/>
              <w:bidi w:val="0"/>
              <w:snapToGrid/>
              <w:spacing w:line="360" w:lineRule="auto"/>
              <w:ind w:right="0" w:rightChars="0"/>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2021年至今企业获得过</w:t>
            </w:r>
            <w:r>
              <w:rPr>
                <w:rFonts w:hint="eastAsia" w:ascii="宋体" w:hAnsi="宋体" w:eastAsia="宋体" w:cs="宋体"/>
                <w:color w:val="auto"/>
                <w:sz w:val="22"/>
                <w:szCs w:val="22"/>
                <w:highlight w:val="none"/>
              </w:rPr>
              <w:t>纳税信用A级</w:t>
            </w:r>
            <w:r>
              <w:rPr>
                <w:rFonts w:hint="eastAsia" w:ascii="宋体" w:hAnsi="宋体" w:eastAsia="宋体" w:cs="宋体"/>
                <w:color w:val="auto"/>
                <w:sz w:val="22"/>
                <w:szCs w:val="22"/>
                <w:highlight w:val="none"/>
                <w:lang w:val="en-US" w:eastAsia="zh-CN"/>
              </w:rPr>
              <w:t>的，得5分</w:t>
            </w:r>
            <w:r>
              <w:rPr>
                <w:rFonts w:hint="eastAsia" w:ascii="宋体" w:hAnsi="宋体" w:eastAsia="宋体" w:cs="宋体"/>
                <w:b w:val="0"/>
                <w:bCs w:val="0"/>
                <w:color w:val="auto"/>
                <w:kern w:val="0"/>
                <w:sz w:val="22"/>
                <w:szCs w:val="22"/>
                <w:highlight w:val="none"/>
                <w:lang w:val="en-US" w:eastAsia="zh-CN"/>
              </w:rPr>
              <w:t>；</w:t>
            </w:r>
          </w:p>
          <w:p w14:paraId="2A48571F">
            <w:pPr>
              <w:pStyle w:val="5"/>
              <w:pageBreakBefore w:val="0"/>
              <w:numPr>
                <w:ilvl w:val="0"/>
                <w:numId w:val="0"/>
              </w:numPr>
              <w:kinsoku/>
              <w:wordWrap/>
              <w:overflowPunct/>
              <w:topLinePunct w:val="0"/>
              <w:autoSpaceDE/>
              <w:autoSpaceDN/>
              <w:bidi w:val="0"/>
              <w:spacing w:before="0" w:beforeLines="0" w:after="0" w:afterLines="0" w:line="360" w:lineRule="auto"/>
              <w:ind w:leftChars="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说明：本项最高得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4252" w:type="dxa"/>
            <w:noWrap w:val="0"/>
            <w:vAlign w:val="center"/>
          </w:tcPr>
          <w:p w14:paraId="67D68769">
            <w:pPr>
              <w:pStyle w:val="10"/>
              <w:wordWrap w:val="0"/>
              <w:adjustRightInd w:val="0"/>
              <w:snapToGrid w:val="0"/>
              <w:spacing w:after="0" w:line="4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1．须提供税务部门颁发的纳税信用证书（或证明材料）彩色扫描件及</w:t>
            </w:r>
            <w:r>
              <w:rPr>
                <w:rFonts w:hint="eastAsia" w:ascii="宋体" w:hAnsi="宋体" w:eastAsia="宋体" w:cs="宋体"/>
                <w:color w:val="auto"/>
                <w:sz w:val="22"/>
                <w:szCs w:val="22"/>
                <w:highlight w:val="none"/>
              </w:rPr>
              <w:t>地市级或以上税务局查询网页截图，否则不得分。</w:t>
            </w:r>
          </w:p>
          <w:p w14:paraId="12B9F250">
            <w:pPr>
              <w:pStyle w:val="10"/>
              <w:wordWrap w:val="0"/>
              <w:adjustRightInd w:val="0"/>
              <w:snapToGrid w:val="0"/>
              <w:spacing w:after="0"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2．只计算投标人自身（不计算投标人的分公司、子公司及分支机构）。</w:t>
            </w:r>
          </w:p>
        </w:tc>
      </w:tr>
      <w:tr w14:paraId="3022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121" w:type="dxa"/>
            <w:vMerge w:val="restart"/>
            <w:noWrap w:val="0"/>
            <w:vAlign w:val="center"/>
          </w:tcPr>
          <w:p w14:paraId="71CE1FF8">
            <w:pPr>
              <w:keepNext w:val="0"/>
              <w:keepLines w:val="0"/>
              <w:pageBreakBefore w:val="0"/>
              <w:widowControl w:val="0"/>
              <w:kinsoku/>
              <w:wordWrap/>
              <w:overflowPunct/>
              <w:topLinePunct w:val="0"/>
              <w:autoSpaceDE/>
              <w:autoSpaceDN/>
              <w:bidi w:val="0"/>
              <w:adjustRightInd w:val="0"/>
              <w:snapToGrid/>
              <w:spacing w:after="0" w:afterLines="0" w:afterAutospacing="0" w:line="40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项目监理机构其他人员</w:t>
            </w:r>
          </w:p>
          <w:p w14:paraId="472BEDE2">
            <w:pPr>
              <w:keepNext w:val="0"/>
              <w:keepLines w:val="0"/>
              <w:pageBreakBefore w:val="0"/>
              <w:widowControl w:val="0"/>
              <w:kinsoku/>
              <w:wordWrap/>
              <w:overflowPunct/>
              <w:topLinePunct w:val="0"/>
              <w:autoSpaceDE/>
              <w:autoSpaceDN/>
              <w:bidi w:val="0"/>
              <w:snapToGrid/>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strike w:val="0"/>
                <w:dstrike w:val="0"/>
                <w:snapToGrid w:val="0"/>
                <w:color w:val="auto"/>
                <w:kern w:val="0"/>
                <w:sz w:val="22"/>
                <w:szCs w:val="22"/>
                <w:highlight w:val="none"/>
                <w:u w:val="none"/>
                <w:lang w:val="en-US" w:eastAsia="zh-CN" w:bidi="ar-SA"/>
              </w:rPr>
              <w:t>（15分）</w:t>
            </w:r>
          </w:p>
        </w:tc>
        <w:tc>
          <w:tcPr>
            <w:tcW w:w="4135" w:type="dxa"/>
            <w:noWrap w:val="0"/>
            <w:vAlign w:val="center"/>
          </w:tcPr>
          <w:p w14:paraId="12F45A52">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pPr>
            <w:r>
              <w:rPr>
                <w:rFonts w:hint="eastAsia" w:ascii="宋体" w:hAnsi="宋体" w:eastAsia="宋体" w:cs="宋体"/>
                <w:snapToGrid w:val="0"/>
                <w:color w:val="auto"/>
                <w:kern w:val="0"/>
                <w:sz w:val="22"/>
                <w:szCs w:val="22"/>
                <w:highlight w:val="none"/>
              </w:rPr>
              <w:t>其他拟派人员</w:t>
            </w:r>
            <w:r>
              <w:rPr>
                <w:rFonts w:hint="eastAsia" w:ascii="宋体" w:hAnsi="宋体" w:eastAsia="宋体" w:cs="宋体"/>
                <w:snapToGrid w:val="0"/>
                <w:color w:val="auto"/>
                <w:kern w:val="0"/>
                <w:sz w:val="22"/>
                <w:szCs w:val="22"/>
                <w:highlight w:val="none"/>
                <w:lang w:eastAsia="zh-CN"/>
              </w:rPr>
              <w:t>的</w:t>
            </w:r>
            <w:r>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t>数量和专业完全满足表2《项目监理机构其他人员需求表》（以下简称《需求表》）要求的得3分。</w:t>
            </w:r>
          </w:p>
          <w:p w14:paraId="4FD69C49">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val="0"/>
                <w:bCs w:val="0"/>
                <w:caps w:val="0"/>
                <w:smallCaps w:val="0"/>
                <w:snapToGrid w:val="0"/>
                <w:color w:val="auto"/>
                <w:spacing w:val="0"/>
                <w:kern w:val="0"/>
                <w:sz w:val="22"/>
                <w:szCs w:val="22"/>
                <w:highlight w:val="none"/>
                <w:u w:val="none"/>
                <w:lang w:val="en-US" w:eastAsia="zh-CN" w:bidi="ar-SA"/>
              </w:rPr>
              <w:t>说明：本项最高得3分。</w:t>
            </w:r>
          </w:p>
        </w:tc>
        <w:tc>
          <w:tcPr>
            <w:tcW w:w="4252" w:type="dxa"/>
            <w:noWrap w:val="0"/>
            <w:vAlign w:val="center"/>
          </w:tcPr>
          <w:p w14:paraId="696A8539">
            <w:pPr>
              <w:pStyle w:val="10"/>
              <w:wordWrap w:val="0"/>
              <w:adjustRightInd w:val="0"/>
              <w:snapToGrid w:val="0"/>
              <w:spacing w:after="0"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1.须提供相关证书、证明材料彩色扫描件（</w:t>
            </w:r>
            <w:r>
              <w:rPr>
                <w:rFonts w:hint="eastAsia" w:ascii="宋体" w:hAnsi="宋体" w:eastAsia="宋体" w:cs="宋体"/>
                <w:color w:val="auto"/>
                <w:sz w:val="22"/>
                <w:szCs w:val="22"/>
                <w:highlight w:val="none"/>
                <w:lang w:eastAsia="zh-CN"/>
              </w:rPr>
              <w:t>或电子证书）</w:t>
            </w:r>
            <w:r>
              <w:rPr>
                <w:rFonts w:hint="eastAsia" w:ascii="宋体" w:hAnsi="宋体" w:eastAsia="宋体" w:cs="宋体"/>
                <w:color w:val="auto"/>
                <w:sz w:val="22"/>
                <w:szCs w:val="22"/>
                <w:highlight w:val="none"/>
                <w:lang w:val="en-US" w:eastAsia="zh-CN"/>
              </w:rPr>
              <w:t>。</w:t>
            </w:r>
          </w:p>
          <w:p w14:paraId="7AB6973D">
            <w:pPr>
              <w:pStyle w:val="10"/>
              <w:wordWrap w:val="0"/>
              <w:adjustRightInd w:val="0"/>
              <w:snapToGrid w:val="0"/>
              <w:spacing w:after="0" w:line="40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2.其他拟派人员的数量或专业不满足《需求表》要求的，均视为“不符合要求”。</w:t>
            </w:r>
          </w:p>
        </w:tc>
      </w:tr>
      <w:tr w14:paraId="32F1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1" w:type="dxa"/>
            <w:vMerge w:val="continue"/>
            <w:noWrap w:val="0"/>
            <w:vAlign w:val="center"/>
          </w:tcPr>
          <w:p w14:paraId="3E16F552">
            <w:pPr>
              <w:keepNext w:val="0"/>
              <w:keepLines w:val="0"/>
              <w:pageBreakBefore w:val="0"/>
              <w:kinsoku/>
              <w:wordWrap/>
              <w:overflowPunct/>
              <w:topLinePunct w:val="0"/>
              <w:autoSpaceDE/>
              <w:autoSpaceDN/>
              <w:bidi w:val="0"/>
              <w:snapToGrid/>
              <w:spacing w:line="400" w:lineRule="exact"/>
              <w:ind w:leftChars="0"/>
              <w:rPr>
                <w:rFonts w:hint="eastAsia" w:ascii="宋体" w:hAnsi="宋体" w:eastAsia="宋体" w:cs="宋体"/>
                <w:color w:val="auto"/>
                <w:sz w:val="22"/>
                <w:szCs w:val="22"/>
                <w:highlight w:val="none"/>
              </w:rPr>
            </w:pPr>
          </w:p>
        </w:tc>
        <w:tc>
          <w:tcPr>
            <w:tcW w:w="4135" w:type="dxa"/>
            <w:noWrap w:val="0"/>
            <w:vAlign w:val="center"/>
          </w:tcPr>
          <w:p w14:paraId="2AE07D27">
            <w:pPr>
              <w:pStyle w:val="10"/>
              <w:wordWrap w:val="0"/>
              <w:adjustRightInd w:val="0"/>
              <w:snapToGrid w:val="0"/>
              <w:spacing w:after="0"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在完全满足《需求表》的基础上，拟委派本项目的人员（项目总监除外）：</w:t>
            </w:r>
          </w:p>
          <w:p w14:paraId="3511620D">
            <w:pPr>
              <w:pStyle w:val="10"/>
              <w:wordWrap w:val="0"/>
              <w:adjustRightInd w:val="0"/>
              <w:snapToGrid w:val="0"/>
              <w:spacing w:after="0"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w:t>
            </w:r>
            <w:r>
              <w:rPr>
                <w:rFonts w:hint="eastAsia" w:ascii="宋体" w:hAnsi="宋体" w:eastAsia="宋体" w:cs="宋体"/>
                <w:b w:val="0"/>
                <w:bCs w:val="0"/>
                <w:color w:val="auto"/>
                <w:sz w:val="22"/>
                <w:szCs w:val="22"/>
                <w:highlight w:val="none"/>
                <w:lang w:val="en-US" w:eastAsia="zh-CN"/>
              </w:rPr>
              <w:t>专业</w:t>
            </w:r>
            <w:r>
              <w:rPr>
                <w:rFonts w:hint="eastAsia" w:ascii="宋体" w:hAnsi="宋体" w:eastAsia="宋体" w:cs="宋体"/>
                <w:snapToGrid w:val="0"/>
                <w:color w:val="auto"/>
                <w:kern w:val="0"/>
                <w:sz w:val="22"/>
                <w:szCs w:val="22"/>
                <w:highlight w:val="none"/>
              </w:rPr>
              <w:t>监理工程师：</w:t>
            </w:r>
            <w:r>
              <w:rPr>
                <w:rFonts w:hint="eastAsia" w:ascii="宋体" w:hAnsi="宋体" w:eastAsia="宋体" w:cs="宋体"/>
                <w:snapToGrid w:val="0"/>
                <w:color w:val="auto"/>
                <w:kern w:val="0"/>
                <w:sz w:val="22"/>
                <w:szCs w:val="22"/>
                <w:highlight w:val="none"/>
                <w:lang w:val="en-US" w:eastAsia="zh-CN"/>
              </w:rPr>
              <w:t>同时具有国家注册监理工程师</w:t>
            </w:r>
            <w:r>
              <w:rPr>
                <w:rFonts w:hint="eastAsia" w:ascii="宋体" w:hAnsi="宋体" w:eastAsia="宋体" w:cs="宋体"/>
                <w:snapToGrid w:val="0"/>
                <w:color w:val="auto"/>
                <w:kern w:val="0"/>
                <w:sz w:val="22"/>
                <w:szCs w:val="22"/>
                <w:highlight w:val="none"/>
              </w:rPr>
              <w:t>证书</w:t>
            </w:r>
            <w:r>
              <w:rPr>
                <w:rFonts w:hint="eastAsia" w:ascii="宋体" w:hAnsi="宋体" w:eastAsia="宋体" w:cs="宋体"/>
                <w:snapToGrid w:val="0"/>
                <w:color w:val="auto"/>
                <w:kern w:val="0"/>
                <w:sz w:val="22"/>
                <w:szCs w:val="22"/>
                <w:highlight w:val="none"/>
                <w:lang w:val="en-US" w:eastAsia="zh-CN"/>
              </w:rPr>
              <w:t>和</w:t>
            </w:r>
            <w:r>
              <w:rPr>
                <w:rFonts w:hint="eastAsia" w:ascii="宋体" w:hAnsi="宋体" w:eastAsia="宋体" w:cs="宋体"/>
                <w:snapToGrid w:val="0"/>
                <w:color w:val="auto"/>
                <w:kern w:val="0"/>
                <w:sz w:val="22"/>
                <w:szCs w:val="22"/>
                <w:highlight w:val="none"/>
              </w:rPr>
              <w:t>工程类高级工程师</w:t>
            </w:r>
            <w:r>
              <w:rPr>
                <w:rFonts w:hint="eastAsia" w:ascii="宋体" w:hAnsi="宋体" w:eastAsia="宋体" w:cs="宋体"/>
                <w:snapToGrid w:val="0"/>
                <w:color w:val="auto"/>
                <w:kern w:val="0"/>
                <w:sz w:val="22"/>
                <w:szCs w:val="22"/>
                <w:highlight w:val="none"/>
                <w:lang w:val="en-US" w:eastAsia="zh-CN"/>
              </w:rPr>
              <w:t>或</w:t>
            </w:r>
            <w:r>
              <w:rPr>
                <w:rFonts w:hint="eastAsia" w:ascii="宋体" w:hAnsi="宋体" w:eastAsia="宋体" w:cs="宋体"/>
                <w:snapToGrid w:val="0"/>
                <w:color w:val="auto"/>
                <w:kern w:val="0"/>
                <w:sz w:val="22"/>
                <w:szCs w:val="22"/>
                <w:highlight w:val="none"/>
              </w:rPr>
              <w:t>以上职称证书的</w:t>
            </w:r>
            <w:r>
              <w:rPr>
                <w:rFonts w:hint="eastAsia" w:ascii="宋体" w:hAnsi="宋体" w:eastAsia="宋体" w:cs="宋体"/>
                <w:snapToGrid w:val="0"/>
                <w:color w:val="auto"/>
                <w:kern w:val="0"/>
                <w:sz w:val="22"/>
                <w:szCs w:val="22"/>
                <w:highlight w:val="none"/>
                <w:lang w:val="en-US" w:eastAsia="zh-CN"/>
              </w:rPr>
              <w:t>得6分</w:t>
            </w:r>
            <w:r>
              <w:rPr>
                <w:rFonts w:hint="eastAsia" w:ascii="宋体" w:hAnsi="宋体" w:eastAsia="宋体" w:cs="宋体"/>
                <w:snapToGrid w:val="0"/>
                <w:color w:val="auto"/>
                <w:kern w:val="0"/>
                <w:sz w:val="22"/>
                <w:szCs w:val="22"/>
                <w:highlight w:val="none"/>
              </w:rPr>
              <w:t>。</w:t>
            </w:r>
          </w:p>
          <w:p w14:paraId="292FBF62">
            <w:pPr>
              <w:pStyle w:val="10"/>
              <w:wordWrap w:val="0"/>
              <w:adjustRightInd w:val="0"/>
              <w:snapToGrid w:val="0"/>
              <w:spacing w:after="0" w:line="400" w:lineRule="exact"/>
              <w:rPr>
                <w:rFonts w:hint="eastAsia" w:ascii="宋体" w:hAnsi="宋体" w:eastAsia="宋体" w:cs="宋体"/>
                <w:sz w:val="22"/>
                <w:szCs w:val="22"/>
                <w:lang w:val="en-US" w:eastAsia="zh-CN"/>
              </w:rPr>
            </w:pPr>
            <w:r>
              <w:rPr>
                <w:rFonts w:hint="eastAsia" w:ascii="宋体" w:hAnsi="宋体" w:eastAsia="宋体" w:cs="宋体"/>
                <w:snapToGrid w:val="0"/>
                <w:color w:val="auto"/>
                <w:kern w:val="0"/>
                <w:sz w:val="22"/>
                <w:szCs w:val="22"/>
                <w:highlight w:val="none"/>
              </w:rPr>
              <w:t>2、安全</w:t>
            </w:r>
            <w:r>
              <w:rPr>
                <w:rFonts w:hint="eastAsia" w:ascii="宋体" w:hAnsi="宋体" w:eastAsia="宋体" w:cs="宋体"/>
                <w:snapToGrid w:val="0"/>
                <w:color w:val="auto"/>
                <w:kern w:val="0"/>
                <w:sz w:val="22"/>
                <w:szCs w:val="22"/>
                <w:highlight w:val="none"/>
                <w:lang w:eastAsia="zh-CN"/>
              </w:rPr>
              <w:t>监理</w:t>
            </w:r>
            <w:r>
              <w:rPr>
                <w:rFonts w:hint="eastAsia" w:hAnsi="宋体" w:cs="宋体"/>
                <w:snapToGrid w:val="0"/>
                <w:color w:val="auto"/>
                <w:kern w:val="0"/>
                <w:sz w:val="22"/>
                <w:szCs w:val="22"/>
                <w:highlight w:val="none"/>
                <w:lang w:val="en-US" w:eastAsia="zh-CN"/>
              </w:rPr>
              <w:t>员</w:t>
            </w:r>
            <w:r>
              <w:rPr>
                <w:rFonts w:hint="eastAsia" w:ascii="宋体" w:hAnsi="宋体" w:eastAsia="宋体" w:cs="宋体"/>
                <w:snapToGrid w:val="0"/>
                <w:color w:val="auto"/>
                <w:kern w:val="0"/>
                <w:sz w:val="22"/>
                <w:szCs w:val="22"/>
                <w:highlight w:val="none"/>
                <w:lang w:eastAsia="zh-CN"/>
              </w:rPr>
              <w:t>同时</w:t>
            </w:r>
            <w:r>
              <w:rPr>
                <w:rFonts w:hint="eastAsia" w:ascii="宋体" w:hAnsi="宋体" w:eastAsia="宋体" w:cs="宋体"/>
                <w:snapToGrid w:val="0"/>
                <w:color w:val="auto"/>
                <w:kern w:val="0"/>
                <w:sz w:val="22"/>
                <w:szCs w:val="22"/>
                <w:highlight w:val="none"/>
              </w:rPr>
              <w:t>具备</w:t>
            </w:r>
            <w:r>
              <w:rPr>
                <w:rFonts w:hint="eastAsia" w:ascii="宋体" w:hAnsi="宋体" w:eastAsia="宋体" w:cs="宋体"/>
                <w:snapToGrid w:val="0"/>
                <w:color w:val="auto"/>
                <w:kern w:val="0"/>
                <w:sz w:val="22"/>
                <w:szCs w:val="22"/>
                <w:highlight w:val="none"/>
                <w:lang w:val="en-US" w:eastAsia="zh-CN"/>
              </w:rPr>
              <w:t>注册安全工程师</w:t>
            </w:r>
            <w:r>
              <w:rPr>
                <w:rFonts w:hint="eastAsia" w:hAnsi="宋体" w:cs="宋体"/>
                <w:snapToGrid w:val="0"/>
                <w:color w:val="auto"/>
                <w:kern w:val="0"/>
                <w:sz w:val="22"/>
                <w:szCs w:val="22"/>
                <w:highlight w:val="none"/>
                <w:lang w:val="en-US" w:eastAsia="zh-CN"/>
              </w:rPr>
              <w:t>、</w:t>
            </w:r>
            <w:r>
              <w:rPr>
                <w:rFonts w:hint="eastAsia" w:ascii="宋体" w:hAnsi="宋体" w:eastAsia="宋体" w:cs="宋体"/>
                <w:snapToGrid w:val="0"/>
                <w:color w:val="auto"/>
                <w:kern w:val="0"/>
                <w:sz w:val="22"/>
                <w:szCs w:val="22"/>
                <w:highlight w:val="none"/>
              </w:rPr>
              <w:t>安全评价师</w:t>
            </w:r>
            <w:r>
              <w:rPr>
                <w:rFonts w:hint="eastAsia" w:ascii="宋体" w:hAnsi="宋体" w:eastAsia="宋体" w:cs="宋体"/>
                <w:snapToGrid w:val="0"/>
                <w:color w:val="auto"/>
                <w:kern w:val="0"/>
                <w:sz w:val="22"/>
                <w:szCs w:val="22"/>
                <w:highlight w:val="none"/>
                <w:lang w:val="en-US" w:eastAsia="zh-CN"/>
              </w:rPr>
              <w:t>职业资格证书和</w:t>
            </w:r>
            <w:r>
              <w:rPr>
                <w:rFonts w:hint="eastAsia" w:ascii="宋体" w:hAnsi="宋体" w:eastAsia="宋体" w:cs="宋体"/>
                <w:snapToGrid w:val="0"/>
                <w:color w:val="auto"/>
                <w:kern w:val="0"/>
                <w:sz w:val="22"/>
                <w:szCs w:val="22"/>
                <w:highlight w:val="none"/>
              </w:rPr>
              <w:t>工程类高级工程师</w:t>
            </w:r>
            <w:r>
              <w:rPr>
                <w:rFonts w:hint="eastAsia" w:ascii="宋体" w:hAnsi="宋体" w:eastAsia="宋体" w:cs="宋体"/>
                <w:snapToGrid w:val="0"/>
                <w:color w:val="auto"/>
                <w:kern w:val="0"/>
                <w:sz w:val="22"/>
                <w:szCs w:val="22"/>
                <w:highlight w:val="none"/>
                <w:lang w:val="en-US" w:eastAsia="zh-CN"/>
              </w:rPr>
              <w:t>或</w:t>
            </w:r>
            <w:r>
              <w:rPr>
                <w:rFonts w:hint="eastAsia" w:ascii="宋体" w:hAnsi="宋体" w:eastAsia="宋体" w:cs="宋体"/>
                <w:snapToGrid w:val="0"/>
                <w:color w:val="auto"/>
                <w:kern w:val="0"/>
                <w:sz w:val="22"/>
                <w:szCs w:val="22"/>
                <w:highlight w:val="none"/>
              </w:rPr>
              <w:t>以上职称证书的得</w:t>
            </w:r>
            <w:r>
              <w:rPr>
                <w:rFonts w:hint="eastAsia" w:ascii="宋体" w:hAnsi="宋体" w:eastAsia="宋体" w:cs="宋体"/>
                <w:snapToGrid w:val="0"/>
                <w:color w:val="auto"/>
                <w:kern w:val="0"/>
                <w:sz w:val="22"/>
                <w:szCs w:val="22"/>
                <w:highlight w:val="none"/>
                <w:lang w:val="en-US" w:eastAsia="zh-CN"/>
              </w:rPr>
              <w:t>6</w:t>
            </w:r>
            <w:r>
              <w:rPr>
                <w:rFonts w:hint="eastAsia" w:ascii="宋体" w:hAnsi="宋体" w:eastAsia="宋体" w:cs="宋体"/>
                <w:snapToGrid w:val="0"/>
                <w:color w:val="auto"/>
                <w:kern w:val="0"/>
                <w:sz w:val="22"/>
                <w:szCs w:val="22"/>
                <w:highlight w:val="none"/>
              </w:rPr>
              <w:t>分。</w:t>
            </w:r>
          </w:p>
        </w:tc>
        <w:tc>
          <w:tcPr>
            <w:tcW w:w="4252" w:type="dxa"/>
            <w:noWrap w:val="0"/>
            <w:vAlign w:val="center"/>
          </w:tcPr>
          <w:p w14:paraId="2FC2E925">
            <w:pPr>
              <w:pStyle w:val="10"/>
              <w:wordWrap w:val="0"/>
              <w:adjustRightInd w:val="0"/>
              <w:snapToGrid w:val="0"/>
              <w:spacing w:after="0" w:line="400" w:lineRule="exact"/>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1．需提供</w:t>
            </w:r>
            <w:r>
              <w:rPr>
                <w:rFonts w:hint="eastAsia" w:ascii="宋体" w:hAnsi="宋体" w:eastAsia="宋体" w:cs="宋体"/>
                <w:color w:val="auto"/>
                <w:sz w:val="22"/>
                <w:szCs w:val="22"/>
                <w:highlight w:val="none"/>
                <w:lang w:val="en-US" w:eastAsia="zh-CN"/>
              </w:rPr>
              <w:t>相关</w:t>
            </w:r>
            <w:r>
              <w:rPr>
                <w:rFonts w:hint="eastAsia" w:ascii="宋体" w:hAnsi="宋体" w:eastAsia="宋体" w:cs="宋体"/>
                <w:color w:val="auto"/>
                <w:sz w:val="22"/>
                <w:szCs w:val="22"/>
                <w:highlight w:val="none"/>
              </w:rPr>
              <w:t>证书</w:t>
            </w:r>
            <w:r>
              <w:rPr>
                <w:rFonts w:hint="eastAsia" w:ascii="宋体" w:hAnsi="宋体" w:eastAsia="宋体" w:cs="宋体"/>
                <w:color w:val="auto"/>
                <w:sz w:val="22"/>
                <w:szCs w:val="22"/>
                <w:highlight w:val="none"/>
                <w:lang w:val="en-US" w:eastAsia="zh-CN"/>
              </w:rPr>
              <w:t>彩色</w:t>
            </w:r>
            <w:r>
              <w:rPr>
                <w:rFonts w:hint="eastAsia" w:ascii="宋体" w:hAnsi="宋体" w:eastAsia="宋体" w:cs="宋体"/>
                <w:color w:val="auto"/>
                <w:sz w:val="22"/>
                <w:szCs w:val="22"/>
                <w:highlight w:val="none"/>
              </w:rPr>
              <w:t>扫描件。</w:t>
            </w:r>
          </w:p>
          <w:p w14:paraId="5E2D279A">
            <w:pPr>
              <w:pStyle w:val="10"/>
              <w:wordWrap w:val="0"/>
              <w:adjustRightInd w:val="0"/>
              <w:snapToGrid w:val="0"/>
              <w:spacing w:after="0" w:line="400" w:lineRule="exact"/>
              <w:jc w:val="both"/>
              <w:rPr>
                <w:rFonts w:hint="eastAsia" w:ascii="宋体" w:hAnsi="宋体" w:eastAsia="宋体" w:cs="宋体"/>
                <w:color w:val="auto"/>
                <w:sz w:val="22"/>
                <w:szCs w:val="22"/>
                <w:highlight w:val="none"/>
              </w:rPr>
            </w:pPr>
          </w:p>
        </w:tc>
      </w:tr>
      <w:tr w14:paraId="7F9A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508" w:type="dxa"/>
            <w:gridSpan w:val="3"/>
            <w:shd w:val="clear" w:color="auto" w:fill="BEBEBE"/>
            <w:noWrap w:val="0"/>
            <w:vAlign w:val="top"/>
          </w:tcPr>
          <w:p w14:paraId="0B4F3422">
            <w:pPr>
              <w:widowControl w:val="0"/>
              <w:shd w:val="clear" w:color="auto" w:fill="BEBEBE"/>
              <w:wordWrap w:val="0"/>
              <w:adjustRightInd w:val="0"/>
              <w:snapToGrid w:val="0"/>
              <w:spacing w:after="0" w:afterLines="0" w:afterAutospacing="0" w:line="400" w:lineRule="exact"/>
              <w:jc w:val="both"/>
              <w:rPr>
                <w:rFonts w:hint="eastAsia" w:ascii="宋体" w:hAnsi="宋体" w:eastAsia="宋体" w:cs="宋体"/>
                <w:bCs/>
                <w:strike w:val="0"/>
                <w:dstrike w:val="0"/>
                <w:snapToGrid w:val="0"/>
                <w:color w:val="auto"/>
                <w:kern w:val="0"/>
                <w:sz w:val="22"/>
                <w:szCs w:val="22"/>
                <w:highlight w:val="none"/>
                <w:lang w:val="en-US" w:eastAsia="zh-CN" w:bidi="ar-SA"/>
              </w:rPr>
            </w:pPr>
            <w:r>
              <w:rPr>
                <w:rFonts w:hint="eastAsia" w:ascii="宋体" w:hAnsi="宋体" w:eastAsia="宋体" w:cs="宋体"/>
                <w:b/>
                <w:bCs/>
                <w:strike w:val="0"/>
                <w:dstrike w:val="0"/>
                <w:snapToGrid w:val="0"/>
                <w:color w:val="auto"/>
                <w:kern w:val="0"/>
                <w:sz w:val="22"/>
                <w:szCs w:val="22"/>
                <w:highlight w:val="none"/>
                <w:lang w:val="en-US" w:eastAsia="zh-CN" w:bidi="ar-SA"/>
              </w:rPr>
              <w:t>技术部分（监理大纲）满分：10分。</w:t>
            </w:r>
          </w:p>
        </w:tc>
      </w:tr>
      <w:tr w14:paraId="47C1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21" w:type="dxa"/>
            <w:noWrap w:val="0"/>
            <w:vAlign w:val="center"/>
          </w:tcPr>
          <w:p w14:paraId="4B043627">
            <w:pPr>
              <w:widowControl w:val="0"/>
              <w:wordWrap w:val="0"/>
              <w:adjustRightInd w:val="0"/>
              <w:snapToGrid w:val="0"/>
              <w:spacing w:after="0" w:afterLines="0" w:afterAutospacing="0" w:line="240" w:lineRule="auto"/>
              <w:jc w:val="center"/>
              <w:rPr>
                <w:rFonts w:hint="eastAsia" w:ascii="宋体" w:hAnsi="宋体" w:eastAsia="宋体" w:cs="宋体"/>
                <w:b/>
                <w:bCs/>
                <w:strike w:val="0"/>
                <w:dstrike w:val="0"/>
                <w:snapToGrid w:val="0"/>
                <w:color w:val="auto"/>
                <w:kern w:val="0"/>
                <w:sz w:val="22"/>
                <w:szCs w:val="22"/>
                <w:highlight w:val="none"/>
                <w:lang w:val="en-US" w:eastAsia="zh-CN" w:bidi="ar-SA"/>
              </w:rPr>
            </w:pPr>
            <w:r>
              <w:rPr>
                <w:rFonts w:hint="eastAsia" w:ascii="宋体" w:hAnsi="宋体" w:eastAsia="宋体" w:cs="宋体"/>
                <w:b/>
                <w:bCs/>
                <w:strike w:val="0"/>
                <w:dstrike w:val="0"/>
                <w:snapToGrid w:val="0"/>
                <w:color w:val="auto"/>
                <w:kern w:val="0"/>
                <w:sz w:val="22"/>
                <w:szCs w:val="22"/>
                <w:highlight w:val="none"/>
                <w:lang w:val="en-US" w:eastAsia="zh-CN" w:bidi="ar-SA"/>
              </w:rPr>
              <w:t>评分因素</w:t>
            </w:r>
          </w:p>
        </w:tc>
        <w:tc>
          <w:tcPr>
            <w:tcW w:w="4135" w:type="dxa"/>
            <w:noWrap w:val="0"/>
            <w:vAlign w:val="center"/>
          </w:tcPr>
          <w:p w14:paraId="5BB7AED8">
            <w:pPr>
              <w:widowControl w:val="0"/>
              <w:wordWrap w:val="0"/>
              <w:adjustRightInd w:val="0"/>
              <w:snapToGrid w:val="0"/>
              <w:spacing w:after="0" w:afterLines="0" w:afterAutospacing="0" w:line="440" w:lineRule="exact"/>
              <w:jc w:val="center"/>
              <w:rPr>
                <w:rFonts w:hint="eastAsia" w:ascii="宋体" w:hAnsi="宋体" w:eastAsia="宋体" w:cs="宋体"/>
                <w:b/>
                <w:bCs/>
                <w:strike w:val="0"/>
                <w:dstrike w:val="0"/>
                <w:color w:val="auto"/>
                <w:kern w:val="2"/>
                <w:sz w:val="22"/>
                <w:szCs w:val="22"/>
                <w:highlight w:val="none"/>
                <w:lang w:val="en-US" w:eastAsia="zh-CN" w:bidi="ar-SA"/>
              </w:rPr>
            </w:pPr>
            <w:r>
              <w:rPr>
                <w:rFonts w:hint="eastAsia" w:ascii="宋体" w:hAnsi="宋体" w:eastAsia="宋体" w:cs="宋体"/>
                <w:b/>
                <w:bCs/>
                <w:strike w:val="0"/>
                <w:dstrike w:val="0"/>
                <w:snapToGrid w:val="0"/>
                <w:color w:val="auto"/>
                <w:kern w:val="0"/>
                <w:sz w:val="22"/>
                <w:szCs w:val="22"/>
                <w:highlight w:val="none"/>
                <w:lang w:val="en-US" w:eastAsia="zh-CN" w:bidi="ar-SA"/>
              </w:rPr>
              <w:t>评分标准</w:t>
            </w:r>
          </w:p>
        </w:tc>
        <w:tc>
          <w:tcPr>
            <w:tcW w:w="4252" w:type="dxa"/>
            <w:noWrap w:val="0"/>
            <w:vAlign w:val="center"/>
          </w:tcPr>
          <w:p w14:paraId="4A3D7D31">
            <w:pPr>
              <w:widowControl w:val="0"/>
              <w:wordWrap w:val="0"/>
              <w:adjustRightInd w:val="0"/>
              <w:snapToGrid w:val="0"/>
              <w:spacing w:after="0" w:afterLines="0" w:afterAutospacing="0" w:line="440" w:lineRule="exact"/>
              <w:jc w:val="center"/>
              <w:rPr>
                <w:rFonts w:hint="eastAsia" w:ascii="宋体" w:hAnsi="宋体" w:eastAsia="宋体" w:cs="宋体"/>
                <w:b/>
                <w:bCs/>
                <w:strike w:val="0"/>
                <w:dstrike w:val="0"/>
                <w:snapToGrid w:val="0"/>
                <w:color w:val="auto"/>
                <w:kern w:val="0"/>
                <w:sz w:val="22"/>
                <w:szCs w:val="22"/>
                <w:highlight w:val="none"/>
                <w:lang w:val="en-US" w:eastAsia="zh-CN" w:bidi="ar-SA"/>
              </w:rPr>
            </w:pPr>
            <w:r>
              <w:rPr>
                <w:rFonts w:hint="eastAsia" w:ascii="宋体" w:hAnsi="宋体" w:eastAsia="宋体" w:cs="宋体"/>
                <w:b/>
                <w:bCs/>
                <w:strike w:val="0"/>
                <w:dstrike w:val="0"/>
                <w:snapToGrid w:val="0"/>
                <w:color w:val="auto"/>
                <w:kern w:val="0"/>
                <w:sz w:val="22"/>
                <w:szCs w:val="22"/>
                <w:highlight w:val="none"/>
                <w:lang w:val="en-US" w:eastAsia="zh-CN" w:bidi="ar-SA"/>
              </w:rPr>
              <w:t>备注</w:t>
            </w:r>
          </w:p>
        </w:tc>
      </w:tr>
      <w:tr w14:paraId="4EF6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121" w:type="dxa"/>
            <w:noWrap w:val="0"/>
            <w:vAlign w:val="center"/>
          </w:tcPr>
          <w:p w14:paraId="4230F8C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监理依据</w:t>
            </w:r>
          </w:p>
          <w:p w14:paraId="75E52B5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及工作目标</w:t>
            </w:r>
          </w:p>
          <w:p w14:paraId="4D814C5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bCs/>
                <w:strike w:val="0"/>
                <w:dstrike w:val="0"/>
                <w:snapToGrid w:val="0"/>
                <w:color w:val="auto"/>
                <w:kern w:val="0"/>
                <w:sz w:val="22"/>
                <w:szCs w:val="22"/>
                <w:highlight w:val="none"/>
                <w:u w:val="none"/>
                <w:lang w:val="en-US" w:eastAsia="zh-CN" w:bidi="ar-SA"/>
              </w:rPr>
              <w:t>（1分）</w:t>
            </w:r>
          </w:p>
        </w:tc>
        <w:tc>
          <w:tcPr>
            <w:tcW w:w="4135" w:type="dxa"/>
            <w:noWrap w:val="0"/>
            <w:vAlign w:val="center"/>
          </w:tcPr>
          <w:p w14:paraId="545E9AB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【优】得该项因素分的85%～100%（含85%）；</w:t>
            </w:r>
          </w:p>
          <w:p w14:paraId="269BACF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【良】得该项因素分的70%～85%（含70%）；</w:t>
            </w:r>
          </w:p>
          <w:p w14:paraId="59014C1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【中】得该项因素分的60%～70%（含60%）；</w:t>
            </w:r>
          </w:p>
          <w:p w14:paraId="45D01CC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【差】得该项因素分的0～60%（含0分）。</w:t>
            </w:r>
          </w:p>
        </w:tc>
        <w:tc>
          <w:tcPr>
            <w:tcW w:w="4252" w:type="dxa"/>
            <w:noWrap w:val="0"/>
            <w:vAlign w:val="center"/>
          </w:tcPr>
          <w:p w14:paraId="355B0C0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要求依据全面、适用；目标清晰、正确；针对性强。</w:t>
            </w:r>
          </w:p>
        </w:tc>
      </w:tr>
      <w:tr w14:paraId="5C4C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21" w:type="dxa"/>
            <w:noWrap w:val="0"/>
            <w:vAlign w:val="center"/>
          </w:tcPr>
          <w:p w14:paraId="2C1F5F0F">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工程质量</w:t>
            </w:r>
          </w:p>
          <w:p w14:paraId="0A6CD19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监理措施</w:t>
            </w:r>
          </w:p>
          <w:p w14:paraId="4F0521A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bCs/>
                <w:strike w:val="0"/>
                <w:dstrike w:val="0"/>
                <w:snapToGrid w:val="0"/>
                <w:color w:val="auto"/>
                <w:kern w:val="0"/>
                <w:sz w:val="22"/>
                <w:szCs w:val="22"/>
                <w:highlight w:val="none"/>
                <w:u w:val="none"/>
                <w:lang w:val="en-US" w:eastAsia="zh-CN" w:bidi="ar-SA"/>
              </w:rPr>
              <w:t>（1分）</w:t>
            </w:r>
          </w:p>
        </w:tc>
        <w:tc>
          <w:tcPr>
            <w:tcW w:w="4135" w:type="dxa"/>
            <w:noWrap w:val="0"/>
            <w:vAlign w:val="center"/>
          </w:tcPr>
          <w:p w14:paraId="4B1DDE1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【优】得该项因素分的85%～100%（含85%）；</w:t>
            </w:r>
          </w:p>
          <w:p w14:paraId="14D8CC8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【良】得该项因素分的70%～85%（含70%）；</w:t>
            </w:r>
          </w:p>
          <w:p w14:paraId="7CEC967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【中】得该项因素分的60%～70%（含60%）；</w:t>
            </w:r>
          </w:p>
          <w:p w14:paraId="76233232">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【差】得该项因素分的0～60%（含0分）。</w:t>
            </w:r>
          </w:p>
        </w:tc>
        <w:tc>
          <w:tcPr>
            <w:tcW w:w="4252" w:type="dxa"/>
            <w:vMerge w:val="restart"/>
            <w:noWrap w:val="0"/>
            <w:vAlign w:val="center"/>
          </w:tcPr>
          <w:p w14:paraId="55CA817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both"/>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要求目标正确、方法可行、预控和动态管理措施具体、针对性强。脱离本工程实际、机械照搬照抄规范和技术标准的，不能得满分。</w:t>
            </w:r>
          </w:p>
        </w:tc>
      </w:tr>
      <w:tr w14:paraId="15C0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21" w:type="dxa"/>
            <w:noWrap w:val="0"/>
            <w:vAlign w:val="center"/>
          </w:tcPr>
          <w:p w14:paraId="7DC55C2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工程进度</w:t>
            </w:r>
          </w:p>
          <w:p w14:paraId="778B1C6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监理措施</w:t>
            </w:r>
          </w:p>
          <w:p w14:paraId="3CE2206F">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bCs/>
                <w:strike w:val="0"/>
                <w:dstrike w:val="0"/>
                <w:snapToGrid w:val="0"/>
                <w:color w:val="auto"/>
                <w:kern w:val="0"/>
                <w:sz w:val="22"/>
                <w:szCs w:val="22"/>
                <w:highlight w:val="none"/>
                <w:u w:val="none"/>
                <w:lang w:val="en-US" w:eastAsia="zh-CN" w:bidi="ar-SA"/>
              </w:rPr>
              <w:t>（1分）</w:t>
            </w:r>
          </w:p>
        </w:tc>
        <w:tc>
          <w:tcPr>
            <w:tcW w:w="4135" w:type="dxa"/>
            <w:noWrap w:val="0"/>
            <w:vAlign w:val="center"/>
          </w:tcPr>
          <w:p w14:paraId="3FB3A58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【优】得该项因素分的85%～100%（含85%）；</w:t>
            </w:r>
          </w:p>
          <w:p w14:paraId="5449861D">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【良】得该项因素分的70%～85%（含70%）；</w:t>
            </w:r>
          </w:p>
          <w:p w14:paraId="0AB3741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【中】得该项因素分的60%～70%（含60%）；</w:t>
            </w:r>
          </w:p>
          <w:p w14:paraId="07EFB44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【差】得该项因素分的0～60%（含0分）。</w:t>
            </w:r>
          </w:p>
        </w:tc>
        <w:tc>
          <w:tcPr>
            <w:tcW w:w="4252" w:type="dxa"/>
            <w:vMerge w:val="continue"/>
            <w:noWrap w:val="0"/>
            <w:vAlign w:val="center"/>
          </w:tcPr>
          <w:p w14:paraId="313073B6">
            <w:pPr>
              <w:widowControl w:val="0"/>
              <w:wordWrap w:val="0"/>
              <w:adjustRightInd w:val="0"/>
              <w:snapToGrid w:val="0"/>
              <w:spacing w:after="0" w:afterLines="0" w:afterAutospacing="0" w:line="400" w:lineRule="exact"/>
              <w:jc w:val="both"/>
              <w:rPr>
                <w:rFonts w:hint="eastAsia" w:ascii="宋体" w:hAnsi="宋体" w:eastAsia="宋体" w:cs="宋体"/>
                <w:bCs/>
                <w:strike w:val="0"/>
                <w:dstrike w:val="0"/>
                <w:snapToGrid w:val="0"/>
                <w:color w:val="auto"/>
                <w:kern w:val="0"/>
                <w:sz w:val="22"/>
                <w:szCs w:val="22"/>
                <w:highlight w:val="none"/>
                <w:lang w:val="en-US" w:eastAsia="zh-CN" w:bidi="ar-SA"/>
              </w:rPr>
            </w:pPr>
          </w:p>
        </w:tc>
      </w:tr>
      <w:tr w14:paraId="41A0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21" w:type="dxa"/>
            <w:noWrap w:val="0"/>
            <w:vAlign w:val="center"/>
          </w:tcPr>
          <w:p w14:paraId="14997CF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工程造价</w:t>
            </w:r>
          </w:p>
          <w:p w14:paraId="44BDB83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监理措施</w:t>
            </w:r>
          </w:p>
          <w:p w14:paraId="6815EAC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bCs/>
                <w:strike w:val="0"/>
                <w:dstrike w:val="0"/>
                <w:snapToGrid w:val="0"/>
                <w:color w:val="auto"/>
                <w:kern w:val="0"/>
                <w:sz w:val="22"/>
                <w:szCs w:val="22"/>
                <w:highlight w:val="none"/>
                <w:u w:val="none"/>
                <w:lang w:val="en-US" w:eastAsia="zh-CN" w:bidi="ar-SA"/>
              </w:rPr>
              <w:t>（1分）</w:t>
            </w:r>
          </w:p>
        </w:tc>
        <w:tc>
          <w:tcPr>
            <w:tcW w:w="4135" w:type="dxa"/>
            <w:noWrap w:val="0"/>
            <w:vAlign w:val="center"/>
          </w:tcPr>
          <w:p w14:paraId="4920A2B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【优】得该项因素分的85%～100%（含85%）；</w:t>
            </w:r>
          </w:p>
          <w:p w14:paraId="45BD76F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【良】得该项因素分的70%～85%（含70%）；</w:t>
            </w:r>
          </w:p>
          <w:p w14:paraId="2B5CA85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【中】得该项因素分的60%～70%（含60%）；</w:t>
            </w:r>
          </w:p>
          <w:p w14:paraId="05FEC66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【差】得该项因素分的0～60%（含0分）。</w:t>
            </w:r>
          </w:p>
        </w:tc>
        <w:tc>
          <w:tcPr>
            <w:tcW w:w="4252" w:type="dxa"/>
            <w:vMerge w:val="continue"/>
            <w:noWrap w:val="0"/>
            <w:vAlign w:val="center"/>
          </w:tcPr>
          <w:p w14:paraId="00A95AC6">
            <w:pPr>
              <w:widowControl w:val="0"/>
              <w:wordWrap w:val="0"/>
              <w:adjustRightInd w:val="0"/>
              <w:snapToGrid w:val="0"/>
              <w:spacing w:after="0" w:afterLines="0" w:afterAutospacing="0" w:line="400" w:lineRule="exact"/>
              <w:jc w:val="both"/>
              <w:rPr>
                <w:rFonts w:hint="eastAsia" w:ascii="宋体" w:hAnsi="宋体" w:eastAsia="宋体" w:cs="宋体"/>
                <w:bCs/>
                <w:strike w:val="0"/>
                <w:dstrike w:val="0"/>
                <w:snapToGrid w:val="0"/>
                <w:color w:val="auto"/>
                <w:kern w:val="0"/>
                <w:sz w:val="22"/>
                <w:szCs w:val="22"/>
                <w:highlight w:val="none"/>
                <w:lang w:val="en-US" w:eastAsia="zh-CN" w:bidi="ar-SA"/>
              </w:rPr>
            </w:pPr>
          </w:p>
        </w:tc>
      </w:tr>
      <w:tr w14:paraId="306F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1" w:type="dxa"/>
            <w:noWrap w:val="0"/>
            <w:vAlign w:val="center"/>
          </w:tcPr>
          <w:p w14:paraId="4850A56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安全防护</w:t>
            </w:r>
          </w:p>
          <w:p w14:paraId="7AFDDB51">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监理措施</w:t>
            </w:r>
          </w:p>
          <w:p w14:paraId="2F9950CB">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bCs/>
                <w:strike w:val="0"/>
                <w:dstrike w:val="0"/>
                <w:snapToGrid w:val="0"/>
                <w:color w:val="auto"/>
                <w:kern w:val="0"/>
                <w:sz w:val="22"/>
                <w:szCs w:val="22"/>
                <w:highlight w:val="none"/>
                <w:u w:val="none"/>
                <w:lang w:val="en-US" w:eastAsia="zh-CN" w:bidi="ar-SA"/>
              </w:rPr>
              <w:t>（1分）</w:t>
            </w:r>
          </w:p>
        </w:tc>
        <w:tc>
          <w:tcPr>
            <w:tcW w:w="4135" w:type="dxa"/>
            <w:noWrap w:val="0"/>
            <w:vAlign w:val="center"/>
          </w:tcPr>
          <w:p w14:paraId="2C7F321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【优】得该项因素分的85%～100%（含85%）；</w:t>
            </w:r>
          </w:p>
          <w:p w14:paraId="6B1DAA0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【良】得该项因素分的70%～85%（含70%）；</w:t>
            </w:r>
          </w:p>
          <w:p w14:paraId="34E73EDF">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【中】得该项因素分的60%～70%（含60%）；</w:t>
            </w:r>
          </w:p>
          <w:p w14:paraId="5FFDABD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【差】得该项因素分的0～60%（含0分）。</w:t>
            </w:r>
          </w:p>
        </w:tc>
        <w:tc>
          <w:tcPr>
            <w:tcW w:w="4252" w:type="dxa"/>
            <w:vMerge w:val="continue"/>
            <w:noWrap w:val="0"/>
            <w:vAlign w:val="center"/>
          </w:tcPr>
          <w:p w14:paraId="3DC55801">
            <w:pPr>
              <w:widowControl w:val="0"/>
              <w:wordWrap w:val="0"/>
              <w:adjustRightInd w:val="0"/>
              <w:snapToGrid w:val="0"/>
              <w:spacing w:after="0" w:afterLines="0" w:afterAutospacing="0" w:line="400" w:lineRule="exact"/>
              <w:jc w:val="both"/>
              <w:rPr>
                <w:rFonts w:hint="eastAsia" w:ascii="宋体" w:hAnsi="宋体" w:eastAsia="宋体" w:cs="宋体"/>
                <w:bCs/>
                <w:strike w:val="0"/>
                <w:dstrike w:val="0"/>
                <w:snapToGrid w:val="0"/>
                <w:color w:val="auto"/>
                <w:kern w:val="0"/>
                <w:sz w:val="22"/>
                <w:szCs w:val="22"/>
                <w:highlight w:val="none"/>
                <w:lang w:val="en-US" w:eastAsia="zh-CN" w:bidi="ar-SA"/>
              </w:rPr>
            </w:pPr>
          </w:p>
        </w:tc>
      </w:tr>
      <w:tr w14:paraId="7A8B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1" w:type="dxa"/>
            <w:noWrap w:val="0"/>
            <w:vAlign w:val="center"/>
          </w:tcPr>
          <w:p w14:paraId="1531BB6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绿色施工</w:t>
            </w:r>
          </w:p>
          <w:p w14:paraId="4177E9C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、文明施工</w:t>
            </w:r>
          </w:p>
          <w:p w14:paraId="143324F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监理措施</w:t>
            </w:r>
          </w:p>
          <w:p w14:paraId="77E6557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bCs/>
                <w:strike w:val="0"/>
                <w:dstrike w:val="0"/>
                <w:snapToGrid w:val="0"/>
                <w:color w:val="auto"/>
                <w:kern w:val="0"/>
                <w:sz w:val="22"/>
                <w:szCs w:val="22"/>
                <w:highlight w:val="none"/>
                <w:u w:val="none"/>
                <w:lang w:val="en-US" w:eastAsia="zh-CN" w:bidi="ar-SA"/>
              </w:rPr>
              <w:t>（1分）</w:t>
            </w:r>
          </w:p>
        </w:tc>
        <w:tc>
          <w:tcPr>
            <w:tcW w:w="4135" w:type="dxa"/>
            <w:noWrap w:val="0"/>
            <w:vAlign w:val="center"/>
          </w:tcPr>
          <w:p w14:paraId="2164901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【优】得该项因素分的85%～100%（含85%）；</w:t>
            </w:r>
          </w:p>
          <w:p w14:paraId="154FB47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【良】得该项因素分的70%～85%（含70%）；</w:t>
            </w:r>
          </w:p>
          <w:p w14:paraId="7C66503D">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【中】得该项因素分的60%～70%（含60%）；</w:t>
            </w:r>
          </w:p>
          <w:p w14:paraId="5D2FA1D2">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【差】得该项因素分的0～60%（含0分）。</w:t>
            </w:r>
          </w:p>
        </w:tc>
        <w:tc>
          <w:tcPr>
            <w:tcW w:w="4252" w:type="dxa"/>
            <w:vMerge w:val="continue"/>
            <w:noWrap w:val="0"/>
            <w:vAlign w:val="center"/>
          </w:tcPr>
          <w:p w14:paraId="0049FBA1">
            <w:pPr>
              <w:widowControl w:val="0"/>
              <w:wordWrap w:val="0"/>
              <w:adjustRightInd w:val="0"/>
              <w:snapToGrid w:val="0"/>
              <w:spacing w:after="0" w:afterLines="0" w:afterAutospacing="0" w:line="400" w:lineRule="exact"/>
              <w:jc w:val="both"/>
              <w:rPr>
                <w:rFonts w:hint="eastAsia" w:ascii="宋体" w:hAnsi="宋体" w:eastAsia="宋体" w:cs="宋体"/>
                <w:bCs/>
                <w:strike w:val="0"/>
                <w:dstrike w:val="0"/>
                <w:snapToGrid w:val="0"/>
                <w:color w:val="auto"/>
                <w:kern w:val="0"/>
                <w:sz w:val="22"/>
                <w:szCs w:val="22"/>
                <w:highlight w:val="none"/>
                <w:lang w:val="en-US" w:eastAsia="zh-CN" w:bidi="ar-SA"/>
              </w:rPr>
            </w:pPr>
          </w:p>
        </w:tc>
      </w:tr>
      <w:tr w14:paraId="78B7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21" w:type="dxa"/>
            <w:noWrap w:val="0"/>
            <w:vAlign w:val="center"/>
          </w:tcPr>
          <w:p w14:paraId="08A6821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合同、信息管理方案</w:t>
            </w:r>
          </w:p>
          <w:p w14:paraId="6C04EE8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bCs/>
                <w:strike w:val="0"/>
                <w:dstrike w:val="0"/>
                <w:snapToGrid w:val="0"/>
                <w:color w:val="auto"/>
                <w:kern w:val="0"/>
                <w:sz w:val="22"/>
                <w:szCs w:val="22"/>
                <w:highlight w:val="none"/>
                <w:u w:val="none"/>
                <w:lang w:val="en-US" w:eastAsia="zh-CN" w:bidi="ar-SA"/>
              </w:rPr>
              <w:t>（1分）</w:t>
            </w:r>
          </w:p>
        </w:tc>
        <w:tc>
          <w:tcPr>
            <w:tcW w:w="4135" w:type="dxa"/>
            <w:noWrap w:val="0"/>
            <w:vAlign w:val="center"/>
          </w:tcPr>
          <w:p w14:paraId="75679F59">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【优】得该项因素分的85%～100%（含85%）；</w:t>
            </w:r>
          </w:p>
          <w:p w14:paraId="191BCFAD">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【良】得该项因素分的70%～85%（含70%）；</w:t>
            </w:r>
          </w:p>
          <w:p w14:paraId="63D55AC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【中】得该项因素分的60%～70%（含60%）；</w:t>
            </w:r>
          </w:p>
          <w:p w14:paraId="73FDB01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【差】得该项因素分的0～60%（含0分）。</w:t>
            </w:r>
          </w:p>
        </w:tc>
        <w:tc>
          <w:tcPr>
            <w:tcW w:w="4252" w:type="dxa"/>
            <w:noWrap w:val="0"/>
            <w:vAlign w:val="center"/>
          </w:tcPr>
          <w:p w14:paraId="3A1D621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要求各项制度规范清晰，方法科学合理，措施及时有效，针对性强。能够切实防范和处理合同纠纷，提升监理工作效能。</w:t>
            </w:r>
          </w:p>
        </w:tc>
      </w:tr>
      <w:tr w14:paraId="57BF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1" w:type="dxa"/>
            <w:noWrap w:val="0"/>
            <w:vAlign w:val="center"/>
          </w:tcPr>
          <w:p w14:paraId="73A8D3D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组织协调</w:t>
            </w:r>
          </w:p>
          <w:p w14:paraId="384546C0">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内容及措施</w:t>
            </w:r>
          </w:p>
          <w:p w14:paraId="0694AF5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bCs/>
                <w:strike w:val="0"/>
                <w:dstrike w:val="0"/>
                <w:snapToGrid w:val="0"/>
                <w:color w:val="auto"/>
                <w:kern w:val="0"/>
                <w:sz w:val="22"/>
                <w:szCs w:val="22"/>
                <w:highlight w:val="none"/>
                <w:u w:val="none"/>
                <w:lang w:val="en-US" w:eastAsia="zh-CN" w:bidi="ar-SA"/>
              </w:rPr>
              <w:t>（1分）</w:t>
            </w:r>
          </w:p>
        </w:tc>
        <w:tc>
          <w:tcPr>
            <w:tcW w:w="4135" w:type="dxa"/>
            <w:noWrap w:val="0"/>
            <w:vAlign w:val="center"/>
          </w:tcPr>
          <w:p w14:paraId="52420B8E">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【优】得该项因素分的85%～100%（含85%）；</w:t>
            </w:r>
          </w:p>
          <w:p w14:paraId="17F9BD6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【良】得该项因素分的70%～85%（含70%）；</w:t>
            </w:r>
          </w:p>
          <w:p w14:paraId="1B35D2E8">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【中】得该项因素分的60%～70%（含60%）；</w:t>
            </w:r>
          </w:p>
          <w:p w14:paraId="564631E7">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【差】得该项因素分的0～60%（含0分）。</w:t>
            </w:r>
          </w:p>
        </w:tc>
        <w:tc>
          <w:tcPr>
            <w:tcW w:w="4252" w:type="dxa"/>
            <w:noWrap w:val="0"/>
            <w:vAlign w:val="center"/>
          </w:tcPr>
          <w:p w14:paraId="5BAF969A">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要求各项制度规范清晰，方法科学合理，措施及时有效，针对性强。能够高效收集、协调、处理、反馈各方各类问题。</w:t>
            </w:r>
          </w:p>
        </w:tc>
      </w:tr>
      <w:tr w14:paraId="5014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1" w:type="dxa"/>
            <w:noWrap w:val="0"/>
            <w:vAlign w:val="center"/>
          </w:tcPr>
          <w:p w14:paraId="0BE74F7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监理工作重点、难点分析</w:t>
            </w:r>
          </w:p>
          <w:p w14:paraId="2C37E3A5">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center"/>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bCs/>
                <w:strike w:val="0"/>
                <w:dstrike w:val="0"/>
                <w:snapToGrid w:val="0"/>
                <w:color w:val="auto"/>
                <w:kern w:val="0"/>
                <w:sz w:val="22"/>
                <w:szCs w:val="22"/>
                <w:highlight w:val="none"/>
                <w:u w:val="none"/>
                <w:lang w:val="en-US" w:eastAsia="zh-CN" w:bidi="ar-SA"/>
              </w:rPr>
              <w:t>（1分）</w:t>
            </w:r>
          </w:p>
        </w:tc>
        <w:tc>
          <w:tcPr>
            <w:tcW w:w="4135" w:type="dxa"/>
            <w:noWrap w:val="0"/>
            <w:vAlign w:val="center"/>
          </w:tcPr>
          <w:p w14:paraId="2BD54D3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【优】得该项因素分的85%～100%（含85%）；</w:t>
            </w:r>
          </w:p>
          <w:p w14:paraId="770AE274">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【良】得该项因素分的70%～85%（含70%）；</w:t>
            </w:r>
          </w:p>
          <w:p w14:paraId="1F6FAB66">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【中】得该项因素分的60%～70%（含60%）；</w:t>
            </w:r>
          </w:p>
          <w:p w14:paraId="63895B63">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【差】得该项因素分的0～60%（含0分）。</w:t>
            </w:r>
          </w:p>
        </w:tc>
        <w:tc>
          <w:tcPr>
            <w:tcW w:w="4252" w:type="dxa"/>
            <w:noWrap w:val="0"/>
            <w:vAlign w:val="center"/>
          </w:tcPr>
          <w:p w14:paraId="10DFCE7C">
            <w:pPr>
              <w:keepNext w:val="0"/>
              <w:keepLines w:val="0"/>
              <w:pageBreakBefore w:val="0"/>
              <w:widowControl w:val="0"/>
              <w:kinsoku/>
              <w:wordWrap w:val="0"/>
              <w:overflowPunct/>
              <w:topLinePunct w:val="0"/>
              <w:autoSpaceDE/>
              <w:autoSpaceDN/>
              <w:bidi w:val="0"/>
              <w:adjustRightInd w:val="0"/>
              <w:snapToGrid w:val="0"/>
              <w:spacing w:after="0" w:afterLines="0" w:afterAutospacing="0" w:line="340" w:lineRule="exact"/>
              <w:jc w:val="left"/>
              <w:textAlignment w:val="auto"/>
              <w:rPr>
                <w:rFonts w:hint="eastAsia" w:ascii="宋体" w:hAnsi="宋体" w:eastAsia="宋体" w:cs="宋体"/>
                <w:b w:val="0"/>
                <w:bCs w:val="0"/>
                <w:strike w:val="0"/>
                <w:dstrike w:val="0"/>
                <w:snapToGrid w:val="0"/>
                <w:color w:val="auto"/>
                <w:kern w:val="0"/>
                <w:sz w:val="22"/>
                <w:szCs w:val="22"/>
                <w:highlight w:val="none"/>
                <w:u w:val="none"/>
                <w:lang w:val="en-US" w:eastAsia="zh-CN" w:bidi="ar-SA"/>
              </w:rPr>
            </w:pPr>
            <w:r>
              <w:rPr>
                <w:rFonts w:hint="eastAsia" w:ascii="宋体" w:hAnsi="宋体" w:eastAsia="宋体" w:cs="宋体"/>
                <w:b w:val="0"/>
                <w:bCs w:val="0"/>
                <w:strike w:val="0"/>
                <w:dstrike w:val="0"/>
                <w:snapToGrid w:val="0"/>
                <w:color w:val="auto"/>
                <w:kern w:val="0"/>
                <w:sz w:val="22"/>
                <w:szCs w:val="22"/>
                <w:highlight w:val="none"/>
                <w:u w:val="none"/>
                <w:lang w:val="en-US" w:eastAsia="zh-CN" w:bidi="ar-SA"/>
              </w:rPr>
              <w:t>要求方法可行、措施具体、针对性强。</w:t>
            </w:r>
          </w:p>
        </w:tc>
      </w:tr>
      <w:tr w14:paraId="36B1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121" w:type="dxa"/>
            <w:noWrap w:val="0"/>
            <w:vAlign w:val="center"/>
          </w:tcPr>
          <w:p w14:paraId="4D4B52B7">
            <w:pPr>
              <w:widowControl w:val="0"/>
              <w:wordWrap w:val="0"/>
              <w:adjustRightInd w:val="0"/>
              <w:snapToGrid w:val="0"/>
              <w:spacing w:line="400" w:lineRule="exact"/>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合理化建议</w:t>
            </w:r>
          </w:p>
          <w:p w14:paraId="06FBD30F">
            <w:pPr>
              <w:widowControl w:val="0"/>
              <w:wordWrap w:val="0"/>
              <w:adjustRightInd w:val="0"/>
              <w:snapToGrid w:val="0"/>
              <w:spacing w:line="400" w:lineRule="exact"/>
              <w:jc w:val="center"/>
              <w:rPr>
                <w:rFonts w:hint="eastAsia" w:ascii="宋体" w:hAnsi="宋体" w:eastAsia="宋体" w:cs="宋体"/>
                <w:strike w:val="0"/>
                <w:dstrike w:val="0"/>
                <w:snapToGrid w:val="0"/>
                <w:color w:val="auto"/>
                <w:kern w:val="0"/>
                <w:sz w:val="22"/>
                <w:szCs w:val="22"/>
                <w:highlight w:val="none"/>
                <w:u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（1分）</w:t>
            </w:r>
          </w:p>
        </w:tc>
        <w:tc>
          <w:tcPr>
            <w:tcW w:w="4135" w:type="dxa"/>
            <w:noWrap w:val="0"/>
            <w:vAlign w:val="center"/>
          </w:tcPr>
          <w:p w14:paraId="0FB5C20D">
            <w:pPr>
              <w:widowControl w:val="0"/>
              <w:wordWrap w:val="0"/>
              <w:adjustRightInd w:val="0"/>
              <w:snapToGrid w:val="0"/>
              <w:spacing w:line="400" w:lineRule="exact"/>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【优】得该项因素分的85%～100%（含85%）；</w:t>
            </w:r>
          </w:p>
          <w:p w14:paraId="6536761B">
            <w:pPr>
              <w:widowControl w:val="0"/>
              <w:wordWrap w:val="0"/>
              <w:adjustRightInd w:val="0"/>
              <w:snapToGrid w:val="0"/>
              <w:spacing w:line="400" w:lineRule="exact"/>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【良】得该项因素分的70%～85%（含70%）；</w:t>
            </w:r>
          </w:p>
          <w:p w14:paraId="1AF465CF">
            <w:pPr>
              <w:widowControl w:val="0"/>
              <w:wordWrap w:val="0"/>
              <w:adjustRightInd w:val="0"/>
              <w:snapToGrid w:val="0"/>
              <w:spacing w:line="400" w:lineRule="exact"/>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【中】得该项因素分的60%～70%（含60%）；</w:t>
            </w:r>
          </w:p>
          <w:p w14:paraId="7EBD4CE5">
            <w:pPr>
              <w:widowControl w:val="0"/>
              <w:wordWrap w:val="0"/>
              <w:adjustRightInd w:val="0"/>
              <w:snapToGrid w:val="0"/>
              <w:spacing w:line="400" w:lineRule="exact"/>
              <w:jc w:val="both"/>
              <w:rPr>
                <w:rFonts w:hint="eastAsia" w:ascii="宋体" w:hAnsi="宋体" w:eastAsia="宋体" w:cs="宋体"/>
                <w:strike w:val="0"/>
                <w:dstrike w:val="0"/>
                <w:color w:val="auto"/>
                <w:kern w:val="2"/>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【差】得该项因素分的0～60%（含0分）。</w:t>
            </w:r>
          </w:p>
        </w:tc>
        <w:tc>
          <w:tcPr>
            <w:tcW w:w="4252" w:type="dxa"/>
            <w:noWrap w:val="0"/>
            <w:vAlign w:val="center"/>
          </w:tcPr>
          <w:p w14:paraId="0360E339">
            <w:pPr>
              <w:widowControl w:val="0"/>
              <w:wordWrap w:val="0"/>
              <w:adjustRightInd w:val="0"/>
              <w:snapToGrid w:val="0"/>
              <w:spacing w:line="400" w:lineRule="exact"/>
              <w:jc w:val="both"/>
              <w:rPr>
                <w:rFonts w:hint="eastAsia" w:ascii="宋体" w:hAnsi="宋体" w:eastAsia="宋体" w:cs="宋体"/>
                <w:bCs/>
                <w:strike w:val="0"/>
                <w:dstrike w:val="0"/>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要求方法可行、措施具体、针对性强。</w:t>
            </w:r>
          </w:p>
        </w:tc>
      </w:tr>
      <w:tr w14:paraId="10FC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08" w:type="dxa"/>
            <w:gridSpan w:val="3"/>
            <w:shd w:val="clear" w:color="auto" w:fill="BEBEBE"/>
            <w:noWrap w:val="0"/>
            <w:vAlign w:val="center"/>
          </w:tcPr>
          <w:p w14:paraId="1E2F77C1">
            <w:pPr>
              <w:keepNext w:val="0"/>
              <w:keepLines w:val="0"/>
              <w:pageBreakBefore w:val="0"/>
              <w:widowControl w:val="0"/>
              <w:shd w:val="clear" w:color="auto" w:fill="BEBEBE"/>
              <w:kinsoku/>
              <w:wordWrap w:val="0"/>
              <w:overflowPunct/>
              <w:topLinePunct w:val="0"/>
              <w:autoSpaceDE/>
              <w:autoSpaceDN/>
              <w:bidi w:val="0"/>
              <w:adjustRightInd w:val="0"/>
              <w:snapToGrid w:val="0"/>
              <w:spacing w:after="0" w:afterLines="0" w:afterAutospacing="0" w:line="240" w:lineRule="auto"/>
              <w:jc w:val="both"/>
              <w:textAlignment w:val="auto"/>
              <w:rPr>
                <w:rFonts w:hint="eastAsia" w:ascii="宋体" w:hAnsi="宋体" w:eastAsia="宋体" w:cs="宋体"/>
                <w:bCs/>
                <w:strike w:val="0"/>
                <w:dstrike w:val="0"/>
                <w:snapToGrid w:val="0"/>
                <w:color w:val="auto"/>
                <w:kern w:val="0"/>
                <w:sz w:val="22"/>
                <w:szCs w:val="22"/>
                <w:highlight w:val="none"/>
                <w:lang w:val="en-US" w:eastAsia="zh-CN" w:bidi="ar-SA"/>
              </w:rPr>
            </w:pPr>
            <w:r>
              <w:rPr>
                <w:rFonts w:hint="eastAsia" w:ascii="宋体" w:hAnsi="宋体" w:eastAsia="宋体" w:cs="宋体"/>
                <w:b/>
                <w:bCs/>
                <w:strike w:val="0"/>
                <w:dstrike w:val="0"/>
                <w:snapToGrid w:val="0"/>
                <w:color w:val="auto"/>
                <w:kern w:val="0"/>
                <w:sz w:val="22"/>
                <w:szCs w:val="22"/>
                <w:highlight w:val="none"/>
                <w:lang w:val="en-US" w:eastAsia="zh-CN" w:bidi="ar-SA"/>
              </w:rPr>
              <w:t>投标报价部分满分：</w:t>
            </w:r>
            <w:r>
              <w:rPr>
                <w:rFonts w:hint="eastAsia" w:ascii="宋体" w:hAnsi="宋体" w:eastAsia="宋体" w:cs="宋体"/>
                <w:b/>
                <w:bCs/>
                <w:strike w:val="0"/>
                <w:dstrike w:val="0"/>
                <w:snapToGrid w:val="0"/>
                <w:color w:val="auto"/>
                <w:kern w:val="0"/>
                <w:sz w:val="22"/>
                <w:szCs w:val="22"/>
                <w:highlight w:val="none"/>
                <w:u w:val="single"/>
                <w:lang w:val="en-US" w:eastAsia="zh-CN" w:bidi="ar-SA"/>
              </w:rPr>
              <w:t>40</w:t>
            </w:r>
            <w:r>
              <w:rPr>
                <w:rFonts w:hint="eastAsia" w:ascii="宋体" w:hAnsi="宋体" w:eastAsia="宋体" w:cs="宋体"/>
                <w:b/>
                <w:bCs/>
                <w:strike w:val="0"/>
                <w:dstrike w:val="0"/>
                <w:snapToGrid w:val="0"/>
                <w:color w:val="auto"/>
                <w:kern w:val="0"/>
                <w:sz w:val="22"/>
                <w:szCs w:val="22"/>
                <w:highlight w:val="none"/>
                <w:lang w:val="en-US" w:eastAsia="zh-CN" w:bidi="ar-SA"/>
              </w:rPr>
              <w:t>分。</w:t>
            </w:r>
          </w:p>
        </w:tc>
      </w:tr>
      <w:tr w14:paraId="3C54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21" w:type="dxa"/>
            <w:noWrap w:val="0"/>
            <w:vAlign w:val="center"/>
          </w:tcPr>
          <w:p w14:paraId="78E11C41">
            <w:pPr>
              <w:wordWrap w:val="0"/>
              <w:adjustRightInd w:val="0"/>
              <w:snapToGrid w:val="0"/>
              <w:spacing w:line="240" w:lineRule="auto"/>
              <w:jc w:val="center"/>
              <w:rPr>
                <w:rFonts w:hint="eastAsia" w:ascii="宋体" w:hAnsi="宋体" w:eastAsia="宋体" w:cs="宋体"/>
                <w:b/>
                <w:bCs/>
                <w:strike w:val="0"/>
                <w:dstrike w:val="0"/>
                <w:snapToGrid w:val="0"/>
                <w:color w:val="auto"/>
                <w:kern w:val="0"/>
                <w:sz w:val="22"/>
                <w:szCs w:val="22"/>
                <w:highlight w:val="none"/>
              </w:rPr>
            </w:pPr>
            <w:r>
              <w:rPr>
                <w:rFonts w:hint="eastAsia" w:ascii="宋体" w:hAnsi="宋体" w:eastAsia="宋体" w:cs="宋体"/>
                <w:b/>
                <w:bCs/>
                <w:strike w:val="0"/>
                <w:dstrike w:val="0"/>
                <w:snapToGrid w:val="0"/>
                <w:color w:val="auto"/>
                <w:kern w:val="0"/>
                <w:sz w:val="22"/>
                <w:szCs w:val="22"/>
                <w:highlight w:val="none"/>
              </w:rPr>
              <w:t>评分事项</w:t>
            </w:r>
          </w:p>
        </w:tc>
        <w:tc>
          <w:tcPr>
            <w:tcW w:w="8387" w:type="dxa"/>
            <w:gridSpan w:val="2"/>
            <w:noWrap w:val="0"/>
            <w:vAlign w:val="center"/>
          </w:tcPr>
          <w:p w14:paraId="7D8B0EEB">
            <w:pPr>
              <w:widowControl w:val="0"/>
              <w:wordWrap w:val="0"/>
              <w:adjustRightInd w:val="0"/>
              <w:snapToGrid w:val="0"/>
              <w:spacing w:after="0" w:afterLines="0" w:afterAutospacing="0" w:line="400" w:lineRule="exact"/>
              <w:jc w:val="center"/>
              <w:rPr>
                <w:rFonts w:hint="eastAsia" w:ascii="宋体" w:hAnsi="宋体" w:eastAsia="宋体" w:cs="宋体"/>
                <w:b/>
                <w:bCs/>
                <w:strike w:val="0"/>
                <w:dstrike w:val="0"/>
                <w:snapToGrid w:val="0"/>
                <w:color w:val="auto"/>
                <w:kern w:val="0"/>
                <w:sz w:val="22"/>
                <w:szCs w:val="22"/>
                <w:highlight w:val="none"/>
                <w:lang w:val="en-US" w:eastAsia="zh-CN" w:bidi="ar-SA"/>
              </w:rPr>
            </w:pPr>
            <w:r>
              <w:rPr>
                <w:rFonts w:hint="eastAsia" w:ascii="宋体" w:hAnsi="宋体" w:eastAsia="宋体" w:cs="宋体"/>
                <w:b/>
                <w:bCs/>
                <w:strike w:val="0"/>
                <w:dstrike w:val="0"/>
                <w:snapToGrid w:val="0"/>
                <w:color w:val="auto"/>
                <w:kern w:val="0"/>
                <w:sz w:val="22"/>
                <w:szCs w:val="22"/>
                <w:highlight w:val="none"/>
                <w:lang w:val="en-US" w:eastAsia="zh-CN" w:bidi="ar-SA"/>
              </w:rPr>
              <w:t>评分方法</w:t>
            </w:r>
          </w:p>
        </w:tc>
      </w:tr>
      <w:tr w14:paraId="775E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121" w:type="dxa"/>
            <w:noWrap w:val="0"/>
            <w:vAlign w:val="center"/>
          </w:tcPr>
          <w:p w14:paraId="598F015A">
            <w:pPr>
              <w:widowControl w:val="0"/>
              <w:adjustRightInd w:val="0"/>
              <w:snapToGrid w:val="0"/>
              <w:spacing w:line="400" w:lineRule="exact"/>
              <w:jc w:val="center"/>
              <w:rPr>
                <w:rFonts w:hint="eastAsia" w:ascii="宋体" w:hAnsi="宋体" w:eastAsia="宋体" w:cs="宋体"/>
                <w:b w:val="0"/>
                <w:bCs w:val="0"/>
                <w:strike w:val="0"/>
                <w:dstrike w:val="0"/>
                <w:color w:val="auto"/>
                <w:kern w:val="2"/>
                <w:sz w:val="22"/>
                <w:szCs w:val="22"/>
                <w:highlight w:val="none"/>
                <w:lang w:val="en-US" w:eastAsia="zh-CN" w:bidi="ar-SA"/>
              </w:rPr>
            </w:pPr>
            <w:r>
              <w:rPr>
                <w:rFonts w:hint="eastAsia" w:ascii="宋体" w:hAnsi="宋体" w:eastAsia="宋体" w:cs="宋体"/>
                <w:b w:val="0"/>
                <w:bCs w:val="0"/>
                <w:strike w:val="0"/>
                <w:dstrike w:val="0"/>
                <w:color w:val="auto"/>
                <w:kern w:val="2"/>
                <w:sz w:val="22"/>
                <w:szCs w:val="22"/>
                <w:highlight w:val="none"/>
                <w:lang w:val="en-US" w:eastAsia="zh-CN" w:bidi="ar-SA"/>
              </w:rPr>
              <w:t>投标</w:t>
            </w:r>
          </w:p>
          <w:p w14:paraId="4B196C4F">
            <w:pPr>
              <w:widowControl w:val="0"/>
              <w:adjustRightInd w:val="0"/>
              <w:snapToGrid w:val="0"/>
              <w:spacing w:line="400" w:lineRule="exact"/>
              <w:jc w:val="center"/>
              <w:rPr>
                <w:rFonts w:hint="eastAsia" w:ascii="宋体" w:hAnsi="宋体" w:eastAsia="宋体" w:cs="宋体"/>
                <w:b w:val="0"/>
                <w:bCs w:val="0"/>
                <w:strike w:val="0"/>
                <w:dstrike w:val="0"/>
                <w:color w:val="auto"/>
                <w:kern w:val="2"/>
                <w:sz w:val="22"/>
                <w:szCs w:val="22"/>
                <w:highlight w:val="none"/>
                <w:lang w:val="en-US" w:eastAsia="zh-CN" w:bidi="ar-SA"/>
              </w:rPr>
            </w:pPr>
            <w:r>
              <w:rPr>
                <w:rFonts w:hint="eastAsia" w:ascii="宋体" w:hAnsi="宋体" w:eastAsia="宋体" w:cs="宋体"/>
                <w:b w:val="0"/>
                <w:bCs w:val="0"/>
                <w:strike w:val="0"/>
                <w:dstrike w:val="0"/>
                <w:color w:val="auto"/>
                <w:kern w:val="2"/>
                <w:sz w:val="22"/>
                <w:szCs w:val="22"/>
                <w:highlight w:val="none"/>
                <w:lang w:val="en-US" w:eastAsia="zh-CN" w:bidi="ar-SA"/>
              </w:rPr>
              <w:t>报价</w:t>
            </w:r>
          </w:p>
          <w:p w14:paraId="10A9EEA1">
            <w:pPr>
              <w:widowControl w:val="0"/>
              <w:adjustRightInd w:val="0"/>
              <w:snapToGrid w:val="0"/>
              <w:spacing w:line="400" w:lineRule="exact"/>
              <w:jc w:val="center"/>
              <w:rPr>
                <w:rFonts w:hint="eastAsia" w:ascii="宋体" w:hAnsi="宋体" w:eastAsia="宋体" w:cs="宋体"/>
                <w:strike w:val="0"/>
                <w:dstrike w:val="0"/>
                <w:snapToGrid w:val="0"/>
                <w:color w:val="auto"/>
                <w:kern w:val="0"/>
                <w:sz w:val="22"/>
                <w:szCs w:val="22"/>
                <w:highlight w:val="none"/>
                <w:lang w:val="en-US" w:eastAsia="zh-CN" w:bidi="ar-SA"/>
              </w:rPr>
            </w:pPr>
          </w:p>
        </w:tc>
        <w:tc>
          <w:tcPr>
            <w:tcW w:w="8387" w:type="dxa"/>
            <w:gridSpan w:val="2"/>
            <w:noWrap w:val="0"/>
            <w:vAlign w:val="center"/>
          </w:tcPr>
          <w:p w14:paraId="2DF33528">
            <w:pPr>
              <w:wordWrap w:val="0"/>
              <w:adjustRightInd w:val="0"/>
              <w:snapToGrid w:val="0"/>
              <w:spacing w:line="240" w:lineRule="auto"/>
              <w:ind w:firstLine="220" w:firstLineChars="100"/>
              <w:jc w:val="left"/>
              <w:rPr>
                <w:rFonts w:hint="eastAsia" w:ascii="宋体" w:hAnsi="宋体" w:eastAsia="宋体" w:cs="宋体"/>
                <w:strike w:val="0"/>
                <w:dstrike w:val="0"/>
                <w:snapToGrid w:val="0"/>
                <w:color w:val="auto"/>
                <w:kern w:val="0"/>
                <w:sz w:val="22"/>
                <w:szCs w:val="22"/>
                <w:highlight w:val="none"/>
              </w:rPr>
            </w:pPr>
            <w:r>
              <w:rPr>
                <w:rFonts w:hint="eastAsia" w:ascii="宋体" w:hAnsi="宋体" w:eastAsia="宋体" w:cs="宋体"/>
                <w:strike w:val="0"/>
                <w:dstrike w:val="0"/>
                <w:snapToGrid w:val="0"/>
                <w:color w:val="auto"/>
                <w:kern w:val="0"/>
                <w:sz w:val="22"/>
                <w:szCs w:val="22"/>
                <w:highlight w:val="none"/>
              </w:rPr>
              <w:t>（1）确定最高投标限价下浮系数n：用1～21号球分别代表一个下浮系数，由评委代表从这21个号码中随机抽取</w:t>
            </w:r>
            <w:r>
              <w:rPr>
                <w:rFonts w:hint="eastAsia" w:ascii="宋体" w:hAnsi="宋体" w:eastAsia="宋体" w:cs="宋体"/>
                <w:strike w:val="0"/>
                <w:dstrike w:val="0"/>
                <w:snapToGrid w:val="0"/>
                <w:color w:val="auto"/>
                <w:kern w:val="0"/>
                <w:sz w:val="22"/>
                <w:szCs w:val="22"/>
                <w:highlight w:val="none"/>
                <w:u w:val="single"/>
              </w:rPr>
              <w:t>3</w:t>
            </w:r>
            <w:r>
              <w:rPr>
                <w:rFonts w:hint="eastAsia" w:ascii="宋体" w:hAnsi="宋体" w:eastAsia="宋体" w:cs="宋体"/>
                <w:strike w:val="0"/>
                <w:dstrike w:val="0"/>
                <w:snapToGrid w:val="0"/>
                <w:color w:val="auto"/>
                <w:kern w:val="0"/>
                <w:sz w:val="22"/>
                <w:szCs w:val="22"/>
                <w:highlight w:val="none"/>
              </w:rPr>
              <w:t>次，每次抽取1个号码，抽出的号球不参与下次抽取。所抽取的3个号码对应下浮系数的算术平均值作为最高投标限价下浮系数n。具体号码对应的下浮系数可参考下表。</w:t>
            </w:r>
          </w:p>
          <w:tbl>
            <w:tblPr>
              <w:tblStyle w:val="31"/>
              <w:tblW w:w="0" w:type="auto"/>
              <w:tblInd w:w="118" w:type="dxa"/>
              <w:tblLayout w:type="fixed"/>
              <w:tblCellMar>
                <w:top w:w="0" w:type="dxa"/>
                <w:left w:w="108" w:type="dxa"/>
                <w:bottom w:w="0" w:type="dxa"/>
                <w:right w:w="108" w:type="dxa"/>
              </w:tblCellMar>
            </w:tblPr>
            <w:tblGrid>
              <w:gridCol w:w="1662"/>
              <w:gridCol w:w="901"/>
              <w:gridCol w:w="941"/>
              <w:gridCol w:w="980"/>
              <w:gridCol w:w="962"/>
              <w:gridCol w:w="1000"/>
              <w:gridCol w:w="940"/>
              <w:gridCol w:w="929"/>
            </w:tblGrid>
            <w:tr w14:paraId="013DE952">
              <w:tblPrEx>
                <w:tblCellMar>
                  <w:top w:w="0" w:type="dxa"/>
                  <w:left w:w="108" w:type="dxa"/>
                  <w:bottom w:w="0" w:type="dxa"/>
                  <w:right w:w="108" w:type="dxa"/>
                </w:tblCellMar>
              </w:tblPrEx>
              <w:trPr>
                <w:trHeight w:val="350"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6A22C8A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号球</w:t>
                  </w:r>
                </w:p>
              </w:tc>
              <w:tc>
                <w:tcPr>
                  <w:tcW w:w="901" w:type="dxa"/>
                  <w:tcBorders>
                    <w:top w:val="single" w:color="000000" w:sz="4" w:space="0"/>
                    <w:left w:val="nil"/>
                    <w:bottom w:val="single" w:color="000000" w:sz="4" w:space="0"/>
                    <w:right w:val="single" w:color="000000" w:sz="4" w:space="0"/>
                  </w:tcBorders>
                  <w:noWrap w:val="0"/>
                  <w:vAlign w:val="center"/>
                </w:tcPr>
                <w:p w14:paraId="202B1A3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1</w:t>
                  </w:r>
                </w:p>
              </w:tc>
              <w:tc>
                <w:tcPr>
                  <w:tcW w:w="941" w:type="dxa"/>
                  <w:tcBorders>
                    <w:top w:val="single" w:color="000000" w:sz="4" w:space="0"/>
                    <w:left w:val="nil"/>
                    <w:bottom w:val="single" w:color="000000" w:sz="4" w:space="0"/>
                    <w:right w:val="single" w:color="000000" w:sz="4" w:space="0"/>
                  </w:tcBorders>
                  <w:noWrap w:val="0"/>
                  <w:vAlign w:val="center"/>
                </w:tcPr>
                <w:p w14:paraId="0535259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2</w:t>
                  </w:r>
                </w:p>
              </w:tc>
              <w:tc>
                <w:tcPr>
                  <w:tcW w:w="980" w:type="dxa"/>
                  <w:tcBorders>
                    <w:top w:val="single" w:color="000000" w:sz="4" w:space="0"/>
                    <w:left w:val="nil"/>
                    <w:bottom w:val="single" w:color="000000" w:sz="4" w:space="0"/>
                    <w:right w:val="single" w:color="000000" w:sz="4" w:space="0"/>
                  </w:tcBorders>
                  <w:noWrap w:val="0"/>
                  <w:vAlign w:val="center"/>
                </w:tcPr>
                <w:p w14:paraId="43A3F00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3</w:t>
                  </w:r>
                </w:p>
              </w:tc>
              <w:tc>
                <w:tcPr>
                  <w:tcW w:w="962" w:type="dxa"/>
                  <w:tcBorders>
                    <w:top w:val="single" w:color="000000" w:sz="4" w:space="0"/>
                    <w:left w:val="nil"/>
                    <w:bottom w:val="single" w:color="000000" w:sz="4" w:space="0"/>
                    <w:right w:val="single" w:color="000000" w:sz="4" w:space="0"/>
                  </w:tcBorders>
                  <w:noWrap w:val="0"/>
                  <w:vAlign w:val="center"/>
                </w:tcPr>
                <w:p w14:paraId="45D9DE3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4</w:t>
                  </w:r>
                </w:p>
              </w:tc>
              <w:tc>
                <w:tcPr>
                  <w:tcW w:w="1000" w:type="dxa"/>
                  <w:tcBorders>
                    <w:top w:val="single" w:color="000000" w:sz="4" w:space="0"/>
                    <w:left w:val="nil"/>
                    <w:bottom w:val="single" w:color="000000" w:sz="4" w:space="0"/>
                    <w:right w:val="single" w:color="000000" w:sz="4" w:space="0"/>
                  </w:tcBorders>
                  <w:noWrap w:val="0"/>
                  <w:vAlign w:val="center"/>
                </w:tcPr>
                <w:p w14:paraId="2110DB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5</w:t>
                  </w:r>
                </w:p>
              </w:tc>
              <w:tc>
                <w:tcPr>
                  <w:tcW w:w="940" w:type="dxa"/>
                  <w:tcBorders>
                    <w:top w:val="single" w:color="000000" w:sz="4" w:space="0"/>
                    <w:left w:val="nil"/>
                    <w:bottom w:val="single" w:color="000000" w:sz="4" w:space="0"/>
                    <w:right w:val="single" w:color="000000" w:sz="4" w:space="0"/>
                  </w:tcBorders>
                  <w:noWrap w:val="0"/>
                  <w:vAlign w:val="center"/>
                </w:tcPr>
                <w:p w14:paraId="26E20A8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6</w:t>
                  </w:r>
                </w:p>
              </w:tc>
              <w:tc>
                <w:tcPr>
                  <w:tcW w:w="929" w:type="dxa"/>
                  <w:tcBorders>
                    <w:top w:val="single" w:color="000000" w:sz="4" w:space="0"/>
                    <w:left w:val="nil"/>
                    <w:bottom w:val="single" w:color="000000" w:sz="4" w:space="0"/>
                    <w:right w:val="single" w:color="000000" w:sz="4" w:space="0"/>
                  </w:tcBorders>
                  <w:noWrap w:val="0"/>
                  <w:vAlign w:val="center"/>
                </w:tcPr>
                <w:p w14:paraId="3A01DE4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2"/>
                      <w:szCs w:val="22"/>
                      <w:highlight w:val="none"/>
                    </w:rPr>
                  </w:pPr>
                  <w:r>
                    <w:rPr>
                      <w:rFonts w:hint="eastAsia" w:ascii="宋体" w:hAnsi="宋体" w:eastAsia="宋体" w:cs="宋体"/>
                      <w:b/>
                      <w:bCs/>
                      <w:strike w:val="0"/>
                      <w:dstrike w:val="0"/>
                      <w:color w:val="auto"/>
                      <w:kern w:val="0"/>
                      <w:sz w:val="22"/>
                      <w:szCs w:val="22"/>
                      <w:highlight w:val="none"/>
                    </w:rPr>
                    <w:t>7</w:t>
                  </w:r>
                </w:p>
              </w:tc>
            </w:tr>
            <w:tr w14:paraId="6E399123">
              <w:tblPrEx>
                <w:tblCellMar>
                  <w:top w:w="0" w:type="dxa"/>
                  <w:left w:w="108" w:type="dxa"/>
                  <w:bottom w:w="0" w:type="dxa"/>
                  <w:right w:w="108" w:type="dxa"/>
                </w:tblCellMar>
              </w:tblPrEx>
              <w:trPr>
                <w:trHeight w:val="429"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63F3858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rPr>
                    <w:t>下浮系数（%）</w:t>
                  </w:r>
                </w:p>
              </w:tc>
              <w:tc>
                <w:tcPr>
                  <w:tcW w:w="901" w:type="dxa"/>
                  <w:tcBorders>
                    <w:top w:val="single" w:color="000000" w:sz="4" w:space="0"/>
                    <w:left w:val="nil"/>
                    <w:bottom w:val="single" w:color="000000" w:sz="4" w:space="0"/>
                    <w:right w:val="single" w:color="000000" w:sz="4" w:space="0"/>
                  </w:tcBorders>
                  <w:noWrap w:val="0"/>
                  <w:vAlign w:val="center"/>
                </w:tcPr>
                <w:p w14:paraId="7F3685C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lang w:val="en-US" w:eastAsia="zh-CN"/>
                    </w:rPr>
                  </w:pPr>
                  <w:r>
                    <w:rPr>
                      <w:rFonts w:hint="eastAsia" w:ascii="宋体" w:hAnsi="宋体" w:eastAsia="宋体" w:cs="宋体"/>
                      <w:strike w:val="0"/>
                      <w:dstrike w:val="0"/>
                      <w:color w:val="auto"/>
                      <w:kern w:val="0"/>
                      <w:sz w:val="22"/>
                      <w:szCs w:val="22"/>
                      <w:highlight w:val="none"/>
                      <w:lang w:val="en-US" w:eastAsia="zh-CN"/>
                    </w:rPr>
                    <w:t>1.0</w:t>
                  </w:r>
                </w:p>
              </w:tc>
              <w:tc>
                <w:tcPr>
                  <w:tcW w:w="941" w:type="dxa"/>
                  <w:tcBorders>
                    <w:top w:val="single" w:color="000000" w:sz="4" w:space="0"/>
                    <w:left w:val="nil"/>
                    <w:bottom w:val="single" w:color="000000" w:sz="4" w:space="0"/>
                    <w:right w:val="single" w:color="000000" w:sz="4" w:space="0"/>
                  </w:tcBorders>
                  <w:noWrap w:val="0"/>
                  <w:vAlign w:val="center"/>
                </w:tcPr>
                <w:p w14:paraId="4D7DF9E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.1</w:t>
                  </w:r>
                </w:p>
              </w:tc>
              <w:tc>
                <w:tcPr>
                  <w:tcW w:w="980" w:type="dxa"/>
                  <w:tcBorders>
                    <w:top w:val="single" w:color="000000" w:sz="4" w:space="0"/>
                    <w:left w:val="nil"/>
                    <w:bottom w:val="single" w:color="000000" w:sz="4" w:space="0"/>
                    <w:right w:val="single" w:color="000000" w:sz="4" w:space="0"/>
                  </w:tcBorders>
                  <w:noWrap w:val="0"/>
                  <w:vAlign w:val="center"/>
                </w:tcPr>
                <w:p w14:paraId="6D46CDE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.2</w:t>
                  </w:r>
                </w:p>
              </w:tc>
              <w:tc>
                <w:tcPr>
                  <w:tcW w:w="962" w:type="dxa"/>
                  <w:tcBorders>
                    <w:top w:val="single" w:color="000000" w:sz="4" w:space="0"/>
                    <w:left w:val="nil"/>
                    <w:bottom w:val="single" w:color="000000" w:sz="4" w:space="0"/>
                    <w:right w:val="single" w:color="000000" w:sz="4" w:space="0"/>
                  </w:tcBorders>
                  <w:noWrap w:val="0"/>
                  <w:vAlign w:val="center"/>
                </w:tcPr>
                <w:p w14:paraId="70CD0EB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.3</w:t>
                  </w:r>
                </w:p>
              </w:tc>
              <w:tc>
                <w:tcPr>
                  <w:tcW w:w="1000" w:type="dxa"/>
                  <w:tcBorders>
                    <w:top w:val="single" w:color="000000" w:sz="4" w:space="0"/>
                    <w:left w:val="nil"/>
                    <w:bottom w:val="single" w:color="000000" w:sz="4" w:space="0"/>
                    <w:right w:val="single" w:color="000000" w:sz="4" w:space="0"/>
                  </w:tcBorders>
                  <w:noWrap w:val="0"/>
                  <w:vAlign w:val="center"/>
                </w:tcPr>
                <w:p w14:paraId="32E4F79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.4</w:t>
                  </w:r>
                </w:p>
              </w:tc>
              <w:tc>
                <w:tcPr>
                  <w:tcW w:w="940" w:type="dxa"/>
                  <w:tcBorders>
                    <w:top w:val="single" w:color="000000" w:sz="4" w:space="0"/>
                    <w:left w:val="nil"/>
                    <w:bottom w:val="single" w:color="000000" w:sz="4" w:space="0"/>
                    <w:right w:val="single" w:color="000000" w:sz="4" w:space="0"/>
                  </w:tcBorders>
                  <w:noWrap w:val="0"/>
                  <w:vAlign w:val="center"/>
                </w:tcPr>
                <w:p w14:paraId="610EA92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.5</w:t>
                  </w:r>
                </w:p>
              </w:tc>
              <w:tc>
                <w:tcPr>
                  <w:tcW w:w="929" w:type="dxa"/>
                  <w:tcBorders>
                    <w:top w:val="single" w:color="000000" w:sz="4" w:space="0"/>
                    <w:left w:val="nil"/>
                    <w:bottom w:val="single" w:color="000000" w:sz="4" w:space="0"/>
                    <w:right w:val="single" w:color="000000" w:sz="4" w:space="0"/>
                  </w:tcBorders>
                  <w:noWrap w:val="0"/>
                  <w:vAlign w:val="center"/>
                </w:tcPr>
                <w:p w14:paraId="4BDB95F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.6</w:t>
                  </w:r>
                </w:p>
              </w:tc>
            </w:tr>
            <w:tr w14:paraId="047AAB40">
              <w:tblPrEx>
                <w:tblCellMar>
                  <w:top w:w="0" w:type="dxa"/>
                  <w:left w:w="108" w:type="dxa"/>
                  <w:bottom w:w="0" w:type="dxa"/>
                  <w:right w:w="108" w:type="dxa"/>
                </w:tblCellMar>
              </w:tblPrEx>
              <w:trPr>
                <w:trHeight w:val="419"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317C2E8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号球</w:t>
                  </w:r>
                </w:p>
              </w:tc>
              <w:tc>
                <w:tcPr>
                  <w:tcW w:w="901" w:type="dxa"/>
                  <w:tcBorders>
                    <w:top w:val="single" w:color="000000" w:sz="4" w:space="0"/>
                    <w:left w:val="nil"/>
                    <w:bottom w:val="single" w:color="000000" w:sz="4" w:space="0"/>
                    <w:right w:val="single" w:color="000000" w:sz="4" w:space="0"/>
                  </w:tcBorders>
                  <w:noWrap w:val="0"/>
                  <w:vAlign w:val="center"/>
                </w:tcPr>
                <w:p w14:paraId="4404472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8</w:t>
                  </w:r>
                </w:p>
              </w:tc>
              <w:tc>
                <w:tcPr>
                  <w:tcW w:w="941" w:type="dxa"/>
                  <w:tcBorders>
                    <w:top w:val="single" w:color="000000" w:sz="4" w:space="0"/>
                    <w:left w:val="nil"/>
                    <w:bottom w:val="single" w:color="000000" w:sz="4" w:space="0"/>
                    <w:right w:val="single" w:color="000000" w:sz="4" w:space="0"/>
                  </w:tcBorders>
                  <w:noWrap w:val="0"/>
                  <w:vAlign w:val="center"/>
                </w:tcPr>
                <w:p w14:paraId="61B184F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9</w:t>
                  </w:r>
                </w:p>
              </w:tc>
              <w:tc>
                <w:tcPr>
                  <w:tcW w:w="980" w:type="dxa"/>
                  <w:tcBorders>
                    <w:top w:val="single" w:color="000000" w:sz="4" w:space="0"/>
                    <w:left w:val="nil"/>
                    <w:bottom w:val="single" w:color="000000" w:sz="4" w:space="0"/>
                    <w:right w:val="single" w:color="000000" w:sz="4" w:space="0"/>
                  </w:tcBorders>
                  <w:noWrap w:val="0"/>
                  <w:vAlign w:val="center"/>
                </w:tcPr>
                <w:p w14:paraId="76914D9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10</w:t>
                  </w:r>
                </w:p>
              </w:tc>
              <w:tc>
                <w:tcPr>
                  <w:tcW w:w="962" w:type="dxa"/>
                  <w:tcBorders>
                    <w:top w:val="single" w:color="000000" w:sz="4" w:space="0"/>
                    <w:left w:val="nil"/>
                    <w:bottom w:val="single" w:color="000000" w:sz="4" w:space="0"/>
                    <w:right w:val="single" w:color="000000" w:sz="4" w:space="0"/>
                  </w:tcBorders>
                  <w:noWrap w:val="0"/>
                  <w:vAlign w:val="center"/>
                </w:tcPr>
                <w:p w14:paraId="72272B6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11</w:t>
                  </w:r>
                </w:p>
              </w:tc>
              <w:tc>
                <w:tcPr>
                  <w:tcW w:w="1000" w:type="dxa"/>
                  <w:tcBorders>
                    <w:top w:val="single" w:color="000000" w:sz="4" w:space="0"/>
                    <w:left w:val="nil"/>
                    <w:bottom w:val="single" w:color="000000" w:sz="4" w:space="0"/>
                    <w:right w:val="single" w:color="000000" w:sz="4" w:space="0"/>
                  </w:tcBorders>
                  <w:noWrap w:val="0"/>
                  <w:vAlign w:val="center"/>
                </w:tcPr>
                <w:p w14:paraId="247C03B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12</w:t>
                  </w:r>
                </w:p>
              </w:tc>
              <w:tc>
                <w:tcPr>
                  <w:tcW w:w="940" w:type="dxa"/>
                  <w:tcBorders>
                    <w:top w:val="single" w:color="000000" w:sz="4" w:space="0"/>
                    <w:left w:val="nil"/>
                    <w:bottom w:val="single" w:color="000000" w:sz="4" w:space="0"/>
                    <w:right w:val="single" w:color="000000" w:sz="4" w:space="0"/>
                  </w:tcBorders>
                  <w:noWrap w:val="0"/>
                  <w:vAlign w:val="center"/>
                </w:tcPr>
                <w:p w14:paraId="5A3F5E9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13</w:t>
                  </w:r>
                </w:p>
              </w:tc>
              <w:tc>
                <w:tcPr>
                  <w:tcW w:w="929" w:type="dxa"/>
                  <w:tcBorders>
                    <w:top w:val="single" w:color="000000" w:sz="4" w:space="0"/>
                    <w:left w:val="nil"/>
                    <w:bottom w:val="single" w:color="000000" w:sz="4" w:space="0"/>
                    <w:right w:val="single" w:color="000000" w:sz="4" w:space="0"/>
                  </w:tcBorders>
                  <w:noWrap w:val="0"/>
                  <w:vAlign w:val="center"/>
                </w:tcPr>
                <w:p w14:paraId="78B13D9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14</w:t>
                  </w:r>
                </w:p>
              </w:tc>
            </w:tr>
            <w:tr w14:paraId="03279D53">
              <w:tblPrEx>
                <w:tblCellMar>
                  <w:top w:w="0" w:type="dxa"/>
                  <w:left w:w="108" w:type="dxa"/>
                  <w:bottom w:w="0" w:type="dxa"/>
                  <w:right w:w="108" w:type="dxa"/>
                </w:tblCellMar>
              </w:tblPrEx>
              <w:trPr>
                <w:trHeight w:val="413"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577A2CA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rPr>
                    <w:t>下浮系数（%）</w:t>
                  </w:r>
                </w:p>
              </w:tc>
              <w:tc>
                <w:tcPr>
                  <w:tcW w:w="901" w:type="dxa"/>
                  <w:tcBorders>
                    <w:top w:val="single" w:color="000000" w:sz="4" w:space="0"/>
                    <w:left w:val="nil"/>
                    <w:bottom w:val="single" w:color="000000" w:sz="4" w:space="0"/>
                    <w:right w:val="single" w:color="000000" w:sz="4" w:space="0"/>
                  </w:tcBorders>
                  <w:noWrap w:val="0"/>
                  <w:vAlign w:val="center"/>
                </w:tcPr>
                <w:p w14:paraId="44F1C59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.7</w:t>
                  </w:r>
                </w:p>
              </w:tc>
              <w:tc>
                <w:tcPr>
                  <w:tcW w:w="941" w:type="dxa"/>
                  <w:tcBorders>
                    <w:top w:val="single" w:color="000000" w:sz="4" w:space="0"/>
                    <w:left w:val="nil"/>
                    <w:bottom w:val="single" w:color="000000" w:sz="4" w:space="0"/>
                    <w:right w:val="single" w:color="000000" w:sz="4" w:space="0"/>
                  </w:tcBorders>
                  <w:noWrap w:val="0"/>
                  <w:vAlign w:val="center"/>
                </w:tcPr>
                <w:p w14:paraId="3EDFAD4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.8</w:t>
                  </w:r>
                </w:p>
              </w:tc>
              <w:tc>
                <w:tcPr>
                  <w:tcW w:w="980" w:type="dxa"/>
                  <w:tcBorders>
                    <w:top w:val="single" w:color="000000" w:sz="4" w:space="0"/>
                    <w:left w:val="nil"/>
                    <w:bottom w:val="single" w:color="000000" w:sz="4" w:space="0"/>
                    <w:right w:val="single" w:color="000000" w:sz="4" w:space="0"/>
                  </w:tcBorders>
                  <w:noWrap w:val="0"/>
                  <w:vAlign w:val="center"/>
                </w:tcPr>
                <w:p w14:paraId="3C87EF7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1</w:t>
                  </w:r>
                  <w:r>
                    <w:rPr>
                      <w:rFonts w:hint="eastAsia" w:ascii="宋体" w:hAnsi="宋体" w:eastAsia="宋体" w:cs="宋体"/>
                      <w:strike w:val="0"/>
                      <w:dstrike w:val="0"/>
                      <w:color w:val="auto"/>
                      <w:kern w:val="0"/>
                      <w:sz w:val="22"/>
                      <w:szCs w:val="22"/>
                      <w:highlight w:val="none"/>
                    </w:rPr>
                    <w:t>.9</w:t>
                  </w:r>
                </w:p>
              </w:tc>
              <w:tc>
                <w:tcPr>
                  <w:tcW w:w="962" w:type="dxa"/>
                  <w:tcBorders>
                    <w:top w:val="single" w:color="000000" w:sz="4" w:space="0"/>
                    <w:left w:val="nil"/>
                    <w:bottom w:val="single" w:color="000000" w:sz="4" w:space="0"/>
                    <w:right w:val="single" w:color="000000" w:sz="4" w:space="0"/>
                  </w:tcBorders>
                  <w:noWrap w:val="0"/>
                  <w:vAlign w:val="center"/>
                </w:tcPr>
                <w:p w14:paraId="2872235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.0</w:t>
                  </w:r>
                </w:p>
              </w:tc>
              <w:tc>
                <w:tcPr>
                  <w:tcW w:w="1000" w:type="dxa"/>
                  <w:tcBorders>
                    <w:top w:val="single" w:color="000000" w:sz="4" w:space="0"/>
                    <w:left w:val="nil"/>
                    <w:bottom w:val="single" w:color="000000" w:sz="4" w:space="0"/>
                    <w:right w:val="single" w:color="000000" w:sz="4" w:space="0"/>
                  </w:tcBorders>
                  <w:noWrap w:val="0"/>
                  <w:vAlign w:val="center"/>
                </w:tcPr>
                <w:p w14:paraId="622F61B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.1</w:t>
                  </w:r>
                </w:p>
              </w:tc>
              <w:tc>
                <w:tcPr>
                  <w:tcW w:w="940" w:type="dxa"/>
                  <w:tcBorders>
                    <w:top w:val="single" w:color="000000" w:sz="4" w:space="0"/>
                    <w:left w:val="nil"/>
                    <w:bottom w:val="single" w:color="000000" w:sz="4" w:space="0"/>
                    <w:right w:val="single" w:color="000000" w:sz="4" w:space="0"/>
                  </w:tcBorders>
                  <w:noWrap w:val="0"/>
                  <w:vAlign w:val="center"/>
                </w:tcPr>
                <w:p w14:paraId="585C4D9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.2</w:t>
                  </w:r>
                </w:p>
              </w:tc>
              <w:tc>
                <w:tcPr>
                  <w:tcW w:w="929" w:type="dxa"/>
                  <w:tcBorders>
                    <w:top w:val="single" w:color="000000" w:sz="4" w:space="0"/>
                    <w:left w:val="nil"/>
                    <w:bottom w:val="single" w:color="000000" w:sz="4" w:space="0"/>
                    <w:right w:val="single" w:color="000000" w:sz="4" w:space="0"/>
                  </w:tcBorders>
                  <w:noWrap w:val="0"/>
                  <w:vAlign w:val="center"/>
                </w:tcPr>
                <w:p w14:paraId="5C7D6FD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.3</w:t>
                  </w:r>
                </w:p>
              </w:tc>
            </w:tr>
            <w:tr w14:paraId="7CDEDAEA">
              <w:tblPrEx>
                <w:tblCellMar>
                  <w:top w:w="0" w:type="dxa"/>
                  <w:left w:w="108" w:type="dxa"/>
                  <w:bottom w:w="0" w:type="dxa"/>
                  <w:right w:w="108" w:type="dxa"/>
                </w:tblCellMar>
              </w:tblPrEx>
              <w:trPr>
                <w:trHeight w:val="384"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4EA7F1D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号球</w:t>
                  </w:r>
                </w:p>
              </w:tc>
              <w:tc>
                <w:tcPr>
                  <w:tcW w:w="901" w:type="dxa"/>
                  <w:tcBorders>
                    <w:top w:val="single" w:color="000000" w:sz="4" w:space="0"/>
                    <w:left w:val="nil"/>
                    <w:bottom w:val="single" w:color="000000" w:sz="4" w:space="0"/>
                    <w:right w:val="single" w:color="000000" w:sz="4" w:space="0"/>
                  </w:tcBorders>
                  <w:noWrap w:val="0"/>
                  <w:vAlign w:val="center"/>
                </w:tcPr>
                <w:p w14:paraId="4C56409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15</w:t>
                  </w:r>
                </w:p>
              </w:tc>
              <w:tc>
                <w:tcPr>
                  <w:tcW w:w="941" w:type="dxa"/>
                  <w:tcBorders>
                    <w:top w:val="single" w:color="000000" w:sz="4" w:space="0"/>
                    <w:left w:val="nil"/>
                    <w:bottom w:val="single" w:color="000000" w:sz="4" w:space="0"/>
                    <w:right w:val="single" w:color="000000" w:sz="4" w:space="0"/>
                  </w:tcBorders>
                  <w:noWrap w:val="0"/>
                  <w:vAlign w:val="center"/>
                </w:tcPr>
                <w:p w14:paraId="7F58C12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16</w:t>
                  </w:r>
                </w:p>
              </w:tc>
              <w:tc>
                <w:tcPr>
                  <w:tcW w:w="980" w:type="dxa"/>
                  <w:tcBorders>
                    <w:top w:val="single" w:color="000000" w:sz="4" w:space="0"/>
                    <w:left w:val="nil"/>
                    <w:bottom w:val="single" w:color="000000" w:sz="4" w:space="0"/>
                    <w:right w:val="single" w:color="000000" w:sz="4" w:space="0"/>
                  </w:tcBorders>
                  <w:noWrap w:val="0"/>
                  <w:vAlign w:val="center"/>
                </w:tcPr>
                <w:p w14:paraId="245B992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17</w:t>
                  </w:r>
                </w:p>
              </w:tc>
              <w:tc>
                <w:tcPr>
                  <w:tcW w:w="962" w:type="dxa"/>
                  <w:tcBorders>
                    <w:top w:val="single" w:color="000000" w:sz="4" w:space="0"/>
                    <w:left w:val="nil"/>
                    <w:bottom w:val="single" w:color="000000" w:sz="4" w:space="0"/>
                    <w:right w:val="single" w:color="000000" w:sz="4" w:space="0"/>
                  </w:tcBorders>
                  <w:noWrap w:val="0"/>
                  <w:vAlign w:val="center"/>
                </w:tcPr>
                <w:p w14:paraId="42C7460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18</w:t>
                  </w:r>
                </w:p>
              </w:tc>
              <w:tc>
                <w:tcPr>
                  <w:tcW w:w="1000" w:type="dxa"/>
                  <w:tcBorders>
                    <w:top w:val="single" w:color="000000" w:sz="4" w:space="0"/>
                    <w:left w:val="nil"/>
                    <w:bottom w:val="single" w:color="000000" w:sz="4" w:space="0"/>
                    <w:right w:val="single" w:color="000000" w:sz="4" w:space="0"/>
                  </w:tcBorders>
                  <w:noWrap w:val="0"/>
                  <w:vAlign w:val="center"/>
                </w:tcPr>
                <w:p w14:paraId="406F4FB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19</w:t>
                  </w:r>
                </w:p>
              </w:tc>
              <w:tc>
                <w:tcPr>
                  <w:tcW w:w="940" w:type="dxa"/>
                  <w:tcBorders>
                    <w:top w:val="single" w:color="000000" w:sz="4" w:space="0"/>
                    <w:left w:val="nil"/>
                    <w:bottom w:val="single" w:color="000000" w:sz="4" w:space="0"/>
                    <w:right w:val="single" w:color="000000" w:sz="4" w:space="0"/>
                  </w:tcBorders>
                  <w:noWrap w:val="0"/>
                  <w:vAlign w:val="center"/>
                </w:tcPr>
                <w:p w14:paraId="5E9C6AB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20</w:t>
                  </w:r>
                </w:p>
              </w:tc>
              <w:tc>
                <w:tcPr>
                  <w:tcW w:w="929" w:type="dxa"/>
                  <w:tcBorders>
                    <w:top w:val="single" w:color="000000" w:sz="4" w:space="0"/>
                    <w:left w:val="nil"/>
                    <w:bottom w:val="single" w:color="000000" w:sz="4" w:space="0"/>
                    <w:right w:val="single" w:color="000000" w:sz="4" w:space="0"/>
                  </w:tcBorders>
                  <w:noWrap w:val="0"/>
                  <w:vAlign w:val="center"/>
                </w:tcPr>
                <w:p w14:paraId="61F15B0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2"/>
                      <w:szCs w:val="22"/>
                      <w:highlight w:val="none"/>
                    </w:rPr>
                  </w:pPr>
                  <w:r>
                    <w:rPr>
                      <w:rFonts w:hint="eastAsia" w:ascii="宋体" w:hAnsi="宋体" w:eastAsia="宋体" w:cs="宋体"/>
                      <w:b/>
                      <w:bCs w:val="0"/>
                      <w:strike w:val="0"/>
                      <w:dstrike w:val="0"/>
                      <w:color w:val="auto"/>
                      <w:kern w:val="0"/>
                      <w:sz w:val="22"/>
                      <w:szCs w:val="22"/>
                      <w:highlight w:val="none"/>
                    </w:rPr>
                    <w:t>21</w:t>
                  </w:r>
                </w:p>
              </w:tc>
            </w:tr>
            <w:tr w14:paraId="5872070C">
              <w:tblPrEx>
                <w:tblCellMar>
                  <w:top w:w="0" w:type="dxa"/>
                  <w:left w:w="108" w:type="dxa"/>
                  <w:bottom w:w="0" w:type="dxa"/>
                  <w:right w:w="108" w:type="dxa"/>
                </w:tblCellMar>
              </w:tblPrEx>
              <w:trPr>
                <w:trHeight w:val="499" w:hRule="atLeast"/>
              </w:trPr>
              <w:tc>
                <w:tcPr>
                  <w:tcW w:w="1662" w:type="dxa"/>
                  <w:tcBorders>
                    <w:top w:val="single" w:color="000000" w:sz="4" w:space="0"/>
                    <w:left w:val="single" w:color="000000" w:sz="4" w:space="0"/>
                    <w:bottom w:val="single" w:color="000000" w:sz="4" w:space="0"/>
                    <w:right w:val="single" w:color="000000" w:sz="4" w:space="0"/>
                  </w:tcBorders>
                  <w:noWrap w:val="0"/>
                  <w:vAlign w:val="center"/>
                </w:tcPr>
                <w:p w14:paraId="0EE358E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rPr>
                    <w:t>下浮系数（%）</w:t>
                  </w:r>
                </w:p>
              </w:tc>
              <w:tc>
                <w:tcPr>
                  <w:tcW w:w="901" w:type="dxa"/>
                  <w:tcBorders>
                    <w:top w:val="single" w:color="000000" w:sz="4" w:space="0"/>
                    <w:left w:val="nil"/>
                    <w:bottom w:val="single" w:color="000000" w:sz="4" w:space="0"/>
                    <w:right w:val="single" w:color="000000" w:sz="4" w:space="0"/>
                  </w:tcBorders>
                  <w:noWrap w:val="0"/>
                  <w:vAlign w:val="center"/>
                </w:tcPr>
                <w:p w14:paraId="2B5E760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.4</w:t>
                  </w:r>
                </w:p>
              </w:tc>
              <w:tc>
                <w:tcPr>
                  <w:tcW w:w="941" w:type="dxa"/>
                  <w:tcBorders>
                    <w:top w:val="single" w:color="000000" w:sz="4" w:space="0"/>
                    <w:left w:val="nil"/>
                    <w:bottom w:val="single" w:color="000000" w:sz="4" w:space="0"/>
                    <w:right w:val="single" w:color="000000" w:sz="4" w:space="0"/>
                  </w:tcBorders>
                  <w:noWrap w:val="0"/>
                  <w:vAlign w:val="center"/>
                </w:tcPr>
                <w:p w14:paraId="5251CDC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.5</w:t>
                  </w:r>
                </w:p>
              </w:tc>
              <w:tc>
                <w:tcPr>
                  <w:tcW w:w="980" w:type="dxa"/>
                  <w:tcBorders>
                    <w:top w:val="single" w:color="000000" w:sz="4" w:space="0"/>
                    <w:left w:val="nil"/>
                    <w:bottom w:val="single" w:color="000000" w:sz="4" w:space="0"/>
                    <w:right w:val="single" w:color="000000" w:sz="4" w:space="0"/>
                  </w:tcBorders>
                  <w:noWrap w:val="0"/>
                  <w:vAlign w:val="center"/>
                </w:tcPr>
                <w:p w14:paraId="33CBF0E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.6</w:t>
                  </w:r>
                </w:p>
              </w:tc>
              <w:tc>
                <w:tcPr>
                  <w:tcW w:w="962" w:type="dxa"/>
                  <w:tcBorders>
                    <w:top w:val="single" w:color="000000" w:sz="4" w:space="0"/>
                    <w:left w:val="nil"/>
                    <w:bottom w:val="single" w:color="000000" w:sz="4" w:space="0"/>
                    <w:right w:val="single" w:color="000000" w:sz="4" w:space="0"/>
                  </w:tcBorders>
                  <w:noWrap w:val="0"/>
                  <w:vAlign w:val="center"/>
                </w:tcPr>
                <w:p w14:paraId="0A57A8A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.7</w:t>
                  </w:r>
                </w:p>
              </w:tc>
              <w:tc>
                <w:tcPr>
                  <w:tcW w:w="1000" w:type="dxa"/>
                  <w:tcBorders>
                    <w:top w:val="single" w:color="000000" w:sz="4" w:space="0"/>
                    <w:left w:val="nil"/>
                    <w:bottom w:val="single" w:color="000000" w:sz="4" w:space="0"/>
                    <w:right w:val="single" w:color="000000" w:sz="4" w:space="0"/>
                  </w:tcBorders>
                  <w:noWrap w:val="0"/>
                  <w:vAlign w:val="center"/>
                </w:tcPr>
                <w:p w14:paraId="3BE5420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.8</w:t>
                  </w:r>
                </w:p>
              </w:tc>
              <w:tc>
                <w:tcPr>
                  <w:tcW w:w="940" w:type="dxa"/>
                  <w:tcBorders>
                    <w:top w:val="single" w:color="000000" w:sz="4" w:space="0"/>
                    <w:left w:val="nil"/>
                    <w:bottom w:val="single" w:color="000000" w:sz="4" w:space="0"/>
                    <w:right w:val="single" w:color="000000" w:sz="4" w:space="0"/>
                  </w:tcBorders>
                  <w:noWrap w:val="0"/>
                  <w:vAlign w:val="center"/>
                </w:tcPr>
                <w:p w14:paraId="3F307B4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2</w:t>
                  </w:r>
                  <w:r>
                    <w:rPr>
                      <w:rFonts w:hint="eastAsia" w:ascii="宋体" w:hAnsi="宋体" w:eastAsia="宋体" w:cs="宋体"/>
                      <w:strike w:val="0"/>
                      <w:dstrike w:val="0"/>
                      <w:color w:val="auto"/>
                      <w:kern w:val="0"/>
                      <w:sz w:val="22"/>
                      <w:szCs w:val="22"/>
                      <w:highlight w:val="none"/>
                    </w:rPr>
                    <w:t>.9</w:t>
                  </w:r>
                </w:p>
              </w:tc>
              <w:tc>
                <w:tcPr>
                  <w:tcW w:w="929" w:type="dxa"/>
                  <w:tcBorders>
                    <w:top w:val="single" w:color="000000" w:sz="4" w:space="0"/>
                    <w:left w:val="nil"/>
                    <w:bottom w:val="single" w:color="000000" w:sz="4" w:space="0"/>
                    <w:right w:val="single" w:color="000000" w:sz="4" w:space="0"/>
                  </w:tcBorders>
                  <w:noWrap w:val="0"/>
                  <w:vAlign w:val="center"/>
                </w:tcPr>
                <w:p w14:paraId="0BCD395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2"/>
                      <w:szCs w:val="22"/>
                      <w:highlight w:val="none"/>
                    </w:rPr>
                  </w:pPr>
                  <w:r>
                    <w:rPr>
                      <w:rFonts w:hint="eastAsia" w:ascii="宋体" w:hAnsi="宋体" w:eastAsia="宋体" w:cs="宋体"/>
                      <w:strike w:val="0"/>
                      <w:dstrike w:val="0"/>
                      <w:color w:val="auto"/>
                      <w:kern w:val="0"/>
                      <w:sz w:val="22"/>
                      <w:szCs w:val="22"/>
                      <w:highlight w:val="none"/>
                      <w:lang w:val="en-US" w:eastAsia="zh-CN"/>
                    </w:rPr>
                    <w:t>3</w:t>
                  </w:r>
                  <w:r>
                    <w:rPr>
                      <w:rFonts w:hint="eastAsia" w:ascii="宋体" w:hAnsi="宋体" w:eastAsia="宋体" w:cs="宋体"/>
                      <w:strike w:val="0"/>
                      <w:dstrike w:val="0"/>
                      <w:color w:val="auto"/>
                      <w:kern w:val="0"/>
                      <w:sz w:val="22"/>
                      <w:szCs w:val="22"/>
                      <w:highlight w:val="none"/>
                    </w:rPr>
                    <w:t>.0</w:t>
                  </w:r>
                </w:p>
              </w:tc>
            </w:tr>
          </w:tbl>
          <w:p w14:paraId="2D81F855">
            <w:pPr>
              <w:wordWrap w:val="0"/>
              <w:adjustRightInd w:val="0"/>
              <w:snapToGrid w:val="0"/>
              <w:spacing w:line="360" w:lineRule="exact"/>
              <w:ind w:firstLine="220" w:firstLineChars="100"/>
              <w:jc w:val="left"/>
              <w:rPr>
                <w:rFonts w:hint="eastAsia" w:ascii="宋体" w:hAnsi="宋体" w:eastAsia="宋体" w:cs="宋体"/>
                <w:bCs/>
                <w:strike w:val="0"/>
                <w:dstrike w:val="0"/>
                <w:snapToGrid w:val="0"/>
                <w:color w:val="auto"/>
                <w:kern w:val="0"/>
                <w:sz w:val="22"/>
                <w:szCs w:val="22"/>
                <w:highlight w:val="none"/>
              </w:rPr>
            </w:pPr>
            <w:r>
              <w:rPr>
                <w:rFonts w:hint="eastAsia" w:ascii="宋体" w:hAnsi="宋体" w:eastAsia="宋体" w:cs="宋体"/>
                <w:strike w:val="0"/>
                <w:dstrike w:val="0"/>
                <w:snapToGrid w:val="0"/>
                <w:color w:val="auto"/>
                <w:kern w:val="0"/>
                <w:sz w:val="22"/>
                <w:szCs w:val="22"/>
                <w:highlight w:val="none"/>
              </w:rPr>
              <w:t>（2）评标基准价D＝最高投标限价×（1－n）</w:t>
            </w:r>
          </w:p>
        </w:tc>
      </w:tr>
      <w:tr w14:paraId="4FBF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121" w:type="dxa"/>
            <w:noWrap w:val="0"/>
            <w:vAlign w:val="center"/>
          </w:tcPr>
          <w:p w14:paraId="19E0768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aps w:val="0"/>
                <w:smallCaps w:val="0"/>
                <w:strike w:val="0"/>
                <w:dstrike w:val="0"/>
                <w:snapToGrid w:val="0"/>
                <w:color w:val="auto"/>
                <w:spacing w:val="0"/>
                <w:kern w:val="0"/>
                <w:sz w:val="22"/>
                <w:szCs w:val="22"/>
                <w:highlight w:val="none"/>
                <w:lang w:val="en-US" w:eastAsia="zh-CN" w:bidi="ar-SA"/>
              </w:rPr>
            </w:pPr>
            <w:r>
              <w:rPr>
                <w:rFonts w:hint="eastAsia" w:ascii="宋体" w:hAnsi="宋体" w:eastAsia="宋体" w:cs="宋体"/>
                <w:caps w:val="0"/>
                <w:smallCaps w:val="0"/>
                <w:strike w:val="0"/>
                <w:dstrike w:val="0"/>
                <w:snapToGrid w:val="0"/>
                <w:color w:val="auto"/>
                <w:spacing w:val="0"/>
                <w:kern w:val="0"/>
                <w:sz w:val="22"/>
                <w:szCs w:val="22"/>
                <w:highlight w:val="none"/>
                <w:lang w:val="en-US" w:eastAsia="zh-CN" w:bidi="ar-SA"/>
              </w:rPr>
              <w:t>投标报价得分</w:t>
            </w:r>
          </w:p>
          <w:p w14:paraId="52FEC9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strike w:val="0"/>
                <w:dstrike w:val="0"/>
                <w:snapToGrid w:val="0"/>
                <w:color w:val="auto"/>
                <w:kern w:val="0"/>
                <w:sz w:val="22"/>
                <w:szCs w:val="22"/>
                <w:highlight w:val="none"/>
                <w:lang w:val="en-US" w:eastAsia="zh-CN" w:bidi="ar-SA"/>
              </w:rPr>
            </w:pPr>
            <w:r>
              <w:rPr>
                <w:rFonts w:hint="eastAsia" w:ascii="宋体" w:hAnsi="宋体" w:eastAsia="宋体" w:cs="宋体"/>
                <w:caps w:val="0"/>
                <w:smallCaps w:val="0"/>
                <w:strike w:val="0"/>
                <w:dstrike w:val="0"/>
                <w:snapToGrid w:val="0"/>
                <w:color w:val="auto"/>
                <w:spacing w:val="0"/>
                <w:kern w:val="0"/>
                <w:sz w:val="22"/>
                <w:szCs w:val="22"/>
                <w:highlight w:val="none"/>
                <w:lang w:val="en-US" w:eastAsia="zh-CN" w:bidi="ar-SA"/>
              </w:rPr>
              <w:t>M</w:t>
            </w:r>
            <w:r>
              <w:rPr>
                <w:rFonts w:hint="eastAsia" w:ascii="宋体" w:hAnsi="宋体" w:eastAsia="宋体" w:cs="宋体"/>
                <w:caps w:val="0"/>
                <w:smallCaps w:val="0"/>
                <w:strike w:val="0"/>
                <w:dstrike w:val="0"/>
                <w:snapToGrid w:val="0"/>
                <w:color w:val="auto"/>
                <w:spacing w:val="0"/>
                <w:kern w:val="0"/>
                <w:sz w:val="22"/>
                <w:szCs w:val="22"/>
                <w:highlight w:val="none"/>
                <w:vertAlign w:val="subscript"/>
                <w:lang w:val="en-US" w:eastAsia="zh-CN" w:bidi="ar-SA"/>
              </w:rPr>
              <w:t>3</w:t>
            </w:r>
          </w:p>
        </w:tc>
        <w:tc>
          <w:tcPr>
            <w:tcW w:w="8387" w:type="dxa"/>
            <w:gridSpan w:val="2"/>
            <w:noWrap w:val="0"/>
            <w:vAlign w:val="center"/>
          </w:tcPr>
          <w:p w14:paraId="5A9BA5E1">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440" w:firstLineChars="20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采用内插法计算某投标人的投标报价得分</w:t>
            </w:r>
            <w:r>
              <w:rPr>
                <w:rFonts w:hint="eastAsia" w:ascii="宋体" w:hAnsi="宋体" w:eastAsia="宋体" w:cs="宋体"/>
                <w:caps w:val="0"/>
                <w:smallCaps w:val="0"/>
                <w:snapToGrid w:val="0"/>
                <w:color w:val="auto"/>
                <w:spacing w:val="0"/>
                <w:kern w:val="0"/>
                <w:sz w:val="22"/>
                <w:szCs w:val="22"/>
                <w:highlight w:val="none"/>
                <w:lang w:val="en-US" w:eastAsia="zh-CN"/>
              </w:rPr>
              <w:t>M</w:t>
            </w:r>
            <w:r>
              <w:rPr>
                <w:rFonts w:hint="eastAsia" w:ascii="宋体" w:hAnsi="宋体" w:eastAsia="宋体" w:cs="宋体"/>
                <w:caps w:val="0"/>
                <w:smallCaps w:val="0"/>
                <w:snapToGrid w:val="0"/>
                <w:color w:val="auto"/>
                <w:spacing w:val="0"/>
                <w:kern w:val="0"/>
                <w:sz w:val="22"/>
                <w:szCs w:val="22"/>
                <w:highlight w:val="none"/>
                <w:vertAlign w:val="subscript"/>
                <w:lang w:val="en-US" w:eastAsia="zh-CN"/>
              </w:rPr>
              <w:t>3</w:t>
            </w:r>
            <w:r>
              <w:rPr>
                <w:rFonts w:hint="eastAsia" w:ascii="宋体" w:hAnsi="宋体" w:eastAsia="宋体" w:cs="宋体"/>
                <w:caps w:val="0"/>
                <w:smallCaps w:val="0"/>
                <w:snapToGrid w:val="0"/>
                <w:color w:val="auto"/>
                <w:spacing w:val="0"/>
                <w:kern w:val="0"/>
                <w:sz w:val="22"/>
                <w:szCs w:val="22"/>
                <w:highlight w:val="none"/>
                <w:lang w:eastAsia="zh-CN"/>
              </w:rPr>
              <w:t>，即当投标人的投标总价等于评标基准价时得满分，每高于评标基准价一个百分点扣</w:t>
            </w:r>
            <w:r>
              <w:rPr>
                <w:rFonts w:hint="eastAsia" w:ascii="宋体" w:hAnsi="宋体" w:eastAsia="宋体" w:cs="宋体"/>
                <w:caps w:val="0"/>
                <w:smallCaps w:val="0"/>
                <w:snapToGrid w:val="0"/>
                <w:color w:val="auto"/>
                <w:spacing w:val="0"/>
                <w:kern w:val="0"/>
                <w:sz w:val="22"/>
                <w:szCs w:val="22"/>
                <w:highlight w:val="none"/>
                <w:lang w:val="en-US" w:eastAsia="zh-CN"/>
              </w:rPr>
              <w:t>1</w:t>
            </w:r>
            <w:r>
              <w:rPr>
                <w:rFonts w:hint="eastAsia" w:ascii="宋体" w:hAnsi="宋体" w:eastAsia="宋体" w:cs="宋体"/>
                <w:caps w:val="0"/>
                <w:smallCaps w:val="0"/>
                <w:snapToGrid w:val="0"/>
                <w:color w:val="auto"/>
                <w:spacing w:val="0"/>
                <w:kern w:val="0"/>
                <w:sz w:val="22"/>
                <w:szCs w:val="22"/>
                <w:highlight w:val="none"/>
                <w:lang w:eastAsia="zh-CN"/>
              </w:rPr>
              <w:t>分,每低于评标基准价一个百分点扣</w:t>
            </w:r>
            <w:r>
              <w:rPr>
                <w:rFonts w:hint="eastAsia" w:ascii="宋体" w:hAnsi="宋体" w:eastAsia="宋体" w:cs="宋体"/>
                <w:caps w:val="0"/>
                <w:smallCaps w:val="0"/>
                <w:snapToGrid w:val="0"/>
                <w:color w:val="auto"/>
                <w:spacing w:val="0"/>
                <w:kern w:val="0"/>
                <w:sz w:val="22"/>
                <w:szCs w:val="22"/>
                <w:highlight w:val="none"/>
                <w:lang w:val="en-US" w:eastAsia="zh-CN"/>
              </w:rPr>
              <w:t>0.5</w:t>
            </w:r>
            <w:r>
              <w:rPr>
                <w:rFonts w:hint="eastAsia" w:ascii="宋体" w:hAnsi="宋体" w:eastAsia="宋体" w:cs="宋体"/>
                <w:caps w:val="0"/>
                <w:smallCaps w:val="0"/>
                <w:snapToGrid w:val="0"/>
                <w:color w:val="auto"/>
                <w:spacing w:val="0"/>
                <w:kern w:val="0"/>
                <w:sz w:val="22"/>
                <w:szCs w:val="22"/>
                <w:highlight w:val="none"/>
                <w:lang w:eastAsia="zh-CN"/>
              </w:rPr>
              <w:t>分，扣完为止。公式如下：</w:t>
            </w:r>
          </w:p>
          <w:p w14:paraId="4181A736">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440" w:firstLineChars="20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rPr>
              <w:t>M</w:t>
            </w:r>
            <w:r>
              <w:rPr>
                <w:rFonts w:hint="eastAsia" w:ascii="宋体" w:hAnsi="宋体" w:eastAsia="宋体" w:cs="宋体"/>
                <w:caps w:val="0"/>
                <w:smallCaps w:val="0"/>
                <w:snapToGrid w:val="0"/>
                <w:color w:val="auto"/>
                <w:spacing w:val="0"/>
                <w:kern w:val="0"/>
                <w:sz w:val="22"/>
                <w:szCs w:val="22"/>
                <w:highlight w:val="none"/>
                <w:vertAlign w:val="subscript"/>
                <w:lang w:val="en-US" w:eastAsia="zh-CN"/>
              </w:rPr>
              <w:t>3</w:t>
            </w:r>
            <w:r>
              <w:rPr>
                <w:rFonts w:hint="eastAsia" w:ascii="宋体" w:hAnsi="宋体" w:eastAsia="宋体" w:cs="宋体"/>
                <w:caps w:val="0"/>
                <w:smallCaps w:val="0"/>
                <w:snapToGrid w:val="0"/>
                <w:color w:val="auto"/>
                <w:spacing w:val="0"/>
                <w:kern w:val="0"/>
                <w:sz w:val="22"/>
                <w:szCs w:val="22"/>
                <w:highlight w:val="none"/>
                <w:lang w:eastAsia="zh-CN"/>
              </w:rPr>
              <w:t>＝投标报价满分－（|Di－D|÷D）×100×E</w:t>
            </w:r>
          </w:p>
          <w:p w14:paraId="0BCE0567">
            <w:pPr>
              <w:snapToGrid w:val="0"/>
              <w:spacing w:line="360" w:lineRule="auto"/>
              <w:ind w:left="240" w:leftChars="100"/>
              <w:rPr>
                <w:rFonts w:hint="eastAsia" w:ascii="宋体" w:hAnsi="宋体" w:eastAsia="宋体" w:cs="宋体"/>
                <w:strike w:val="0"/>
                <w:dstrike w:val="0"/>
                <w:snapToGrid w:val="0"/>
                <w:color w:val="auto"/>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eastAsia="zh-CN"/>
              </w:rPr>
              <w:t>式中：D为评标基准价，Di为某投标人的投标总价；E为扣分因子。当Di＞D时，E＝</w:t>
            </w:r>
            <w:r>
              <w:rPr>
                <w:rFonts w:hint="eastAsia" w:ascii="宋体" w:hAnsi="宋体" w:eastAsia="宋体" w:cs="宋体"/>
                <w:caps w:val="0"/>
                <w:smallCaps w:val="0"/>
                <w:snapToGrid w:val="0"/>
                <w:color w:val="auto"/>
                <w:spacing w:val="0"/>
                <w:kern w:val="0"/>
                <w:sz w:val="22"/>
                <w:szCs w:val="22"/>
                <w:highlight w:val="none"/>
                <w:lang w:val="en-US" w:eastAsia="zh-CN"/>
              </w:rPr>
              <w:t>1</w:t>
            </w:r>
            <w:r>
              <w:rPr>
                <w:rFonts w:hint="eastAsia" w:ascii="宋体" w:hAnsi="宋体" w:eastAsia="宋体" w:cs="宋体"/>
                <w:caps w:val="0"/>
                <w:smallCaps w:val="0"/>
                <w:snapToGrid w:val="0"/>
                <w:color w:val="auto"/>
                <w:spacing w:val="0"/>
                <w:kern w:val="0"/>
                <w:sz w:val="22"/>
                <w:szCs w:val="22"/>
                <w:highlight w:val="none"/>
                <w:lang w:eastAsia="zh-CN"/>
              </w:rPr>
              <w:t>；当Di＜D时，E＝</w:t>
            </w:r>
            <w:r>
              <w:rPr>
                <w:rFonts w:hint="eastAsia" w:ascii="宋体" w:hAnsi="宋体" w:eastAsia="宋体" w:cs="宋体"/>
                <w:caps w:val="0"/>
                <w:smallCaps w:val="0"/>
                <w:snapToGrid w:val="0"/>
                <w:color w:val="auto"/>
                <w:spacing w:val="0"/>
                <w:kern w:val="0"/>
                <w:sz w:val="22"/>
                <w:szCs w:val="22"/>
                <w:highlight w:val="none"/>
                <w:lang w:val="en-US" w:eastAsia="zh-CN"/>
              </w:rPr>
              <w:t>0.5</w:t>
            </w:r>
            <w:r>
              <w:rPr>
                <w:rFonts w:hint="eastAsia" w:ascii="宋体" w:hAnsi="宋体" w:eastAsia="宋体" w:cs="宋体"/>
                <w:caps w:val="0"/>
                <w:smallCaps w:val="0"/>
                <w:snapToGrid w:val="0"/>
                <w:color w:val="auto"/>
                <w:spacing w:val="0"/>
                <w:kern w:val="0"/>
                <w:sz w:val="22"/>
                <w:szCs w:val="22"/>
                <w:highlight w:val="none"/>
                <w:lang w:eastAsia="zh-CN"/>
              </w:rPr>
              <w:t>。</w:t>
            </w:r>
          </w:p>
        </w:tc>
      </w:tr>
      <w:tr w14:paraId="2EA9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1" w:type="dxa"/>
            <w:noWrap w:val="0"/>
            <w:vAlign w:val="center"/>
          </w:tcPr>
          <w:p w14:paraId="461A9E78">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b/>
                <w:bCs/>
                <w:strike w:val="0"/>
                <w:dstrike w:val="0"/>
                <w:color w:val="auto"/>
                <w:kern w:val="2"/>
                <w:sz w:val="22"/>
                <w:szCs w:val="22"/>
                <w:highlight w:val="none"/>
                <w:lang w:val="en-US" w:eastAsia="zh-CN" w:bidi="ar-SA"/>
              </w:rPr>
            </w:pPr>
            <w:r>
              <w:rPr>
                <w:rFonts w:hint="eastAsia" w:ascii="宋体" w:hAnsi="宋体" w:eastAsia="宋体" w:cs="宋体"/>
                <w:b/>
                <w:bCs/>
                <w:strike w:val="0"/>
                <w:dstrike w:val="0"/>
                <w:color w:val="auto"/>
                <w:kern w:val="2"/>
                <w:sz w:val="22"/>
                <w:szCs w:val="22"/>
                <w:highlight w:val="none"/>
                <w:lang w:val="en-US" w:eastAsia="zh-CN" w:bidi="ar-SA"/>
              </w:rPr>
              <w:t>总计</w:t>
            </w:r>
          </w:p>
          <w:p w14:paraId="1B8C8C18">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b/>
                <w:bCs/>
                <w:strike w:val="0"/>
                <w:dstrike w:val="0"/>
                <w:color w:val="auto"/>
                <w:kern w:val="2"/>
                <w:sz w:val="22"/>
                <w:szCs w:val="22"/>
                <w:highlight w:val="none"/>
                <w:lang w:val="en-US" w:eastAsia="zh-CN" w:bidi="ar-SA"/>
              </w:rPr>
            </w:pPr>
            <w:r>
              <w:rPr>
                <w:rFonts w:hint="eastAsia" w:ascii="宋体" w:hAnsi="宋体" w:eastAsia="宋体" w:cs="宋体"/>
                <w:b/>
                <w:bCs/>
                <w:strike w:val="0"/>
                <w:dstrike w:val="0"/>
                <w:color w:val="auto"/>
                <w:kern w:val="2"/>
                <w:sz w:val="22"/>
                <w:szCs w:val="22"/>
                <w:highlight w:val="none"/>
                <w:lang w:val="en-US" w:eastAsia="zh-CN" w:bidi="ar-SA"/>
              </w:rPr>
              <w:t>100分</w:t>
            </w:r>
          </w:p>
        </w:tc>
        <w:tc>
          <w:tcPr>
            <w:tcW w:w="8387" w:type="dxa"/>
            <w:gridSpan w:val="2"/>
            <w:noWrap w:val="0"/>
            <w:vAlign w:val="center"/>
          </w:tcPr>
          <w:p w14:paraId="7784212A">
            <w:pPr>
              <w:widowControl w:val="0"/>
              <w:wordWrap w:val="0"/>
              <w:adjustRightInd w:val="0"/>
              <w:snapToGrid w:val="0"/>
              <w:spacing w:line="400" w:lineRule="exact"/>
              <w:jc w:val="both"/>
              <w:rPr>
                <w:rFonts w:hint="eastAsia" w:ascii="宋体" w:hAnsi="宋体" w:eastAsia="宋体" w:cs="宋体"/>
                <w:b/>
                <w:bCs/>
                <w:strike w:val="0"/>
                <w:dstrike w:val="0"/>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商务部分（50分）＋技术部分（10分）＋投标报价部分（40分）</w:t>
            </w:r>
          </w:p>
        </w:tc>
      </w:tr>
    </w:tbl>
    <w:p w14:paraId="77AE07D5">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注：</w:t>
      </w:r>
    </w:p>
    <w:p w14:paraId="56C38F74">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r>
        <w:rPr>
          <w:rFonts w:hint="eastAsia" w:hAnsi="宋体" w:cs="宋体"/>
          <w:color w:val="auto"/>
          <w:kern w:val="0"/>
          <w:szCs w:val="24"/>
          <w:highlight w:val="none"/>
          <w:lang w:val="en-US" w:eastAsia="zh-CN"/>
        </w:rPr>
        <w:t>1.</w:t>
      </w:r>
      <w:r>
        <w:rPr>
          <w:rFonts w:hint="eastAsia" w:ascii="宋体" w:hAnsi="宋体" w:eastAsia="宋体" w:cs="宋体"/>
          <w:color w:val="auto"/>
          <w:kern w:val="0"/>
          <w:szCs w:val="24"/>
          <w:highlight w:val="none"/>
        </w:rPr>
        <w:t>评分如出现小数点，则保留小数点后两位，第三位四舍五入。</w:t>
      </w:r>
    </w:p>
    <w:p w14:paraId="17362E59">
      <w:pPr>
        <w:wordWrap w:val="0"/>
        <w:adjustRightInd w:val="0"/>
        <w:snapToGrid w:val="0"/>
        <w:spacing w:line="440" w:lineRule="exact"/>
        <w:ind w:firstLine="480" w:firstLineChars="200"/>
        <w:rPr>
          <w:color w:val="auto"/>
          <w:highlight w:val="none"/>
        </w:rPr>
      </w:pPr>
      <w:r>
        <w:rPr>
          <w:rFonts w:hint="eastAsia" w:ascii="宋体" w:hAnsi="宋体" w:eastAsia="宋体" w:cs="宋体"/>
          <w:color w:val="auto"/>
          <w:kern w:val="0"/>
          <w:szCs w:val="24"/>
          <w:highlight w:val="none"/>
        </w:rPr>
        <w:t>2.除总监理工程师外，拟委派的监理机构其他人员不作为形式评审、资格评审、响应性评审的审查内容，只作为综合评分的评审依据。</w:t>
      </w:r>
    </w:p>
    <w:p w14:paraId="42B2D1BE">
      <w:pPr>
        <w:wordWrap w:val="0"/>
        <w:adjustRightInd w:val="0"/>
        <w:snapToGrid w:val="0"/>
        <w:spacing w:after="240" w:afterLines="100" w:line="440" w:lineRule="exact"/>
        <w:jc w:val="center"/>
        <w:rPr>
          <w:rFonts w:hAnsi="宋体" w:cs="宋体"/>
          <w:b/>
          <w:bCs/>
          <w:snapToGrid w:val="0"/>
          <w:color w:val="auto"/>
          <w:kern w:val="0"/>
          <w:sz w:val="28"/>
          <w:szCs w:val="28"/>
          <w:highlight w:val="none"/>
        </w:rPr>
      </w:pPr>
      <w:r>
        <w:rPr>
          <w:rFonts w:hint="eastAsia" w:hAnsi="宋体" w:cs="宋体"/>
          <w:b/>
          <w:bCs/>
          <w:snapToGrid w:val="0"/>
          <w:color w:val="auto"/>
          <w:kern w:val="0"/>
          <w:sz w:val="28"/>
          <w:szCs w:val="28"/>
          <w:highlight w:val="none"/>
        </w:rPr>
        <w:t>表2 项目监理机构其他人员需求表</w:t>
      </w:r>
    </w:p>
    <w:tbl>
      <w:tblPr>
        <w:tblStyle w:val="31"/>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2099"/>
        <w:gridCol w:w="666"/>
        <w:gridCol w:w="5217"/>
      </w:tblGrid>
      <w:tr w14:paraId="5C94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156" w:type="dxa"/>
            <w:gridSpan w:val="4"/>
            <w:tcBorders>
              <w:top w:val="single" w:color="auto" w:sz="4" w:space="0"/>
              <w:left w:val="single" w:color="auto" w:sz="4" w:space="0"/>
              <w:bottom w:val="single" w:color="auto" w:sz="4" w:space="0"/>
              <w:right w:val="single" w:color="auto" w:sz="4" w:space="0"/>
            </w:tcBorders>
            <w:noWrap w:val="0"/>
            <w:vAlign w:val="center"/>
          </w:tcPr>
          <w:p w14:paraId="5F79FEEE">
            <w:pPr>
              <w:pStyle w:val="88"/>
              <w:wordWrap w:val="0"/>
              <w:adjustRightInd w:val="0"/>
              <w:snapToGrid w:val="0"/>
              <w:spacing w:line="360" w:lineRule="exact"/>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b/>
                <w:bCs/>
                <w:snapToGrid w:val="0"/>
                <w:color w:val="auto"/>
                <w:kern w:val="0"/>
                <w:sz w:val="28"/>
                <w:szCs w:val="28"/>
                <w:highlight w:val="none"/>
              </w:rPr>
              <w:t>其他监理人员（除总监理工程师外）：共</w:t>
            </w:r>
            <w:r>
              <w:rPr>
                <w:rFonts w:hint="eastAsia" w:ascii="宋体" w:hAnsi="宋体" w:cs="宋体"/>
                <w:b/>
                <w:bCs/>
                <w:snapToGrid w:val="0"/>
                <w:color w:val="auto"/>
                <w:kern w:val="0"/>
                <w:sz w:val="28"/>
                <w:szCs w:val="28"/>
                <w:highlight w:val="none"/>
                <w:u w:val="single"/>
                <w:lang w:val="en-US" w:eastAsia="zh-CN"/>
              </w:rPr>
              <w:t>3</w:t>
            </w:r>
            <w:r>
              <w:rPr>
                <w:rFonts w:hint="eastAsia" w:ascii="宋体" w:hAnsi="宋体" w:eastAsia="宋体" w:cs="宋体"/>
                <w:b/>
                <w:bCs/>
                <w:snapToGrid w:val="0"/>
                <w:color w:val="auto"/>
                <w:kern w:val="0"/>
                <w:sz w:val="28"/>
                <w:szCs w:val="28"/>
                <w:highlight w:val="none"/>
              </w:rPr>
              <w:t>人</w:t>
            </w:r>
          </w:p>
        </w:tc>
      </w:tr>
      <w:tr w14:paraId="1D9F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284F2497">
            <w:pPr>
              <w:pStyle w:val="88"/>
              <w:wordWrap w:val="0"/>
              <w:adjustRightInd w:val="0"/>
              <w:snapToGrid w:val="0"/>
              <w:spacing w:line="3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职务</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6E094EC4">
            <w:pPr>
              <w:pStyle w:val="88"/>
              <w:wordWrap w:val="0"/>
              <w:adjustRightInd w:val="0"/>
              <w:snapToGrid w:val="0"/>
              <w:spacing w:line="3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专业要求</w:t>
            </w:r>
          </w:p>
        </w:tc>
        <w:tc>
          <w:tcPr>
            <w:tcW w:w="666" w:type="dxa"/>
            <w:tcBorders>
              <w:top w:val="single" w:color="auto" w:sz="4" w:space="0"/>
              <w:left w:val="single" w:color="auto" w:sz="4" w:space="0"/>
              <w:bottom w:val="single" w:color="auto" w:sz="4" w:space="0"/>
              <w:right w:val="single" w:color="auto" w:sz="4" w:space="0"/>
            </w:tcBorders>
            <w:noWrap w:val="0"/>
            <w:vAlign w:val="center"/>
          </w:tcPr>
          <w:p w14:paraId="3603637E">
            <w:pPr>
              <w:pStyle w:val="88"/>
              <w:wordWrap w:val="0"/>
              <w:adjustRightInd w:val="0"/>
              <w:snapToGrid w:val="0"/>
              <w:spacing w:line="3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数量</w:t>
            </w:r>
          </w:p>
          <w:p w14:paraId="7BEAC8E0">
            <w:pPr>
              <w:pStyle w:val="88"/>
              <w:wordWrap w:val="0"/>
              <w:adjustRightInd w:val="0"/>
              <w:snapToGrid w:val="0"/>
              <w:spacing w:line="3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要求</w:t>
            </w:r>
          </w:p>
        </w:tc>
        <w:tc>
          <w:tcPr>
            <w:tcW w:w="5217" w:type="dxa"/>
            <w:tcBorders>
              <w:top w:val="single" w:color="auto" w:sz="4" w:space="0"/>
              <w:left w:val="single" w:color="auto" w:sz="4" w:space="0"/>
              <w:bottom w:val="single" w:color="auto" w:sz="4" w:space="0"/>
              <w:right w:val="single" w:color="auto" w:sz="4" w:space="0"/>
            </w:tcBorders>
            <w:noWrap w:val="0"/>
            <w:vAlign w:val="center"/>
          </w:tcPr>
          <w:p w14:paraId="0C226471">
            <w:pPr>
              <w:pStyle w:val="88"/>
              <w:wordWrap w:val="0"/>
              <w:adjustRightInd w:val="0"/>
              <w:snapToGrid w:val="0"/>
              <w:spacing w:line="30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持证要求</w:t>
            </w:r>
          </w:p>
        </w:tc>
      </w:tr>
      <w:tr w14:paraId="4EF8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5" w:hRule="exact"/>
          <w:jc w:val="center"/>
        </w:trPr>
        <w:tc>
          <w:tcPr>
            <w:tcW w:w="1174" w:type="dxa"/>
            <w:tcBorders>
              <w:top w:val="single" w:color="auto" w:sz="4" w:space="0"/>
              <w:left w:val="single" w:color="auto" w:sz="4" w:space="0"/>
              <w:right w:val="single" w:color="auto" w:sz="4" w:space="0"/>
            </w:tcBorders>
            <w:noWrap w:val="0"/>
            <w:vAlign w:val="center"/>
          </w:tcPr>
          <w:p w14:paraId="3744B995">
            <w:pPr>
              <w:pStyle w:val="88"/>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专业监理</w:t>
            </w:r>
          </w:p>
          <w:p w14:paraId="20E3193B">
            <w:pPr>
              <w:pStyle w:val="88"/>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工程师</w:t>
            </w:r>
          </w:p>
        </w:tc>
        <w:tc>
          <w:tcPr>
            <w:tcW w:w="2099" w:type="dxa"/>
            <w:tcBorders>
              <w:top w:val="single" w:color="auto" w:sz="4" w:space="0"/>
              <w:left w:val="single" w:color="auto" w:sz="4" w:space="0"/>
              <w:right w:val="single" w:color="auto" w:sz="4" w:space="0"/>
            </w:tcBorders>
            <w:noWrap w:val="0"/>
            <w:vAlign w:val="center"/>
          </w:tcPr>
          <w:p w14:paraId="2A643140">
            <w:pPr>
              <w:pStyle w:val="88"/>
              <w:wordWrap w:val="0"/>
              <w:adjustRightInd w:val="0"/>
              <w:snapToGrid w:val="0"/>
              <w:spacing w:line="360" w:lineRule="exact"/>
              <w:jc w:val="center"/>
              <w:rPr>
                <w:rFonts w:hint="eastAsia" w:ascii="宋体" w:hAnsi="宋体" w:eastAsia="宋体" w:cs="宋体"/>
                <w:snapToGrid w:val="0"/>
                <w:color w:val="auto"/>
                <w:kern w:val="0"/>
                <w:sz w:val="22"/>
                <w:szCs w:val="22"/>
                <w:highlight w:val="none"/>
                <w:lang w:eastAsia="zh-CN"/>
              </w:rPr>
            </w:pPr>
            <w:r>
              <w:rPr>
                <w:rFonts w:hint="eastAsia" w:ascii="宋体" w:hAnsi="宋体" w:cs="宋体"/>
                <w:snapToGrid w:val="0"/>
                <w:color w:val="auto"/>
                <w:kern w:val="0"/>
                <w:sz w:val="22"/>
                <w:szCs w:val="22"/>
                <w:highlight w:val="none"/>
                <w:lang w:eastAsia="zh-CN"/>
              </w:rPr>
              <w:t>市政公用工程</w:t>
            </w:r>
          </w:p>
        </w:tc>
        <w:tc>
          <w:tcPr>
            <w:tcW w:w="666" w:type="dxa"/>
            <w:tcBorders>
              <w:top w:val="single" w:color="auto" w:sz="4" w:space="0"/>
              <w:left w:val="single" w:color="auto" w:sz="4" w:space="0"/>
              <w:bottom w:val="single" w:color="auto" w:sz="4" w:space="0"/>
              <w:right w:val="single" w:color="auto" w:sz="4" w:space="0"/>
            </w:tcBorders>
            <w:noWrap w:val="0"/>
            <w:vAlign w:val="center"/>
          </w:tcPr>
          <w:p w14:paraId="4FD0B321">
            <w:pPr>
              <w:pStyle w:val="88"/>
              <w:wordWrap w:val="0"/>
              <w:adjustRightInd w:val="0"/>
              <w:snapToGrid w:val="0"/>
              <w:spacing w:line="360" w:lineRule="exact"/>
              <w:jc w:val="center"/>
              <w:rPr>
                <w:rFonts w:hint="eastAsia" w:ascii="宋体" w:hAnsi="宋体" w:eastAsia="宋体" w:cs="宋体"/>
                <w:bCs/>
                <w:snapToGrid w:val="0"/>
                <w:color w:val="auto"/>
                <w:kern w:val="0"/>
                <w:sz w:val="22"/>
                <w:szCs w:val="22"/>
                <w:highlight w:val="none"/>
                <w:lang w:val="en-US" w:eastAsia="zh-CN"/>
              </w:rPr>
            </w:pPr>
            <w:r>
              <w:rPr>
                <w:rFonts w:hint="eastAsia" w:ascii="宋体" w:hAnsi="宋体" w:eastAsia="宋体" w:cs="宋体"/>
                <w:bCs/>
                <w:snapToGrid w:val="0"/>
                <w:color w:val="auto"/>
                <w:kern w:val="0"/>
                <w:sz w:val="22"/>
                <w:szCs w:val="22"/>
                <w:highlight w:val="none"/>
                <w:lang w:val="en-US" w:eastAsia="zh-CN"/>
              </w:rPr>
              <w:t>1</w:t>
            </w:r>
          </w:p>
        </w:tc>
        <w:tc>
          <w:tcPr>
            <w:tcW w:w="5217" w:type="dxa"/>
            <w:tcBorders>
              <w:top w:val="single" w:color="auto" w:sz="4" w:space="0"/>
              <w:left w:val="single" w:color="auto" w:sz="4" w:space="0"/>
              <w:right w:val="single" w:color="auto" w:sz="4" w:space="0"/>
            </w:tcBorders>
            <w:noWrap w:val="0"/>
            <w:vAlign w:val="center"/>
          </w:tcPr>
          <w:p w14:paraId="1ADCC7BC">
            <w:pPr>
              <w:pStyle w:val="88"/>
              <w:wordWrap w:val="0"/>
              <w:adjustRightInd w:val="0"/>
              <w:snapToGrid w:val="0"/>
              <w:spacing w:line="36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符合以下3种情形之一均可：</w:t>
            </w:r>
          </w:p>
          <w:p w14:paraId="5CAEB482">
            <w:pPr>
              <w:pStyle w:val="88"/>
              <w:wordWrap w:val="0"/>
              <w:adjustRightInd w:val="0"/>
              <w:snapToGrid w:val="0"/>
              <w:spacing w:line="36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1．具备所需专业注册监理工程师执业资格，持有效的注册证书；</w:t>
            </w:r>
          </w:p>
          <w:p w14:paraId="5FC31680">
            <w:pPr>
              <w:pStyle w:val="88"/>
              <w:wordWrap w:val="0"/>
              <w:adjustRightInd w:val="0"/>
              <w:snapToGrid w:val="0"/>
              <w:spacing w:line="36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2．具备工程类注册执业资格，并经监理业务培训。持有效的注册证书、省级建设行政主管部门或其授权的组织（机构）颁发的岗位证书；</w:t>
            </w:r>
          </w:p>
          <w:p w14:paraId="63B2B6EC">
            <w:pPr>
              <w:pStyle w:val="88"/>
              <w:wordWrap w:val="0"/>
              <w:adjustRightInd w:val="0"/>
              <w:snapToGrid w:val="0"/>
              <w:spacing w:line="36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3．具备中级及以上专业技术职称，并经监理业务培训。持有效的职称证书、省级建设行政主管部门或其授权的组织（机构）颁发的岗位证书。</w:t>
            </w:r>
          </w:p>
          <w:p w14:paraId="54A2D5EC">
            <w:pPr>
              <w:pStyle w:val="88"/>
              <w:wordWrap w:val="0"/>
              <w:adjustRightInd w:val="0"/>
              <w:snapToGrid w:val="0"/>
              <w:spacing w:line="36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注：专业类别以注册证书或专业监理工程师证书或职称证书或毕业证所列明的专业为准。</w:t>
            </w:r>
          </w:p>
        </w:tc>
      </w:tr>
      <w:tr w14:paraId="6B30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583E7363">
            <w:pPr>
              <w:pStyle w:val="88"/>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监理员</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1A4DF542">
            <w:pPr>
              <w:pStyle w:val="88"/>
              <w:wordWrap w:val="0"/>
              <w:adjustRightInd w:val="0"/>
              <w:snapToGrid w:val="0"/>
              <w:spacing w:line="360" w:lineRule="exact"/>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具备监理员岗位证书（有效期内）</w:t>
            </w:r>
          </w:p>
        </w:tc>
        <w:tc>
          <w:tcPr>
            <w:tcW w:w="666" w:type="dxa"/>
            <w:tcBorders>
              <w:top w:val="single" w:color="auto" w:sz="4" w:space="0"/>
              <w:left w:val="single" w:color="auto" w:sz="4" w:space="0"/>
              <w:bottom w:val="single" w:color="auto" w:sz="4" w:space="0"/>
              <w:right w:val="single" w:color="auto" w:sz="4" w:space="0"/>
            </w:tcBorders>
            <w:noWrap w:val="0"/>
            <w:vAlign w:val="center"/>
          </w:tcPr>
          <w:p w14:paraId="0092E5CF">
            <w:pPr>
              <w:pStyle w:val="88"/>
              <w:wordWrap w:val="0"/>
              <w:adjustRightInd w:val="0"/>
              <w:snapToGrid w:val="0"/>
              <w:spacing w:line="360" w:lineRule="exact"/>
              <w:jc w:val="center"/>
              <w:rPr>
                <w:rFonts w:hint="eastAsia" w:ascii="宋体" w:hAnsi="宋体" w:eastAsia="宋体" w:cs="宋体"/>
                <w:bCs/>
                <w:snapToGrid w:val="0"/>
                <w:color w:val="auto"/>
                <w:kern w:val="0"/>
                <w:sz w:val="22"/>
                <w:szCs w:val="22"/>
                <w:highlight w:val="none"/>
                <w:lang w:val="en-US" w:eastAsia="zh-CN"/>
              </w:rPr>
            </w:pPr>
            <w:r>
              <w:rPr>
                <w:rFonts w:hint="eastAsia" w:ascii="宋体" w:hAnsi="宋体" w:cs="宋体"/>
                <w:bCs/>
                <w:snapToGrid w:val="0"/>
                <w:color w:val="auto"/>
                <w:kern w:val="0"/>
                <w:sz w:val="22"/>
                <w:szCs w:val="22"/>
                <w:highlight w:val="none"/>
                <w:lang w:val="en-US" w:eastAsia="zh-CN"/>
              </w:rPr>
              <w:t>2</w:t>
            </w:r>
          </w:p>
        </w:tc>
        <w:tc>
          <w:tcPr>
            <w:tcW w:w="5217" w:type="dxa"/>
            <w:tcBorders>
              <w:top w:val="single" w:color="auto" w:sz="4" w:space="0"/>
              <w:left w:val="single" w:color="auto" w:sz="4" w:space="0"/>
              <w:bottom w:val="single" w:color="auto" w:sz="4" w:space="0"/>
              <w:right w:val="single" w:color="auto" w:sz="4" w:space="0"/>
            </w:tcBorders>
            <w:noWrap w:val="0"/>
            <w:vAlign w:val="center"/>
          </w:tcPr>
          <w:p w14:paraId="61E25AB7">
            <w:pPr>
              <w:pStyle w:val="88"/>
              <w:wordWrap w:val="0"/>
              <w:adjustRightInd w:val="0"/>
              <w:snapToGrid w:val="0"/>
              <w:spacing w:line="36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经监理业务培训，持有效的省级建设行政主管部门或其授权的组织（机构）颁发的岗位证书。</w:t>
            </w:r>
          </w:p>
        </w:tc>
      </w:tr>
    </w:tbl>
    <w:p w14:paraId="3E67B8DA">
      <w:pPr>
        <w:wordWrap w:val="0"/>
        <w:adjustRightInd w:val="0"/>
        <w:snapToGrid w:val="0"/>
        <w:spacing w:line="440" w:lineRule="exact"/>
        <w:ind w:firstLine="480" w:firstLineChars="200"/>
        <w:rPr>
          <w:rFonts w:ascii="Times New Roman"/>
          <w:snapToGrid w:val="0"/>
          <w:color w:val="auto"/>
          <w:kern w:val="0"/>
          <w:highlight w:val="none"/>
        </w:rPr>
      </w:pPr>
      <w:r>
        <w:rPr>
          <w:rFonts w:hint="eastAsia" w:hAnsi="宋体" w:cs="宋体"/>
          <w:color w:val="auto"/>
          <w:kern w:val="0"/>
          <w:szCs w:val="24"/>
          <w:highlight w:val="none"/>
        </w:rPr>
        <w:t>注：</w:t>
      </w:r>
      <w:r>
        <w:rPr>
          <w:rFonts w:hint="eastAsia" w:ascii="宋体" w:hAnsi="宋体" w:eastAsia="宋体" w:cs="宋体"/>
          <w:color w:val="auto"/>
          <w:kern w:val="0"/>
          <w:sz w:val="24"/>
          <w:szCs w:val="24"/>
          <w:highlight w:val="none"/>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auto"/>
          <w:highlight w:val="none"/>
        </w:rPr>
      </w:pPr>
    </w:p>
    <w:p w14:paraId="07D9C16A">
      <w:pPr>
        <w:adjustRightInd w:val="0"/>
        <w:snapToGrid w:val="0"/>
        <w:spacing w:line="440" w:lineRule="exact"/>
        <w:ind w:firstLine="480" w:firstLineChars="200"/>
        <w:rPr>
          <w:rFonts w:hAnsi="宋体" w:cs="宋体"/>
          <w:snapToGrid w:val="0"/>
          <w:color w:val="auto"/>
          <w:kern w:val="0"/>
          <w:highlight w:val="none"/>
        </w:rPr>
      </w:pPr>
      <w:r>
        <w:rPr>
          <w:rFonts w:hint="eastAsia" w:hAnsi="宋体" w:cs="宋体"/>
          <w:snapToGrid w:val="0"/>
          <w:color w:val="auto"/>
          <w:kern w:val="0"/>
          <w:highlight w:val="none"/>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highlight w:val="none"/>
        </w:rPr>
        <w:sectPr>
          <w:endnotePr>
            <w:numFmt w:val="decimal"/>
          </w:endnotePr>
          <w:pgSz w:w="11906" w:h="16838"/>
          <w:pgMar w:top="1417" w:right="1417" w:bottom="1417" w:left="1417" w:header="850" w:footer="992" w:gutter="0"/>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15.5.2 </w:t>
      </w:r>
      <w:r>
        <w:rPr>
          <w:rFonts w:hint="eastAsia" w:hAnsi="宋体" w:cs="宋体"/>
          <w:snapToGrid w:val="0"/>
          <w:color w:val="auto"/>
          <w:kern w:val="0"/>
          <w:szCs w:val="24"/>
          <w:highlight w:val="none"/>
        </w:rPr>
        <w:t>否决投标说明</w:t>
      </w:r>
    </w:p>
    <w:p w14:paraId="4CADBCAA">
      <w:pPr>
        <w:wordWrap w:val="0"/>
        <w:adjustRightInd w:val="0"/>
        <w:snapToGrid w:val="0"/>
        <w:spacing w:line="360" w:lineRule="auto"/>
        <w:ind w:firstLine="562"/>
        <w:rPr>
          <w:rFonts w:hAnsi="宋体" w:cs="宋体"/>
          <w:snapToGrid w:val="0"/>
          <w:color w:val="auto"/>
          <w:kern w:val="0"/>
          <w:szCs w:val="24"/>
          <w:highlight w:val="none"/>
        </w:rPr>
      </w:pPr>
      <w:r>
        <w:rPr>
          <w:rFonts w:hint="eastAsia" w:hAnsi="宋体" w:cs="宋体"/>
          <w:snapToGrid w:val="0"/>
          <w:color w:val="auto"/>
          <w:kern w:val="0"/>
          <w:szCs w:val="24"/>
          <w:highlight w:val="none"/>
        </w:rPr>
        <w:t>详细评审阶段否决投标的全部条件，在本章第四节“否决投标条件”第</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highlight w:val="none"/>
        </w:rPr>
      </w:pPr>
      <w:r>
        <w:rPr>
          <w:rFonts w:hint="eastAsia" w:hAnsi="宋体" w:cs="宋体"/>
          <w:b/>
          <w:bCs/>
          <w:snapToGrid w:val="0"/>
          <w:color w:val="auto"/>
          <w:kern w:val="0"/>
          <w:szCs w:val="24"/>
          <w:highlight w:val="none"/>
        </w:rPr>
        <w:t>注：投标人在详细评审阶段根据评分方法提供的佐证材料，其合法性、有效性和准确性不符合要求的，有关评分因素的评分按相应评分标准处理，但不否决投标。</w:t>
      </w:r>
    </w:p>
    <w:p w14:paraId="445D8C1D">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59" w:name="_Toc9172"/>
      <w:r>
        <w:rPr>
          <w:rFonts w:hint="eastAsia" w:hAnsi="宋体" w:cs="宋体"/>
          <w:b/>
          <w:snapToGrid w:val="0"/>
          <w:color w:val="auto"/>
          <w:kern w:val="0"/>
          <w:szCs w:val="24"/>
          <w:highlight w:val="none"/>
        </w:rPr>
        <w:t>16．推荐</w:t>
      </w:r>
      <w:r>
        <w:rPr>
          <w:rFonts w:hint="eastAsia" w:hAnsi="宋体" w:cs="宋体"/>
          <w:b/>
          <w:snapToGrid w:val="0"/>
          <w:color w:val="auto"/>
          <w:kern w:val="0"/>
          <w:szCs w:val="24"/>
          <w:highlight w:val="none"/>
          <w:lang w:val="en-US" w:eastAsia="zh-CN"/>
        </w:rPr>
        <w:t>定标</w:t>
      </w:r>
      <w:r>
        <w:rPr>
          <w:rFonts w:hint="eastAsia" w:hAnsi="宋体" w:cs="宋体"/>
          <w:b/>
          <w:snapToGrid w:val="0"/>
          <w:color w:val="auto"/>
          <w:kern w:val="0"/>
          <w:szCs w:val="24"/>
          <w:highlight w:val="none"/>
        </w:rPr>
        <w:t>候选人</w:t>
      </w:r>
      <w:bookmarkEnd w:id="59"/>
    </w:p>
    <w:p w14:paraId="523718F4">
      <w:pPr>
        <w:wordWrap w:val="0"/>
        <w:adjustRightInd w:val="0"/>
        <w:snapToGrid w:val="0"/>
        <w:spacing w:line="360" w:lineRule="auto"/>
        <w:ind w:firstLine="482" w:firstLineChars="200"/>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16.1</w:t>
      </w:r>
      <w:r>
        <w:rPr>
          <w:rFonts w:hint="eastAsia" w:hAnsi="宋体" w:cs="宋体"/>
          <w:snapToGrid w:val="0"/>
          <w:color w:val="auto"/>
          <w:kern w:val="0"/>
          <w:szCs w:val="24"/>
          <w:highlight w:val="none"/>
        </w:rPr>
        <w:t>评标委员会根据招标文件规定的评分细则，对招标文件中的各评审因素进行评审、比较、打分，将得分前5名不排序（按企业统一社会信用代码后4位</w:t>
      </w:r>
      <w:r>
        <w:rPr>
          <w:rFonts w:hint="eastAsia" w:hAnsi="宋体" w:cs="宋体"/>
          <w:snapToGrid w:val="0"/>
          <w:color w:val="auto"/>
          <w:kern w:val="0"/>
          <w:szCs w:val="24"/>
          <w:highlight w:val="none"/>
          <w:lang w:val="en-US" w:eastAsia="zh-CN"/>
        </w:rPr>
        <w:t>由</w:t>
      </w:r>
      <w:r>
        <w:rPr>
          <w:rFonts w:hint="eastAsia" w:hAnsi="宋体" w:cs="宋体"/>
          <w:snapToGrid w:val="0"/>
          <w:color w:val="auto"/>
          <w:kern w:val="0"/>
          <w:szCs w:val="24"/>
          <w:highlight w:val="none"/>
        </w:rPr>
        <w:t>大</w:t>
      </w:r>
      <w:r>
        <w:rPr>
          <w:rFonts w:hint="eastAsia" w:hAnsi="宋体" w:cs="宋体"/>
          <w:snapToGrid w:val="0"/>
          <w:color w:val="auto"/>
          <w:kern w:val="0"/>
          <w:szCs w:val="24"/>
          <w:highlight w:val="none"/>
          <w:lang w:val="en-US" w:eastAsia="zh-CN"/>
        </w:rPr>
        <w:t>到</w:t>
      </w:r>
      <w:r>
        <w:rPr>
          <w:rFonts w:hint="eastAsia" w:hAnsi="宋体" w:cs="宋体"/>
          <w:snapToGrid w:val="0"/>
          <w:color w:val="auto"/>
          <w:kern w:val="0"/>
          <w:szCs w:val="24"/>
          <w:highlight w:val="none"/>
        </w:rPr>
        <w:t>小排位）的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5F67BDE4">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16.2</w:t>
      </w:r>
      <w:r>
        <w:rPr>
          <w:rFonts w:hint="eastAsia" w:hAnsi="宋体" w:cs="宋体"/>
          <w:snapToGrid w:val="0"/>
          <w:color w:val="auto"/>
          <w:kern w:val="0"/>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093D2F62">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60" w:name="_Toc30223"/>
      <w:r>
        <w:rPr>
          <w:rFonts w:hint="eastAsia" w:hAnsi="宋体" w:cs="宋体"/>
          <w:b/>
          <w:snapToGrid w:val="0"/>
          <w:color w:val="auto"/>
          <w:kern w:val="0"/>
          <w:szCs w:val="24"/>
          <w:highlight w:val="none"/>
        </w:rPr>
        <w:t>17．评标结果公示</w:t>
      </w:r>
      <w:bookmarkEnd w:id="60"/>
    </w:p>
    <w:p w14:paraId="57F98F1D">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lang w:val="en-US" w:eastAsia="zh-CN"/>
        </w:rPr>
        <w:t>17.1</w:t>
      </w:r>
      <w:r>
        <w:rPr>
          <w:rFonts w:hint="eastAsia" w:hAnsi="宋体" w:cs="宋体"/>
          <w:b w:val="0"/>
          <w:bCs w:val="0"/>
          <w:snapToGrid w:val="0"/>
          <w:color w:val="auto"/>
          <w:kern w:val="0"/>
          <w:szCs w:val="24"/>
          <w:highlight w:val="none"/>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全国公共资源交易平台（广东省·韶关市）建设工程交易系统上公示，公示时间不少于3个工作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1188E8B6">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b w:val="0"/>
          <w:bCs w:val="0"/>
          <w:snapToGrid w:val="0"/>
          <w:color w:val="auto"/>
          <w:kern w:val="0"/>
          <w:szCs w:val="24"/>
          <w:highlight w:val="none"/>
        </w:rPr>
        <w:t>投标人对评标结果、定标候选人投标文件、评标过程有异议的，必须在定标候选人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号）执行。如通过交易服务平台提出异议，投标人必须上传提交异议书扫描件（作为附件），异议书格式内容按照《韶关市工程建设项目招标投标活动异议和投诉处理办法》（韶发改〔2021〕44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21BD4206">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8DED141">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71B6F316">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9C54791">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D85474C">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936F83A">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DFD1818">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C96C3FE">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634EB76">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2946525B">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1107C464">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0B7071F3">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2908515">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61E10EB">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7C06B380">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28314402">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70E8A9A">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19BF76C">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7FA658F5">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7BF2DF7">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5FD5972">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5FE7596B">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01D7EA8">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23606AD7">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E4D3842">
      <w:pPr>
        <w:wordWrap w:val="0"/>
        <w:adjustRightInd w:val="0"/>
        <w:snapToGrid w:val="0"/>
        <w:spacing w:line="360" w:lineRule="auto"/>
        <w:outlineLvl w:val="1"/>
        <w:rPr>
          <w:rFonts w:hAnsi="宋体" w:cs="宋体"/>
          <w:snapToGrid w:val="0"/>
          <w:color w:val="auto"/>
          <w:kern w:val="0"/>
          <w:highlight w:val="none"/>
        </w:rPr>
      </w:pPr>
      <w:bookmarkStart w:id="61" w:name="_Toc24046"/>
      <w:r>
        <w:rPr>
          <w:rFonts w:hint="eastAsia" w:hAnsi="宋体" w:cs="宋体"/>
          <w:b/>
          <w:bCs/>
          <w:snapToGrid w:val="0"/>
          <w:color w:val="auto"/>
          <w:kern w:val="0"/>
          <w:highlight w:val="none"/>
        </w:rPr>
        <w:t>第四节 否决投标条件</w:t>
      </w:r>
      <w:bookmarkEnd w:id="61"/>
    </w:p>
    <w:p w14:paraId="1217DA6A">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highlight w:val="none"/>
        </w:rPr>
      </w:pPr>
      <w:bookmarkStart w:id="62" w:name="_Toc9239"/>
      <w:r>
        <w:rPr>
          <w:rFonts w:hint="eastAsia" w:hAnsi="宋体" w:cs="宋体"/>
          <w:b/>
          <w:bCs/>
          <w:snapToGrid w:val="0"/>
          <w:color w:val="auto"/>
          <w:kern w:val="0"/>
          <w:highlight w:val="none"/>
        </w:rPr>
        <w:t>1．资格评审环节</w:t>
      </w:r>
      <w:bookmarkEnd w:id="62"/>
    </w:p>
    <w:p w14:paraId="3AA2319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199BFDE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highlight w:val="none"/>
        </w:rPr>
      </w:pPr>
      <w:r>
        <w:rPr>
          <w:rFonts w:hint="eastAsia" w:hAnsi="宋体" w:cs="宋体"/>
          <w:b/>
          <w:bCs/>
          <w:snapToGrid w:val="0"/>
          <w:color w:val="auto"/>
          <w:kern w:val="0"/>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highlight w:val="none"/>
        </w:rPr>
        <w:t xml:space="preserve">  </w:t>
      </w:r>
    </w:p>
    <w:p w14:paraId="0A6B74E3">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highlight w:val="none"/>
        </w:rPr>
      </w:pPr>
      <w:bookmarkStart w:id="63" w:name="_Toc22253"/>
      <w:r>
        <w:rPr>
          <w:rFonts w:hint="eastAsia" w:hAnsi="宋体" w:cs="宋体"/>
          <w:b/>
          <w:bCs/>
          <w:snapToGrid w:val="0"/>
          <w:color w:val="auto"/>
          <w:kern w:val="0"/>
          <w:highlight w:val="none"/>
        </w:rPr>
        <w:t>2．形式评审环节</w:t>
      </w:r>
      <w:bookmarkEnd w:id="63"/>
    </w:p>
    <w:p w14:paraId="0BEB281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highlight w:val="none"/>
        </w:rPr>
      </w:pPr>
      <w:bookmarkStart w:id="64" w:name="_Toc24939"/>
      <w:r>
        <w:rPr>
          <w:rFonts w:hint="eastAsia" w:hAnsi="宋体" w:cs="宋体"/>
          <w:b/>
          <w:bCs/>
          <w:snapToGrid w:val="0"/>
          <w:color w:val="auto"/>
          <w:kern w:val="0"/>
          <w:highlight w:val="none"/>
        </w:rPr>
        <w:t>3．响应性评审环节</w:t>
      </w:r>
      <w:bookmarkEnd w:id="64"/>
    </w:p>
    <w:p w14:paraId="1D351E7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5BE2B7EB">
      <w:pPr>
        <w:wordWrap w:val="0"/>
        <w:adjustRightInd w:val="0"/>
        <w:snapToGrid w:val="0"/>
        <w:spacing w:line="360" w:lineRule="auto"/>
        <w:ind w:firstLine="480"/>
        <w:outlineLvl w:val="2"/>
        <w:rPr>
          <w:rFonts w:hAnsi="宋体" w:cs="宋体"/>
          <w:b/>
          <w:bCs/>
          <w:snapToGrid w:val="0"/>
          <w:color w:val="auto"/>
          <w:kern w:val="0"/>
          <w:highlight w:val="none"/>
        </w:rPr>
      </w:pPr>
      <w:bookmarkStart w:id="65" w:name="_Toc31"/>
      <w:r>
        <w:rPr>
          <w:rFonts w:hint="eastAsia" w:hAnsi="宋体" w:cs="宋体"/>
          <w:b/>
          <w:bCs/>
          <w:snapToGrid w:val="0"/>
          <w:color w:val="auto"/>
          <w:kern w:val="0"/>
          <w:highlight w:val="none"/>
        </w:rPr>
        <w:t>4．其他</w:t>
      </w:r>
      <w:bookmarkEnd w:id="65"/>
    </w:p>
    <w:p w14:paraId="33D6B34F">
      <w:pPr>
        <w:wordWrap w:val="0"/>
        <w:adjustRightInd w:val="0"/>
        <w:snapToGrid w:val="0"/>
        <w:spacing w:line="360" w:lineRule="auto"/>
        <w:ind w:firstLine="480"/>
        <w:rPr>
          <w:rFonts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6CFCE064">
      <w:pPr>
        <w:wordWrap w:val="0"/>
        <w:adjustRightInd w:val="0"/>
        <w:snapToGrid w:val="0"/>
        <w:spacing w:line="360" w:lineRule="auto"/>
        <w:ind w:firstLine="480"/>
        <w:rPr>
          <w:rFonts w:hint="eastAsia" w:hAnsi="宋体" w:eastAsia="宋体" w:cs="宋体"/>
          <w:snapToGrid w:val="0"/>
          <w:color w:val="auto"/>
          <w:kern w:val="0"/>
          <w:highlight w:val="none"/>
          <w:lang w:eastAsia="zh-CN"/>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r>
        <w:rPr>
          <w:rFonts w:hint="eastAsia" w:hAnsi="宋体" w:cs="宋体"/>
          <w:snapToGrid w:val="0"/>
          <w:color w:val="auto"/>
          <w:kern w:val="0"/>
          <w:highlight w:val="none"/>
          <w:lang w:eastAsia="zh-CN"/>
        </w:rPr>
        <w:t>；</w:t>
      </w:r>
    </w:p>
    <w:bookmarkEnd w:id="55"/>
    <w:p w14:paraId="6D1FC16A">
      <w:pPr>
        <w:wordWrap w:val="0"/>
        <w:adjustRightInd w:val="0"/>
        <w:snapToGrid w:val="0"/>
        <w:spacing w:line="360" w:lineRule="auto"/>
        <w:ind w:firstLine="480"/>
        <w:rPr>
          <w:rFonts w:hint="eastAsia" w:hAnsi="宋体" w:eastAsia="宋体" w:cs="宋体"/>
          <w:b/>
          <w:bCs/>
          <w:snapToGrid w:val="0"/>
          <w:color w:val="auto"/>
          <w:kern w:val="0"/>
          <w:highlight w:val="none"/>
          <w:lang w:eastAsia="zh-CN"/>
        </w:rPr>
      </w:pPr>
      <w:r>
        <w:rPr>
          <w:rFonts w:hint="eastAsia" w:ascii="宋体" w:hAnsi="宋体" w:eastAsia="宋体" w:cs="宋体"/>
          <w:b/>
          <w:bCs/>
          <w:snapToGrid w:val="0"/>
          <w:color w:val="auto"/>
          <w:kern w:val="0"/>
          <w:highlight w:val="none"/>
        </w:rPr>
        <w:t>⑧</w:t>
      </w:r>
      <w:r>
        <w:rPr>
          <w:rFonts w:hint="eastAsia" w:hAnsi="宋体" w:cs="宋体"/>
          <w:b/>
          <w:bCs/>
          <w:snapToGrid w:val="0"/>
          <w:color w:val="auto"/>
          <w:kern w:val="0"/>
          <w:highlight w:val="none"/>
        </w:rPr>
        <w:t>监督部门于韶关市公共交易一体化平台发现系统提示风险预警，如提示投标单位上传投标文件使用的电脑IP地址一致等</w:t>
      </w:r>
      <w:r>
        <w:rPr>
          <w:rFonts w:hint="eastAsia" w:hAnsi="宋体" w:cs="宋体"/>
          <w:b/>
          <w:bCs/>
          <w:snapToGrid w:val="0"/>
          <w:color w:val="auto"/>
          <w:kern w:val="0"/>
          <w:highlight w:val="none"/>
          <w:lang w:eastAsia="zh-CN"/>
        </w:rPr>
        <w:t>。</w:t>
      </w:r>
    </w:p>
    <w:p w14:paraId="6918E83F">
      <w:pPr>
        <w:wordWrap w:val="0"/>
        <w:adjustRightInd w:val="0"/>
        <w:snapToGrid w:val="0"/>
        <w:spacing w:line="360" w:lineRule="auto"/>
        <w:ind w:firstLine="480"/>
        <w:rPr>
          <w:rFonts w:hAnsi="宋体" w:cs="宋体"/>
          <w:snapToGrid w:val="0"/>
          <w:color w:val="auto"/>
          <w:kern w:val="0"/>
          <w:highlight w:val="none"/>
        </w:rPr>
      </w:pPr>
    </w:p>
    <w:p w14:paraId="7524B713">
      <w:pPr>
        <w:wordWrap w:val="0"/>
        <w:adjustRightInd w:val="0"/>
        <w:snapToGrid w:val="0"/>
        <w:spacing w:line="360" w:lineRule="auto"/>
        <w:ind w:firstLine="480"/>
        <w:rPr>
          <w:rFonts w:hAnsi="宋体" w:cs="宋体"/>
          <w:snapToGrid w:val="0"/>
          <w:color w:val="auto"/>
          <w:kern w:val="0"/>
          <w:highlight w:val="none"/>
        </w:rPr>
      </w:pPr>
    </w:p>
    <w:p w14:paraId="3B099382">
      <w:pPr>
        <w:wordWrap w:val="0"/>
        <w:adjustRightInd w:val="0"/>
        <w:snapToGrid w:val="0"/>
        <w:spacing w:line="360" w:lineRule="auto"/>
        <w:ind w:firstLine="480"/>
        <w:rPr>
          <w:rFonts w:hAnsi="宋体" w:cs="宋体"/>
          <w:snapToGrid w:val="0"/>
          <w:color w:val="auto"/>
          <w:kern w:val="0"/>
          <w:highlight w:val="none"/>
        </w:rPr>
      </w:pPr>
    </w:p>
    <w:p w14:paraId="267C33DA">
      <w:pPr>
        <w:wordWrap w:val="0"/>
        <w:adjustRightInd w:val="0"/>
        <w:snapToGrid w:val="0"/>
        <w:spacing w:line="360" w:lineRule="auto"/>
        <w:ind w:firstLine="480"/>
        <w:rPr>
          <w:rFonts w:hAnsi="宋体" w:cs="宋体"/>
          <w:snapToGrid w:val="0"/>
          <w:color w:val="auto"/>
          <w:kern w:val="0"/>
          <w:highlight w:val="none"/>
        </w:rPr>
      </w:pPr>
    </w:p>
    <w:p w14:paraId="41731A24">
      <w:pPr>
        <w:wordWrap w:val="0"/>
        <w:adjustRightInd w:val="0"/>
        <w:snapToGrid w:val="0"/>
        <w:spacing w:line="360" w:lineRule="auto"/>
        <w:ind w:firstLine="480"/>
        <w:rPr>
          <w:rFonts w:hAnsi="宋体" w:cs="宋体"/>
          <w:snapToGrid w:val="0"/>
          <w:color w:val="auto"/>
          <w:kern w:val="0"/>
          <w:highlight w:val="none"/>
        </w:rPr>
      </w:pPr>
    </w:p>
    <w:p w14:paraId="5263B8CF">
      <w:pPr>
        <w:wordWrap w:val="0"/>
        <w:adjustRightInd w:val="0"/>
        <w:snapToGrid w:val="0"/>
        <w:spacing w:line="360" w:lineRule="auto"/>
        <w:ind w:firstLine="480"/>
        <w:rPr>
          <w:rFonts w:hAnsi="宋体" w:cs="宋体"/>
          <w:snapToGrid w:val="0"/>
          <w:color w:val="auto"/>
          <w:kern w:val="0"/>
          <w:highlight w:val="none"/>
        </w:rPr>
      </w:pPr>
    </w:p>
    <w:p w14:paraId="58481833">
      <w:pPr>
        <w:wordWrap w:val="0"/>
        <w:adjustRightInd w:val="0"/>
        <w:snapToGrid w:val="0"/>
        <w:spacing w:line="360" w:lineRule="auto"/>
        <w:ind w:firstLine="480"/>
        <w:rPr>
          <w:rFonts w:hAnsi="宋体" w:cs="宋体"/>
          <w:snapToGrid w:val="0"/>
          <w:color w:val="auto"/>
          <w:kern w:val="0"/>
          <w:highlight w:val="none"/>
        </w:rPr>
      </w:pPr>
    </w:p>
    <w:p w14:paraId="0AC1F973">
      <w:pPr>
        <w:wordWrap w:val="0"/>
        <w:adjustRightInd w:val="0"/>
        <w:snapToGrid w:val="0"/>
        <w:spacing w:line="360" w:lineRule="auto"/>
        <w:ind w:firstLine="480"/>
        <w:rPr>
          <w:rFonts w:hAnsi="宋体" w:cs="宋体"/>
          <w:snapToGrid w:val="0"/>
          <w:color w:val="auto"/>
          <w:kern w:val="0"/>
          <w:highlight w:val="none"/>
        </w:rPr>
      </w:pPr>
    </w:p>
    <w:p w14:paraId="5C7B582C">
      <w:pPr>
        <w:wordWrap w:val="0"/>
        <w:adjustRightInd w:val="0"/>
        <w:snapToGrid w:val="0"/>
        <w:spacing w:line="360" w:lineRule="auto"/>
        <w:ind w:firstLine="480"/>
        <w:rPr>
          <w:rFonts w:hAnsi="宋体" w:cs="宋体"/>
          <w:snapToGrid w:val="0"/>
          <w:color w:val="auto"/>
          <w:kern w:val="0"/>
          <w:highlight w:val="none"/>
        </w:rPr>
      </w:pPr>
    </w:p>
    <w:p w14:paraId="33E4B37E">
      <w:pPr>
        <w:wordWrap w:val="0"/>
        <w:adjustRightInd w:val="0"/>
        <w:snapToGrid w:val="0"/>
        <w:spacing w:line="360" w:lineRule="auto"/>
        <w:ind w:firstLine="480"/>
        <w:rPr>
          <w:rFonts w:hAnsi="宋体" w:cs="宋体"/>
          <w:snapToGrid w:val="0"/>
          <w:color w:val="auto"/>
          <w:kern w:val="0"/>
          <w:highlight w:val="none"/>
        </w:rPr>
      </w:pPr>
    </w:p>
    <w:p w14:paraId="383A113E">
      <w:pPr>
        <w:wordWrap w:val="0"/>
        <w:adjustRightInd w:val="0"/>
        <w:snapToGrid w:val="0"/>
        <w:spacing w:line="360" w:lineRule="auto"/>
        <w:ind w:firstLine="480"/>
        <w:rPr>
          <w:rFonts w:hAnsi="宋体" w:cs="宋体"/>
          <w:snapToGrid w:val="0"/>
          <w:color w:val="auto"/>
          <w:kern w:val="0"/>
          <w:highlight w:val="none"/>
        </w:rPr>
      </w:pPr>
    </w:p>
    <w:p w14:paraId="205B243C">
      <w:pPr>
        <w:wordWrap w:val="0"/>
        <w:adjustRightInd w:val="0"/>
        <w:snapToGrid w:val="0"/>
        <w:spacing w:line="360" w:lineRule="auto"/>
        <w:ind w:firstLine="480"/>
        <w:rPr>
          <w:rFonts w:hAnsi="宋体" w:cs="宋体"/>
          <w:snapToGrid w:val="0"/>
          <w:color w:val="auto"/>
          <w:kern w:val="0"/>
          <w:highlight w:val="none"/>
        </w:rPr>
      </w:pPr>
    </w:p>
    <w:p w14:paraId="372723DA">
      <w:pPr>
        <w:wordWrap w:val="0"/>
        <w:adjustRightInd w:val="0"/>
        <w:snapToGrid w:val="0"/>
        <w:spacing w:line="360" w:lineRule="auto"/>
        <w:ind w:firstLine="480"/>
        <w:rPr>
          <w:rFonts w:hAnsi="宋体" w:cs="宋体"/>
          <w:snapToGrid w:val="0"/>
          <w:color w:val="auto"/>
          <w:kern w:val="0"/>
          <w:highlight w:val="none"/>
        </w:rPr>
      </w:pPr>
    </w:p>
    <w:p w14:paraId="7A3D79AD">
      <w:pPr>
        <w:wordWrap w:val="0"/>
        <w:adjustRightInd w:val="0"/>
        <w:snapToGrid w:val="0"/>
        <w:spacing w:line="360" w:lineRule="auto"/>
        <w:ind w:firstLine="480"/>
        <w:rPr>
          <w:rFonts w:hAnsi="宋体" w:cs="宋体"/>
          <w:snapToGrid w:val="0"/>
          <w:color w:val="auto"/>
          <w:kern w:val="0"/>
          <w:highlight w:val="none"/>
        </w:rPr>
      </w:pPr>
    </w:p>
    <w:p w14:paraId="404CFFC3">
      <w:pPr>
        <w:wordWrap w:val="0"/>
        <w:adjustRightInd w:val="0"/>
        <w:snapToGrid w:val="0"/>
        <w:spacing w:line="360" w:lineRule="auto"/>
        <w:ind w:firstLine="480"/>
        <w:rPr>
          <w:rFonts w:hAnsi="宋体" w:cs="宋体"/>
          <w:snapToGrid w:val="0"/>
          <w:color w:val="auto"/>
          <w:kern w:val="0"/>
          <w:highlight w:val="none"/>
        </w:rPr>
      </w:pPr>
    </w:p>
    <w:p w14:paraId="50DFDA0A">
      <w:pPr>
        <w:wordWrap w:val="0"/>
        <w:adjustRightInd w:val="0"/>
        <w:snapToGrid w:val="0"/>
        <w:spacing w:line="360" w:lineRule="auto"/>
        <w:ind w:firstLine="480"/>
        <w:rPr>
          <w:rFonts w:hAnsi="宋体" w:cs="宋体"/>
          <w:snapToGrid w:val="0"/>
          <w:color w:val="auto"/>
          <w:kern w:val="0"/>
          <w:highlight w:val="none"/>
        </w:rPr>
      </w:pPr>
    </w:p>
    <w:p w14:paraId="134EA6A3">
      <w:pPr>
        <w:wordWrap w:val="0"/>
        <w:adjustRightInd w:val="0"/>
        <w:snapToGrid w:val="0"/>
        <w:spacing w:line="360" w:lineRule="auto"/>
        <w:ind w:firstLine="480"/>
        <w:rPr>
          <w:rFonts w:hAnsi="宋体" w:cs="宋体"/>
          <w:snapToGrid w:val="0"/>
          <w:color w:val="auto"/>
          <w:kern w:val="0"/>
          <w:highlight w:val="none"/>
        </w:rPr>
      </w:pPr>
    </w:p>
    <w:p w14:paraId="6FB2F619">
      <w:pPr>
        <w:wordWrap w:val="0"/>
        <w:adjustRightInd w:val="0"/>
        <w:snapToGrid w:val="0"/>
        <w:spacing w:line="360" w:lineRule="auto"/>
        <w:ind w:firstLine="480"/>
        <w:rPr>
          <w:rFonts w:hAnsi="宋体" w:cs="宋体"/>
          <w:snapToGrid w:val="0"/>
          <w:color w:val="auto"/>
          <w:kern w:val="0"/>
          <w:highlight w:val="none"/>
        </w:rPr>
      </w:pPr>
    </w:p>
    <w:p w14:paraId="2DC01507">
      <w:pPr>
        <w:wordWrap w:val="0"/>
        <w:adjustRightInd w:val="0"/>
        <w:snapToGrid w:val="0"/>
        <w:spacing w:line="360" w:lineRule="auto"/>
        <w:ind w:firstLine="480"/>
        <w:rPr>
          <w:rFonts w:hAnsi="宋体" w:cs="宋体"/>
          <w:snapToGrid w:val="0"/>
          <w:color w:val="auto"/>
          <w:kern w:val="0"/>
          <w:highlight w:val="none"/>
        </w:rPr>
      </w:pPr>
    </w:p>
    <w:p w14:paraId="1B6A90F7">
      <w:pPr>
        <w:wordWrap w:val="0"/>
        <w:adjustRightInd w:val="0"/>
        <w:snapToGrid w:val="0"/>
        <w:spacing w:line="360" w:lineRule="auto"/>
        <w:ind w:firstLine="480"/>
        <w:rPr>
          <w:rFonts w:hAnsi="宋体" w:cs="宋体"/>
          <w:snapToGrid w:val="0"/>
          <w:color w:val="auto"/>
          <w:kern w:val="0"/>
          <w:highlight w:val="none"/>
        </w:rPr>
      </w:pPr>
    </w:p>
    <w:p w14:paraId="61FEFA58">
      <w:pPr>
        <w:wordWrap w:val="0"/>
        <w:adjustRightInd w:val="0"/>
        <w:snapToGrid w:val="0"/>
        <w:spacing w:line="360" w:lineRule="auto"/>
        <w:ind w:firstLine="480"/>
        <w:rPr>
          <w:rFonts w:hAnsi="宋体" w:cs="宋体"/>
          <w:snapToGrid w:val="0"/>
          <w:color w:val="auto"/>
          <w:kern w:val="0"/>
          <w:highlight w:val="none"/>
        </w:rPr>
      </w:pPr>
    </w:p>
    <w:p w14:paraId="5EC0F2C9">
      <w:pPr>
        <w:wordWrap w:val="0"/>
        <w:adjustRightInd w:val="0"/>
        <w:snapToGrid w:val="0"/>
        <w:spacing w:line="360" w:lineRule="auto"/>
        <w:ind w:firstLine="480"/>
        <w:rPr>
          <w:rFonts w:hAnsi="宋体" w:cs="宋体"/>
          <w:snapToGrid w:val="0"/>
          <w:color w:val="auto"/>
          <w:kern w:val="0"/>
          <w:highlight w:val="none"/>
        </w:rPr>
      </w:pPr>
    </w:p>
    <w:p w14:paraId="2E188212">
      <w:pPr>
        <w:wordWrap w:val="0"/>
        <w:adjustRightInd w:val="0"/>
        <w:snapToGrid w:val="0"/>
        <w:spacing w:line="360" w:lineRule="auto"/>
        <w:ind w:firstLine="480"/>
        <w:rPr>
          <w:rFonts w:hAnsi="宋体" w:cs="宋体"/>
          <w:snapToGrid w:val="0"/>
          <w:color w:val="auto"/>
          <w:kern w:val="0"/>
          <w:highlight w:val="none"/>
        </w:rPr>
      </w:pPr>
    </w:p>
    <w:p w14:paraId="30136CD2">
      <w:pPr>
        <w:pStyle w:val="3"/>
        <w:pageBreakBefore w:val="0"/>
        <w:kinsoku/>
        <w:overflowPunct/>
        <w:topLinePunct w:val="0"/>
        <w:bidi w:val="0"/>
        <w:spacing w:line="500" w:lineRule="exact"/>
        <w:textAlignment w:val="auto"/>
        <w:outlineLvl w:val="1"/>
        <w:rPr>
          <w:rFonts w:hint="default" w:ascii="宋体" w:hAnsi="宋体" w:eastAsia="宋体" w:cs="宋体"/>
          <w:b/>
          <w:bCs/>
          <w:color w:val="auto"/>
          <w:highlight w:val="none"/>
          <w:lang w:val="en-US" w:eastAsia="zh-CN"/>
        </w:rPr>
      </w:pPr>
      <w:bookmarkStart w:id="66" w:name="_Toc4309"/>
      <w:bookmarkStart w:id="67" w:name="_Toc3478"/>
      <w:bookmarkStart w:id="68" w:name="_Toc13284"/>
      <w:r>
        <w:rPr>
          <w:rFonts w:hint="eastAsia" w:ascii="宋体" w:hAnsi="宋体" w:eastAsia="宋体" w:cs="宋体"/>
          <w:b/>
          <w:bCs/>
          <w:color w:val="auto"/>
          <w:highlight w:val="none"/>
          <w:lang w:val="en-US" w:eastAsia="zh-CN"/>
        </w:rPr>
        <w:t>第五节 定标规定及细则</w:t>
      </w:r>
      <w:bookmarkEnd w:id="66"/>
      <w:bookmarkEnd w:id="67"/>
      <w:bookmarkEnd w:id="68"/>
    </w:p>
    <w:p w14:paraId="1206D7CF">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69" w:name="_Toc17667"/>
      <w:bookmarkStart w:id="70" w:name="_Toc18852"/>
      <w:bookmarkStart w:id="71" w:name="_Toc7706"/>
      <w:r>
        <w:rPr>
          <w:rFonts w:hint="eastAsia" w:ascii="宋体" w:hAnsi="宋体" w:eastAsia="宋体" w:cs="宋体"/>
          <w:b/>
          <w:snapToGrid w:val="0"/>
          <w:color w:val="auto"/>
          <w:highlight w:val="none"/>
          <w:lang w:val="en-US" w:eastAsia="zh-CN"/>
        </w:rPr>
        <w:t>1</w:t>
      </w:r>
      <w:r>
        <w:rPr>
          <w:rFonts w:hint="eastAsia" w:ascii="宋体" w:hAnsi="宋体" w:eastAsia="宋体" w:cs="宋体"/>
          <w:b/>
          <w:snapToGrid w:val="0"/>
          <w:color w:val="auto"/>
          <w:highlight w:val="none"/>
        </w:rPr>
        <w:t>.</w:t>
      </w:r>
      <w:r>
        <w:rPr>
          <w:rFonts w:hint="eastAsia" w:ascii="宋体" w:hAnsi="宋体" w:eastAsia="宋体" w:cs="宋体"/>
          <w:b/>
          <w:snapToGrid w:val="0"/>
          <w:color w:val="auto"/>
          <w:highlight w:val="none"/>
          <w:lang w:val="en-US" w:eastAsia="zh-CN"/>
        </w:rPr>
        <w:t>定标规定</w:t>
      </w:r>
      <w:bookmarkEnd w:id="69"/>
      <w:bookmarkEnd w:id="70"/>
      <w:bookmarkEnd w:id="71"/>
    </w:p>
    <w:p w14:paraId="1ACCE5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1.1确定定标时间</w:t>
      </w:r>
    </w:p>
    <w:p w14:paraId="5078288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3877C79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snapToGrid w:val="0"/>
          <w:color w:val="auto"/>
          <w:highlight w:val="none"/>
          <w:lang w:val="en-US" w:eastAsia="zh-CN"/>
        </w:rPr>
      </w:pPr>
      <w:r>
        <w:rPr>
          <w:rFonts w:hint="eastAsia" w:ascii="宋体" w:hAnsi="宋体" w:eastAsia="宋体" w:cs="宋体"/>
          <w:b/>
          <w:snapToGrid w:val="0"/>
          <w:color w:val="auto"/>
          <w:highlight w:val="none"/>
          <w:lang w:val="en-US" w:eastAsia="zh-CN"/>
        </w:rPr>
        <w:t>1.2定标委员会</w:t>
      </w:r>
    </w:p>
    <w:p w14:paraId="1040D74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1.2.1</w:t>
      </w:r>
      <w:r>
        <w:rPr>
          <w:rFonts w:hint="eastAsia" w:ascii="宋体" w:hAnsi="宋体" w:eastAsia="宋体" w:cs="宋体"/>
          <w:snapToGrid w:val="0"/>
          <w:color w:val="auto"/>
          <w:kern w:val="0"/>
          <w:highlight w:val="none"/>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319E64B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2DDE6FC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1.2.3</w:t>
      </w:r>
      <w:r>
        <w:rPr>
          <w:rFonts w:hint="eastAsia" w:ascii="宋体" w:hAnsi="宋体" w:eastAsia="宋体" w:cs="宋体"/>
          <w:snapToGrid w:val="0"/>
          <w:color w:val="auto"/>
          <w:kern w:val="0"/>
          <w:highlight w:val="none"/>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58C95F9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1.3定标办法（本项目采用票决数量法定标）</w:t>
      </w:r>
    </w:p>
    <w:p w14:paraId="615F07F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本项目定标办法由招标人按本投标人须知前附表的规定确定（只能选定其中一种定标办法）。</w:t>
      </w:r>
    </w:p>
    <w:p w14:paraId="1F50119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1.4组建招标监督小组</w:t>
      </w:r>
    </w:p>
    <w:p w14:paraId="4CF123E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3B888DE8">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2" w:name="_Toc29848"/>
      <w:bookmarkStart w:id="73" w:name="_Toc18947"/>
      <w:bookmarkStart w:id="74" w:name="_Toc4905"/>
      <w:r>
        <w:rPr>
          <w:rFonts w:hint="eastAsia" w:ascii="宋体" w:hAnsi="宋体" w:eastAsia="宋体" w:cs="宋体"/>
          <w:b/>
          <w:snapToGrid w:val="0"/>
          <w:color w:val="auto"/>
          <w:highlight w:val="none"/>
          <w:lang w:val="en-US" w:eastAsia="zh-CN"/>
        </w:rPr>
        <w:t>2.定标细则</w:t>
      </w:r>
      <w:bookmarkEnd w:id="72"/>
      <w:bookmarkEnd w:id="73"/>
      <w:bookmarkEnd w:id="74"/>
    </w:p>
    <w:p w14:paraId="769CB3F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票决数量法</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本项目采用票决数量法定标。</w:t>
      </w:r>
    </w:p>
    <w:p w14:paraId="3587A6C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w:t>
      </w:r>
      <w:r>
        <w:rPr>
          <w:rFonts w:hint="eastAsia" w:ascii="宋体" w:hAnsi="宋体" w:eastAsia="宋体" w:cs="宋体"/>
          <w:b/>
          <w:bCs/>
          <w:snapToGrid w:val="0"/>
          <w:color w:val="auto"/>
          <w:kern w:val="0"/>
          <w:highlight w:val="none"/>
        </w:rPr>
        <w:t>票决数量法程序</w:t>
      </w:r>
    </w:p>
    <w:p w14:paraId="43070B2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23B939D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2.1.1</w:t>
      </w:r>
      <w:r>
        <w:rPr>
          <w:rFonts w:hint="eastAsia" w:ascii="宋体" w:hAnsi="宋体" w:eastAsia="宋体" w:cs="宋体"/>
          <w:b/>
          <w:bCs/>
          <w:snapToGrid w:val="0"/>
          <w:color w:val="auto"/>
          <w:kern w:val="0"/>
          <w:highlight w:val="none"/>
        </w:rPr>
        <w:t>项目情况介绍</w:t>
      </w:r>
    </w:p>
    <w:p w14:paraId="7322B8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招标人代表介绍项目的概况及招标要求，以及定标方法与定标工作规则，不得发表具有倾向性的言论。</w:t>
      </w:r>
    </w:p>
    <w:p w14:paraId="5B206EB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2.1.2</w:t>
      </w:r>
      <w:r>
        <w:rPr>
          <w:rFonts w:hint="eastAsia" w:ascii="宋体" w:hAnsi="宋体" w:eastAsia="宋体" w:cs="宋体"/>
          <w:b/>
          <w:bCs/>
          <w:snapToGrid w:val="0"/>
          <w:color w:val="auto"/>
          <w:kern w:val="0"/>
          <w:highlight w:val="none"/>
        </w:rPr>
        <w:t>审阅定标资料</w:t>
      </w:r>
    </w:p>
    <w:p w14:paraId="11669E0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定标委员会成员对各定标候选人的投标文件进行审阅，审阅内容主要是定标工作规则所规定的定标因素，聚焦于项目需求与候选人能力的匹配度。</w:t>
      </w:r>
    </w:p>
    <w:p w14:paraId="5E8FB8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2.1.3</w:t>
      </w:r>
      <w:r>
        <w:rPr>
          <w:rFonts w:hint="eastAsia" w:ascii="宋体" w:hAnsi="宋体" w:eastAsia="宋体" w:cs="宋体"/>
          <w:b/>
          <w:bCs/>
          <w:snapToGrid w:val="0"/>
          <w:color w:val="auto"/>
          <w:kern w:val="0"/>
          <w:highlight w:val="none"/>
        </w:rPr>
        <w:t>疑问澄清</w:t>
      </w:r>
    </w:p>
    <w:p w14:paraId="0C40A8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970C57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2.1.4</w:t>
      </w:r>
      <w:r>
        <w:rPr>
          <w:rFonts w:hint="eastAsia" w:ascii="宋体" w:hAnsi="宋体" w:eastAsia="宋体" w:cs="宋体"/>
          <w:b/>
          <w:bCs/>
          <w:snapToGrid w:val="0"/>
          <w:color w:val="auto"/>
          <w:kern w:val="0"/>
          <w:highlight w:val="none"/>
        </w:rPr>
        <w:t>投票、收票、点票和汇总</w:t>
      </w:r>
    </w:p>
    <w:p w14:paraId="3ABD785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612F2D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2.1.5</w:t>
      </w:r>
      <w:r>
        <w:rPr>
          <w:rFonts w:hint="eastAsia" w:ascii="宋体" w:hAnsi="宋体" w:eastAsia="宋体" w:cs="宋体"/>
          <w:b/>
          <w:bCs/>
          <w:snapToGrid w:val="0"/>
          <w:color w:val="auto"/>
          <w:kern w:val="0"/>
          <w:highlight w:val="none"/>
        </w:rPr>
        <w:t>公布结果和出具定标报告</w:t>
      </w:r>
    </w:p>
    <w:p w14:paraId="08FEA5C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点票工作完成后，定标委员会组长汇总定标结果，编制定标报告，确定中标候选人，全体成员签名。</w:t>
      </w:r>
    </w:p>
    <w:p w14:paraId="1C32093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2.1.6</w:t>
      </w:r>
      <w:r>
        <w:rPr>
          <w:rFonts w:hint="eastAsia" w:ascii="宋体" w:hAnsi="宋体" w:eastAsia="宋体" w:cs="宋体"/>
          <w:b/>
          <w:bCs/>
          <w:snapToGrid w:val="0"/>
          <w:color w:val="auto"/>
          <w:kern w:val="0"/>
          <w:highlight w:val="none"/>
        </w:rPr>
        <w:t>全程监督</w:t>
      </w:r>
    </w:p>
    <w:p w14:paraId="24A721E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招标监督小组对集体议定的全过程进行监督，确保程序合规、讨论充分、记录完整，结论形成过程公正、透明。</w:t>
      </w:r>
    </w:p>
    <w:p w14:paraId="10C36E9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2.2</w:t>
      </w:r>
      <w:r>
        <w:rPr>
          <w:rFonts w:hint="eastAsia" w:ascii="宋体" w:hAnsi="宋体" w:eastAsia="宋体" w:cs="宋体"/>
          <w:b/>
          <w:bCs/>
          <w:snapToGrid w:val="0"/>
          <w:color w:val="auto"/>
          <w:kern w:val="0"/>
          <w:highlight w:val="none"/>
        </w:rPr>
        <w:t>定标因素</w:t>
      </w:r>
    </w:p>
    <w:p w14:paraId="20969D9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定标因素和相对标准有以下几个方面：</w:t>
      </w:r>
    </w:p>
    <w:p w14:paraId="6E205CF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拟派团队管理能力与水平（履约能力）</w:t>
      </w:r>
    </w:p>
    <w:p w14:paraId="5ABA421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相对标准：拟派团队管理能力与水平（履约能力）强的定标候选人优于拟派团队管理能力与水平（履约能力）一般的定标候选人。</w:t>
      </w:r>
    </w:p>
    <w:p w14:paraId="1BD2F3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企业信誉</w:t>
      </w:r>
    </w:p>
    <w:p w14:paraId="6ADB693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相对标准：企业信誉评价好的定标候选人优于企业信誉评价一般的定标候选人。</w:t>
      </w:r>
    </w:p>
    <w:p w14:paraId="4C6C427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w:t>
      </w:r>
      <w:r>
        <w:rPr>
          <w:rFonts w:hint="eastAsia" w:ascii="宋体" w:hAnsi="宋体" w:eastAsia="宋体" w:cs="宋体"/>
          <w:snapToGrid w:val="0"/>
          <w:color w:val="auto"/>
          <w:kern w:val="0"/>
          <w:highlight w:val="none"/>
          <w:lang w:val="en-US" w:eastAsia="zh-CN"/>
        </w:rPr>
        <w:t>监理大纲</w:t>
      </w:r>
    </w:p>
    <w:p w14:paraId="4CBC37D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相对标准：监理大纲优良的定标候选人优于监理大纲一般的定标候选人。</w:t>
      </w:r>
    </w:p>
    <w:p w14:paraId="4D79F6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（4）</w:t>
      </w:r>
      <w:r>
        <w:rPr>
          <w:rFonts w:hint="eastAsia" w:ascii="宋体" w:hAnsi="宋体" w:eastAsia="宋体" w:cs="宋体"/>
          <w:snapToGrid w:val="0"/>
          <w:color w:val="auto"/>
          <w:kern w:val="0"/>
          <w:highlight w:val="none"/>
        </w:rPr>
        <w:t>评标报告</w:t>
      </w:r>
    </w:p>
    <w:p w14:paraId="3A22FE6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7FC57C14">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5" w:name="_Toc32345"/>
      <w:bookmarkStart w:id="76" w:name="_Toc31869"/>
      <w:bookmarkStart w:id="77" w:name="_Toc29036"/>
      <w:r>
        <w:rPr>
          <w:rFonts w:hint="eastAsia" w:ascii="宋体" w:hAnsi="宋体" w:eastAsia="宋体" w:cs="宋体"/>
          <w:b/>
          <w:snapToGrid w:val="0"/>
          <w:color w:val="auto"/>
          <w:highlight w:val="none"/>
          <w:lang w:val="en-US" w:eastAsia="zh-CN"/>
        </w:rPr>
        <w:t>3.定标结果公示</w:t>
      </w:r>
      <w:bookmarkEnd w:id="75"/>
      <w:bookmarkEnd w:id="76"/>
      <w:bookmarkEnd w:id="77"/>
      <w:r>
        <w:rPr>
          <w:rFonts w:hint="eastAsia" w:ascii="宋体" w:hAnsi="宋体" w:eastAsia="宋体" w:cs="宋体"/>
          <w:b/>
          <w:snapToGrid w:val="0"/>
          <w:color w:val="auto"/>
          <w:highlight w:val="none"/>
          <w:lang w:val="en-US" w:eastAsia="zh-CN"/>
        </w:rPr>
        <w:t xml:space="preserve">  </w:t>
      </w:r>
    </w:p>
    <w:p w14:paraId="46D74AE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3.1</w:t>
      </w:r>
      <w:r>
        <w:rPr>
          <w:rFonts w:hint="eastAsia" w:ascii="宋体" w:hAnsi="宋体" w:eastAsia="宋体" w:cs="宋体"/>
          <w:snapToGrid w:val="0"/>
          <w:color w:val="auto"/>
          <w:kern w:val="0"/>
          <w:highlight w:val="none"/>
        </w:rPr>
        <w:t>定标委员会完成定标后，招标人应于定标会结束后3个</w:t>
      </w:r>
      <w:r>
        <w:rPr>
          <w:rFonts w:hint="eastAsia" w:hAnsi="宋体" w:cs="宋体"/>
          <w:snapToGrid w:val="0"/>
          <w:color w:val="auto"/>
          <w:kern w:val="0"/>
          <w:highlight w:val="none"/>
          <w:lang w:val="en-US" w:eastAsia="zh-CN"/>
        </w:rPr>
        <w:t>自然</w:t>
      </w:r>
      <w:r>
        <w:rPr>
          <w:rFonts w:hint="eastAsia" w:ascii="宋体" w:hAnsi="宋体" w:eastAsia="宋体" w:cs="宋体"/>
          <w:snapToGrid w:val="0"/>
          <w:color w:val="auto"/>
          <w:kern w:val="0"/>
          <w:highlight w:val="none"/>
        </w:rPr>
        <w:t>日内将中标候选人和定标情况在广东省招标投标监管网和全国公共资源交易平台（广东省·韶关市）工程交易系统上公示，公示时间不少于3个</w:t>
      </w:r>
      <w:r>
        <w:rPr>
          <w:rFonts w:hint="eastAsia" w:hAnsi="宋体" w:cs="宋体"/>
          <w:snapToGrid w:val="0"/>
          <w:color w:val="auto"/>
          <w:kern w:val="0"/>
          <w:highlight w:val="none"/>
          <w:lang w:val="en-US" w:eastAsia="zh-CN"/>
        </w:rPr>
        <w:t>自然</w:t>
      </w:r>
      <w:bookmarkStart w:id="356" w:name="_GoBack"/>
      <w:bookmarkEnd w:id="356"/>
      <w:r>
        <w:rPr>
          <w:rFonts w:hint="eastAsia" w:ascii="宋体" w:hAnsi="宋体" w:eastAsia="宋体" w:cs="宋体"/>
          <w:snapToGrid w:val="0"/>
          <w:color w:val="auto"/>
          <w:kern w:val="0"/>
          <w:highlight w:val="none"/>
        </w:rPr>
        <w:t>日。公示主要内容包括：定标报告（定标成员信息除外）、中标人名单、中标价和拟投入本项目的项目负责人、技术负责人及各专业负责人（如有）等内容。</w:t>
      </w:r>
    </w:p>
    <w:p w14:paraId="28E0961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lang w:val="en-US" w:eastAsia="zh-CN"/>
        </w:rPr>
        <w:t>3.2</w:t>
      </w:r>
      <w:r>
        <w:rPr>
          <w:rFonts w:hint="eastAsia" w:ascii="宋体" w:hAnsi="宋体" w:eastAsia="宋体" w:cs="宋体"/>
          <w:snapToGrid w:val="0"/>
          <w:color w:val="auto"/>
          <w:kern w:val="0"/>
          <w:highlight w:val="none"/>
        </w:rPr>
        <w:t>投标人或者其他利害关系人对招标项目的中标结果有异议的，应当在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7D0171C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3.3</w:t>
      </w:r>
      <w:r>
        <w:rPr>
          <w:rFonts w:hint="eastAsia" w:ascii="宋体" w:hAnsi="宋体" w:eastAsia="宋体" w:cs="宋体"/>
          <w:snapToGrid w:val="0"/>
          <w:color w:val="auto"/>
          <w:kern w:val="0"/>
          <w:highlight w:val="none"/>
        </w:rPr>
        <w:t>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5E0E8692">
      <w:pPr>
        <w:pStyle w:val="4"/>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8" w:name="_Toc28855"/>
      <w:bookmarkStart w:id="79" w:name="_Toc31812"/>
      <w:bookmarkStart w:id="80" w:name="_Toc24457"/>
      <w:r>
        <w:rPr>
          <w:rFonts w:hint="eastAsia" w:ascii="宋体" w:hAnsi="宋体" w:eastAsia="宋体" w:cs="宋体"/>
          <w:b/>
          <w:snapToGrid w:val="0"/>
          <w:color w:val="auto"/>
          <w:highlight w:val="none"/>
          <w:lang w:val="en-US" w:eastAsia="zh-CN"/>
        </w:rPr>
        <w:t>4.中标确认</w:t>
      </w:r>
      <w:bookmarkEnd w:id="78"/>
      <w:bookmarkEnd w:id="79"/>
      <w:bookmarkEnd w:id="80"/>
    </w:p>
    <w:p w14:paraId="0FF416D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中标人确定</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中标结果公示期满无（投诉）后，招标人确认排名第一的中标候选人为中标人，中标人的投标报价即为中标价。</w:t>
      </w:r>
    </w:p>
    <w:p w14:paraId="41473EE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2ABDBC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AC1190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1A7799A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1D2075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02D8617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1D8A51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3644ADA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FFB9D8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8F2EB03">
      <w:pPr>
        <w:pageBreakBefore w:val="0"/>
        <w:kinsoku/>
        <w:wordWrap w:val="0"/>
        <w:overflowPunct/>
        <w:topLinePunct w:val="0"/>
        <w:bidi w:val="0"/>
        <w:adjustRightInd w:val="0"/>
        <w:snapToGrid w:val="0"/>
        <w:spacing w:line="500" w:lineRule="exact"/>
        <w:textAlignment w:val="auto"/>
        <w:rPr>
          <w:rFonts w:hint="eastAsia" w:ascii="宋体" w:hAnsi="宋体" w:eastAsia="宋体" w:cs="宋体"/>
          <w:snapToGrid w:val="0"/>
          <w:color w:val="auto"/>
          <w:kern w:val="0"/>
          <w:highlight w:val="none"/>
        </w:rPr>
      </w:pPr>
    </w:p>
    <w:p w14:paraId="7624676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2FAC246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753E11E4">
      <w:pPr>
        <w:pStyle w:val="2"/>
        <w:wordWrap w:val="0"/>
        <w:autoSpaceDE/>
        <w:autoSpaceDN/>
        <w:snapToGrid w:val="0"/>
        <w:spacing w:line="440" w:lineRule="exact"/>
        <w:jc w:val="center"/>
        <w:rPr>
          <w:rFonts w:hAnsi="宋体" w:cs="宋体"/>
          <w:b/>
          <w:snapToGrid w:val="0"/>
          <w:color w:val="auto"/>
          <w:sz w:val="32"/>
          <w:szCs w:val="22"/>
          <w:highlight w:val="none"/>
        </w:rPr>
      </w:pPr>
      <w:bookmarkStart w:id="81" w:name="_Hlt112206772"/>
      <w:bookmarkEnd w:id="81"/>
      <w:bookmarkStart w:id="82" w:name="_Hlt87952408"/>
      <w:bookmarkEnd w:id="82"/>
      <w:bookmarkStart w:id="83" w:name="_Hlt69669771"/>
      <w:bookmarkEnd w:id="83"/>
      <w:bookmarkStart w:id="84" w:name="_Hlt70150994"/>
      <w:bookmarkEnd w:id="84"/>
      <w:bookmarkStart w:id="85" w:name="_Toc24921"/>
      <w:bookmarkStart w:id="86" w:name="_Hlt69698722"/>
      <w:bookmarkStart w:id="87" w:name="_Hlt69698741"/>
      <w:bookmarkStart w:id="88" w:name="_Hlt69698769"/>
      <w:r>
        <w:rPr>
          <w:rFonts w:hint="eastAsia" w:hAnsi="宋体" w:cs="宋体"/>
          <w:b/>
          <w:snapToGrid w:val="0"/>
          <w:color w:val="auto"/>
          <w:sz w:val="32"/>
          <w:szCs w:val="22"/>
          <w:highlight w:val="none"/>
        </w:rPr>
        <w:t>第</w:t>
      </w:r>
      <w:bookmarkStart w:id="89" w:name="_Hlt69669171"/>
      <w:bookmarkEnd w:id="89"/>
      <w:r>
        <w:rPr>
          <w:rFonts w:hint="eastAsia" w:hAnsi="宋体" w:cs="宋体"/>
          <w:b/>
          <w:snapToGrid w:val="0"/>
          <w:color w:val="auto"/>
          <w:sz w:val="32"/>
          <w:szCs w:val="22"/>
          <w:highlight w:val="none"/>
        </w:rPr>
        <w:t>二章</w:t>
      </w:r>
      <w:bookmarkStart w:id="90" w:name="_Hlt87793839"/>
      <w:bookmarkEnd w:id="90"/>
      <w:r>
        <w:rPr>
          <w:rFonts w:hint="eastAsia" w:hAnsi="宋体" w:cs="宋体"/>
          <w:b/>
          <w:snapToGrid w:val="0"/>
          <w:color w:val="auto"/>
          <w:sz w:val="32"/>
          <w:szCs w:val="22"/>
          <w:highlight w:val="none"/>
        </w:rPr>
        <w:t xml:space="preserve"> 中标人须知</w:t>
      </w:r>
      <w:bookmarkEnd w:id="85"/>
    </w:p>
    <w:bookmarkEnd w:id="86"/>
    <w:bookmarkEnd w:id="87"/>
    <w:bookmarkEnd w:id="88"/>
    <w:p w14:paraId="38AEC5D6">
      <w:pPr>
        <w:bidi w:val="0"/>
        <w:rPr>
          <w:color w:val="auto"/>
          <w:highlight w:val="none"/>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91" w:name="_Toc32205"/>
      <w:bookmarkStart w:id="92" w:name="_Toc8149"/>
      <w:bookmarkStart w:id="93" w:name="_Toc15170"/>
      <w:bookmarkStart w:id="94" w:name="_Toc18336"/>
      <w:bookmarkStart w:id="95" w:name="_Toc30174"/>
      <w:bookmarkStart w:id="96" w:name="_Toc31521"/>
      <w:bookmarkStart w:id="97" w:name="_Toc21594"/>
      <w:r>
        <w:rPr>
          <w:rFonts w:hint="eastAsia" w:hAnsi="宋体" w:cs="宋体"/>
          <w:b/>
          <w:snapToGrid w:val="0"/>
          <w:color w:val="auto"/>
          <w:kern w:val="0"/>
          <w:szCs w:val="24"/>
          <w:highlight w:val="none"/>
        </w:rPr>
        <w:t>1．中标通知书</w:t>
      </w:r>
      <w:bookmarkEnd w:id="91"/>
      <w:bookmarkEnd w:id="92"/>
      <w:bookmarkEnd w:id="93"/>
      <w:bookmarkEnd w:id="94"/>
      <w:bookmarkEnd w:id="95"/>
      <w:bookmarkEnd w:id="96"/>
      <w:bookmarkEnd w:id="97"/>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98" w:name="_Toc10931"/>
      <w:bookmarkStart w:id="99" w:name="_Toc23133"/>
      <w:bookmarkStart w:id="100" w:name="_Toc6792"/>
      <w:bookmarkStart w:id="101" w:name="_Toc28601"/>
      <w:bookmarkStart w:id="102" w:name="_Toc30560"/>
      <w:bookmarkStart w:id="103" w:name="_Toc1519"/>
      <w:bookmarkStart w:id="104" w:name="_Toc17251"/>
      <w:r>
        <w:rPr>
          <w:rFonts w:hint="eastAsia" w:hAnsi="宋体" w:cs="宋体"/>
          <w:b/>
          <w:bCs/>
          <w:snapToGrid w:val="0"/>
          <w:color w:val="auto"/>
          <w:kern w:val="0"/>
          <w:szCs w:val="24"/>
          <w:highlight w:val="none"/>
        </w:rPr>
        <w:t>2．中标结果公示</w:t>
      </w:r>
      <w:bookmarkEnd w:id="98"/>
      <w:bookmarkEnd w:id="99"/>
      <w:bookmarkEnd w:id="100"/>
      <w:bookmarkEnd w:id="101"/>
      <w:bookmarkEnd w:id="102"/>
      <w:bookmarkEnd w:id="103"/>
      <w:bookmarkEnd w:id="104"/>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105" w:name="_Toc23475"/>
      <w:bookmarkStart w:id="106" w:name="_Toc25367"/>
      <w:bookmarkStart w:id="107" w:name="_Toc22628"/>
      <w:bookmarkStart w:id="108" w:name="_Toc20923"/>
      <w:bookmarkStart w:id="109" w:name="_Toc16211"/>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rPr>
      </w:pPr>
      <w:bookmarkStart w:id="110" w:name="_Toc11910"/>
      <w:bookmarkStart w:id="111" w:name="_Toc32445"/>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．履约保证</w:t>
      </w:r>
      <w:bookmarkEnd w:id="110"/>
      <w:bookmarkEnd w:id="111"/>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lang w:val="en-US" w:eastAsia="zh-CN"/>
        </w:rPr>
      </w:pPr>
      <w:bookmarkStart w:id="112" w:name="_Toc12971"/>
      <w:bookmarkStart w:id="113" w:name="_Toc5474"/>
      <w:r>
        <w:rPr>
          <w:rFonts w:hint="eastAsia" w:hAnsi="宋体" w:cs="宋体"/>
          <w:b/>
          <w:bCs/>
          <w:snapToGrid w:val="0"/>
          <w:color w:val="auto"/>
          <w:kern w:val="0"/>
          <w:szCs w:val="24"/>
          <w:highlight w:val="none"/>
          <w:lang w:val="en-US" w:eastAsia="zh-CN"/>
        </w:rPr>
        <w:t>4.合同订立</w:t>
      </w:r>
      <w:bookmarkEnd w:id="105"/>
      <w:bookmarkEnd w:id="106"/>
      <w:bookmarkEnd w:id="107"/>
      <w:bookmarkEnd w:id="108"/>
      <w:bookmarkEnd w:id="109"/>
      <w:bookmarkEnd w:id="112"/>
      <w:bookmarkEnd w:id="113"/>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招标人应当自中标通知书发出之日起</w:t>
      </w:r>
      <w:r>
        <w:rPr>
          <w:rFonts w:hint="eastAsia" w:hAnsi="宋体" w:cs="宋体"/>
          <w:snapToGrid w:val="0"/>
          <w:color w:val="auto"/>
          <w:kern w:val="0"/>
          <w:szCs w:val="24"/>
          <w:highlight w:val="none"/>
          <w:u w:val="single"/>
        </w:rPr>
        <w:t xml:space="preserve"> 30 </w:t>
      </w:r>
      <w:r>
        <w:rPr>
          <w:rFonts w:hint="eastAsia" w:hAnsi="宋体" w:cs="宋体"/>
          <w:snapToGrid w:val="0"/>
          <w:color w:val="auto"/>
          <w:kern w:val="0"/>
          <w:szCs w:val="24"/>
          <w:highlight w:val="none"/>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.3</w:t>
      </w:r>
      <w:r>
        <w:rPr>
          <w:rFonts w:hint="eastAsia" w:hAnsi="宋体" w:cs="宋体"/>
          <w:snapToGrid w:val="0"/>
          <w:color w:val="auto"/>
          <w:kern w:val="0"/>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4" w:name="_Toc11598"/>
      <w:bookmarkStart w:id="115" w:name="_Toc6741"/>
      <w:bookmarkStart w:id="116" w:name="_Toc25887"/>
      <w:bookmarkStart w:id="117" w:name="_Toc13450"/>
      <w:bookmarkStart w:id="118" w:name="_Toc10701"/>
      <w:bookmarkStart w:id="119" w:name="_Toc3858"/>
      <w:bookmarkStart w:id="120" w:name="_Toc1819"/>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．放弃中标的处理</w:t>
      </w:r>
      <w:bookmarkEnd w:id="114"/>
      <w:bookmarkEnd w:id="115"/>
      <w:bookmarkEnd w:id="116"/>
      <w:bookmarkEnd w:id="117"/>
      <w:bookmarkEnd w:id="118"/>
      <w:bookmarkEnd w:id="119"/>
      <w:bookmarkEnd w:id="120"/>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21" w:name="_Toc11751"/>
      <w:bookmarkStart w:id="122" w:name="_Toc17549"/>
      <w:bookmarkStart w:id="123" w:name="_Toc26352"/>
      <w:bookmarkStart w:id="124" w:name="_Toc8282"/>
      <w:bookmarkStart w:id="125" w:name="_Toc15893"/>
      <w:bookmarkStart w:id="126" w:name="_Toc500"/>
      <w:bookmarkStart w:id="127" w:name="_Toc1831"/>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．分包</w:t>
      </w:r>
      <w:bookmarkEnd w:id="121"/>
      <w:bookmarkEnd w:id="122"/>
      <w:bookmarkEnd w:id="123"/>
      <w:bookmarkEnd w:id="124"/>
      <w:bookmarkEnd w:id="125"/>
      <w:bookmarkEnd w:id="126"/>
      <w:bookmarkEnd w:id="127"/>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28" w:name="_Toc18249"/>
      <w:bookmarkStart w:id="129" w:name="_Toc2527"/>
      <w:bookmarkStart w:id="130" w:name="_Toc17560"/>
      <w:bookmarkStart w:id="131" w:name="_Toc18564"/>
      <w:bookmarkStart w:id="132" w:name="_Toc19761"/>
      <w:bookmarkStart w:id="133" w:name="_Toc25358"/>
      <w:bookmarkStart w:id="134" w:name="_Toc25800"/>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．监理服务期限</w:t>
      </w:r>
      <w:bookmarkEnd w:id="128"/>
      <w:bookmarkEnd w:id="129"/>
      <w:bookmarkEnd w:id="130"/>
      <w:bookmarkEnd w:id="131"/>
      <w:bookmarkEnd w:id="132"/>
      <w:bookmarkEnd w:id="133"/>
      <w:bookmarkEnd w:id="134"/>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35" w:name="_Toc25479"/>
      <w:bookmarkStart w:id="136" w:name="_Toc13950"/>
      <w:bookmarkStart w:id="137" w:name="_Toc13195"/>
      <w:bookmarkStart w:id="138" w:name="_Toc17664"/>
      <w:bookmarkStart w:id="139" w:name="_Toc6559"/>
      <w:bookmarkStart w:id="140" w:name="_Toc6532"/>
      <w:bookmarkStart w:id="141" w:name="_Toc23108"/>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．项目监理机构</w:t>
      </w:r>
      <w:bookmarkEnd w:id="135"/>
      <w:bookmarkEnd w:id="136"/>
      <w:bookmarkEnd w:id="137"/>
      <w:bookmarkEnd w:id="138"/>
      <w:bookmarkEnd w:id="139"/>
      <w:bookmarkEnd w:id="140"/>
      <w:bookmarkEnd w:id="141"/>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2" w:name="_Toc20861"/>
      <w:bookmarkStart w:id="143" w:name="_Toc19789"/>
      <w:bookmarkStart w:id="144" w:name="_Toc6056"/>
      <w:bookmarkStart w:id="145" w:name="_Toc20449"/>
      <w:bookmarkStart w:id="146" w:name="_Toc27412"/>
      <w:bookmarkStart w:id="147" w:name="_Toc16997"/>
      <w:bookmarkStart w:id="148" w:name="_Toc23097"/>
      <w:r>
        <w:rPr>
          <w:rFonts w:hint="eastAsia" w:hAnsi="宋体" w:cs="宋体"/>
          <w:b/>
          <w:snapToGrid w:val="0"/>
          <w:color w:val="auto"/>
          <w:kern w:val="0"/>
          <w:szCs w:val="24"/>
          <w:highlight w:val="none"/>
          <w:lang w:val="en-US" w:eastAsia="zh-CN"/>
        </w:rPr>
        <w:t>9</w:t>
      </w:r>
      <w:r>
        <w:rPr>
          <w:rFonts w:hint="eastAsia" w:hAnsi="宋体" w:cs="宋体"/>
          <w:b/>
          <w:snapToGrid w:val="0"/>
          <w:color w:val="auto"/>
          <w:kern w:val="0"/>
          <w:szCs w:val="24"/>
          <w:highlight w:val="none"/>
        </w:rPr>
        <w:t>．安全防护</w:t>
      </w:r>
      <w:bookmarkEnd w:id="142"/>
      <w:bookmarkEnd w:id="143"/>
      <w:bookmarkEnd w:id="144"/>
      <w:bookmarkEnd w:id="145"/>
      <w:bookmarkEnd w:id="146"/>
      <w:bookmarkEnd w:id="147"/>
      <w:bookmarkEnd w:id="148"/>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9" w:name="_Toc13413"/>
      <w:bookmarkStart w:id="150" w:name="_Toc14079"/>
      <w:bookmarkStart w:id="151" w:name="_Toc9618"/>
      <w:bookmarkStart w:id="152" w:name="_Toc17881"/>
      <w:bookmarkStart w:id="153" w:name="_Toc27428"/>
      <w:bookmarkStart w:id="154" w:name="_Toc16174"/>
      <w:bookmarkStart w:id="155" w:name="_Toc1181"/>
      <w:r>
        <w:rPr>
          <w:rFonts w:hint="eastAsia" w:hAnsi="宋体" w:cs="宋体"/>
          <w:b/>
          <w:snapToGrid w:val="0"/>
          <w:color w:val="auto"/>
          <w:kern w:val="0"/>
          <w:szCs w:val="24"/>
          <w:highlight w:val="none"/>
          <w:lang w:val="en-US" w:eastAsia="zh-CN"/>
        </w:rPr>
        <w:t>10</w:t>
      </w:r>
      <w:r>
        <w:rPr>
          <w:rFonts w:hint="eastAsia" w:hAnsi="宋体" w:cs="宋体"/>
          <w:b/>
          <w:snapToGrid w:val="0"/>
          <w:color w:val="auto"/>
          <w:kern w:val="0"/>
          <w:szCs w:val="24"/>
          <w:highlight w:val="none"/>
        </w:rPr>
        <w:t>．接受监督</w:t>
      </w:r>
      <w:bookmarkEnd w:id="149"/>
      <w:bookmarkEnd w:id="150"/>
      <w:bookmarkEnd w:id="151"/>
      <w:bookmarkEnd w:id="152"/>
      <w:bookmarkEnd w:id="153"/>
      <w:bookmarkEnd w:id="154"/>
      <w:bookmarkEnd w:id="155"/>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highlight w:val="none"/>
        </w:rPr>
      </w:pPr>
      <w:r>
        <w:rPr>
          <w:rFonts w:hint="eastAsia" w:hAnsi="宋体" w:cs="宋体"/>
          <w:snapToGrid w:val="0"/>
          <w:color w:val="auto"/>
          <w:kern w:val="0"/>
          <w:szCs w:val="24"/>
          <w:highlight w:val="none"/>
        </w:rPr>
        <w:t>监理人应严格按照法律、法规以及</w:t>
      </w:r>
      <w:r>
        <w:rPr>
          <w:rFonts w:hint="eastAsia" w:hAnsi="宋体" w:cs="宋体"/>
          <w:bCs/>
          <w:snapToGrid w:val="0"/>
          <w:color w:val="auto"/>
          <w:kern w:val="0"/>
          <w:szCs w:val="24"/>
          <w:highlight w:val="none"/>
        </w:rPr>
        <w:t>《建设工程监理规范》（GB/T 50319—2013）有关规定实施监理，同时须</w:t>
      </w:r>
      <w:r>
        <w:rPr>
          <w:rFonts w:hint="eastAsia" w:hAnsi="宋体" w:cs="宋体"/>
          <w:snapToGrid w:val="0"/>
          <w:color w:val="auto"/>
          <w:kern w:val="0"/>
          <w:szCs w:val="24"/>
          <w:highlight w:val="none"/>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highlight w:val="none"/>
        </w:rPr>
      </w:pPr>
      <w:bookmarkStart w:id="156" w:name="_Toc24102"/>
      <w:bookmarkStart w:id="157" w:name="_Toc737"/>
      <w:bookmarkStart w:id="158" w:name="_Toc25424"/>
      <w:bookmarkStart w:id="159" w:name="_Toc4730"/>
      <w:bookmarkStart w:id="160" w:name="_Toc18397"/>
      <w:bookmarkStart w:id="161" w:name="_Toc26662"/>
      <w:bookmarkStart w:id="162" w:name="_Toc14327"/>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1</w:t>
      </w:r>
      <w:r>
        <w:rPr>
          <w:rFonts w:hint="eastAsia" w:hAnsi="宋体" w:cs="宋体"/>
          <w:b/>
          <w:snapToGrid w:val="0"/>
          <w:color w:val="auto"/>
          <w:kern w:val="0"/>
          <w:szCs w:val="24"/>
          <w:highlight w:val="none"/>
        </w:rPr>
        <w:t>．监理档案移交</w:t>
      </w:r>
      <w:bookmarkEnd w:id="156"/>
      <w:bookmarkEnd w:id="157"/>
      <w:bookmarkEnd w:id="158"/>
      <w:bookmarkEnd w:id="159"/>
      <w:bookmarkEnd w:id="160"/>
      <w:bookmarkEnd w:id="161"/>
      <w:bookmarkEnd w:id="162"/>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项目竣工验收后，监理人应向委托人提交一式</w:t>
      </w:r>
      <w:r>
        <w:rPr>
          <w:rFonts w:hint="eastAsia" w:hAnsi="宋体" w:cs="宋体"/>
          <w:bCs/>
          <w:snapToGrid w:val="0"/>
          <w:color w:val="auto"/>
          <w:kern w:val="0"/>
          <w:szCs w:val="24"/>
          <w:highlight w:val="none"/>
          <w:u w:val="single"/>
        </w:rPr>
        <w:t xml:space="preserve"> 五 </w:t>
      </w:r>
      <w:r>
        <w:rPr>
          <w:rFonts w:hint="eastAsia" w:hAnsi="宋体" w:cs="宋体"/>
          <w:bCs/>
          <w:snapToGrid w:val="0"/>
          <w:color w:val="auto"/>
          <w:kern w:val="0"/>
          <w:szCs w:val="24"/>
          <w:highlight w:val="none"/>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highlight w:val="none"/>
        </w:rPr>
      </w:pPr>
      <w:bookmarkStart w:id="163" w:name="_Toc16612"/>
      <w:bookmarkStart w:id="164" w:name="_Toc32477"/>
      <w:bookmarkStart w:id="165" w:name="_Toc24329"/>
      <w:bookmarkStart w:id="166" w:name="_Toc13197"/>
      <w:bookmarkStart w:id="167" w:name="_Toc19314"/>
      <w:bookmarkStart w:id="168" w:name="_Toc6629"/>
      <w:bookmarkStart w:id="169" w:name="_Toc2540"/>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2</w:t>
      </w:r>
      <w:r>
        <w:rPr>
          <w:rFonts w:hint="eastAsia" w:hAnsi="宋体" w:cs="宋体"/>
          <w:b/>
          <w:snapToGrid w:val="0"/>
          <w:color w:val="auto"/>
          <w:kern w:val="0"/>
          <w:szCs w:val="24"/>
          <w:highlight w:val="none"/>
        </w:rPr>
        <w:t>．不良行为处理</w:t>
      </w:r>
      <w:bookmarkEnd w:id="163"/>
      <w:bookmarkEnd w:id="164"/>
      <w:bookmarkEnd w:id="165"/>
      <w:bookmarkEnd w:id="166"/>
      <w:bookmarkEnd w:id="167"/>
      <w:bookmarkEnd w:id="168"/>
      <w:bookmarkEnd w:id="169"/>
    </w:p>
    <w:p w14:paraId="04C55AB1">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监理人及其有关人员有下列行为之一的，委托人应及时报请建设行政主管部门查处。</w:t>
      </w:r>
    </w:p>
    <w:p w14:paraId="004FF11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（1）转让监理业务的；</w:t>
      </w:r>
    </w:p>
    <w:p w14:paraId="3812AF6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（2）非原参加投标中标的总监理工程师负责组织监理或在实施过程中擅自更换总监理工程师的、项目监理机构的其他监理人员与中标文件确定的人员不相符的；</w:t>
      </w:r>
    </w:p>
    <w:p w14:paraId="4A3AB02B">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（3）与建设单位、施工单位串通，签认虚假工程量或工程造价的；</w:t>
      </w:r>
    </w:p>
    <w:p w14:paraId="232AE11F">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（4）现场监理不到位的；</w:t>
      </w:r>
    </w:p>
    <w:p w14:paraId="4D39599F">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（5）非本人资格证书注册单位从事监理工作的；</w:t>
      </w:r>
    </w:p>
    <w:p w14:paraId="6B6840EA">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（6）总监理工程师承担超过三项工程监理任务的；</w:t>
      </w:r>
    </w:p>
    <w:p w14:paraId="0F7A5E7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（7）违反有关法律、法规、规章规定的其它行为。</w:t>
      </w:r>
    </w:p>
    <w:p w14:paraId="3D1008B4">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highlight w:val="none"/>
        </w:rPr>
      </w:pPr>
      <w:bookmarkStart w:id="170" w:name="_Toc15431"/>
      <w:bookmarkStart w:id="171" w:name="_Toc2784"/>
      <w:bookmarkStart w:id="172" w:name="_Toc15923"/>
      <w:bookmarkStart w:id="173" w:name="_Toc28837"/>
      <w:bookmarkStart w:id="174" w:name="_Toc29467"/>
      <w:bookmarkStart w:id="175" w:name="_Toc5618"/>
      <w:bookmarkStart w:id="176" w:name="_Toc17537"/>
      <w:r>
        <w:rPr>
          <w:rFonts w:hint="eastAsia" w:ascii="宋体" w:hAnsi="宋体" w:cs="宋体"/>
          <w:b/>
          <w:bCs/>
          <w:snapToGrid w:val="0"/>
          <w:color w:val="auto"/>
          <w:kern w:val="0"/>
          <w:szCs w:val="24"/>
          <w:highlight w:val="none"/>
        </w:rPr>
        <w:t>1</w:t>
      </w:r>
      <w:r>
        <w:rPr>
          <w:rFonts w:hint="eastAsia" w:ascii="宋体" w:hAnsi="宋体" w:cs="宋体"/>
          <w:b/>
          <w:bCs/>
          <w:snapToGrid w:val="0"/>
          <w:color w:val="auto"/>
          <w:kern w:val="0"/>
          <w:szCs w:val="24"/>
          <w:highlight w:val="none"/>
          <w:lang w:val="en-US" w:eastAsia="zh-CN"/>
        </w:rPr>
        <w:t>3</w:t>
      </w:r>
      <w:r>
        <w:rPr>
          <w:rFonts w:hint="eastAsia" w:ascii="宋体" w:hAnsi="宋体" w:cs="宋体"/>
          <w:b/>
          <w:snapToGrid w:val="0"/>
          <w:color w:val="auto"/>
          <w:kern w:val="0"/>
          <w:szCs w:val="24"/>
          <w:highlight w:val="none"/>
        </w:rPr>
        <w:t>．</w:t>
      </w:r>
      <w:r>
        <w:rPr>
          <w:rFonts w:hint="eastAsia" w:ascii="宋体" w:hAnsi="宋体" w:cs="宋体"/>
          <w:b/>
          <w:bCs/>
          <w:snapToGrid w:val="0"/>
          <w:color w:val="auto"/>
          <w:kern w:val="0"/>
          <w:szCs w:val="24"/>
          <w:highlight w:val="none"/>
        </w:rPr>
        <w:t>信用评价条款内容</w:t>
      </w:r>
      <w:bookmarkEnd w:id="170"/>
      <w:bookmarkEnd w:id="171"/>
      <w:bookmarkEnd w:id="172"/>
      <w:bookmarkEnd w:id="173"/>
      <w:bookmarkEnd w:id="174"/>
      <w:bookmarkEnd w:id="175"/>
      <w:bookmarkEnd w:id="176"/>
    </w:p>
    <w:p w14:paraId="418B847A">
      <w:pPr>
        <w:pStyle w:val="82"/>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2"/>
        <w:wordWrap w:val="0"/>
        <w:adjustRightInd w:val="0"/>
        <w:snapToGrid w:val="0"/>
        <w:spacing w:line="440" w:lineRule="exact"/>
        <w:ind w:firstLine="560"/>
        <w:rPr>
          <w:rFonts w:hAnsi="宋体" w:cs="宋体"/>
          <w:b/>
          <w:bCs/>
          <w:snapToGrid w:val="0"/>
          <w:color w:val="auto"/>
          <w:kern w:val="0"/>
          <w:highlight w:val="none"/>
        </w:rPr>
      </w:pPr>
    </w:p>
    <w:p w14:paraId="6E146C71">
      <w:pPr>
        <w:pStyle w:val="82"/>
        <w:wordWrap w:val="0"/>
        <w:adjustRightInd w:val="0"/>
        <w:snapToGrid w:val="0"/>
        <w:spacing w:line="440" w:lineRule="exact"/>
        <w:ind w:firstLine="560"/>
        <w:rPr>
          <w:rFonts w:hAnsi="宋体" w:cs="宋体"/>
          <w:b/>
          <w:bCs/>
          <w:snapToGrid w:val="0"/>
          <w:color w:val="auto"/>
          <w:kern w:val="0"/>
          <w:highlight w:val="none"/>
        </w:rPr>
      </w:pPr>
    </w:p>
    <w:p w14:paraId="40581986">
      <w:pPr>
        <w:pStyle w:val="82"/>
        <w:wordWrap w:val="0"/>
        <w:adjustRightInd w:val="0"/>
        <w:snapToGrid w:val="0"/>
        <w:spacing w:line="440" w:lineRule="exact"/>
        <w:ind w:firstLine="560"/>
        <w:rPr>
          <w:rFonts w:hAnsi="宋体" w:cs="宋体"/>
          <w:b/>
          <w:bCs/>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4B26AC6B">
      <w:pPr>
        <w:pStyle w:val="2"/>
        <w:wordWrap w:val="0"/>
        <w:autoSpaceDE/>
        <w:autoSpaceDN/>
        <w:snapToGrid w:val="0"/>
        <w:spacing w:line="500" w:lineRule="exact"/>
        <w:jc w:val="center"/>
        <w:outlineLvl w:val="0"/>
        <w:rPr>
          <w:rFonts w:hAnsi="宋体" w:cs="宋体"/>
          <w:b/>
          <w:snapToGrid w:val="0"/>
          <w:color w:val="auto"/>
          <w:sz w:val="32"/>
          <w:szCs w:val="32"/>
          <w:highlight w:val="none"/>
        </w:rPr>
      </w:pPr>
      <w:bookmarkStart w:id="177" w:name="_Toc29099"/>
      <w:bookmarkStart w:id="178" w:name="_Toc29124"/>
      <w:bookmarkStart w:id="179" w:name="_Hlt69698713"/>
      <w:bookmarkStart w:id="180" w:name="_Hlt69698765"/>
      <w:bookmarkStart w:id="181" w:name="_Hlt69698776"/>
      <w:r>
        <w:rPr>
          <w:rFonts w:hint="eastAsia" w:hAnsi="宋体" w:cs="宋体"/>
          <w:b/>
          <w:snapToGrid w:val="0"/>
          <w:color w:val="auto"/>
          <w:sz w:val="32"/>
          <w:szCs w:val="32"/>
          <w:highlight w:val="none"/>
        </w:rPr>
        <w:t>第三章</w:t>
      </w:r>
      <w:bookmarkStart w:id="182" w:name="_Hlt87793831"/>
      <w:bookmarkEnd w:id="182"/>
      <w:r>
        <w:rPr>
          <w:rFonts w:hint="eastAsia" w:hAnsi="宋体" w:cs="宋体"/>
          <w:b/>
          <w:snapToGrid w:val="0"/>
          <w:color w:val="auto"/>
          <w:sz w:val="32"/>
          <w:szCs w:val="32"/>
          <w:highlight w:val="none"/>
        </w:rPr>
        <w:t xml:space="preserve"> 拟签订合同的主要条款</w:t>
      </w:r>
      <w:bookmarkEnd w:id="177"/>
      <w:bookmarkEnd w:id="178"/>
    </w:p>
    <w:bookmarkEnd w:id="179"/>
    <w:bookmarkEnd w:id="180"/>
    <w:p w14:paraId="6A4F7FF4">
      <w:pPr>
        <w:bidi w:val="0"/>
        <w:rPr>
          <w:color w:val="auto"/>
          <w:highlight w:val="none"/>
        </w:rPr>
      </w:pPr>
      <w:bookmarkStart w:id="183" w:name="_Toc326916629"/>
      <w:bookmarkStart w:id="184" w:name="_Toc322793288"/>
    </w:p>
    <w:bookmarkEnd w:id="183"/>
    <w:bookmarkEnd w:id="184"/>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85" w:name="_Toc29838"/>
      <w:bookmarkStart w:id="186" w:name="_Toc11616"/>
      <w:bookmarkStart w:id="187" w:name="_Toc4588"/>
      <w:bookmarkStart w:id="188" w:name="_Toc1947"/>
      <w:bookmarkStart w:id="189" w:name="_Toc6392"/>
      <w:bookmarkStart w:id="190" w:name="_Toc3741"/>
      <w:bookmarkStart w:id="191" w:name="_Toc12203"/>
      <w:r>
        <w:rPr>
          <w:rFonts w:hint="eastAsia" w:hAnsi="宋体" w:cs="宋体"/>
          <w:b/>
          <w:bCs/>
          <w:snapToGrid w:val="0"/>
          <w:color w:val="auto"/>
          <w:kern w:val="0"/>
          <w:szCs w:val="24"/>
          <w:highlight w:val="none"/>
        </w:rPr>
        <w:t>1．现场办公条件</w:t>
      </w:r>
      <w:bookmarkEnd w:id="185"/>
      <w:bookmarkEnd w:id="186"/>
      <w:bookmarkEnd w:id="187"/>
      <w:bookmarkEnd w:id="188"/>
      <w:bookmarkEnd w:id="189"/>
      <w:bookmarkEnd w:id="190"/>
      <w:bookmarkEnd w:id="191"/>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1.1</w:t>
      </w:r>
      <w:r>
        <w:rPr>
          <w:rFonts w:hint="eastAsia" w:hAnsi="宋体" w:cs="宋体"/>
          <w:snapToGrid w:val="0"/>
          <w:color w:val="auto"/>
          <w:kern w:val="0"/>
          <w:szCs w:val="24"/>
          <w:highlight w:val="none"/>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1.2</w:t>
      </w:r>
      <w:r>
        <w:rPr>
          <w:rFonts w:hint="eastAsia" w:hAnsi="宋体" w:cs="宋体"/>
          <w:snapToGrid w:val="0"/>
          <w:color w:val="auto"/>
          <w:kern w:val="0"/>
          <w:szCs w:val="24"/>
          <w:highlight w:val="none"/>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w:t>
      </w:r>
      <w:r>
        <w:rPr>
          <w:rFonts w:hint="eastAsia" w:hAnsi="宋体" w:cs="宋体"/>
          <w:snapToGrid w:val="0"/>
          <w:color w:val="auto"/>
          <w:kern w:val="0"/>
          <w:szCs w:val="24"/>
          <w:highlight w:val="none"/>
          <w:u w:val="single"/>
        </w:rPr>
        <w:t xml:space="preserve"> 打卡 / 指纹识别 / 人脸识别 / 虹膜识别 </w:t>
      </w:r>
      <w:r>
        <w:rPr>
          <w:rFonts w:hint="eastAsia" w:hAnsi="宋体" w:cs="宋体"/>
          <w:snapToGrid w:val="0"/>
          <w:color w:val="auto"/>
          <w:kern w:val="0"/>
          <w:szCs w:val="24"/>
          <w:highlight w:val="none"/>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92" w:name="_Toc14419"/>
      <w:bookmarkStart w:id="193" w:name="_Toc6311"/>
      <w:bookmarkStart w:id="194" w:name="_Toc29914"/>
      <w:bookmarkStart w:id="195" w:name="_Toc8261"/>
      <w:bookmarkStart w:id="196" w:name="_Toc15844"/>
      <w:bookmarkStart w:id="197" w:name="_Toc6193"/>
      <w:bookmarkStart w:id="198" w:name="_Toc32029"/>
      <w:r>
        <w:rPr>
          <w:rFonts w:hint="eastAsia" w:hAnsi="宋体" w:cs="宋体"/>
          <w:b/>
          <w:bCs/>
          <w:snapToGrid w:val="0"/>
          <w:color w:val="auto"/>
          <w:kern w:val="0"/>
          <w:szCs w:val="24"/>
          <w:highlight w:val="none"/>
        </w:rPr>
        <w:t>2．</w:t>
      </w:r>
      <w:bookmarkEnd w:id="192"/>
      <w:bookmarkEnd w:id="193"/>
      <w:bookmarkEnd w:id="194"/>
      <w:bookmarkEnd w:id="195"/>
      <w:bookmarkEnd w:id="196"/>
      <w:r>
        <w:rPr>
          <w:rFonts w:hint="eastAsia" w:hAnsi="宋体" w:cs="宋体"/>
          <w:b/>
          <w:bCs/>
          <w:snapToGrid w:val="0"/>
          <w:color w:val="auto"/>
          <w:kern w:val="0"/>
          <w:szCs w:val="24"/>
          <w:highlight w:val="none"/>
        </w:rPr>
        <w:t>监理服务费</w:t>
      </w:r>
      <w:bookmarkEnd w:id="197"/>
      <w:bookmarkEnd w:id="198"/>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2.1</w:t>
      </w:r>
      <w:r>
        <w:rPr>
          <w:rFonts w:hint="eastAsia" w:hAnsi="宋体" w:cs="宋体"/>
          <w:snapToGrid w:val="0"/>
          <w:color w:val="auto"/>
          <w:kern w:val="0"/>
          <w:szCs w:val="24"/>
          <w:highlight w:val="none"/>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2.2 监理服务费结算原则：</w:t>
      </w:r>
    </w:p>
    <w:p w14:paraId="7622FDA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bookmarkStart w:id="199" w:name="_Toc17740"/>
      <w:bookmarkStart w:id="200" w:name="_Toc6502"/>
      <w:bookmarkStart w:id="201" w:name="_Toc31657"/>
      <w:bookmarkStart w:id="202" w:name="_Toc31653"/>
      <w:bookmarkStart w:id="203" w:name="_Toc18979"/>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lang w:eastAsia="zh-CN"/>
        </w:rPr>
        <w:t>）</w:t>
      </w:r>
      <w:r>
        <w:rPr>
          <w:rFonts w:hint="eastAsia" w:ascii="宋体" w:hAnsi="宋体" w:eastAsia="宋体" w:cs="宋体"/>
          <w:snapToGrid w:val="0"/>
          <w:color w:val="auto"/>
          <w:kern w:val="0"/>
          <w:szCs w:val="24"/>
          <w:highlight w:val="none"/>
        </w:rPr>
        <w:t>监理服务费结算价在项目的合同价范围内按实结算，即：以施工财审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4B7C73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（2）项目建设期间，即使出现缓建或停建事件导致监理工期延长，不另增加监理服务费。</w:t>
      </w:r>
    </w:p>
    <w:p w14:paraId="17FC59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（3）因工程规模、监理范围的变化导致监理人的正常工作量减少时，按减少工作量的比例从协议书约定的正常工作酬金中扣减相同比例的酬金。</w:t>
      </w:r>
    </w:p>
    <w:p w14:paraId="3CA2619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2.3 监理服务费的支付：</w:t>
      </w:r>
    </w:p>
    <w:p w14:paraId="3AC46A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hAnsi="宋体" w:cs="宋体"/>
          <w:snapToGrid w:val="0"/>
          <w:color w:val="auto"/>
          <w:kern w:val="0"/>
          <w:szCs w:val="24"/>
          <w:highlight w:val="none"/>
          <w:lang w:val="en-US" w:eastAsia="zh-CN"/>
        </w:rPr>
        <w:t>2.3.1</w:t>
      </w:r>
      <w:r>
        <w:rPr>
          <w:rFonts w:hint="eastAsia" w:ascii="宋体" w:hAnsi="宋体" w:eastAsia="宋体" w:cs="宋体"/>
          <w:snapToGrid w:val="0"/>
          <w:color w:val="auto"/>
          <w:kern w:val="0"/>
          <w:szCs w:val="24"/>
          <w:highlight w:val="none"/>
        </w:rPr>
        <w:t>本项目</w:t>
      </w:r>
      <w:r>
        <w:rPr>
          <w:rFonts w:hint="eastAsia" w:hAnsi="宋体" w:cs="宋体"/>
          <w:snapToGrid w:val="0"/>
          <w:color w:val="auto"/>
          <w:kern w:val="0"/>
          <w:szCs w:val="24"/>
          <w:highlight w:val="none"/>
          <w:u w:val="single"/>
          <w:lang w:val="en-US" w:eastAsia="zh-CN"/>
        </w:rPr>
        <w:t xml:space="preserve"> 不</w:t>
      </w:r>
      <w:r>
        <w:rPr>
          <w:rFonts w:hint="eastAsia" w:ascii="宋体" w:hAnsi="宋体" w:eastAsia="宋体" w:cs="宋体"/>
          <w:snapToGrid w:val="0"/>
          <w:color w:val="auto"/>
          <w:kern w:val="0"/>
          <w:szCs w:val="24"/>
          <w:highlight w:val="none"/>
          <w:u w:val="single"/>
        </w:rPr>
        <w:t>支付</w:t>
      </w:r>
      <w:r>
        <w:rPr>
          <w:rFonts w:hint="eastAsia" w:hAnsi="宋体" w:cs="宋体"/>
          <w:snapToGrid w:val="0"/>
          <w:color w:val="auto"/>
          <w:kern w:val="0"/>
          <w:szCs w:val="24"/>
          <w:highlight w:val="none"/>
          <w:u w:val="single"/>
          <w:lang w:val="en-US" w:eastAsia="zh-CN"/>
        </w:rPr>
        <w:t xml:space="preserve"> </w:t>
      </w:r>
      <w:r>
        <w:rPr>
          <w:rFonts w:hint="eastAsia" w:ascii="宋体" w:hAnsi="宋体" w:eastAsia="宋体" w:cs="宋体"/>
          <w:snapToGrid w:val="0"/>
          <w:color w:val="auto"/>
          <w:kern w:val="0"/>
          <w:szCs w:val="24"/>
          <w:highlight w:val="none"/>
        </w:rPr>
        <w:t>监理服务费预付款；</w:t>
      </w:r>
    </w:p>
    <w:p w14:paraId="646B8831">
      <w:pPr>
        <w:wordWrap w:val="0"/>
        <w:adjustRightInd w:val="0"/>
        <w:snapToGrid w:val="0"/>
        <w:spacing w:line="440" w:lineRule="exact"/>
        <w:ind w:firstLine="480" w:firstLineChars="200"/>
        <w:rPr>
          <w:rFonts w:hint="eastAsia" w:ascii="Times New Roman"/>
          <w:snapToGrid w:val="0"/>
          <w:color w:val="000000"/>
          <w:kern w:val="0"/>
          <w:highlight w:val="none"/>
        </w:rPr>
      </w:pPr>
      <w:r>
        <w:rPr>
          <w:rFonts w:hint="eastAsia" w:hAnsi="宋体" w:cs="宋体"/>
          <w:snapToGrid w:val="0"/>
          <w:color w:val="auto"/>
          <w:kern w:val="0"/>
          <w:szCs w:val="24"/>
          <w:highlight w:val="none"/>
          <w:lang w:val="en-US" w:eastAsia="zh-CN"/>
        </w:rPr>
        <w:t>2.3.2</w:t>
      </w:r>
      <w:bookmarkStart w:id="204" w:name="_Toc30108"/>
      <w:bookmarkStart w:id="205" w:name="_Toc12074"/>
      <w:r>
        <w:rPr>
          <w:rFonts w:hint="eastAsia" w:ascii="Times New Roman"/>
          <w:snapToGrid w:val="0"/>
          <w:color w:val="000000"/>
          <w:kern w:val="0"/>
          <w:highlight w:val="none"/>
        </w:rPr>
        <w:t>本项目施工阶段按月分期支付监理服务费；具体分期支付方式如下：</w:t>
      </w:r>
    </w:p>
    <w:p w14:paraId="5F69ED0D">
      <w:pPr>
        <w:wordWrap w:val="0"/>
        <w:adjustRightInd w:val="0"/>
        <w:snapToGrid w:val="0"/>
        <w:spacing w:line="440" w:lineRule="exact"/>
        <w:ind w:firstLine="480" w:firstLineChars="200"/>
        <w:rPr>
          <w:rFonts w:hint="eastAsia" w:ascii="Times New Roman"/>
          <w:snapToGrid w:val="0"/>
          <w:color w:val="000000"/>
          <w:kern w:val="0"/>
          <w:highlight w:val="none"/>
        </w:rPr>
      </w:pPr>
      <w:r>
        <w:rPr>
          <w:rFonts w:hint="eastAsia" w:ascii="Times New Roman"/>
          <w:snapToGrid w:val="0"/>
          <w:color w:val="000000"/>
          <w:kern w:val="0"/>
          <w:highlight w:val="none"/>
        </w:rPr>
        <w:t>每月监理服务费=经审核的每月实际所有专业施工完成投资额×监理人中标费率×80%；施工过程中累计支付的监理服务费不得超过监理服务费合同价款的80%。</w:t>
      </w:r>
    </w:p>
    <w:p w14:paraId="02AD6776">
      <w:pPr>
        <w:wordWrap w:val="0"/>
        <w:adjustRightInd w:val="0"/>
        <w:snapToGrid w:val="0"/>
        <w:spacing w:line="440" w:lineRule="exact"/>
        <w:ind w:firstLine="480" w:firstLineChars="200"/>
        <w:rPr>
          <w:rFonts w:hint="eastAsia" w:ascii="Times New Roman"/>
          <w:snapToGrid w:val="0"/>
          <w:color w:val="000000"/>
          <w:kern w:val="0"/>
          <w:highlight w:val="none"/>
        </w:rPr>
      </w:pPr>
      <w:r>
        <w:rPr>
          <w:rFonts w:hint="eastAsia" w:ascii="Times New Roman"/>
          <w:snapToGrid w:val="0"/>
          <w:color w:val="000000"/>
          <w:kern w:val="0"/>
          <w:highlight w:val="none"/>
          <w:lang w:val="en-US" w:eastAsia="zh-CN"/>
        </w:rPr>
        <w:t>2.3.3</w:t>
      </w:r>
      <w:r>
        <w:rPr>
          <w:rFonts w:hint="eastAsia" w:ascii="Times New Roman"/>
          <w:snapToGrid w:val="0"/>
          <w:color w:val="000000"/>
          <w:kern w:val="0"/>
          <w:highlight w:val="none"/>
        </w:rPr>
        <w:t>工程竣工验收合格后，委托人于次月向监理人支付至监理服务费结算价的</w:t>
      </w:r>
      <w:r>
        <w:rPr>
          <w:rFonts w:hint="eastAsia" w:ascii="Times New Roman"/>
          <w:snapToGrid w:val="0"/>
          <w:color w:val="000000"/>
          <w:kern w:val="0"/>
          <w:highlight w:val="none"/>
          <w:lang w:val="en-US" w:eastAsia="zh-CN"/>
        </w:rPr>
        <w:t>97</w:t>
      </w:r>
      <w:r>
        <w:rPr>
          <w:rFonts w:hint="eastAsia" w:ascii="Times New Roman"/>
          <w:snapToGrid w:val="0"/>
          <w:color w:val="000000"/>
          <w:kern w:val="0"/>
          <w:highlight w:val="none"/>
        </w:rPr>
        <w:t>%。</w:t>
      </w:r>
    </w:p>
    <w:p w14:paraId="051C7CF4">
      <w:pPr>
        <w:wordWrap w:val="0"/>
        <w:adjustRightInd w:val="0"/>
        <w:snapToGrid w:val="0"/>
        <w:spacing w:line="440" w:lineRule="exact"/>
        <w:ind w:firstLine="480" w:firstLineChars="200"/>
        <w:rPr>
          <w:rFonts w:hint="default" w:ascii="Times New Roman" w:eastAsia="宋体"/>
          <w:snapToGrid w:val="0"/>
          <w:color w:val="000000"/>
          <w:kern w:val="0"/>
          <w:highlight w:val="none"/>
          <w:lang w:val="en-US" w:eastAsia="zh-CN"/>
        </w:rPr>
      </w:pPr>
      <w:r>
        <w:rPr>
          <w:rFonts w:hint="eastAsia" w:ascii="Times New Roman"/>
          <w:snapToGrid w:val="0"/>
          <w:color w:val="000000"/>
          <w:kern w:val="0"/>
          <w:highlight w:val="none"/>
          <w:lang w:val="en-US" w:eastAsia="zh-CN"/>
        </w:rPr>
        <w:t>2.3.4</w:t>
      </w:r>
      <w:r>
        <w:rPr>
          <w:rFonts w:hint="eastAsia" w:ascii="Times New Roman"/>
          <w:snapToGrid w:val="0"/>
          <w:color w:val="auto"/>
          <w:kern w:val="0"/>
          <w:highlight w:val="none"/>
        </w:rPr>
        <w:t>其余3%款项留作保修期服务保证金（保证的形式包括保证金、保证担保、保证保险三种，由中标人自主选择）。该款项自工程交（竣）工验收合格之日起一年期满后 14 天内结合质量保修阶段服务情况结清（不计利息）。</w:t>
      </w:r>
    </w:p>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3．监理服务费发票</w:t>
      </w:r>
      <w:bookmarkEnd w:id="199"/>
      <w:bookmarkEnd w:id="200"/>
      <w:bookmarkEnd w:id="201"/>
      <w:bookmarkEnd w:id="202"/>
      <w:bookmarkEnd w:id="203"/>
      <w:bookmarkEnd w:id="204"/>
      <w:bookmarkEnd w:id="205"/>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委托人每次支付监理服务费前，监理人均应提供有效的增值税</w:t>
      </w:r>
      <w:r>
        <w:rPr>
          <w:rFonts w:hint="eastAsia" w:hAnsi="宋体" w:cs="宋体"/>
          <w:snapToGrid w:val="0"/>
          <w:color w:val="auto"/>
          <w:kern w:val="0"/>
          <w:szCs w:val="24"/>
          <w:highlight w:val="none"/>
          <w:u w:val="single"/>
        </w:rPr>
        <w:t xml:space="preserve"> 普通 </w:t>
      </w:r>
      <w:r>
        <w:rPr>
          <w:rFonts w:hint="eastAsia" w:hAnsi="宋体" w:cs="宋体"/>
          <w:snapToGrid w:val="0"/>
          <w:color w:val="auto"/>
          <w:kern w:val="0"/>
          <w:szCs w:val="24"/>
          <w:highlight w:val="none"/>
        </w:rPr>
        <w:t xml:space="preserve">发票。如果监理人无法提供符合要求的监理服务费发票，由此造成的相应损失由监理人承担。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06" w:name="_Toc22603"/>
      <w:bookmarkStart w:id="207" w:name="_Toc25406"/>
      <w:bookmarkStart w:id="208" w:name="_Toc30294"/>
      <w:bookmarkStart w:id="209" w:name="_Toc18127"/>
      <w:bookmarkStart w:id="210" w:name="_Toc2147"/>
      <w:bookmarkStart w:id="211" w:name="_Toc32105"/>
      <w:bookmarkStart w:id="212" w:name="_Toc7557"/>
      <w:r>
        <w:rPr>
          <w:rFonts w:hint="eastAsia" w:hAnsi="宋体" w:cs="宋体"/>
          <w:b/>
          <w:bCs/>
          <w:snapToGrid w:val="0"/>
          <w:color w:val="auto"/>
          <w:kern w:val="0"/>
          <w:szCs w:val="24"/>
          <w:highlight w:val="none"/>
        </w:rPr>
        <w:t>4．违约责任</w:t>
      </w:r>
      <w:bookmarkEnd w:id="206"/>
      <w:bookmarkEnd w:id="207"/>
      <w:bookmarkEnd w:id="208"/>
      <w:bookmarkEnd w:id="209"/>
      <w:bookmarkEnd w:id="210"/>
      <w:bookmarkEnd w:id="211"/>
      <w:bookmarkEnd w:id="212"/>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w:t>
      </w:r>
      <w:r>
        <w:rPr>
          <w:rFonts w:hint="eastAsia" w:ascii="Times New Roman"/>
          <w:snapToGrid w:val="0"/>
          <w:color w:val="auto"/>
          <w:kern w:val="0"/>
          <w:highlight w:val="none"/>
          <w:lang w:val="en-US" w:eastAsia="zh-CN"/>
        </w:rPr>
        <w:t>3</w:t>
      </w:r>
      <w:r>
        <w:rPr>
          <w:rFonts w:hint="eastAsia" w:ascii="Times New Roman"/>
          <w:snapToGrid w:val="0"/>
          <w:color w:val="auto"/>
          <w:kern w:val="0"/>
          <w:highlight w:val="none"/>
        </w:rPr>
        <w:t>%作为违约金。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4CA087E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highlight w:val="none"/>
          <w:lang w:val="en-US" w:eastAsia="zh-CN"/>
        </w:rPr>
        <w:t>项目总监理工程师或项目总监理工程师代表每月驻现场不少于28 天，未经招标人书面同意，每少1天，视为监理人发生监理不良行为一次，承担般违约责任一次，监理人向委托人交纳违约金200元。</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13" w:name="_Toc26193"/>
      <w:bookmarkStart w:id="214" w:name="_Toc29596"/>
      <w:bookmarkStart w:id="215" w:name="_Toc8823"/>
      <w:bookmarkStart w:id="216" w:name="_Toc17944"/>
      <w:bookmarkStart w:id="217" w:name="_Toc27702"/>
      <w:bookmarkStart w:id="218" w:name="_Toc3987"/>
      <w:bookmarkStart w:id="219" w:name="_Toc8777"/>
      <w:r>
        <w:rPr>
          <w:rFonts w:hint="eastAsia" w:hAnsi="宋体" w:cs="宋体"/>
          <w:b/>
          <w:bCs/>
          <w:snapToGrid w:val="0"/>
          <w:color w:val="auto"/>
          <w:kern w:val="0"/>
          <w:szCs w:val="24"/>
          <w:highlight w:val="none"/>
        </w:rPr>
        <w:t>5．</w:t>
      </w:r>
      <w:r>
        <w:rPr>
          <w:rFonts w:hint="eastAsia" w:hAnsi="宋体" w:cs="宋体"/>
          <w:b/>
          <w:bCs/>
          <w:snapToGrid w:val="0"/>
          <w:color w:val="auto"/>
          <w:kern w:val="0"/>
          <w:szCs w:val="24"/>
          <w:highlight w:val="none"/>
          <w:lang w:val="en-US" w:eastAsia="zh-CN"/>
        </w:rPr>
        <w:t>监理服务费的</w:t>
      </w:r>
      <w:r>
        <w:rPr>
          <w:rFonts w:hint="eastAsia" w:hAnsi="宋体" w:cs="宋体"/>
          <w:b/>
          <w:bCs/>
          <w:snapToGrid w:val="0"/>
          <w:color w:val="auto"/>
          <w:kern w:val="0"/>
          <w:szCs w:val="24"/>
          <w:highlight w:val="none"/>
        </w:rPr>
        <w:t>支付</w:t>
      </w:r>
      <w:bookmarkEnd w:id="213"/>
      <w:bookmarkEnd w:id="214"/>
      <w:bookmarkEnd w:id="215"/>
      <w:bookmarkEnd w:id="216"/>
      <w:bookmarkEnd w:id="217"/>
      <w:bookmarkEnd w:id="218"/>
      <w:bookmarkEnd w:id="219"/>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highlight w:val="none"/>
        </w:rPr>
      </w:pPr>
      <w:bookmarkStart w:id="220" w:name="_Toc624"/>
      <w:bookmarkStart w:id="221" w:name="_Toc26599"/>
      <w:bookmarkStart w:id="222" w:name="_Toc9024"/>
      <w:bookmarkStart w:id="223" w:name="_Toc13619"/>
      <w:r>
        <w:rPr>
          <w:rFonts w:hint="eastAsia" w:hAnsi="宋体" w:cs="宋体"/>
          <w:b/>
          <w:bCs/>
          <w:snapToGrid w:val="0"/>
          <w:color w:val="auto"/>
          <w:kern w:val="0"/>
          <w:szCs w:val="24"/>
          <w:highlight w:val="none"/>
        </w:rPr>
        <w:t>5.1</w:t>
      </w:r>
      <w:r>
        <w:rPr>
          <w:rFonts w:hint="eastAsia" w:hAnsi="宋体" w:cs="宋体"/>
          <w:snapToGrid w:val="0"/>
          <w:color w:val="auto"/>
          <w:kern w:val="0"/>
          <w:szCs w:val="24"/>
          <w:highlight w:val="none"/>
        </w:rPr>
        <w:t xml:space="preserve"> 支付货币</w:t>
      </w:r>
      <w:bookmarkEnd w:id="220"/>
      <w:bookmarkEnd w:id="221"/>
      <w:bookmarkEnd w:id="222"/>
      <w:bookmarkEnd w:id="223"/>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24" w:name="_Toc7275"/>
      <w:bookmarkStart w:id="225" w:name="_Toc22466"/>
      <w:bookmarkStart w:id="226" w:name="_Toc3949"/>
      <w:bookmarkStart w:id="227" w:name="_Toc10949"/>
      <w:r>
        <w:rPr>
          <w:rFonts w:hint="eastAsia" w:hAnsi="宋体" w:cs="宋体"/>
          <w:b/>
          <w:bCs/>
          <w:snapToGrid w:val="0"/>
          <w:color w:val="auto"/>
          <w:kern w:val="0"/>
          <w:szCs w:val="24"/>
          <w:highlight w:val="none"/>
        </w:rPr>
        <w:t>5.2</w:t>
      </w:r>
      <w:r>
        <w:rPr>
          <w:rFonts w:hint="eastAsia" w:hAnsi="宋体" w:cs="宋体"/>
          <w:snapToGrid w:val="0"/>
          <w:color w:val="auto"/>
          <w:kern w:val="0"/>
          <w:szCs w:val="24"/>
          <w:highlight w:val="none"/>
        </w:rPr>
        <w:t xml:space="preserve"> 支付申请</w:t>
      </w:r>
      <w:bookmarkEnd w:id="224"/>
      <w:bookmarkEnd w:id="225"/>
      <w:bookmarkEnd w:id="226"/>
      <w:bookmarkEnd w:id="227"/>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监理人应在本合同约定的每次应付款时间的7天前，向委托人提交支付申请书。支付申请书应当说明当期应付款总额，并列出当期应支付的款项及其金额。</w:t>
      </w:r>
    </w:p>
    <w:p w14:paraId="1080AE34">
      <w:pPr>
        <w:wordWrap w:val="0"/>
        <w:autoSpaceDE/>
        <w:autoSpaceDN/>
        <w:snapToGrid w:val="0"/>
        <w:spacing w:line="440" w:lineRule="exact"/>
        <w:ind w:firstLine="480"/>
        <w:jc w:val="both"/>
        <w:outlineLvl w:val="9"/>
        <w:rPr>
          <w:rFonts w:hint="eastAsia" w:ascii="Times New Roman"/>
          <w:b/>
          <w:snapToGrid w:val="0"/>
          <w:color w:val="auto"/>
          <w:szCs w:val="22"/>
          <w:highlight w:val="none"/>
        </w:rPr>
      </w:pPr>
      <w:bookmarkStart w:id="228" w:name="_Toc6801"/>
      <w:bookmarkStart w:id="229" w:name="_Toc25652"/>
      <w:bookmarkStart w:id="230" w:name="_Toc17883"/>
      <w:bookmarkStart w:id="231" w:name="_Toc10664"/>
      <w:r>
        <w:rPr>
          <w:rFonts w:hint="eastAsia" w:hAnsi="宋体" w:cs="宋体"/>
          <w:b/>
          <w:bCs/>
          <w:snapToGrid w:val="0"/>
          <w:color w:val="auto"/>
          <w:kern w:val="0"/>
          <w:szCs w:val="24"/>
          <w:highlight w:val="none"/>
        </w:rPr>
        <w:t xml:space="preserve">5.3 </w:t>
      </w:r>
      <w:bookmarkEnd w:id="228"/>
      <w:bookmarkEnd w:id="229"/>
      <w:bookmarkEnd w:id="230"/>
      <w:bookmarkEnd w:id="231"/>
      <w:r>
        <w:rPr>
          <w:rFonts w:hint="eastAsia" w:ascii="Times New Roman"/>
          <w:b/>
          <w:snapToGrid w:val="0"/>
          <w:color w:val="auto"/>
          <w:szCs w:val="22"/>
          <w:highlight w:val="none"/>
        </w:rPr>
        <w:t>监理人的服务内容</w:t>
      </w:r>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0EDDE0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295521EB">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2" w:name="_Toc12317"/>
      <w:bookmarkStart w:id="233" w:name="_Toc11091"/>
      <w:bookmarkStart w:id="234" w:name="_Toc8398"/>
      <w:bookmarkStart w:id="235" w:name="_Toc5107"/>
      <w:bookmarkStart w:id="236" w:name="_Toc878"/>
      <w:bookmarkStart w:id="237" w:name="_Toc16162"/>
      <w:bookmarkStart w:id="238" w:name="_Toc31452"/>
      <w:r>
        <w:rPr>
          <w:rFonts w:hint="eastAsia" w:hAnsi="宋体" w:cs="宋体"/>
          <w:b/>
          <w:bCs/>
          <w:snapToGrid w:val="0"/>
          <w:color w:val="auto"/>
          <w:kern w:val="0"/>
          <w:szCs w:val="24"/>
          <w:highlight w:val="none"/>
        </w:rPr>
        <w:t>6．</w:t>
      </w:r>
      <w:bookmarkEnd w:id="232"/>
      <w:bookmarkEnd w:id="233"/>
      <w:bookmarkEnd w:id="234"/>
      <w:bookmarkEnd w:id="235"/>
      <w:bookmarkEnd w:id="236"/>
      <w:r>
        <w:rPr>
          <w:rFonts w:hint="eastAsia" w:ascii="Times New Roman"/>
          <w:b/>
          <w:snapToGrid w:val="0"/>
          <w:color w:val="auto"/>
          <w:szCs w:val="22"/>
          <w:highlight w:val="none"/>
        </w:rPr>
        <w:t>监理人违约及违约责任</w:t>
      </w:r>
      <w:bookmarkEnd w:id="237"/>
      <w:bookmarkEnd w:id="238"/>
    </w:p>
    <w:p w14:paraId="2FAB8060">
      <w:pPr>
        <w:pStyle w:val="132"/>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65"/>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65"/>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65"/>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65"/>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w:t>
      </w:r>
      <w:r>
        <w:rPr>
          <w:rFonts w:hint="eastAsia" w:hAnsi="宋体"/>
          <w:color w:val="auto"/>
          <w:sz w:val="24"/>
          <w:highlight w:val="none"/>
          <w:lang w:val="en-US" w:eastAsia="zh-CN"/>
        </w:rPr>
        <w:t>500</w:t>
      </w:r>
      <w:r>
        <w:rPr>
          <w:rFonts w:hint="eastAsia" w:hAnsi="宋体"/>
          <w:color w:val="auto"/>
          <w:sz w:val="24"/>
          <w:highlight w:val="none"/>
        </w:rPr>
        <w:t>元。</w:t>
      </w:r>
    </w:p>
    <w:p w14:paraId="7FDC0DEF">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w:t>
      </w:r>
      <w:r>
        <w:rPr>
          <w:rFonts w:hint="eastAsia" w:hAnsi="宋体"/>
          <w:color w:val="auto"/>
          <w:sz w:val="24"/>
          <w:highlight w:val="none"/>
          <w:lang w:val="en-US" w:eastAsia="zh-CN"/>
        </w:rPr>
        <w:t>5</w:t>
      </w:r>
      <w:r>
        <w:rPr>
          <w:rFonts w:hint="eastAsia" w:hAnsi="宋体"/>
          <w:color w:val="auto"/>
          <w:sz w:val="24"/>
          <w:highlight w:val="none"/>
        </w:rPr>
        <w:t>天，未经招标人书面同意，每少1天，视为监理人发生监理不良行为一次，承担一般违约责任一次，监理人向委托人交纳违约金</w:t>
      </w:r>
      <w:r>
        <w:rPr>
          <w:rFonts w:hint="eastAsia" w:hAnsi="宋体"/>
          <w:color w:val="auto"/>
          <w:sz w:val="24"/>
          <w:highlight w:val="none"/>
          <w:lang w:val="en-US" w:eastAsia="zh-CN"/>
        </w:rPr>
        <w:t>300</w:t>
      </w:r>
      <w:r>
        <w:rPr>
          <w:rFonts w:hint="eastAsia" w:hAnsi="宋体"/>
          <w:color w:val="auto"/>
          <w:sz w:val="24"/>
          <w:highlight w:val="none"/>
        </w:rPr>
        <w:t>元。</w:t>
      </w:r>
    </w:p>
    <w:p w14:paraId="3509ED2A">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65"/>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w:t>
      </w:r>
      <w:r>
        <w:rPr>
          <w:rFonts w:hint="eastAsia" w:hAnsi="宋体"/>
          <w:b/>
          <w:bCs/>
          <w:color w:val="auto"/>
          <w:sz w:val="24"/>
          <w:highlight w:val="none"/>
          <w:u w:val="single"/>
          <w:lang w:val="en-US" w:eastAsia="zh-CN"/>
        </w:rPr>
        <w:t>500</w:t>
      </w:r>
      <w:r>
        <w:rPr>
          <w:rFonts w:hint="eastAsia" w:hAnsi="宋体"/>
          <w:b/>
          <w:bCs/>
          <w:color w:val="auto"/>
          <w:sz w:val="24"/>
          <w:highlight w:val="none"/>
          <w:u w:val="single"/>
        </w:rPr>
        <w:t>元。</w:t>
      </w:r>
    </w:p>
    <w:p w14:paraId="40A07E9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w:t>
      </w:r>
      <w:r>
        <w:rPr>
          <w:rFonts w:hint="eastAsia" w:hAnsi="宋体"/>
          <w:color w:val="auto"/>
          <w:sz w:val="24"/>
          <w:highlight w:val="none"/>
          <w:lang w:val="en-US" w:eastAsia="zh-CN"/>
        </w:rPr>
        <w:t>500</w:t>
      </w:r>
      <w:r>
        <w:rPr>
          <w:rFonts w:hint="eastAsia" w:hAnsi="宋体"/>
          <w:color w:val="auto"/>
          <w:sz w:val="24"/>
          <w:highlight w:val="none"/>
        </w:rPr>
        <w:t>元/次、项。</w:t>
      </w:r>
    </w:p>
    <w:p w14:paraId="00A919FE">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1000</w:t>
      </w:r>
      <w:r>
        <w:rPr>
          <w:rFonts w:hint="eastAsia" w:hAnsi="宋体"/>
          <w:color w:val="auto"/>
          <w:sz w:val="24"/>
          <w:highlight w:val="none"/>
        </w:rPr>
        <w:t>元；</w:t>
      </w:r>
    </w:p>
    <w:p w14:paraId="7F533DF8">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w:t>
      </w:r>
      <w:r>
        <w:rPr>
          <w:rFonts w:hint="eastAsia" w:hAnsi="宋体"/>
          <w:color w:val="auto"/>
          <w:sz w:val="24"/>
          <w:highlight w:val="none"/>
          <w:lang w:val="en-US" w:eastAsia="zh-CN"/>
        </w:rPr>
        <w:t>200</w:t>
      </w:r>
      <w:r>
        <w:rPr>
          <w:rFonts w:hint="eastAsia" w:hAnsi="宋体"/>
          <w:color w:val="auto"/>
          <w:sz w:val="24"/>
          <w:highlight w:val="none"/>
        </w:rPr>
        <w:t>元。</w:t>
      </w:r>
    </w:p>
    <w:p w14:paraId="1B0FB72B">
      <w:pPr>
        <w:pStyle w:val="65"/>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65"/>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1000</w:t>
      </w:r>
      <w:r>
        <w:rPr>
          <w:rFonts w:hint="eastAsia" w:hAnsi="宋体"/>
          <w:color w:val="auto"/>
          <w:sz w:val="24"/>
          <w:highlight w:val="none"/>
        </w:rPr>
        <w:t>元。</w:t>
      </w:r>
    </w:p>
    <w:p w14:paraId="0E4E3FC4">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（1）</w:t>
      </w:r>
      <w:r>
        <w:rPr>
          <w:rFonts w:hint="eastAsia" w:ascii="宋体" w:hAnsi="宋体" w:eastAsia="宋体" w:cs="宋体"/>
          <w:color w:val="auto"/>
          <w:sz w:val="24"/>
          <w:highlight w:val="none"/>
        </w:rPr>
        <w:t>根据损失额（或工程变更引起增加额）与本工程签订的施工合同金额的比例，按相应比例双倍扣减监理酬金；</w:t>
      </w:r>
      <w:r>
        <w:rPr>
          <w:rFonts w:hint="eastAsia" w:ascii="宋体" w:hAnsi="宋体" w:eastAsia="宋体" w:cs="宋体"/>
          <w:color w:val="auto"/>
          <w:sz w:val="24"/>
          <w:highlight w:val="none"/>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15E547A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65"/>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w:t>
      </w:r>
      <w:r>
        <w:rPr>
          <w:rFonts w:hint="eastAsia" w:hAnsi="宋体"/>
          <w:color w:val="auto"/>
          <w:sz w:val="24"/>
          <w:highlight w:val="none"/>
          <w:lang w:val="en-US" w:eastAsia="zh-CN"/>
        </w:rPr>
        <w:t>1000</w:t>
      </w:r>
      <w:r>
        <w:rPr>
          <w:rFonts w:hint="eastAsia" w:hAnsi="宋体"/>
          <w:color w:val="auto"/>
          <w:sz w:val="24"/>
          <w:highlight w:val="none"/>
        </w:rPr>
        <w:t>元。</w:t>
      </w:r>
    </w:p>
    <w:p w14:paraId="6BA85A70">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w:t>
      </w:r>
      <w:r>
        <w:rPr>
          <w:rFonts w:hint="eastAsia" w:hAnsi="宋体"/>
          <w:color w:val="auto"/>
          <w:sz w:val="24"/>
          <w:highlight w:val="none"/>
          <w:lang w:val="en-US" w:eastAsia="zh-CN"/>
        </w:rPr>
        <w:t>5000</w:t>
      </w:r>
      <w:r>
        <w:rPr>
          <w:rFonts w:hint="eastAsia" w:hAnsi="宋体"/>
          <w:color w:val="auto"/>
          <w:sz w:val="24"/>
          <w:highlight w:val="none"/>
        </w:rPr>
        <w:t>元。如监理人违背了以下7款的任何情况，视为非常严重的违约，直接解除合同，不做费用补偿，且对已完成的监理服务，不再支付监理费用，并通报建设行政主管部门：</w:t>
      </w:r>
    </w:p>
    <w:p w14:paraId="677CAEB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65"/>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65"/>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w:t>
      </w:r>
      <w:r>
        <w:rPr>
          <w:rFonts w:hint="eastAsia" w:hAnsi="宋体"/>
          <w:color w:val="auto"/>
          <w:sz w:val="24"/>
          <w:highlight w:val="none"/>
          <w:lang w:val="en-US" w:eastAsia="zh-CN"/>
        </w:rPr>
        <w:t>1</w:t>
      </w:r>
      <w:r>
        <w:rPr>
          <w:rFonts w:hint="eastAsia" w:hAnsi="宋体"/>
          <w:color w:val="auto"/>
          <w:sz w:val="24"/>
          <w:highlight w:val="none"/>
        </w:rPr>
        <w:t>％。</w:t>
      </w:r>
    </w:p>
    <w:p w14:paraId="1EFA036F">
      <w:pPr>
        <w:pStyle w:val="65"/>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65"/>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65"/>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7FAF4CC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w:t>
      </w:r>
      <w:r>
        <w:rPr>
          <w:rFonts w:hint="eastAsia" w:hAnsi="宋体"/>
          <w:color w:val="auto"/>
          <w:sz w:val="24"/>
          <w:highlight w:val="none"/>
          <w:lang w:val="en-US" w:eastAsia="zh-CN"/>
        </w:rPr>
        <w:t>500</w:t>
      </w:r>
      <w:r>
        <w:rPr>
          <w:rFonts w:hint="eastAsia" w:hAnsi="宋体"/>
          <w:color w:val="auto"/>
          <w:sz w:val="24"/>
          <w:highlight w:val="none"/>
        </w:rPr>
        <w:t>元//次。</w:t>
      </w:r>
    </w:p>
    <w:p w14:paraId="7BE2691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65"/>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D4C68F">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BE14420">
      <w:pPr>
        <w:pStyle w:val="3"/>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9" w:name="_Toc21519"/>
      <w:bookmarkStart w:id="240" w:name="_Toc18555"/>
      <w:bookmarkStart w:id="241" w:name="_Toc22285"/>
      <w:bookmarkStart w:id="242" w:name="_Toc14391"/>
      <w:r>
        <w:rPr>
          <w:rFonts w:hint="eastAsia" w:ascii="Times New Roman"/>
          <w:b/>
          <w:snapToGrid w:val="0"/>
          <w:color w:val="auto"/>
          <w:szCs w:val="22"/>
          <w:highlight w:val="none"/>
        </w:rPr>
        <w:t>7. 工程质量、造价、进度控制及安全生产管理</w:t>
      </w:r>
      <w:bookmarkEnd w:id="239"/>
      <w:bookmarkEnd w:id="240"/>
      <w:bookmarkEnd w:id="241"/>
      <w:bookmarkEnd w:id="242"/>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2BE3A9F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7.2.4项目监理单位应按《关于进一步加强政府投资项目工程变更管理的通知》规定的标准：因</w:t>
      </w:r>
      <w:r>
        <w:rPr>
          <w:rFonts w:hint="eastAsia" w:ascii="Times New Roman"/>
          <w:snapToGrid w:val="0"/>
          <w:color w:val="auto"/>
          <w:kern w:val="0"/>
          <w:highlight w:val="none"/>
          <w:lang w:val="en-US" w:eastAsia="zh-CN"/>
        </w:rPr>
        <w:t>承包人</w:t>
      </w:r>
      <w:r>
        <w:rPr>
          <w:rFonts w:hint="eastAsia" w:ascii="Times New Roman"/>
          <w:snapToGrid w:val="0"/>
          <w:color w:val="auto"/>
          <w:kern w:val="0"/>
          <w:highlight w:val="none"/>
        </w:rPr>
        <w:t>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ascii="Times New Roman"/>
          <w:snapToGrid w:val="0"/>
          <w:color w:val="auto"/>
          <w:kern w:val="0"/>
          <w:highlight w:val="none"/>
        </w:rPr>
        <w:t>监理报告应按相应规范的要求填写。</w:t>
      </w:r>
    </w:p>
    <w:p w14:paraId="06BFFCA1">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D4094DE">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016FEEB7">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0262FEF">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DB14F96">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3AE2E313">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86DB6C7">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590FF88">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058DE22D">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2868DD67">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2608F9EE">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1148CF41">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E82C505">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bookmarkEnd w:id="181"/>
    <w:p w14:paraId="00DFB3FB">
      <w:pPr>
        <w:pStyle w:val="2"/>
        <w:tabs>
          <w:tab w:val="left" w:pos="885"/>
        </w:tabs>
        <w:wordWrap w:val="0"/>
        <w:autoSpaceDE/>
        <w:autoSpaceDN/>
        <w:snapToGrid w:val="0"/>
        <w:spacing w:line="440" w:lineRule="exact"/>
        <w:ind w:left="885" w:hanging="885"/>
        <w:jc w:val="center"/>
        <w:rPr>
          <w:rFonts w:ascii="Times New Roman"/>
          <w:b/>
          <w:snapToGrid w:val="0"/>
          <w:color w:val="auto"/>
          <w:sz w:val="32"/>
          <w:szCs w:val="22"/>
          <w:highlight w:val="none"/>
        </w:rPr>
      </w:pPr>
      <w:bookmarkStart w:id="243" w:name="_Toc21669"/>
      <w:bookmarkStart w:id="244" w:name="_Toc21170"/>
      <w:bookmarkStart w:id="245" w:name="_Toc12650"/>
      <w:bookmarkStart w:id="246" w:name="_Hlt69698796"/>
      <w:r>
        <w:rPr>
          <w:rFonts w:hint="eastAsia" w:ascii="Times New Roman"/>
          <w:b/>
          <w:snapToGrid w:val="0"/>
          <w:color w:val="auto"/>
          <w:sz w:val="32"/>
          <w:szCs w:val="22"/>
          <w:highlight w:val="none"/>
        </w:rPr>
        <w:t>第四章</w:t>
      </w:r>
      <w:bookmarkStart w:id="247" w:name="_Hlt87793853"/>
      <w:bookmarkEnd w:id="247"/>
      <w:r>
        <w:rPr>
          <w:rFonts w:hint="eastAsia" w:ascii="Times New Roman"/>
          <w:b/>
          <w:snapToGrid w:val="0"/>
          <w:color w:val="auto"/>
          <w:sz w:val="32"/>
          <w:szCs w:val="22"/>
          <w:highlight w:val="none"/>
        </w:rPr>
        <w:t xml:space="preserve"> 技术要求</w:t>
      </w:r>
      <w:bookmarkEnd w:id="243"/>
      <w:bookmarkEnd w:id="244"/>
      <w:bookmarkEnd w:id="245"/>
    </w:p>
    <w:bookmarkEnd w:id="246"/>
    <w:p w14:paraId="69F644B1">
      <w:pPr>
        <w:wordWrap w:val="0"/>
        <w:adjustRightInd w:val="0"/>
        <w:snapToGrid w:val="0"/>
        <w:spacing w:line="440" w:lineRule="exact"/>
        <w:rPr>
          <w:rFonts w:hint="eastAsia" w:hAnsi="宋体" w:cs="宋体"/>
          <w:bCs/>
          <w:snapToGrid w:val="0"/>
          <w:color w:val="auto"/>
          <w:kern w:val="0"/>
          <w:highlight w:val="none"/>
        </w:rPr>
      </w:pPr>
      <w:bookmarkStart w:id="248" w:name="_Hlt69359335"/>
      <w:bookmarkEnd w:id="248"/>
      <w:bookmarkStart w:id="249" w:name="_Hlt87793370"/>
      <w:bookmarkEnd w:id="249"/>
      <w:bookmarkStart w:id="250" w:name="_Hlt66104926"/>
      <w:bookmarkEnd w:id="250"/>
      <w:bookmarkStart w:id="251" w:name="_Hlt68774758"/>
      <w:bookmarkEnd w:id="251"/>
      <w:bookmarkStart w:id="252" w:name="_Hlt69265216"/>
      <w:bookmarkEnd w:id="252"/>
      <w:bookmarkStart w:id="253" w:name="_Hlt69116854"/>
      <w:bookmarkEnd w:id="253"/>
      <w:bookmarkStart w:id="254" w:name="_Hlt69357851"/>
      <w:bookmarkEnd w:id="254"/>
      <w:bookmarkStart w:id="255" w:name="_Hlt87793346"/>
      <w:bookmarkEnd w:id="255"/>
      <w:bookmarkStart w:id="256" w:name="_Hlt80411122"/>
      <w:bookmarkEnd w:id="256"/>
      <w:bookmarkStart w:id="257" w:name="_Hlt69358207"/>
      <w:bookmarkEnd w:id="257"/>
      <w:bookmarkStart w:id="258" w:name="_Hlt75685840"/>
      <w:bookmarkEnd w:id="258"/>
      <w:bookmarkStart w:id="259" w:name="_Toc2392"/>
      <w:bookmarkStart w:id="260" w:name="_Toc7515"/>
    </w:p>
    <w:bookmarkEnd w:id="259"/>
    <w:bookmarkEnd w:id="260"/>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61" w:name="_Hlt66848640"/>
      <w:bookmarkEnd w:id="261"/>
      <w:bookmarkStart w:id="262" w:name="_Hlt69338190"/>
      <w:bookmarkEnd w:id="262"/>
      <w:bookmarkStart w:id="263" w:name="_Hlt69116863"/>
      <w:bookmarkEnd w:id="263"/>
      <w:bookmarkStart w:id="264" w:name="_Hlt69635247"/>
      <w:bookmarkEnd w:id="264"/>
      <w:bookmarkStart w:id="265" w:name="_Hlt69358336"/>
      <w:bookmarkEnd w:id="265"/>
      <w:bookmarkStart w:id="266" w:name="_Hlt69265207"/>
      <w:bookmarkEnd w:id="266"/>
      <w:bookmarkStart w:id="267" w:name="_Toc29899"/>
      <w:bookmarkStart w:id="268" w:name="_Toc29213"/>
      <w:bookmarkStart w:id="269" w:name="_Toc22126"/>
      <w:bookmarkStart w:id="270" w:name="_Toc25992"/>
      <w:bookmarkStart w:id="271" w:name="_Toc16011"/>
      <w:bookmarkStart w:id="272" w:name="_Hlt69698785"/>
      <w:r>
        <w:rPr>
          <w:rFonts w:hint="eastAsia" w:ascii="宋体" w:hAnsi="宋体" w:eastAsia="宋体" w:cs="宋体"/>
          <w:b/>
          <w:snapToGrid w:val="0"/>
          <w:color w:val="auto"/>
          <w:kern w:val="0"/>
          <w:highlight w:val="none"/>
        </w:rPr>
        <w:t>1．房屋建筑工程建设项目</w:t>
      </w:r>
      <w:bookmarkEnd w:id="267"/>
      <w:bookmarkEnd w:id="268"/>
      <w:bookmarkEnd w:id="269"/>
      <w:bookmarkEnd w:id="270"/>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73" w:name="_Hlt69359243"/>
      <w:bookmarkEnd w:id="273"/>
      <w:bookmarkStart w:id="274" w:name="_Hlt78709799"/>
      <w:bookmarkEnd w:id="274"/>
      <w:bookmarkStart w:id="275" w:name="_Hlt69359086"/>
      <w:bookmarkEnd w:id="275"/>
      <w:bookmarkStart w:id="276" w:name="_Hlt69358458"/>
      <w:bookmarkEnd w:id="276"/>
      <w:bookmarkStart w:id="277" w:name="_Hlt69635252"/>
      <w:bookmarkEnd w:id="277"/>
      <w:bookmarkStart w:id="278" w:name="_Hlt69359245"/>
      <w:bookmarkEnd w:id="278"/>
      <w:bookmarkStart w:id="279" w:name="_Hlt69116858"/>
      <w:bookmarkEnd w:id="279"/>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80" w:name="_Hlt78795211"/>
      <w:bookmarkEnd w:id="280"/>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highlight w:val="none"/>
        </w:rPr>
      </w:pPr>
      <w:bookmarkStart w:id="281" w:name="_Toc23789"/>
      <w:bookmarkStart w:id="282" w:name="_Toc3631"/>
      <w:bookmarkStart w:id="283" w:name="_Toc2706"/>
      <w:bookmarkStart w:id="284" w:name="_Toc16196"/>
      <w:r>
        <w:rPr>
          <w:rFonts w:hint="eastAsia" w:ascii="宋体" w:hAnsi="宋体" w:eastAsia="宋体" w:cs="宋体"/>
          <w:b/>
          <w:snapToGrid w:val="0"/>
          <w:color w:val="auto"/>
          <w:kern w:val="0"/>
          <w:highlight w:val="none"/>
        </w:rPr>
        <w:t>2．市政基础设施工程建设项目</w:t>
      </w:r>
      <w:bookmarkEnd w:id="281"/>
      <w:bookmarkEnd w:id="282"/>
      <w:bookmarkEnd w:id="283"/>
      <w:bookmarkEnd w:id="284"/>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highlight w:val="none"/>
        </w:rPr>
      </w:pPr>
      <w:r>
        <w:rPr>
          <w:rFonts w:hint="eastAsia" w:ascii="宋体" w:hAnsi="宋体" w:eastAsia="宋体" w:cs="宋体"/>
          <w:b w:val="0"/>
          <w:bCs/>
          <w:snapToGrid w:val="0"/>
          <w:color w:val="auto"/>
          <w:kern w:val="0"/>
          <w:highlight w:val="none"/>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5" w:name="_Toc20464"/>
      <w:bookmarkStart w:id="286" w:name="_Toc8840"/>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highlight w:val="none"/>
        </w:rPr>
        <w:t>《城市道路照明设计标准》（CJJ45-2015）；</w:t>
      </w:r>
      <w:bookmarkEnd w:id="285"/>
      <w:bookmarkEnd w:id="286"/>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highlight w:val="none"/>
        </w:rPr>
      </w:pPr>
      <w:bookmarkStart w:id="287" w:name="_Toc12769"/>
      <w:bookmarkStart w:id="288" w:name="_Toc8828"/>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12</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《低压配电设计规范》（GB50054-2011）；</w:t>
      </w:r>
      <w:bookmarkEnd w:id="287"/>
      <w:bookmarkEnd w:id="288"/>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9" w:name="_Toc17054"/>
      <w:bookmarkStart w:id="290" w:name="_Toc5338"/>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13</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《城市道路照明工程施工及验收规程》（CJJ89-2012）；</w:t>
      </w:r>
      <w:bookmarkEnd w:id="289"/>
      <w:bookmarkEnd w:id="290"/>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lang w:val="en-US" w:eastAsia="zh-CN"/>
        </w:rPr>
      </w:pPr>
      <w:bookmarkStart w:id="291" w:name="_Toc17302"/>
      <w:bookmarkStart w:id="292" w:name="_Toc1570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14</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LED道路照明工程技术规范</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DB44/T 1898-2016</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bookmarkEnd w:id="291"/>
      <w:bookmarkEnd w:id="292"/>
    </w:p>
    <w:p w14:paraId="0F08A875">
      <w:pPr>
        <w:pStyle w:val="153"/>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15</w:t>
      </w:r>
      <w:r>
        <w:rPr>
          <w:rFonts w:hint="eastAsia" w:ascii="宋体" w:hAnsi="宋体" w:eastAsia="宋体" w:cs="宋体"/>
          <w:b w:val="0"/>
          <w:bCs/>
          <w:i w:val="0"/>
          <w:iCs w:val="0"/>
          <w:color w:val="auto"/>
          <w:kern w:val="0"/>
          <w:szCs w:val="21"/>
          <w:highlight w:val="none"/>
          <w:lang w:eastAsia="zh-CN"/>
        </w:rPr>
        <w:t>）《灯具第</w:t>
      </w:r>
      <w:r>
        <w:rPr>
          <w:rFonts w:hint="eastAsia" w:ascii="宋体" w:hAnsi="宋体" w:eastAsia="宋体" w:cs="宋体"/>
          <w:b w:val="0"/>
          <w:bCs/>
          <w:i w:val="0"/>
          <w:iCs w:val="0"/>
          <w:color w:val="auto"/>
          <w:kern w:val="0"/>
          <w:szCs w:val="21"/>
          <w:highlight w:val="none"/>
          <w:lang w:val="en-US" w:eastAsia="zh-CN"/>
        </w:rPr>
        <w:t>1部分：一般要求与试验</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GB7000.1-2015</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16</w:t>
      </w:r>
      <w:r>
        <w:rPr>
          <w:rFonts w:hint="eastAsia" w:ascii="宋体" w:hAnsi="宋体" w:eastAsia="宋体" w:cs="宋体"/>
          <w:b w:val="0"/>
          <w:bCs/>
          <w:i w:val="0"/>
          <w:iCs w:val="0"/>
          <w:color w:val="auto"/>
          <w:kern w:val="0"/>
          <w:szCs w:val="21"/>
          <w:highlight w:val="none"/>
          <w:lang w:eastAsia="zh-CN"/>
        </w:rPr>
        <w:t>）《电缆工程电缆设计标准》（</w:t>
      </w:r>
      <w:r>
        <w:rPr>
          <w:rFonts w:hint="eastAsia" w:ascii="宋体" w:hAnsi="宋体" w:eastAsia="宋体" w:cs="宋体"/>
          <w:b w:val="0"/>
          <w:bCs/>
          <w:i w:val="0"/>
          <w:iCs w:val="0"/>
          <w:color w:val="auto"/>
          <w:kern w:val="0"/>
          <w:szCs w:val="21"/>
          <w:highlight w:val="none"/>
          <w:lang w:val="en-US" w:eastAsia="zh-CN"/>
        </w:rPr>
        <w:t>GB50217-2018</w:t>
      </w:r>
      <w:r>
        <w:rPr>
          <w:rFonts w:hint="eastAsia" w:ascii="宋体" w:hAnsi="宋体" w:eastAsia="宋体" w:cs="宋体"/>
          <w:b w:val="0"/>
          <w:bCs/>
          <w:i w:val="0"/>
          <w:iCs w:val="0"/>
          <w:color w:val="auto"/>
          <w:kern w:val="0"/>
          <w:szCs w:val="21"/>
          <w:highlight w:val="none"/>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93" w:name="_Toc20571"/>
      <w:bookmarkStart w:id="294" w:name="_Toc5246"/>
      <w:r>
        <w:rPr>
          <w:rFonts w:hint="eastAsia" w:ascii="宋体" w:hAnsi="宋体" w:eastAsia="宋体" w:cs="宋体"/>
          <w:b/>
          <w:snapToGrid w:val="0"/>
          <w:color w:val="auto"/>
          <w:kern w:val="0"/>
          <w:highlight w:val="none"/>
        </w:rPr>
        <w:t>3．备查要求</w:t>
      </w:r>
      <w:bookmarkEnd w:id="293"/>
      <w:bookmarkEnd w:id="294"/>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highlight w:val="none"/>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highlight w:val="none"/>
        </w:rPr>
        <w:t>监理人必须在施工现场准备至少一套上述规范，委托人可随时检</w:t>
      </w:r>
      <w:r>
        <w:rPr>
          <w:rFonts w:hint="eastAsia" w:ascii="宋体" w:hAnsi="宋体" w:eastAsia="宋体" w:cs="宋体"/>
          <w:bCs/>
          <w:snapToGrid w:val="0"/>
          <w:color w:val="auto"/>
          <w:kern w:val="0"/>
          <w:highlight w:val="none"/>
        </w:rPr>
        <w:t>查监理人的上述规范，并监督监理人按规范要求执行。</w:t>
      </w:r>
      <w:bookmarkStart w:id="295" w:name="_Hlt69670335"/>
      <w:bookmarkEnd w:id="295"/>
    </w:p>
    <w:p w14:paraId="2C01AB53">
      <w:pPr>
        <w:pStyle w:val="2"/>
        <w:wordWrap w:val="0"/>
        <w:autoSpaceDE/>
        <w:autoSpaceDN/>
        <w:snapToGrid w:val="0"/>
        <w:spacing w:line="440" w:lineRule="exact"/>
        <w:jc w:val="center"/>
        <w:rPr>
          <w:rFonts w:ascii="Times New Roman"/>
          <w:b/>
          <w:snapToGrid w:val="0"/>
          <w:color w:val="auto"/>
          <w:sz w:val="32"/>
          <w:szCs w:val="22"/>
          <w:highlight w:val="none"/>
        </w:rPr>
      </w:pPr>
      <w:bookmarkStart w:id="296" w:name="_Toc23308"/>
      <w:r>
        <w:rPr>
          <w:rFonts w:hint="eastAsia" w:ascii="Times New Roman"/>
          <w:b/>
          <w:snapToGrid w:val="0"/>
          <w:color w:val="auto"/>
          <w:sz w:val="32"/>
          <w:szCs w:val="22"/>
          <w:highlight w:val="none"/>
        </w:rPr>
        <w:t xml:space="preserve">第五章 </w:t>
      </w:r>
      <w:bookmarkStart w:id="297" w:name="_Hlt75747044"/>
      <w:bookmarkEnd w:id="297"/>
      <w:r>
        <w:rPr>
          <w:rFonts w:hint="eastAsia" w:ascii="Times New Roman"/>
          <w:b/>
          <w:snapToGrid w:val="0"/>
          <w:color w:val="auto"/>
          <w:sz w:val="32"/>
          <w:szCs w:val="22"/>
          <w:highlight w:val="none"/>
        </w:rPr>
        <w:t>投标文件格式</w:t>
      </w:r>
      <w:bookmarkEnd w:id="271"/>
      <w:bookmarkEnd w:id="296"/>
    </w:p>
    <w:bookmarkEnd w:id="272"/>
    <w:p w14:paraId="7A6D8682">
      <w:pPr>
        <w:pStyle w:val="71"/>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highlight w:val="none"/>
        </w:rPr>
      </w:pPr>
      <w:bookmarkStart w:id="298" w:name="_附件五：综合评审合理低价法"/>
      <w:bookmarkEnd w:id="298"/>
      <w:bookmarkStart w:id="299" w:name="_附件二：近三年度主要施工项目（竣工及在建）一览表"/>
      <w:bookmarkEnd w:id="299"/>
      <w:bookmarkStart w:id="300" w:name="_附件二：工期承诺书"/>
      <w:bookmarkEnd w:id="300"/>
      <w:bookmarkStart w:id="301" w:name="_附件一：对招标文件条款自愿接受承诺书"/>
      <w:bookmarkEnd w:id="301"/>
      <w:bookmarkStart w:id="302" w:name="_附件四：工期承诺书"/>
      <w:bookmarkEnd w:id="302"/>
      <w:bookmarkStart w:id="303" w:name="_附件一：投标函"/>
      <w:bookmarkEnd w:id="303"/>
      <w:bookmarkStart w:id="304" w:name="_Toc200338097"/>
      <w:bookmarkStart w:id="305" w:name="_Toc137621693"/>
      <w:bookmarkStart w:id="306" w:name="_Toc66849200"/>
      <w:bookmarkStart w:id="307" w:name="_Hlt66847557"/>
    </w:p>
    <w:p w14:paraId="605BD047">
      <w:pPr>
        <w:pStyle w:val="71"/>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highlight w:val="none"/>
        </w:rPr>
      </w:pPr>
      <w:bookmarkStart w:id="308" w:name="_Toc63"/>
      <w:bookmarkStart w:id="309" w:name="_Toc3155"/>
      <w:r>
        <w:rPr>
          <w:rFonts w:hint="eastAsia" w:ascii="Times New Roman"/>
          <w:b/>
          <w:snapToGrid w:val="0"/>
          <w:color w:val="auto"/>
          <w:highlight w:val="none"/>
        </w:rPr>
        <w:t>格式一 封面</w:t>
      </w:r>
      <w:bookmarkEnd w:id="308"/>
      <w:bookmarkEnd w:id="309"/>
    </w:p>
    <w:p w14:paraId="5DF40F53">
      <w:pPr>
        <w:pStyle w:val="72"/>
        <w:widowControl w:val="0"/>
        <w:wordWrap w:val="0"/>
        <w:adjustRightInd w:val="0"/>
        <w:snapToGrid w:val="0"/>
        <w:spacing w:line="240" w:lineRule="auto"/>
        <w:rPr>
          <w:rFonts w:ascii="Times New Roman"/>
          <w:b/>
          <w:snapToGrid w:val="0"/>
          <w:color w:val="auto"/>
          <w:sz w:val="24"/>
          <w:highlight w:val="none"/>
        </w:rPr>
      </w:pPr>
    </w:p>
    <w:p w14:paraId="6FBB4A80">
      <w:pPr>
        <w:pStyle w:val="72"/>
        <w:widowControl w:val="0"/>
        <w:wordWrap w:val="0"/>
        <w:adjustRightInd w:val="0"/>
        <w:snapToGrid w:val="0"/>
        <w:spacing w:line="240" w:lineRule="auto"/>
        <w:jc w:val="right"/>
        <w:rPr>
          <w:rFonts w:ascii="Times New Roman"/>
          <w:b/>
          <w:snapToGrid w:val="0"/>
          <w:color w:val="auto"/>
          <w:sz w:val="24"/>
          <w:highlight w:val="none"/>
        </w:rPr>
      </w:pPr>
    </w:p>
    <w:p w14:paraId="59746A92">
      <w:pPr>
        <w:pStyle w:val="72"/>
        <w:widowControl w:val="0"/>
        <w:wordWrap w:val="0"/>
        <w:adjustRightInd w:val="0"/>
        <w:snapToGrid w:val="0"/>
        <w:spacing w:line="240" w:lineRule="auto"/>
        <w:rPr>
          <w:rFonts w:ascii="Times New Roman"/>
          <w:b/>
          <w:snapToGrid w:val="0"/>
          <w:color w:val="auto"/>
          <w:sz w:val="24"/>
          <w:highlight w:val="none"/>
        </w:rPr>
      </w:pPr>
    </w:p>
    <w:p w14:paraId="0294BCEE">
      <w:pPr>
        <w:pStyle w:val="72"/>
        <w:widowControl w:val="0"/>
        <w:wordWrap w:val="0"/>
        <w:adjustRightInd w:val="0"/>
        <w:snapToGrid w:val="0"/>
        <w:spacing w:line="240" w:lineRule="auto"/>
        <w:rPr>
          <w:rFonts w:ascii="Times New Roman"/>
          <w:b/>
          <w:snapToGrid w:val="0"/>
          <w:color w:val="auto"/>
          <w:sz w:val="24"/>
          <w:highlight w:val="none"/>
        </w:rPr>
      </w:pPr>
    </w:p>
    <w:p w14:paraId="7513099E">
      <w:pPr>
        <w:pStyle w:val="72"/>
        <w:widowControl w:val="0"/>
        <w:wordWrap w:val="0"/>
        <w:adjustRightInd w:val="0"/>
        <w:snapToGrid w:val="0"/>
        <w:spacing w:line="240" w:lineRule="auto"/>
        <w:rPr>
          <w:rFonts w:ascii="Times New Roman"/>
          <w:b/>
          <w:snapToGrid w:val="0"/>
          <w:color w:val="auto"/>
          <w:sz w:val="24"/>
          <w:highlight w:val="none"/>
        </w:rPr>
      </w:pPr>
    </w:p>
    <w:p w14:paraId="4875FFE9">
      <w:pPr>
        <w:pStyle w:val="72"/>
        <w:widowControl w:val="0"/>
        <w:wordWrap w:val="0"/>
        <w:adjustRightInd w:val="0"/>
        <w:snapToGrid w:val="0"/>
        <w:spacing w:line="240" w:lineRule="auto"/>
        <w:rPr>
          <w:rFonts w:ascii="Times New Roman"/>
          <w:b/>
          <w:snapToGrid w:val="0"/>
          <w:color w:val="auto"/>
          <w:sz w:val="24"/>
          <w:highlight w:val="none"/>
        </w:rPr>
      </w:pPr>
    </w:p>
    <w:p w14:paraId="2D9D39D4">
      <w:pPr>
        <w:pStyle w:val="72"/>
        <w:widowControl w:val="0"/>
        <w:wordWrap w:val="0"/>
        <w:adjustRightInd w:val="0"/>
        <w:snapToGrid w:val="0"/>
        <w:spacing w:line="240" w:lineRule="auto"/>
        <w:rPr>
          <w:rFonts w:ascii="Times New Roman"/>
          <w:b/>
          <w:snapToGrid w:val="0"/>
          <w:color w:val="auto"/>
          <w:sz w:val="24"/>
          <w:highlight w:val="none"/>
        </w:rPr>
      </w:pPr>
    </w:p>
    <w:p w14:paraId="5F4307BB">
      <w:pPr>
        <w:pStyle w:val="72"/>
        <w:widowControl w:val="0"/>
        <w:wordWrap w:val="0"/>
        <w:adjustRightInd w:val="0"/>
        <w:snapToGrid w:val="0"/>
        <w:spacing w:line="240" w:lineRule="auto"/>
        <w:rPr>
          <w:rFonts w:ascii="Times New Roman"/>
          <w:b/>
          <w:snapToGrid w:val="0"/>
          <w:color w:val="auto"/>
          <w:sz w:val="24"/>
          <w:highlight w:val="none"/>
        </w:rPr>
      </w:pPr>
    </w:p>
    <w:p w14:paraId="0005A7BA">
      <w:pPr>
        <w:pStyle w:val="72"/>
        <w:widowControl w:val="0"/>
        <w:wordWrap w:val="0"/>
        <w:adjustRightInd w:val="0"/>
        <w:snapToGrid w:val="0"/>
        <w:spacing w:line="240" w:lineRule="auto"/>
        <w:rPr>
          <w:rFonts w:ascii="Times New Roman"/>
          <w:b/>
          <w:snapToGrid w:val="0"/>
          <w:color w:val="auto"/>
          <w:sz w:val="24"/>
          <w:highlight w:val="none"/>
        </w:rPr>
      </w:pPr>
    </w:p>
    <w:p w14:paraId="38D03B0C">
      <w:pPr>
        <w:pStyle w:val="72"/>
        <w:widowControl w:val="0"/>
        <w:wordWrap w:val="0"/>
        <w:adjustRightInd w:val="0"/>
        <w:snapToGrid w:val="0"/>
        <w:spacing w:line="240" w:lineRule="auto"/>
        <w:rPr>
          <w:rFonts w:ascii="Times New Roman"/>
          <w:b/>
          <w:snapToGrid w:val="0"/>
          <w:color w:val="auto"/>
          <w:sz w:val="24"/>
          <w:highlight w:val="none"/>
        </w:rPr>
      </w:pPr>
    </w:p>
    <w:p w14:paraId="01F56212">
      <w:pPr>
        <w:pStyle w:val="72"/>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（项目名称）招标</w:t>
      </w:r>
    </w:p>
    <w:p w14:paraId="3BD1E3C7">
      <w:pPr>
        <w:pStyle w:val="72"/>
        <w:widowControl w:val="0"/>
        <w:wordWrap w:val="0"/>
        <w:adjustRightInd w:val="0"/>
        <w:snapToGrid w:val="0"/>
        <w:spacing w:line="240" w:lineRule="auto"/>
        <w:ind w:firstLine="0"/>
        <w:jc w:val="center"/>
        <w:rPr>
          <w:rFonts w:ascii="Times New Roman"/>
          <w:b/>
          <w:snapToGrid w:val="0"/>
          <w:color w:val="auto"/>
          <w:sz w:val="32"/>
          <w:highlight w:val="none"/>
        </w:rPr>
      </w:pPr>
    </w:p>
    <w:p w14:paraId="3D2A6112">
      <w:pPr>
        <w:pStyle w:val="72"/>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5A4D8E98">
      <w:pPr>
        <w:pStyle w:val="72"/>
        <w:widowControl w:val="0"/>
        <w:wordWrap w:val="0"/>
        <w:adjustRightInd w:val="0"/>
        <w:snapToGrid w:val="0"/>
        <w:spacing w:line="240" w:lineRule="auto"/>
        <w:ind w:firstLine="0"/>
        <w:jc w:val="center"/>
        <w:rPr>
          <w:rFonts w:ascii="Times New Roman"/>
          <w:b/>
          <w:snapToGrid w:val="0"/>
          <w:color w:val="auto"/>
          <w:sz w:val="32"/>
          <w:highlight w:val="none"/>
        </w:rPr>
      </w:pPr>
    </w:p>
    <w:p w14:paraId="189B292E">
      <w:pPr>
        <w:pStyle w:val="72"/>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（商务标书／监理大纲／</w:t>
      </w:r>
      <w:r>
        <w:rPr>
          <w:rFonts w:hint="eastAsia" w:ascii="Times New Roman"/>
          <w:b/>
          <w:snapToGrid w:val="0"/>
          <w:color w:val="auto"/>
          <w:sz w:val="48"/>
          <w:szCs w:val="48"/>
          <w:highlight w:val="none"/>
          <w:lang w:val="en-US" w:eastAsia="zh-CN"/>
        </w:rPr>
        <w:t>定标文件</w:t>
      </w:r>
      <w:r>
        <w:rPr>
          <w:rFonts w:hint="eastAsia" w:ascii="Times New Roman"/>
          <w:b/>
          <w:snapToGrid w:val="0"/>
          <w:color w:val="auto"/>
          <w:sz w:val="48"/>
          <w:szCs w:val="48"/>
          <w:highlight w:val="none"/>
        </w:rPr>
        <w:t>）</w:t>
      </w:r>
    </w:p>
    <w:p w14:paraId="21D0A39E">
      <w:pPr>
        <w:pStyle w:val="72"/>
        <w:widowControl w:val="0"/>
        <w:wordWrap w:val="0"/>
        <w:adjustRightInd w:val="0"/>
        <w:snapToGrid w:val="0"/>
        <w:spacing w:line="240" w:lineRule="auto"/>
        <w:rPr>
          <w:rFonts w:ascii="Times New Roman"/>
          <w:b/>
          <w:snapToGrid w:val="0"/>
          <w:color w:val="auto"/>
          <w:highlight w:val="none"/>
        </w:rPr>
      </w:pPr>
    </w:p>
    <w:p w14:paraId="47BA86B9">
      <w:pPr>
        <w:pStyle w:val="72"/>
        <w:widowControl w:val="0"/>
        <w:wordWrap w:val="0"/>
        <w:adjustRightInd w:val="0"/>
        <w:snapToGrid w:val="0"/>
        <w:spacing w:line="240" w:lineRule="auto"/>
        <w:rPr>
          <w:rFonts w:ascii="Times New Roman"/>
          <w:b/>
          <w:snapToGrid w:val="0"/>
          <w:color w:val="auto"/>
          <w:sz w:val="32"/>
          <w:highlight w:val="none"/>
        </w:rPr>
      </w:pPr>
    </w:p>
    <w:p w14:paraId="65C3F1D5">
      <w:pPr>
        <w:pStyle w:val="72"/>
        <w:widowControl w:val="0"/>
        <w:wordWrap w:val="0"/>
        <w:adjustRightInd w:val="0"/>
        <w:snapToGrid w:val="0"/>
        <w:spacing w:line="240" w:lineRule="auto"/>
        <w:rPr>
          <w:rFonts w:ascii="Times New Roman"/>
          <w:b/>
          <w:snapToGrid w:val="0"/>
          <w:color w:val="auto"/>
          <w:sz w:val="32"/>
          <w:highlight w:val="none"/>
        </w:rPr>
      </w:pPr>
    </w:p>
    <w:p w14:paraId="04CF17A0">
      <w:pPr>
        <w:pStyle w:val="72"/>
        <w:widowControl w:val="0"/>
        <w:wordWrap w:val="0"/>
        <w:adjustRightInd w:val="0"/>
        <w:snapToGrid w:val="0"/>
        <w:spacing w:line="240" w:lineRule="auto"/>
        <w:rPr>
          <w:rFonts w:ascii="Times New Roman"/>
          <w:b/>
          <w:snapToGrid w:val="0"/>
          <w:color w:val="auto"/>
          <w:sz w:val="32"/>
          <w:highlight w:val="none"/>
        </w:rPr>
      </w:pPr>
    </w:p>
    <w:p w14:paraId="70B9E93C">
      <w:pPr>
        <w:pStyle w:val="72"/>
        <w:widowControl w:val="0"/>
        <w:wordWrap w:val="0"/>
        <w:adjustRightInd w:val="0"/>
        <w:snapToGrid w:val="0"/>
        <w:spacing w:line="240" w:lineRule="auto"/>
        <w:rPr>
          <w:rFonts w:ascii="Times New Roman"/>
          <w:b/>
          <w:snapToGrid w:val="0"/>
          <w:color w:val="auto"/>
          <w:sz w:val="32"/>
          <w:highlight w:val="none"/>
        </w:rPr>
      </w:pPr>
    </w:p>
    <w:p w14:paraId="1ECCE2FB">
      <w:pPr>
        <w:pStyle w:val="72"/>
        <w:widowControl w:val="0"/>
        <w:wordWrap w:val="0"/>
        <w:adjustRightInd w:val="0"/>
        <w:snapToGrid w:val="0"/>
        <w:spacing w:line="240" w:lineRule="auto"/>
        <w:rPr>
          <w:rFonts w:ascii="Times New Roman"/>
          <w:b/>
          <w:snapToGrid w:val="0"/>
          <w:color w:val="auto"/>
          <w:sz w:val="32"/>
          <w:highlight w:val="none"/>
        </w:rPr>
      </w:pPr>
    </w:p>
    <w:p w14:paraId="1EB2808C">
      <w:pPr>
        <w:pStyle w:val="72"/>
        <w:widowControl w:val="0"/>
        <w:wordWrap w:val="0"/>
        <w:adjustRightInd w:val="0"/>
        <w:snapToGrid w:val="0"/>
        <w:spacing w:line="240" w:lineRule="auto"/>
        <w:rPr>
          <w:rFonts w:ascii="Times New Roman"/>
          <w:b/>
          <w:snapToGrid w:val="0"/>
          <w:color w:val="auto"/>
          <w:sz w:val="32"/>
          <w:highlight w:val="none"/>
        </w:rPr>
      </w:pPr>
    </w:p>
    <w:p w14:paraId="759F596E">
      <w:pPr>
        <w:pStyle w:val="72"/>
        <w:widowControl w:val="0"/>
        <w:wordWrap w:val="0"/>
        <w:adjustRightInd w:val="0"/>
        <w:snapToGrid w:val="0"/>
        <w:spacing w:line="240" w:lineRule="auto"/>
        <w:rPr>
          <w:rFonts w:ascii="Times New Roman"/>
          <w:b/>
          <w:snapToGrid w:val="0"/>
          <w:color w:val="auto"/>
          <w:sz w:val="32"/>
          <w:highlight w:val="none"/>
        </w:rPr>
      </w:pPr>
    </w:p>
    <w:p w14:paraId="146D5E17">
      <w:pPr>
        <w:pStyle w:val="72"/>
        <w:widowControl w:val="0"/>
        <w:wordWrap w:val="0"/>
        <w:adjustRightInd w:val="0"/>
        <w:snapToGrid w:val="0"/>
        <w:spacing w:line="240" w:lineRule="auto"/>
        <w:rPr>
          <w:rFonts w:ascii="Times New Roman"/>
          <w:b/>
          <w:snapToGrid w:val="0"/>
          <w:color w:val="auto"/>
          <w:sz w:val="32"/>
          <w:highlight w:val="none"/>
        </w:rPr>
      </w:pPr>
    </w:p>
    <w:p w14:paraId="6742C860">
      <w:pPr>
        <w:pStyle w:val="72"/>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4DAF0F5D">
      <w:pPr>
        <w:pStyle w:val="72"/>
        <w:widowControl w:val="0"/>
        <w:wordWrap w:val="0"/>
        <w:adjustRightInd w:val="0"/>
        <w:snapToGrid w:val="0"/>
        <w:spacing w:line="240" w:lineRule="auto"/>
        <w:ind w:firstLine="0"/>
        <w:jc w:val="center"/>
        <w:rPr>
          <w:rFonts w:ascii="Times New Roman"/>
          <w:bCs/>
          <w:snapToGrid w:val="0"/>
          <w:color w:val="auto"/>
          <w:sz w:val="32"/>
          <w:highlight w:val="none"/>
        </w:rPr>
      </w:pPr>
    </w:p>
    <w:p w14:paraId="0642C6A2">
      <w:pPr>
        <w:pStyle w:val="72"/>
        <w:widowControl w:val="0"/>
        <w:wordWrap w:val="0"/>
        <w:adjustRightInd w:val="0"/>
        <w:snapToGrid w:val="0"/>
        <w:spacing w:line="240" w:lineRule="auto"/>
        <w:ind w:firstLine="0"/>
        <w:jc w:val="center"/>
        <w:rPr>
          <w:rFonts w:ascii="Times New Roman"/>
          <w:bCs/>
          <w:snapToGrid w:val="0"/>
          <w:color w:val="auto"/>
          <w:sz w:val="32"/>
          <w:highlight w:val="none"/>
        </w:rPr>
      </w:pPr>
    </w:p>
    <w:p w14:paraId="60435907">
      <w:pPr>
        <w:pStyle w:val="72"/>
        <w:widowControl w:val="0"/>
        <w:wordWrap w:val="0"/>
        <w:adjustRightInd w:val="0"/>
        <w:snapToGrid w:val="0"/>
        <w:spacing w:line="240" w:lineRule="auto"/>
        <w:ind w:firstLine="0"/>
        <w:jc w:val="center"/>
        <w:rPr>
          <w:rFonts w:ascii="Times New Roman"/>
          <w:bCs/>
          <w:snapToGrid w:val="0"/>
          <w:color w:val="auto"/>
          <w:sz w:val="32"/>
          <w:highlight w:val="none"/>
        </w:rPr>
      </w:pPr>
    </w:p>
    <w:p w14:paraId="6A449385">
      <w:pPr>
        <w:pStyle w:val="72"/>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234CEA92">
      <w:pPr>
        <w:pStyle w:val="72"/>
        <w:widowControl w:val="0"/>
        <w:wordWrap w:val="0"/>
        <w:adjustRightInd w:val="0"/>
        <w:snapToGrid w:val="0"/>
        <w:spacing w:line="240" w:lineRule="auto"/>
        <w:ind w:firstLine="0"/>
        <w:jc w:val="center"/>
        <w:rPr>
          <w:rFonts w:ascii="Times New Roman"/>
          <w:bCs/>
          <w:snapToGrid w:val="0"/>
          <w:color w:val="auto"/>
          <w:sz w:val="32"/>
          <w:highlight w:val="none"/>
        </w:rPr>
      </w:pPr>
    </w:p>
    <w:p w14:paraId="565FD46B">
      <w:pPr>
        <w:pStyle w:val="72"/>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1A771D3C">
      <w:pPr>
        <w:pStyle w:val="72"/>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2B7C22CA">
      <w:pPr>
        <w:pStyle w:val="72"/>
        <w:widowControl w:val="0"/>
        <w:wordWrap w:val="0"/>
        <w:adjustRightInd w:val="0"/>
        <w:snapToGrid w:val="0"/>
        <w:rPr>
          <w:rFonts w:ascii="Times New Roman"/>
          <w:b/>
          <w:snapToGrid w:val="0"/>
          <w:color w:val="auto"/>
          <w:highlight w:val="none"/>
        </w:rPr>
      </w:pPr>
    </w:p>
    <w:p w14:paraId="60968DD1">
      <w:pPr>
        <w:pStyle w:val="72"/>
        <w:widowControl w:val="0"/>
        <w:wordWrap w:val="0"/>
        <w:adjustRightInd w:val="0"/>
        <w:snapToGrid w:val="0"/>
        <w:rPr>
          <w:rFonts w:ascii="Times New Roman"/>
          <w:b/>
          <w:snapToGrid w:val="0"/>
          <w:color w:val="auto"/>
          <w:highlight w:val="none"/>
        </w:rPr>
      </w:pPr>
    </w:p>
    <w:p w14:paraId="20B8FB5C">
      <w:pPr>
        <w:pStyle w:val="72"/>
        <w:widowControl w:val="0"/>
        <w:wordWrap w:val="0"/>
        <w:adjustRightInd w:val="0"/>
        <w:snapToGrid w:val="0"/>
        <w:rPr>
          <w:rFonts w:ascii="Times New Roman"/>
          <w:b/>
          <w:snapToGrid w:val="0"/>
          <w:color w:val="auto"/>
          <w:highlight w:val="none"/>
        </w:rPr>
        <w:sectPr>
          <w:endnotePr>
            <w:numFmt w:val="decimal"/>
          </w:endnotePr>
          <w:pgSz w:w="11906" w:h="16838"/>
          <w:pgMar w:top="1417" w:right="1417" w:bottom="1417" w:left="1417" w:header="850" w:footer="992" w:gutter="0"/>
          <w:cols w:space="0" w:num="1"/>
          <w:docGrid w:linePitch="327" w:charSpace="0"/>
        </w:sectPr>
      </w:pPr>
    </w:p>
    <w:p w14:paraId="15A266C5">
      <w:pPr>
        <w:pStyle w:val="3"/>
        <w:wordWrap w:val="0"/>
        <w:autoSpaceDE/>
        <w:autoSpaceDN/>
        <w:snapToGrid w:val="0"/>
        <w:spacing w:line="440" w:lineRule="exact"/>
        <w:rPr>
          <w:rFonts w:ascii="Times New Roman"/>
          <w:b/>
          <w:snapToGrid w:val="0"/>
          <w:color w:val="auto"/>
          <w:highlight w:val="none"/>
        </w:rPr>
      </w:pPr>
      <w:bookmarkStart w:id="310" w:name="_Toc25707"/>
      <w:bookmarkStart w:id="311" w:name="_Toc21838"/>
      <w:bookmarkStart w:id="312" w:name="_Toc104711098"/>
      <w:bookmarkStart w:id="313" w:name="_Toc106418843"/>
      <w:r>
        <w:rPr>
          <w:rFonts w:hint="eastAsia" w:ascii="Times New Roman"/>
          <w:b/>
          <w:snapToGrid w:val="0"/>
          <w:color w:val="auto"/>
          <w:highlight w:val="none"/>
        </w:rPr>
        <w:t>格式</w:t>
      </w:r>
      <w:bookmarkStart w:id="314" w:name="_Hlt97526007"/>
      <w:bookmarkEnd w:id="314"/>
      <w:r>
        <w:rPr>
          <w:rFonts w:hint="eastAsia" w:ascii="Times New Roman"/>
          <w:b/>
          <w:snapToGrid w:val="0"/>
          <w:color w:val="auto"/>
          <w:highlight w:val="none"/>
        </w:rPr>
        <w:t>二 投标函</w:t>
      </w:r>
      <w:bookmarkEnd w:id="310"/>
      <w:bookmarkEnd w:id="311"/>
    </w:p>
    <w:p w14:paraId="47DFBF08">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投</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标</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函</w:t>
      </w:r>
      <w:bookmarkEnd w:id="312"/>
      <w:bookmarkEnd w:id="313"/>
    </w:p>
    <w:p w14:paraId="7699421D">
      <w:pPr>
        <w:wordWrap w:val="0"/>
        <w:adjustRightInd w:val="0"/>
        <w:snapToGrid w:val="0"/>
        <w:spacing w:line="440" w:lineRule="exact"/>
        <w:jc w:val="center"/>
        <w:rPr>
          <w:rFonts w:ascii="Times New Roman"/>
          <w:b/>
          <w:snapToGrid w:val="0"/>
          <w:color w:val="auto"/>
          <w:kern w:val="0"/>
          <w:highlight w:val="none"/>
        </w:rPr>
      </w:pPr>
    </w:p>
    <w:p w14:paraId="6A37BA44">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72F2551D">
      <w:pPr>
        <w:wordWrap w:val="0"/>
        <w:adjustRightInd w:val="0"/>
        <w:snapToGrid w:val="0"/>
        <w:spacing w:line="500" w:lineRule="exact"/>
        <w:ind w:firstLine="570"/>
        <w:rPr>
          <w:rFonts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我方在仔细研究</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 xml:space="preserve">（小写）：（¥ </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）竞投本项目监理及相关服务</w:t>
      </w:r>
      <w:r>
        <w:rPr>
          <w:rFonts w:hint="eastAsia" w:hAnsi="宋体" w:cs="宋体"/>
          <w:snapToGrid w:val="0"/>
          <w:color w:val="auto"/>
          <w:kern w:val="0"/>
          <w:szCs w:val="22"/>
          <w:highlight w:val="none"/>
          <w:lang w:eastAsia="zh-CN"/>
        </w:rPr>
        <w:t>，投标取费费率为</w:t>
      </w:r>
      <w:r>
        <w:rPr>
          <w:rFonts w:hint="eastAsia" w:hAnsi="宋体" w:cs="宋体"/>
          <w:snapToGrid w:val="0"/>
          <w:color w:val="auto"/>
          <w:kern w:val="0"/>
          <w:szCs w:val="22"/>
          <w:highlight w:val="none"/>
          <w:u w:val="single"/>
          <w:lang w:eastAsia="zh-CN"/>
        </w:rPr>
        <w:t xml:space="preserve">     </w:t>
      </w:r>
      <w:r>
        <w:rPr>
          <w:rFonts w:hint="eastAsia" w:hAnsi="宋体" w:cs="宋体"/>
          <w:snapToGrid w:val="0"/>
          <w:color w:val="auto"/>
          <w:kern w:val="0"/>
          <w:szCs w:val="22"/>
          <w:highlight w:val="none"/>
          <w:lang w:eastAsia="zh-CN"/>
        </w:rPr>
        <w:t>%</w:t>
      </w:r>
      <w:r>
        <w:rPr>
          <w:rFonts w:hint="eastAsia" w:hAnsi="宋体" w:cs="宋体"/>
          <w:snapToGrid w:val="0"/>
          <w:color w:val="auto"/>
          <w:kern w:val="0"/>
          <w:szCs w:val="22"/>
          <w:highlight w:val="none"/>
        </w:rPr>
        <w:t>。</w:t>
      </w:r>
    </w:p>
    <w:p w14:paraId="00F3B9EA">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highlight w:val="none"/>
        </w:rPr>
      </w:pPr>
      <w:bookmarkStart w:id="315" w:name="_Hlt68771070"/>
      <w:bookmarkEnd w:id="315"/>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428C057D">
      <w:pPr>
        <w:wordWrap w:val="0"/>
        <w:adjustRightInd w:val="0"/>
        <w:snapToGrid w:val="0"/>
        <w:spacing w:line="440" w:lineRule="exact"/>
        <w:rPr>
          <w:rFonts w:ascii="Times New Roman"/>
          <w:snapToGrid w:val="0"/>
          <w:color w:val="auto"/>
          <w:kern w:val="0"/>
          <w:highlight w:val="none"/>
        </w:rPr>
      </w:pPr>
    </w:p>
    <w:p w14:paraId="276EABA1">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4CA7B314">
      <w:pPr>
        <w:wordWrap w:val="0"/>
        <w:adjustRightInd w:val="0"/>
        <w:snapToGrid w:val="0"/>
        <w:spacing w:line="440" w:lineRule="exact"/>
        <w:jc w:val="right"/>
        <w:rPr>
          <w:rFonts w:ascii="Times New Roman"/>
          <w:snapToGrid w:val="0"/>
          <w:color w:val="auto"/>
          <w:kern w:val="0"/>
          <w:highlight w:val="none"/>
        </w:rPr>
      </w:pPr>
    </w:p>
    <w:p w14:paraId="387ED88C">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highlight w:val="none"/>
        </w:rPr>
      </w:pPr>
    </w:p>
    <w:p w14:paraId="28DC9D94">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25B8347D">
      <w:pPr>
        <w:pStyle w:val="72"/>
        <w:widowControl w:val="0"/>
        <w:wordWrap w:val="0"/>
        <w:adjustRightInd w:val="0"/>
        <w:snapToGrid w:val="0"/>
        <w:spacing w:line="400" w:lineRule="exact"/>
        <w:ind w:firstLine="0"/>
        <w:outlineLvl w:val="1"/>
        <w:rPr>
          <w:rFonts w:hAnsi="宋体" w:cs="宋体"/>
          <w:b/>
          <w:snapToGrid w:val="0"/>
          <w:color w:val="auto"/>
          <w:sz w:val="24"/>
          <w:highlight w:val="none"/>
        </w:rPr>
      </w:pPr>
      <w:bookmarkStart w:id="316" w:name="_Toc30600"/>
      <w:r>
        <w:rPr>
          <w:rFonts w:hint="eastAsia" w:hAnsi="宋体" w:cs="宋体"/>
          <w:b/>
          <w:snapToGrid w:val="0"/>
          <w:color w:val="auto"/>
          <w:sz w:val="24"/>
          <w:highlight w:val="none"/>
        </w:rPr>
        <w:t>格式三 各项承诺一览表</w:t>
      </w:r>
      <w:bookmarkEnd w:id="316"/>
    </w:p>
    <w:p w14:paraId="20B05016">
      <w:pPr>
        <w:pStyle w:val="71"/>
        <w:keepNext w:val="0"/>
        <w:keepLines w:val="0"/>
        <w:widowControl w:val="0"/>
        <w:wordWrap w:val="0"/>
        <w:adjustRightInd w:val="0"/>
        <w:snapToGrid w:val="0"/>
        <w:spacing w:before="260" w:after="260" w:line="440" w:lineRule="exact"/>
        <w:ind w:firstLine="0"/>
        <w:outlineLvl w:val="9"/>
        <w:rPr>
          <w:rFonts w:hAnsi="宋体" w:cs="宋体"/>
          <w:b/>
          <w:snapToGrid w:val="0"/>
          <w:color w:val="auto"/>
          <w:highlight w:val="none"/>
        </w:rPr>
      </w:pPr>
      <w:bookmarkStart w:id="317" w:name="_Toc24548"/>
      <w:bookmarkStart w:id="318" w:name="_Toc11270"/>
      <w:bookmarkStart w:id="319" w:name="_Toc7685"/>
      <w:bookmarkStart w:id="320" w:name="_Toc18253"/>
      <w:bookmarkStart w:id="321" w:name="_Toc27092"/>
      <w:r>
        <w:rPr>
          <w:rFonts w:hint="eastAsia" w:hAnsi="宋体" w:cs="宋体"/>
          <w:b/>
          <w:snapToGrid w:val="0"/>
          <w:color w:val="auto"/>
          <w:sz w:val="30"/>
          <w:highlight w:val="none"/>
        </w:rPr>
        <w:t>各项承诺一览表</w:t>
      </w:r>
      <w:bookmarkEnd w:id="317"/>
      <w:bookmarkEnd w:id="318"/>
      <w:bookmarkEnd w:id="319"/>
      <w:bookmarkEnd w:id="320"/>
      <w:bookmarkEnd w:id="321"/>
    </w:p>
    <w:tbl>
      <w:tblPr>
        <w:tblStyle w:val="3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3"/>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序号</w:t>
            </w:r>
          </w:p>
        </w:tc>
        <w:tc>
          <w:tcPr>
            <w:tcW w:w="1573" w:type="dxa"/>
            <w:tcBorders>
              <w:tl2br w:val="nil"/>
              <w:tr2bl w:val="nil"/>
            </w:tcBorders>
            <w:vAlign w:val="center"/>
          </w:tcPr>
          <w:p w14:paraId="0DD645C3">
            <w:pPr>
              <w:pStyle w:val="73"/>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承诺事项</w:t>
            </w:r>
          </w:p>
        </w:tc>
        <w:tc>
          <w:tcPr>
            <w:tcW w:w="2923" w:type="dxa"/>
            <w:tcBorders>
              <w:tl2br w:val="nil"/>
              <w:tr2bl w:val="nil"/>
            </w:tcBorders>
            <w:vAlign w:val="center"/>
          </w:tcPr>
          <w:p w14:paraId="286917BA">
            <w:pPr>
              <w:pStyle w:val="73"/>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承诺内容</w:t>
            </w:r>
          </w:p>
        </w:tc>
        <w:tc>
          <w:tcPr>
            <w:tcW w:w="4019" w:type="dxa"/>
            <w:tcBorders>
              <w:tl2br w:val="nil"/>
              <w:tr2bl w:val="nil"/>
            </w:tcBorders>
            <w:vAlign w:val="center"/>
          </w:tcPr>
          <w:p w14:paraId="5A051E55">
            <w:pPr>
              <w:pStyle w:val="73"/>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tcBorders>
              <w:tl2br w:val="nil"/>
              <w:tr2bl w:val="nil"/>
            </w:tcBorders>
            <w:vAlign w:val="center"/>
          </w:tcPr>
          <w:p w14:paraId="746B30D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71ED28B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923" w:type="dxa"/>
            <w:tcBorders>
              <w:tl2br w:val="nil"/>
              <w:tr2bl w:val="nil"/>
            </w:tcBorders>
            <w:vAlign w:val="center"/>
          </w:tcPr>
          <w:p w14:paraId="2D307866">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tcBorders>
              <w:tl2br w:val="nil"/>
              <w:tr2bl w:val="nil"/>
            </w:tcBorders>
            <w:vAlign w:val="center"/>
          </w:tcPr>
          <w:p w14:paraId="4E13328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2E04458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923" w:type="dxa"/>
            <w:tcBorders>
              <w:tl2br w:val="nil"/>
              <w:tr2bl w:val="nil"/>
            </w:tcBorders>
            <w:vAlign w:val="center"/>
          </w:tcPr>
          <w:p w14:paraId="6A2783C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019" w:type="dxa"/>
            <w:tcBorders>
              <w:tl2br w:val="nil"/>
              <w:tr2bl w:val="nil"/>
            </w:tcBorders>
            <w:vAlign w:val="center"/>
          </w:tcPr>
          <w:p w14:paraId="60B01B1E">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tcBorders>
              <w:tl2br w:val="nil"/>
              <w:tr2bl w:val="nil"/>
            </w:tcBorders>
            <w:vAlign w:val="center"/>
          </w:tcPr>
          <w:p w14:paraId="7327796A">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6537DAA0">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3A865B06">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923" w:type="dxa"/>
            <w:tcBorders>
              <w:tl2br w:val="nil"/>
              <w:tr2bl w:val="nil"/>
            </w:tcBorders>
            <w:vAlign w:val="center"/>
          </w:tcPr>
          <w:p w14:paraId="1074D0F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tcBorders>
              <w:tl2br w:val="nil"/>
              <w:tr2bl w:val="nil"/>
            </w:tcBorders>
            <w:vAlign w:val="center"/>
          </w:tcPr>
          <w:p w14:paraId="754EDB94">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4D5B47C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923" w:type="dxa"/>
            <w:tcBorders>
              <w:tl2br w:val="nil"/>
              <w:tr2bl w:val="nil"/>
            </w:tcBorders>
            <w:vAlign w:val="center"/>
          </w:tcPr>
          <w:p w14:paraId="0015B20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tcBorders>
              <w:tl2br w:val="nil"/>
              <w:tr2bl w:val="nil"/>
            </w:tcBorders>
            <w:vAlign w:val="center"/>
          </w:tcPr>
          <w:p w14:paraId="003F6C1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5656361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923" w:type="dxa"/>
            <w:tcBorders>
              <w:tl2br w:val="nil"/>
              <w:tr2bl w:val="nil"/>
            </w:tcBorders>
            <w:vAlign w:val="center"/>
          </w:tcPr>
          <w:p w14:paraId="3AAF78A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019" w:type="dxa"/>
            <w:tcBorders>
              <w:tl2br w:val="nil"/>
              <w:tr2bl w:val="nil"/>
            </w:tcBorders>
            <w:vAlign w:val="center"/>
          </w:tcPr>
          <w:p w14:paraId="537798B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tcBorders>
              <w:tl2br w:val="nil"/>
              <w:tr2bl w:val="nil"/>
            </w:tcBorders>
            <w:vAlign w:val="center"/>
          </w:tcPr>
          <w:p w14:paraId="4626B0C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3294E70E">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923" w:type="dxa"/>
            <w:tcBorders>
              <w:tl2br w:val="nil"/>
              <w:tr2bl w:val="nil"/>
            </w:tcBorders>
            <w:vAlign w:val="center"/>
          </w:tcPr>
          <w:p w14:paraId="0BD5A69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highlight w:val="none"/>
                <w:lang w:eastAsia="zh-CN"/>
              </w:rPr>
            </w:pPr>
            <w:r>
              <w:rPr>
                <w:rFonts w:hint="eastAsia" w:hAnsi="宋体" w:cs="宋体"/>
                <w:snapToGrid w:val="0"/>
                <w:color w:val="auto"/>
                <w:kern w:val="0"/>
                <w:sz w:val="21"/>
                <w:szCs w:val="21"/>
                <w:highlight w:val="none"/>
                <w:lang w:val="en-US" w:eastAsia="zh-CN"/>
              </w:rPr>
              <w:t>7</w:t>
            </w:r>
          </w:p>
        </w:tc>
        <w:tc>
          <w:tcPr>
            <w:tcW w:w="1573" w:type="dxa"/>
            <w:tcBorders>
              <w:tl2br w:val="nil"/>
              <w:tr2bl w:val="nil"/>
            </w:tcBorders>
            <w:vAlign w:val="center"/>
          </w:tcPr>
          <w:p w14:paraId="7E0FB44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3DA8757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923" w:type="dxa"/>
            <w:tcBorders>
              <w:tl2br w:val="nil"/>
              <w:tr2bl w:val="nil"/>
            </w:tcBorders>
            <w:vAlign w:val="center"/>
          </w:tcPr>
          <w:p w14:paraId="108034DD">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3"/>
        <w:wordWrap w:val="0"/>
        <w:adjustRightInd w:val="0"/>
        <w:snapToGrid w:val="0"/>
        <w:spacing w:line="420" w:lineRule="exact"/>
        <w:jc w:val="left"/>
        <w:rPr>
          <w:rFonts w:hAnsi="宋体" w:cs="宋体"/>
          <w:snapToGrid w:val="0"/>
          <w:color w:val="auto"/>
          <w:kern w:val="0"/>
          <w:highlight w:val="none"/>
        </w:rPr>
      </w:pPr>
    </w:p>
    <w:p w14:paraId="4B6FF6DB">
      <w:pPr>
        <w:pStyle w:val="73"/>
        <w:wordWrap w:val="0"/>
        <w:adjustRightInd w:val="0"/>
        <w:snapToGrid w:val="0"/>
        <w:spacing w:line="420" w:lineRule="exact"/>
        <w:jc w:val="left"/>
        <w:rPr>
          <w:rFonts w:hAnsi="宋体" w:cs="宋体"/>
          <w:snapToGrid w:val="0"/>
          <w:color w:val="auto"/>
          <w:kern w:val="0"/>
          <w:highlight w:val="none"/>
        </w:rPr>
      </w:pPr>
    </w:p>
    <w:p w14:paraId="148553C2">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28CA7502">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BE8168B">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172B28D">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40FD3ED2">
      <w:pPr>
        <w:pStyle w:val="17"/>
        <w:wordWrap w:val="0"/>
        <w:adjustRightInd w:val="0"/>
        <w:snapToGrid w:val="0"/>
        <w:spacing w:line="420" w:lineRule="exact"/>
        <w:ind w:firstLine="480" w:firstLineChars="200"/>
        <w:rPr>
          <w:rFonts w:hAnsi="宋体" w:cs="宋体"/>
          <w:snapToGrid w:val="0"/>
          <w:color w:val="auto"/>
          <w:kern w:val="0"/>
          <w:szCs w:val="24"/>
          <w:highlight w:val="none"/>
        </w:rPr>
      </w:pPr>
    </w:p>
    <w:p w14:paraId="498998F1">
      <w:pPr>
        <w:pStyle w:val="17"/>
        <w:wordWrap w:val="0"/>
        <w:adjustRightInd w:val="0"/>
        <w:snapToGrid w:val="0"/>
        <w:spacing w:line="420" w:lineRule="exact"/>
        <w:ind w:firstLine="480" w:firstLineChars="200"/>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3E8D0F6D">
      <w:pPr>
        <w:wordWrap w:val="0"/>
        <w:adjustRightInd w:val="0"/>
        <w:snapToGrid w:val="0"/>
        <w:spacing w:line="420" w:lineRule="exact"/>
        <w:jc w:val="left"/>
        <w:rPr>
          <w:rFonts w:hAnsi="宋体" w:cs="宋体"/>
          <w:b/>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highlight w:val="none"/>
        </w:rPr>
      </w:pPr>
      <w:bookmarkStart w:id="322" w:name="_Toc3697"/>
      <w:r>
        <w:rPr>
          <w:rFonts w:hint="eastAsia" w:hAnsi="宋体" w:cs="宋体"/>
          <w:b/>
          <w:bCs/>
          <w:snapToGrid w:val="0"/>
          <w:color w:val="auto"/>
          <w:kern w:val="0"/>
          <w:szCs w:val="24"/>
          <w:highlight w:val="none"/>
        </w:rPr>
        <w:t>格式四 授权委托书</w:t>
      </w:r>
      <w:bookmarkEnd w:id="322"/>
    </w:p>
    <w:p w14:paraId="759A7BEF">
      <w:pPr>
        <w:wordWrap w:val="0"/>
        <w:adjustRightInd w:val="0"/>
        <w:snapToGrid w:val="0"/>
        <w:spacing w:line="440" w:lineRule="exact"/>
        <w:rPr>
          <w:rFonts w:hAnsi="宋体" w:cs="宋体"/>
          <w:b/>
          <w:bCs/>
          <w:snapToGrid w:val="0"/>
          <w:color w:val="auto"/>
          <w:kern w:val="0"/>
          <w:szCs w:val="24"/>
          <w:highlight w:val="none"/>
        </w:rPr>
      </w:pPr>
    </w:p>
    <w:p w14:paraId="1D02247C">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授权委托书</w:t>
      </w:r>
    </w:p>
    <w:p w14:paraId="2077EBE8">
      <w:pPr>
        <w:wordWrap w:val="0"/>
        <w:adjustRightInd w:val="0"/>
        <w:snapToGrid w:val="0"/>
        <w:spacing w:line="440" w:lineRule="exact"/>
        <w:rPr>
          <w:rFonts w:hAnsi="宋体" w:cs="宋体"/>
          <w:snapToGrid w:val="0"/>
          <w:color w:val="auto"/>
          <w:kern w:val="0"/>
          <w:szCs w:val="28"/>
          <w:highlight w:val="none"/>
        </w:rPr>
      </w:pPr>
    </w:p>
    <w:p w14:paraId="30754A5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i/>
          <w:iCs/>
          <w:snapToGrid w:val="0"/>
          <w:color w:val="auto"/>
          <w:kern w:val="0"/>
          <w:szCs w:val="21"/>
          <w:highlight w:val="none"/>
          <w:u w:val="single"/>
        </w:rPr>
        <w:t>（不得短于招标文件规定的投标有效期）</w:t>
      </w:r>
      <w:r>
        <w:rPr>
          <w:rFonts w:hint="eastAsia" w:hAnsi="宋体" w:cs="宋体"/>
          <w:snapToGrid w:val="0"/>
          <w:color w:val="auto"/>
          <w:kern w:val="0"/>
          <w:szCs w:val="21"/>
          <w:highlight w:val="none"/>
        </w:rPr>
        <w:t xml:space="preserve"> 。</w:t>
      </w:r>
    </w:p>
    <w:p w14:paraId="58D1757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highlight w:val="none"/>
        </w:rPr>
      </w:pPr>
    </w:p>
    <w:p w14:paraId="2168011B">
      <w:pPr>
        <w:wordWrap w:val="0"/>
        <w:adjustRightInd w:val="0"/>
        <w:snapToGrid w:val="0"/>
        <w:spacing w:line="440" w:lineRule="exact"/>
        <w:ind w:firstLine="480" w:firstLineChars="200"/>
        <w:rPr>
          <w:rFonts w:hAnsi="宋体" w:cs="宋体"/>
          <w:snapToGrid w:val="0"/>
          <w:color w:val="auto"/>
          <w:kern w:val="0"/>
          <w:szCs w:val="21"/>
          <w:highlight w:val="none"/>
        </w:rPr>
      </w:pPr>
    </w:p>
    <w:p w14:paraId="5D117B02">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657F48EA">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5A982326">
      <w:pPr>
        <w:wordWrap w:val="0"/>
        <w:adjustRightInd w:val="0"/>
        <w:snapToGrid w:val="0"/>
        <w:spacing w:line="440" w:lineRule="exact"/>
        <w:ind w:firstLine="480" w:firstLineChars="200"/>
        <w:rPr>
          <w:rFonts w:hAnsi="宋体" w:cs="宋体"/>
          <w:snapToGrid w:val="0"/>
          <w:color w:val="auto"/>
          <w:kern w:val="0"/>
          <w:szCs w:val="21"/>
          <w:highlight w:val="none"/>
        </w:rPr>
      </w:pPr>
    </w:p>
    <w:p w14:paraId="47DE65D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highlight w:val="none"/>
        </w:rPr>
      </w:pPr>
    </w:p>
    <w:p w14:paraId="636F605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07FCA71E">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764F8561">
      <w:pPr>
        <w:wordWrap w:val="0"/>
        <w:adjustRightInd w:val="0"/>
        <w:snapToGrid w:val="0"/>
        <w:spacing w:line="440" w:lineRule="exact"/>
        <w:ind w:firstLine="480" w:firstLineChars="200"/>
        <w:rPr>
          <w:rFonts w:hAnsi="宋体" w:cs="宋体"/>
          <w:snapToGrid w:val="0"/>
          <w:color w:val="auto"/>
          <w:kern w:val="0"/>
          <w:szCs w:val="21"/>
          <w:highlight w:val="none"/>
        </w:rPr>
      </w:pPr>
    </w:p>
    <w:p w14:paraId="79AD2214">
      <w:pPr>
        <w:wordWrap w:val="0"/>
        <w:adjustRightInd w:val="0"/>
        <w:snapToGrid w:val="0"/>
        <w:spacing w:line="440" w:lineRule="exact"/>
        <w:ind w:firstLine="480" w:firstLineChars="200"/>
        <w:rPr>
          <w:rFonts w:hAnsi="宋体" w:cs="宋体"/>
          <w:snapToGrid w:val="0"/>
          <w:color w:val="auto"/>
          <w:kern w:val="0"/>
          <w:szCs w:val="21"/>
          <w:highlight w:val="none"/>
        </w:rPr>
      </w:pPr>
    </w:p>
    <w:p w14:paraId="523F244E">
      <w:pPr>
        <w:wordWrap w:val="0"/>
        <w:adjustRightInd w:val="0"/>
        <w:snapToGrid w:val="0"/>
        <w:ind w:firstLine="6440" w:firstLineChars="2300"/>
        <w:rPr>
          <w:rFonts w:hAnsi="宋体" w:cs="宋体"/>
          <w:snapToGrid w:val="0"/>
          <w:color w:val="auto"/>
          <w:kern w:val="0"/>
          <w:szCs w:val="24"/>
          <w:highlight w:val="none"/>
        </w:rPr>
      </w:pPr>
      <w:r>
        <w:rPr>
          <w:rFonts w:hint="eastAsia" w:hAnsi="宋体" w:cs="宋体"/>
          <w:snapToGrid w:val="0"/>
          <w:color w:val="auto"/>
          <w:kern w:val="0"/>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auto"/>
          <w:kern w:val="0"/>
          <w:szCs w:val="24"/>
          <w:highlight w:val="none"/>
        </w:rPr>
      </w:pPr>
    </w:p>
    <w:p w14:paraId="3DEB4B42">
      <w:pPr>
        <w:bidi w:val="0"/>
        <w:rPr>
          <w:color w:val="auto"/>
          <w:highlight w:val="none"/>
        </w:rPr>
      </w:pPr>
    </w:p>
    <w:p w14:paraId="4EE63B06">
      <w:pPr>
        <w:wordWrap w:val="0"/>
        <w:adjustRightInd w:val="0"/>
        <w:snapToGrid w:val="0"/>
        <w:rPr>
          <w:rFonts w:hAnsi="宋体" w:cs="宋体"/>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highlight w:val="none"/>
        </w:rPr>
      </w:pPr>
      <w:bookmarkStart w:id="323" w:name="_Toc12713"/>
      <w:r>
        <w:rPr>
          <w:rFonts w:hint="eastAsia" w:hAnsi="宋体" w:cs="宋体"/>
          <w:b/>
          <w:snapToGrid w:val="0"/>
          <w:color w:val="auto"/>
          <w:kern w:val="0"/>
          <w:highlight w:val="none"/>
        </w:rPr>
        <w:t>格式五 法定代表人身份证明</w:t>
      </w:r>
      <w:bookmarkEnd w:id="323"/>
    </w:p>
    <w:p w14:paraId="6BB79DDB">
      <w:pPr>
        <w:wordWrap w:val="0"/>
        <w:adjustRightInd w:val="0"/>
        <w:snapToGrid w:val="0"/>
        <w:spacing w:line="440" w:lineRule="exact"/>
        <w:rPr>
          <w:rFonts w:hAnsi="宋体" w:cs="宋体"/>
          <w:b/>
          <w:snapToGrid w:val="0"/>
          <w:color w:val="auto"/>
          <w:kern w:val="0"/>
          <w:highlight w:val="none"/>
        </w:rPr>
      </w:pPr>
    </w:p>
    <w:p w14:paraId="16729C42">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2FF4BF41">
      <w:pPr>
        <w:wordWrap w:val="0"/>
        <w:adjustRightInd w:val="0"/>
        <w:snapToGrid w:val="0"/>
        <w:spacing w:line="440" w:lineRule="exact"/>
        <w:rPr>
          <w:rFonts w:hAnsi="宋体" w:cs="宋体"/>
          <w:snapToGrid w:val="0"/>
          <w:color w:val="auto"/>
          <w:kern w:val="0"/>
          <w:szCs w:val="21"/>
          <w:highlight w:val="none"/>
        </w:rPr>
      </w:pPr>
    </w:p>
    <w:p w14:paraId="7DB8BCD1">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5F87A2BE">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49E9994E">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0EC840B0">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6BD5A741">
      <w:pPr>
        <w:wordWrap w:val="0"/>
        <w:adjustRightInd w:val="0"/>
        <w:snapToGrid w:val="0"/>
        <w:spacing w:line="440" w:lineRule="exact"/>
        <w:rPr>
          <w:rFonts w:hAnsi="宋体" w:cs="宋体"/>
          <w:snapToGrid w:val="0"/>
          <w:color w:val="auto"/>
          <w:kern w:val="0"/>
          <w:szCs w:val="21"/>
          <w:highlight w:val="none"/>
        </w:rPr>
      </w:pPr>
    </w:p>
    <w:p w14:paraId="2E95E920">
      <w:pPr>
        <w:wordWrap w:val="0"/>
        <w:adjustRightInd w:val="0"/>
        <w:snapToGrid w:val="0"/>
        <w:spacing w:line="440" w:lineRule="exact"/>
        <w:rPr>
          <w:rFonts w:hAnsi="宋体" w:cs="宋体"/>
          <w:snapToGrid w:val="0"/>
          <w:color w:val="auto"/>
          <w:kern w:val="0"/>
          <w:szCs w:val="21"/>
          <w:highlight w:val="none"/>
        </w:rPr>
      </w:pPr>
    </w:p>
    <w:p w14:paraId="2BAF37F3">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5931070">
      <w:pPr>
        <w:wordWrap w:val="0"/>
        <w:adjustRightInd w:val="0"/>
        <w:snapToGrid w:val="0"/>
        <w:spacing w:line="440" w:lineRule="exact"/>
        <w:jc w:val="right"/>
        <w:rPr>
          <w:rFonts w:hAnsi="宋体" w:cs="宋体"/>
          <w:snapToGrid w:val="0"/>
          <w:color w:val="auto"/>
          <w:kern w:val="0"/>
          <w:szCs w:val="21"/>
          <w:highlight w:val="none"/>
        </w:rPr>
      </w:pPr>
    </w:p>
    <w:p w14:paraId="4E9E006A">
      <w:pPr>
        <w:wordWrap w:val="0"/>
        <w:adjustRightInd w:val="0"/>
        <w:snapToGrid w:val="0"/>
        <w:spacing w:line="440" w:lineRule="exact"/>
        <w:jc w:val="right"/>
        <w:rPr>
          <w:rFonts w:hAnsi="宋体" w:cs="宋体"/>
          <w:snapToGrid w:val="0"/>
          <w:color w:val="auto"/>
          <w:kern w:val="0"/>
          <w:szCs w:val="21"/>
          <w:highlight w:val="none"/>
        </w:rPr>
      </w:pPr>
    </w:p>
    <w:p w14:paraId="6E1D2B4A">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C11D6D8">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4649928B">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highlight w:val="none"/>
        </w:rPr>
      </w:pPr>
    </w:p>
    <w:p w14:paraId="658B356B">
      <w:pPr>
        <w:wordWrap w:val="0"/>
        <w:adjustRightInd w:val="0"/>
        <w:snapToGrid w:val="0"/>
        <w:spacing w:line="440" w:lineRule="exact"/>
        <w:ind w:firstLine="240" w:firstLineChars="100"/>
        <w:rPr>
          <w:rFonts w:hAnsi="宋体" w:cs="宋体"/>
          <w:snapToGrid w:val="0"/>
          <w:color w:val="auto"/>
          <w:kern w:val="0"/>
          <w:szCs w:val="21"/>
          <w:highlight w:val="none"/>
        </w:rPr>
      </w:pPr>
    </w:p>
    <w:p w14:paraId="5B344952">
      <w:pPr>
        <w:wordWrap w:val="0"/>
        <w:adjustRightInd w:val="0"/>
        <w:snapToGrid w:val="0"/>
        <w:spacing w:line="440" w:lineRule="exact"/>
        <w:ind w:firstLine="720" w:firstLineChars="300"/>
        <w:rPr>
          <w:rFonts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1F32B462">
      <w:pPr>
        <w:wordWrap w:val="0"/>
        <w:adjustRightInd w:val="0"/>
        <w:snapToGrid w:val="0"/>
        <w:rPr>
          <w:rFonts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highlight w:val="none"/>
        </w:rPr>
      </w:pPr>
    </w:p>
    <w:p w14:paraId="42859630">
      <w:pPr>
        <w:wordWrap w:val="0"/>
        <w:adjustRightInd w:val="0"/>
        <w:snapToGrid w:val="0"/>
        <w:spacing w:line="480" w:lineRule="exact"/>
        <w:jc w:val="center"/>
        <w:rPr>
          <w:rFonts w:hAnsi="宋体" w:cs="宋体"/>
          <w:b/>
          <w:snapToGrid w:val="0"/>
          <w:color w:val="auto"/>
          <w:kern w:val="0"/>
          <w:sz w:val="28"/>
          <w:szCs w:val="28"/>
          <w:highlight w:val="none"/>
        </w:rPr>
      </w:pPr>
    </w:p>
    <w:p w14:paraId="67FF2234">
      <w:pPr>
        <w:wordWrap w:val="0"/>
        <w:adjustRightInd w:val="0"/>
        <w:snapToGrid w:val="0"/>
        <w:spacing w:line="480" w:lineRule="exact"/>
        <w:jc w:val="center"/>
        <w:rPr>
          <w:rFonts w:hAnsi="宋体" w:cs="宋体"/>
          <w:b/>
          <w:snapToGrid w:val="0"/>
          <w:color w:val="auto"/>
          <w:kern w:val="0"/>
          <w:sz w:val="28"/>
          <w:szCs w:val="28"/>
          <w:highlight w:val="none"/>
        </w:rPr>
      </w:pPr>
    </w:p>
    <w:p w14:paraId="75D1150B">
      <w:pPr>
        <w:wordWrap w:val="0"/>
        <w:adjustRightInd w:val="0"/>
        <w:snapToGrid w:val="0"/>
        <w:spacing w:line="480" w:lineRule="exact"/>
        <w:jc w:val="center"/>
        <w:rPr>
          <w:rFonts w:hAnsi="宋体" w:cs="宋体"/>
          <w:b/>
          <w:snapToGrid w:val="0"/>
          <w:color w:val="auto"/>
          <w:kern w:val="0"/>
          <w:sz w:val="28"/>
          <w:szCs w:val="28"/>
          <w:highlight w:val="none"/>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highlight w:val="none"/>
        </w:rPr>
      </w:pPr>
      <w:bookmarkStart w:id="324" w:name="_Toc17939"/>
      <w:r>
        <w:rPr>
          <w:rFonts w:hint="eastAsia" w:hAnsi="宋体" w:cs="宋体"/>
          <w:b/>
          <w:bCs/>
          <w:snapToGrid w:val="0"/>
          <w:color w:val="auto"/>
          <w:kern w:val="0"/>
          <w:szCs w:val="24"/>
          <w:highlight w:val="none"/>
        </w:rPr>
        <w:t>格式六 投标人基本情况表</w:t>
      </w:r>
      <w:bookmarkEnd w:id="324"/>
    </w:p>
    <w:p w14:paraId="3C45457B">
      <w:pPr>
        <w:pStyle w:val="72"/>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29F5C9C3">
            <w:pPr>
              <w:pStyle w:val="136"/>
              <w:wordWrap w:val="0"/>
              <w:adjustRightInd w:val="0"/>
              <w:snapToGrid w:val="0"/>
              <w:jc w:val="center"/>
              <w:rPr>
                <w:rFonts w:ascii="宋体" w:hAnsi="宋体" w:cs="宋体"/>
                <w:snapToGrid w:val="0"/>
                <w:color w:val="auto"/>
                <w:kern w:val="0"/>
                <w:szCs w:val="21"/>
                <w:highlight w:val="none"/>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41522393">
            <w:pPr>
              <w:pStyle w:val="136"/>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0BEA5ED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515E2314">
            <w:pPr>
              <w:pStyle w:val="136"/>
              <w:wordWrap w:val="0"/>
              <w:adjustRightInd w:val="0"/>
              <w:snapToGrid w:val="0"/>
              <w:jc w:val="center"/>
              <w:rPr>
                <w:rFonts w:ascii="宋体" w:hAnsi="宋体" w:cs="宋体"/>
                <w:snapToGrid w:val="0"/>
                <w:color w:val="auto"/>
                <w:kern w:val="0"/>
                <w:szCs w:val="21"/>
                <w:highlight w:val="none"/>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7594670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164B535F">
            <w:pPr>
              <w:pStyle w:val="136"/>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7B9898D">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137FBF1E">
            <w:pPr>
              <w:pStyle w:val="136"/>
              <w:wordWrap w:val="0"/>
              <w:adjustRightInd w:val="0"/>
              <w:snapToGrid w:val="0"/>
              <w:jc w:val="center"/>
              <w:rPr>
                <w:rFonts w:ascii="宋体" w:hAnsi="宋体" w:cs="宋体"/>
                <w:snapToGrid w:val="0"/>
                <w:color w:val="auto"/>
                <w:kern w:val="0"/>
                <w:szCs w:val="21"/>
                <w:highlight w:val="none"/>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6"/>
              <w:wordWrap w:val="0"/>
              <w:adjustRightInd w:val="0"/>
              <w:snapToGrid w:val="0"/>
              <w:jc w:val="center"/>
              <w:rPr>
                <w:rFonts w:ascii="宋体" w:hAnsi="宋体" w:cs="宋体"/>
                <w:snapToGrid w:val="0"/>
                <w:color w:val="auto"/>
                <w:kern w:val="0"/>
                <w:szCs w:val="21"/>
                <w:highlight w:val="none"/>
              </w:rPr>
            </w:pPr>
          </w:p>
        </w:tc>
        <w:tc>
          <w:tcPr>
            <w:tcW w:w="897" w:type="dxa"/>
            <w:vAlign w:val="center"/>
          </w:tcPr>
          <w:p w14:paraId="321DEB8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4DCC7DF0">
            <w:pPr>
              <w:pStyle w:val="136"/>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0A861B3">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2B81EB7B">
            <w:pPr>
              <w:pStyle w:val="136"/>
              <w:wordWrap w:val="0"/>
              <w:adjustRightInd w:val="0"/>
              <w:snapToGrid w:val="0"/>
              <w:jc w:val="center"/>
              <w:rPr>
                <w:rFonts w:ascii="宋体" w:hAnsi="宋体" w:cs="宋体"/>
                <w:snapToGrid w:val="0"/>
                <w:color w:val="auto"/>
                <w:kern w:val="0"/>
                <w:szCs w:val="21"/>
                <w:highlight w:val="none"/>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7308E285">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01032AE9">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0722914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7AD6FF43">
            <w:pPr>
              <w:pStyle w:val="136"/>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6E7CBB9E">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44831199">
            <w:pPr>
              <w:pStyle w:val="136"/>
              <w:wordWrap w:val="0"/>
              <w:adjustRightInd w:val="0"/>
              <w:snapToGrid w:val="0"/>
              <w:jc w:val="center"/>
              <w:rPr>
                <w:rFonts w:ascii="宋体" w:hAnsi="宋体" w:cs="宋体"/>
                <w:snapToGrid w:val="0"/>
                <w:color w:val="auto"/>
                <w:kern w:val="0"/>
                <w:szCs w:val="21"/>
                <w:highlight w:val="none"/>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2CF40332">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4F32A38E">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76373BE1">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414D5E8B">
            <w:pPr>
              <w:pStyle w:val="136"/>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25D8523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00E4877">
            <w:pPr>
              <w:pStyle w:val="136"/>
              <w:wordWrap w:val="0"/>
              <w:adjustRightInd w:val="0"/>
              <w:snapToGrid w:val="0"/>
              <w:jc w:val="center"/>
              <w:rPr>
                <w:rFonts w:ascii="宋体" w:hAnsi="宋体" w:cs="宋体"/>
                <w:snapToGrid w:val="0"/>
                <w:color w:val="auto"/>
                <w:kern w:val="0"/>
                <w:szCs w:val="21"/>
                <w:highlight w:val="none"/>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31845C08">
            <w:pPr>
              <w:pStyle w:val="136"/>
              <w:wordWrap w:val="0"/>
              <w:adjustRightInd w:val="0"/>
              <w:snapToGrid w:val="0"/>
              <w:jc w:val="center"/>
              <w:rPr>
                <w:rFonts w:ascii="宋体" w:hAnsi="宋体" w:cs="宋体"/>
                <w:snapToGrid w:val="0"/>
                <w:color w:val="auto"/>
                <w:kern w:val="0"/>
                <w:szCs w:val="21"/>
                <w:highlight w:val="none"/>
              </w:rPr>
            </w:pPr>
          </w:p>
        </w:tc>
        <w:tc>
          <w:tcPr>
            <w:tcW w:w="4434" w:type="dxa"/>
            <w:gridSpan w:val="6"/>
            <w:vAlign w:val="center"/>
          </w:tcPr>
          <w:p w14:paraId="5488CAE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70FDE49A">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3FBBCF9F">
            <w:pPr>
              <w:pStyle w:val="136"/>
              <w:wordWrap w:val="0"/>
              <w:adjustRightInd w:val="0"/>
              <w:snapToGrid w:val="0"/>
              <w:jc w:val="left"/>
              <w:rPr>
                <w:rFonts w:ascii="宋体" w:hAnsi="宋体" w:cs="宋体"/>
                <w:snapToGrid w:val="0"/>
                <w:color w:val="auto"/>
                <w:kern w:val="0"/>
                <w:szCs w:val="21"/>
                <w:highlight w:val="none"/>
              </w:rPr>
            </w:pPr>
          </w:p>
        </w:tc>
        <w:tc>
          <w:tcPr>
            <w:tcW w:w="1089" w:type="dxa"/>
            <w:gridSpan w:val="2"/>
            <w:vMerge w:val="restart"/>
            <w:vAlign w:val="center"/>
          </w:tcPr>
          <w:p w14:paraId="53F8BA9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13106D9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66A45836">
            <w:pPr>
              <w:pStyle w:val="136"/>
              <w:wordWrap w:val="0"/>
              <w:adjustRightInd w:val="0"/>
              <w:snapToGrid w:val="0"/>
              <w:jc w:val="center"/>
              <w:rPr>
                <w:rFonts w:ascii="宋体" w:hAnsi="宋体" w:cs="宋体"/>
                <w:snapToGrid w:val="0"/>
                <w:color w:val="auto"/>
                <w:kern w:val="0"/>
                <w:szCs w:val="21"/>
                <w:highlight w:val="none"/>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537F167F">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2FE95C77">
            <w:pPr>
              <w:pStyle w:val="136"/>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58F77C7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6727EBCF">
            <w:pPr>
              <w:pStyle w:val="136"/>
              <w:wordWrap w:val="0"/>
              <w:adjustRightInd w:val="0"/>
              <w:snapToGrid w:val="0"/>
              <w:jc w:val="center"/>
              <w:rPr>
                <w:rFonts w:ascii="宋体" w:hAnsi="宋体" w:cs="宋体"/>
                <w:snapToGrid w:val="0"/>
                <w:color w:val="auto"/>
                <w:kern w:val="0"/>
                <w:szCs w:val="21"/>
                <w:highlight w:val="none"/>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6B4F28EE">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339F6456">
            <w:pPr>
              <w:pStyle w:val="136"/>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099C1C60">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5467645F">
            <w:pPr>
              <w:pStyle w:val="136"/>
              <w:wordWrap w:val="0"/>
              <w:adjustRightInd w:val="0"/>
              <w:snapToGrid w:val="0"/>
              <w:jc w:val="center"/>
              <w:rPr>
                <w:rFonts w:ascii="宋体" w:hAnsi="宋体" w:cs="宋体"/>
                <w:snapToGrid w:val="0"/>
                <w:color w:val="auto"/>
                <w:kern w:val="0"/>
                <w:szCs w:val="21"/>
                <w:highlight w:val="none"/>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66D9813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531EB950">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6FB92093">
            <w:pPr>
              <w:pStyle w:val="136"/>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7786B5B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5AAF3BA2">
            <w:pPr>
              <w:pStyle w:val="136"/>
              <w:wordWrap w:val="0"/>
              <w:adjustRightInd w:val="0"/>
              <w:snapToGrid w:val="0"/>
              <w:jc w:val="center"/>
              <w:rPr>
                <w:rFonts w:ascii="宋体" w:hAnsi="宋体" w:cs="宋体"/>
                <w:snapToGrid w:val="0"/>
                <w:color w:val="auto"/>
                <w:kern w:val="0"/>
                <w:szCs w:val="21"/>
                <w:highlight w:val="none"/>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41FAD38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5F82E5BB">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4376DF60">
            <w:pPr>
              <w:pStyle w:val="136"/>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4671252B">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5F52F934">
            <w:pPr>
              <w:pStyle w:val="136"/>
              <w:wordWrap w:val="0"/>
              <w:adjustRightInd w:val="0"/>
              <w:snapToGrid w:val="0"/>
              <w:jc w:val="center"/>
              <w:rPr>
                <w:rFonts w:ascii="宋体" w:hAnsi="宋体" w:cs="宋体"/>
                <w:snapToGrid w:val="0"/>
                <w:color w:val="auto"/>
                <w:kern w:val="0"/>
                <w:szCs w:val="21"/>
                <w:highlight w:val="none"/>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28B3173C">
            <w:pPr>
              <w:pStyle w:val="136"/>
              <w:wordWrap w:val="0"/>
              <w:adjustRightInd w:val="0"/>
              <w:snapToGrid w:val="0"/>
              <w:jc w:val="center"/>
              <w:rPr>
                <w:rFonts w:ascii="宋体" w:hAnsi="宋体" w:cs="宋体"/>
                <w:snapToGrid w:val="0"/>
                <w:color w:val="auto"/>
                <w:kern w:val="0"/>
                <w:szCs w:val="21"/>
                <w:highlight w:val="none"/>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627CBE37">
            <w:pPr>
              <w:pStyle w:val="136"/>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8866B0F">
            <w:pPr>
              <w:pStyle w:val="136"/>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B8DF13B">
            <w:pPr>
              <w:pStyle w:val="136"/>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8C5A631">
            <w:pPr>
              <w:pStyle w:val="136"/>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0B7A9410">
            <w:pPr>
              <w:pStyle w:val="136"/>
              <w:wordWrap w:val="0"/>
              <w:adjustRightInd w:val="0"/>
              <w:snapToGrid w:val="0"/>
              <w:jc w:val="center"/>
              <w:rPr>
                <w:rFonts w:ascii="宋体" w:hAnsi="宋体" w:cs="宋体"/>
                <w:snapToGrid w:val="0"/>
                <w:color w:val="auto"/>
                <w:kern w:val="0"/>
                <w:szCs w:val="21"/>
                <w:highlight w:val="none"/>
              </w:rPr>
            </w:pPr>
          </w:p>
        </w:tc>
      </w:tr>
    </w:tbl>
    <w:p w14:paraId="31CF04E5">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8B0DF88">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77700285">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w:t>
      </w:r>
      <w:r>
        <w:rPr>
          <w:rFonts w:hint="eastAsia" w:ascii="宋体" w:hAnsi="宋体" w:cs="宋体"/>
          <w:snapToGrid w:val="0"/>
          <w:color w:val="auto"/>
          <w:kern w:val="0"/>
          <w:szCs w:val="21"/>
          <w:highlight w:val="none"/>
          <w:lang w:val="en-US" w:eastAsia="zh-CN"/>
        </w:rPr>
        <w:t>彩色</w:t>
      </w:r>
      <w:r>
        <w:rPr>
          <w:rFonts w:hint="eastAsia" w:ascii="宋体" w:hAnsi="宋体" w:cs="宋体"/>
          <w:snapToGrid w:val="0"/>
          <w:color w:val="auto"/>
          <w:kern w:val="0"/>
          <w:szCs w:val="21"/>
          <w:highlight w:val="none"/>
        </w:rPr>
        <w:t>扫描件（因推行电子证照，企业的营业执照、资质证书等可以提供电子证照）；</w:t>
      </w:r>
    </w:p>
    <w:p w14:paraId="3B9DB170">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“进粤企业和人员诚信信息登记平台”企业信息情况打印页。（适用于省外企业）</w:t>
      </w:r>
      <w:r>
        <w:rPr>
          <w:rFonts w:hint="eastAsia" w:ascii="宋体" w:hAnsi="宋体" w:cs="宋体"/>
          <w:snapToGrid w:val="0"/>
          <w:color w:val="auto"/>
          <w:kern w:val="0"/>
          <w:szCs w:val="21"/>
          <w:highlight w:val="none"/>
        </w:rPr>
        <w:t>。</w:t>
      </w:r>
    </w:p>
    <w:p w14:paraId="6A573612">
      <w:pPr>
        <w:pStyle w:val="72"/>
        <w:widowControl w:val="0"/>
        <w:wordWrap w:val="0"/>
        <w:adjustRightInd w:val="0"/>
        <w:snapToGrid w:val="0"/>
        <w:spacing w:line="400" w:lineRule="exact"/>
        <w:rPr>
          <w:rFonts w:hAnsi="宋体" w:cs="宋体"/>
          <w:snapToGrid w:val="0"/>
          <w:color w:val="auto"/>
          <w:sz w:val="21"/>
          <w:szCs w:val="21"/>
          <w:highlight w:val="none"/>
        </w:rPr>
      </w:pPr>
      <w:r>
        <w:rPr>
          <w:rFonts w:hint="eastAsia" w:hAnsi="宋体" w:cs="宋体"/>
          <w:snapToGrid w:val="0"/>
          <w:color w:val="auto"/>
          <w:sz w:val="21"/>
          <w:szCs w:val="21"/>
          <w:highlight w:val="none"/>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highlight w:val="none"/>
        </w:rPr>
      </w:pPr>
      <w:bookmarkStart w:id="325" w:name="_Toc11472"/>
      <w:r>
        <w:rPr>
          <w:rFonts w:hint="eastAsia" w:hAnsi="宋体" w:cs="宋体"/>
          <w:b/>
          <w:snapToGrid w:val="0"/>
          <w:color w:val="auto"/>
          <w:kern w:val="0"/>
          <w:highlight w:val="none"/>
        </w:rPr>
        <w:t>格式七  总监理工程师任职声明（适用于无任职项目）</w:t>
      </w:r>
      <w:bookmarkEnd w:id="325"/>
    </w:p>
    <w:p w14:paraId="6FD021E2">
      <w:pPr>
        <w:wordWrap w:val="0"/>
        <w:adjustRightInd w:val="0"/>
        <w:snapToGrid w:val="0"/>
        <w:spacing w:line="440" w:lineRule="exact"/>
        <w:jc w:val="left"/>
        <w:rPr>
          <w:rFonts w:hAnsi="宋体" w:cs="宋体"/>
          <w:b/>
          <w:snapToGrid w:val="0"/>
          <w:color w:val="auto"/>
          <w:kern w:val="0"/>
          <w:highlight w:val="none"/>
        </w:rPr>
      </w:pPr>
    </w:p>
    <w:p w14:paraId="7734BDAC">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F3A4633">
      <w:pPr>
        <w:wordWrap w:val="0"/>
        <w:adjustRightInd w:val="0"/>
        <w:snapToGrid w:val="0"/>
        <w:spacing w:line="440" w:lineRule="exact"/>
        <w:jc w:val="center"/>
        <w:rPr>
          <w:rFonts w:hAnsi="宋体" w:cs="宋体"/>
          <w:snapToGrid w:val="0"/>
          <w:color w:val="auto"/>
          <w:kern w:val="0"/>
          <w:szCs w:val="28"/>
          <w:highlight w:val="none"/>
        </w:rPr>
      </w:pPr>
    </w:p>
    <w:p w14:paraId="14B6B195">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36EB755F">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特此承诺　　</w:t>
      </w:r>
    </w:p>
    <w:p w14:paraId="699B7C56">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244A9EE">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FB105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2A604D50">
      <w:pPr>
        <w:wordWrap w:val="0"/>
        <w:adjustRightInd w:val="0"/>
        <w:snapToGrid w:val="0"/>
        <w:spacing w:line="440" w:lineRule="exact"/>
        <w:jc w:val="right"/>
        <w:rPr>
          <w:rFonts w:hAnsi="宋体" w:cs="宋体"/>
          <w:snapToGrid w:val="0"/>
          <w:color w:val="auto"/>
          <w:kern w:val="0"/>
          <w:szCs w:val="28"/>
          <w:highlight w:val="none"/>
        </w:rPr>
      </w:pPr>
    </w:p>
    <w:p w14:paraId="71BB53AD">
      <w:pPr>
        <w:wordWrap w:val="0"/>
        <w:adjustRightInd w:val="0"/>
        <w:snapToGrid w:val="0"/>
        <w:spacing w:line="440" w:lineRule="exact"/>
        <w:jc w:val="right"/>
        <w:rPr>
          <w:rFonts w:hAnsi="宋体" w:cs="宋体"/>
          <w:snapToGrid w:val="0"/>
          <w:color w:val="auto"/>
          <w:kern w:val="0"/>
          <w:szCs w:val="28"/>
          <w:highlight w:val="none"/>
        </w:rPr>
      </w:pPr>
    </w:p>
    <w:p w14:paraId="0C3A73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7AE6CC90">
      <w:pPr>
        <w:wordWrap w:val="0"/>
        <w:adjustRightInd w:val="0"/>
        <w:snapToGrid w:val="0"/>
        <w:spacing w:line="440" w:lineRule="exact"/>
        <w:jc w:val="right"/>
        <w:rPr>
          <w:rFonts w:hAnsi="宋体" w:cs="宋体"/>
          <w:snapToGrid w:val="0"/>
          <w:color w:val="auto"/>
          <w:kern w:val="0"/>
          <w:szCs w:val="28"/>
          <w:highlight w:val="none"/>
        </w:rPr>
      </w:pPr>
    </w:p>
    <w:p w14:paraId="3C9B11CD">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7BA2FE9F">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highlight w:val="none"/>
        </w:rPr>
      </w:pPr>
      <w:bookmarkStart w:id="326" w:name="_Toc29211"/>
      <w:r>
        <w:rPr>
          <w:rFonts w:hint="eastAsia" w:hAnsi="宋体" w:cs="宋体"/>
          <w:b/>
          <w:snapToGrid w:val="0"/>
          <w:color w:val="auto"/>
          <w:kern w:val="0"/>
          <w:highlight w:val="none"/>
        </w:rPr>
        <w:t>格式八 总监理工程师任职声明（适用于有任职项目）</w:t>
      </w:r>
      <w:bookmarkEnd w:id="326"/>
    </w:p>
    <w:p w14:paraId="449B4FD5">
      <w:pPr>
        <w:wordWrap w:val="0"/>
        <w:adjustRightInd w:val="0"/>
        <w:snapToGrid w:val="0"/>
        <w:spacing w:line="440" w:lineRule="exact"/>
        <w:jc w:val="left"/>
        <w:rPr>
          <w:rFonts w:hAnsi="宋体" w:cs="宋体"/>
          <w:b/>
          <w:snapToGrid w:val="0"/>
          <w:color w:val="auto"/>
          <w:kern w:val="0"/>
          <w:highlight w:val="none"/>
        </w:rPr>
      </w:pPr>
    </w:p>
    <w:p w14:paraId="14A50C1D">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B3ED8C9">
      <w:pPr>
        <w:wordWrap w:val="0"/>
        <w:adjustRightInd w:val="0"/>
        <w:snapToGrid w:val="0"/>
        <w:spacing w:line="440" w:lineRule="exact"/>
        <w:jc w:val="center"/>
        <w:rPr>
          <w:rFonts w:hAnsi="宋体" w:cs="宋体"/>
          <w:snapToGrid w:val="0"/>
          <w:color w:val="auto"/>
          <w:kern w:val="0"/>
          <w:szCs w:val="28"/>
          <w:highlight w:val="none"/>
        </w:rPr>
      </w:pPr>
    </w:p>
    <w:p w14:paraId="45489580">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（总监理工程师姓名）现阶段正在担任</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1FA625A2">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特此承诺</w:t>
      </w:r>
    </w:p>
    <w:p w14:paraId="46BFCB72">
      <w:pPr>
        <w:wordWrap w:val="0"/>
        <w:adjustRightInd w:val="0"/>
        <w:snapToGrid w:val="0"/>
        <w:spacing w:line="440" w:lineRule="exact"/>
        <w:ind w:firstLine="480"/>
        <w:rPr>
          <w:rFonts w:hAnsi="宋体" w:cs="宋体"/>
          <w:snapToGrid w:val="0"/>
          <w:color w:val="auto"/>
          <w:kern w:val="0"/>
          <w:szCs w:val="28"/>
          <w:highlight w:val="none"/>
        </w:rPr>
      </w:pPr>
    </w:p>
    <w:p w14:paraId="627F814D">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47D291EC">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1B4B0533">
      <w:pPr>
        <w:wordWrap w:val="0"/>
        <w:adjustRightInd w:val="0"/>
        <w:snapToGrid w:val="0"/>
        <w:spacing w:line="440" w:lineRule="exact"/>
        <w:jc w:val="right"/>
        <w:rPr>
          <w:rFonts w:hAnsi="宋体" w:cs="宋体"/>
          <w:snapToGrid w:val="0"/>
          <w:color w:val="auto"/>
          <w:kern w:val="0"/>
          <w:szCs w:val="28"/>
          <w:highlight w:val="none"/>
        </w:rPr>
      </w:pPr>
    </w:p>
    <w:p w14:paraId="487F86BE">
      <w:pPr>
        <w:wordWrap w:val="0"/>
        <w:adjustRightInd w:val="0"/>
        <w:snapToGrid w:val="0"/>
        <w:spacing w:line="440" w:lineRule="exact"/>
        <w:jc w:val="right"/>
        <w:rPr>
          <w:rFonts w:hAnsi="宋体" w:cs="宋体"/>
          <w:snapToGrid w:val="0"/>
          <w:color w:val="auto"/>
          <w:kern w:val="0"/>
          <w:szCs w:val="28"/>
          <w:highlight w:val="none"/>
        </w:rPr>
      </w:pPr>
    </w:p>
    <w:p w14:paraId="7D65E6AD">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029F2B4C">
      <w:pPr>
        <w:wordWrap w:val="0"/>
        <w:adjustRightInd w:val="0"/>
        <w:snapToGrid w:val="0"/>
        <w:spacing w:line="440" w:lineRule="exact"/>
        <w:jc w:val="right"/>
        <w:rPr>
          <w:rFonts w:hAnsi="宋体" w:cs="宋体"/>
          <w:snapToGrid w:val="0"/>
          <w:color w:val="auto"/>
          <w:kern w:val="0"/>
          <w:szCs w:val="28"/>
          <w:highlight w:val="none"/>
        </w:rPr>
      </w:pPr>
    </w:p>
    <w:p w14:paraId="1E734F3E">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19DAFB93">
      <w:pPr>
        <w:wordWrap w:val="0"/>
        <w:adjustRightInd w:val="0"/>
        <w:snapToGrid w:val="0"/>
        <w:spacing w:line="440" w:lineRule="exact"/>
        <w:jc w:val="center"/>
        <w:rPr>
          <w:rFonts w:hAnsi="宋体" w:cs="宋体"/>
          <w:snapToGrid w:val="0"/>
          <w:color w:val="auto"/>
          <w:kern w:val="0"/>
          <w:szCs w:val="28"/>
          <w:highlight w:val="none"/>
        </w:rPr>
      </w:pPr>
    </w:p>
    <w:p w14:paraId="77D57279">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highlight w:val="none"/>
        </w:rPr>
      </w:pPr>
      <w:bookmarkStart w:id="327" w:name="_Toc17768"/>
      <w:r>
        <w:rPr>
          <w:rFonts w:hint="eastAsia" w:hAnsi="宋体" w:cs="宋体"/>
          <w:b/>
          <w:bCs/>
          <w:snapToGrid w:val="0"/>
          <w:color w:val="auto"/>
          <w:kern w:val="0"/>
          <w:szCs w:val="24"/>
          <w:highlight w:val="none"/>
        </w:rPr>
        <w:t>格式九 总监理工程师任职项目情况表</w:t>
      </w:r>
      <w:bookmarkEnd w:id="327"/>
    </w:p>
    <w:p w14:paraId="1C05E0FA">
      <w:pPr>
        <w:wordWrap w:val="0"/>
        <w:adjustRightInd w:val="0"/>
        <w:snapToGrid w:val="0"/>
        <w:spacing w:line="440" w:lineRule="exact"/>
        <w:rPr>
          <w:rFonts w:hAnsi="宋体" w:cs="宋体"/>
          <w:b/>
          <w:bCs/>
          <w:snapToGrid w:val="0"/>
          <w:color w:val="auto"/>
          <w:kern w:val="0"/>
          <w:szCs w:val="24"/>
          <w:highlight w:val="none"/>
        </w:rPr>
      </w:pPr>
    </w:p>
    <w:p w14:paraId="1E110BE9">
      <w:pPr>
        <w:pStyle w:val="72"/>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 xml:space="preserve"> 总监理工程师任职项目情况表（）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2771" w:type="dxa"/>
            <w:vAlign w:val="center"/>
          </w:tcPr>
          <w:p w14:paraId="2DFCFA84">
            <w:pPr>
              <w:pStyle w:val="136"/>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6AC2BA15">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项目所在地</w:t>
            </w:r>
          </w:p>
        </w:tc>
        <w:tc>
          <w:tcPr>
            <w:tcW w:w="2594" w:type="dxa"/>
            <w:vAlign w:val="center"/>
          </w:tcPr>
          <w:p w14:paraId="24CD9F05">
            <w:pPr>
              <w:pStyle w:val="136"/>
              <w:wordWrap w:val="0"/>
              <w:adjustRightInd w:val="0"/>
              <w:snapToGrid w:val="0"/>
              <w:jc w:val="center"/>
              <w:rPr>
                <w:rFonts w:ascii="宋体" w:hAnsi="宋体" w:cs="宋体"/>
                <w:snapToGrid w:val="0"/>
                <w:color w:val="auto"/>
                <w:kern w:val="0"/>
                <w:szCs w:val="21"/>
                <w:highlight w:val="none"/>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委托人名称</w:t>
            </w:r>
          </w:p>
        </w:tc>
        <w:tc>
          <w:tcPr>
            <w:tcW w:w="2771" w:type="dxa"/>
            <w:vAlign w:val="center"/>
          </w:tcPr>
          <w:p w14:paraId="5F8E80CE">
            <w:pPr>
              <w:pStyle w:val="136"/>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1BC9377E">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委托人地址</w:t>
            </w:r>
          </w:p>
        </w:tc>
        <w:tc>
          <w:tcPr>
            <w:tcW w:w="2594" w:type="dxa"/>
            <w:vAlign w:val="center"/>
          </w:tcPr>
          <w:p w14:paraId="334897D3">
            <w:pPr>
              <w:pStyle w:val="136"/>
              <w:wordWrap w:val="0"/>
              <w:adjustRightInd w:val="0"/>
              <w:snapToGrid w:val="0"/>
              <w:jc w:val="center"/>
              <w:rPr>
                <w:rFonts w:ascii="宋体" w:hAnsi="宋体" w:cs="宋体"/>
                <w:snapToGrid w:val="0"/>
                <w:color w:val="auto"/>
                <w:kern w:val="0"/>
                <w:szCs w:val="21"/>
                <w:highlight w:val="none"/>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委托人电话</w:t>
            </w:r>
          </w:p>
        </w:tc>
        <w:tc>
          <w:tcPr>
            <w:tcW w:w="2771" w:type="dxa"/>
            <w:vAlign w:val="center"/>
          </w:tcPr>
          <w:p w14:paraId="2AAC336B">
            <w:pPr>
              <w:pStyle w:val="136"/>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0B3B45">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总监理工程师</w:t>
            </w:r>
          </w:p>
        </w:tc>
        <w:tc>
          <w:tcPr>
            <w:tcW w:w="2594" w:type="dxa"/>
            <w:vAlign w:val="center"/>
          </w:tcPr>
          <w:p w14:paraId="2993C8DD">
            <w:pPr>
              <w:pStyle w:val="136"/>
              <w:wordWrap w:val="0"/>
              <w:adjustRightInd w:val="0"/>
              <w:snapToGrid w:val="0"/>
              <w:jc w:val="center"/>
              <w:rPr>
                <w:rFonts w:ascii="宋体" w:hAnsi="宋体" w:cs="宋体"/>
                <w:snapToGrid w:val="0"/>
                <w:color w:val="auto"/>
                <w:kern w:val="0"/>
                <w:szCs w:val="21"/>
                <w:highlight w:val="none"/>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监理服务期限</w:t>
            </w:r>
          </w:p>
        </w:tc>
        <w:tc>
          <w:tcPr>
            <w:tcW w:w="2771" w:type="dxa"/>
            <w:vAlign w:val="center"/>
          </w:tcPr>
          <w:p w14:paraId="253ECA3C">
            <w:pPr>
              <w:pStyle w:val="136"/>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79C80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监理内容</w:t>
            </w:r>
          </w:p>
        </w:tc>
        <w:tc>
          <w:tcPr>
            <w:tcW w:w="2594" w:type="dxa"/>
            <w:vAlign w:val="center"/>
          </w:tcPr>
          <w:p w14:paraId="1EEFB69A">
            <w:pPr>
              <w:pStyle w:val="136"/>
              <w:wordWrap w:val="0"/>
              <w:adjustRightInd w:val="0"/>
              <w:snapToGrid w:val="0"/>
              <w:jc w:val="center"/>
              <w:rPr>
                <w:rFonts w:ascii="宋体" w:hAnsi="宋体" w:cs="宋体"/>
                <w:snapToGrid w:val="0"/>
                <w:color w:val="auto"/>
                <w:kern w:val="0"/>
                <w:szCs w:val="21"/>
                <w:highlight w:val="none"/>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项目描述</w:t>
            </w:r>
          </w:p>
        </w:tc>
        <w:tc>
          <w:tcPr>
            <w:tcW w:w="7000" w:type="dxa"/>
            <w:gridSpan w:val="3"/>
            <w:vAlign w:val="center"/>
          </w:tcPr>
          <w:p w14:paraId="21A54D72">
            <w:pPr>
              <w:pStyle w:val="136"/>
              <w:wordWrap w:val="0"/>
              <w:adjustRightInd w:val="0"/>
              <w:snapToGrid w:val="0"/>
              <w:jc w:val="left"/>
              <w:rPr>
                <w:rFonts w:ascii="宋体" w:hAnsi="宋体" w:cs="宋体"/>
                <w:snapToGrid w:val="0"/>
                <w:color w:val="auto"/>
                <w:kern w:val="0"/>
                <w:szCs w:val="21"/>
                <w:highlight w:val="none"/>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委托人声明</w:t>
            </w:r>
          </w:p>
        </w:tc>
        <w:tc>
          <w:tcPr>
            <w:tcW w:w="7000" w:type="dxa"/>
            <w:gridSpan w:val="3"/>
            <w:vAlign w:val="center"/>
          </w:tcPr>
          <w:p w14:paraId="418BE4BE">
            <w:pPr>
              <w:pStyle w:val="136"/>
              <w:adjustRightInd w:val="0"/>
              <w:snapToGrid w:val="0"/>
              <w:spacing w:line="360" w:lineRule="auto"/>
              <w:rPr>
                <w:rFonts w:ascii="宋体" w:hAnsi="宋体" w:cs="宋体"/>
                <w:snapToGrid w:val="0"/>
                <w:color w:val="auto"/>
                <w:kern w:val="0"/>
                <w:szCs w:val="21"/>
                <w:highlight w:val="none"/>
              </w:rPr>
            </w:pPr>
          </w:p>
          <w:p w14:paraId="602D8050">
            <w:pPr>
              <w:pStyle w:val="136"/>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致：</w:t>
            </w:r>
            <w:r>
              <w:rPr>
                <w:rFonts w:hint="eastAsia" w:ascii="宋体" w:hAnsi="宋体" w:cs="宋体"/>
                <w:snapToGrid w:val="0"/>
                <w:color w:val="auto"/>
                <w:kern w:val="0"/>
                <w:szCs w:val="21"/>
                <w:highlight w:val="none"/>
                <w:u w:val="single"/>
              </w:rPr>
              <w:t>（本招标项目招标人名称）</w:t>
            </w:r>
          </w:p>
          <w:p w14:paraId="37F7ABA7">
            <w:pPr>
              <w:pStyle w:val="136"/>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我方在此声明：</w:t>
            </w:r>
          </w:p>
          <w:p w14:paraId="221BF42B">
            <w:pPr>
              <w:pStyle w:val="136"/>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一、在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同志任我方在施项目总监理工程师期间，如果</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中标你方招标项目监理业务，在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6DBCA6A9">
            <w:pPr>
              <w:pStyle w:val="136"/>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二、无论</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同志是否担任其他建设项目的总监理工程师，</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都必须完全、严格履行我方在施项目监理合同中约定的所有义务，并确保服务内容、服务质量不得有任何减少或降低。</w:t>
            </w:r>
          </w:p>
          <w:p w14:paraId="092F9495">
            <w:pPr>
              <w:pStyle w:val="136"/>
              <w:adjustRightInd w:val="0"/>
              <w:snapToGrid w:val="0"/>
              <w:spacing w:line="360" w:lineRule="auto"/>
              <w:rPr>
                <w:rFonts w:ascii="宋体" w:hAnsi="宋体" w:cs="宋体"/>
                <w:snapToGrid w:val="0"/>
                <w:color w:val="auto"/>
                <w:kern w:val="0"/>
                <w:szCs w:val="21"/>
                <w:highlight w:val="none"/>
              </w:rPr>
            </w:pPr>
          </w:p>
          <w:p w14:paraId="2DED7437">
            <w:pPr>
              <w:pStyle w:val="136"/>
              <w:adjustRightInd w:val="0"/>
              <w:snapToGrid w:val="0"/>
              <w:spacing w:line="360" w:lineRule="auto"/>
              <w:rPr>
                <w:rFonts w:ascii="宋体" w:hAnsi="宋体" w:cs="宋体"/>
                <w:snapToGrid w:val="0"/>
                <w:color w:val="auto"/>
                <w:kern w:val="0"/>
                <w:szCs w:val="21"/>
                <w:highlight w:val="none"/>
              </w:rPr>
            </w:pPr>
          </w:p>
          <w:p w14:paraId="599D977E">
            <w:pPr>
              <w:pStyle w:val="136"/>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建设单位名称：</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（盖单位章）</w:t>
            </w:r>
          </w:p>
          <w:p w14:paraId="1047DB8F">
            <w:pPr>
              <w:pStyle w:val="136"/>
              <w:adjustRightInd w:val="0"/>
              <w:snapToGrid w:val="0"/>
              <w:spacing w:line="360" w:lineRule="auto"/>
              <w:jc w:val="right"/>
              <w:rPr>
                <w:rFonts w:ascii="宋体" w:hAnsi="宋体" w:cs="宋体"/>
                <w:snapToGrid w:val="0"/>
                <w:color w:val="auto"/>
                <w:kern w:val="0"/>
                <w:szCs w:val="21"/>
                <w:highlight w:val="none"/>
              </w:rPr>
            </w:pPr>
          </w:p>
          <w:p w14:paraId="36196D25">
            <w:pPr>
              <w:pStyle w:val="136"/>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XXXX年XX月XX日</w:t>
            </w:r>
          </w:p>
        </w:tc>
      </w:tr>
    </w:tbl>
    <w:p w14:paraId="01E57326">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621617A">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3AD580BD">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每份情况表后应附该项目的合同协议书彩色扫描件。</w:t>
      </w:r>
    </w:p>
    <w:p w14:paraId="5D509C1C">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8"/>
          <w:highlight w:val="none"/>
        </w:rPr>
        <w:t>．投标人填写本</w:t>
      </w:r>
      <w:r>
        <w:rPr>
          <w:rFonts w:hint="eastAsia" w:ascii="宋体" w:hAnsi="宋体" w:cs="宋体"/>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highlight w:val="none"/>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highlight w:val="none"/>
        </w:rPr>
      </w:pPr>
      <w:bookmarkStart w:id="328" w:name="_Toc29412"/>
      <w:bookmarkStart w:id="329" w:name="_Toc8264"/>
      <w:bookmarkStart w:id="330" w:name="_Toc200338098"/>
      <w:r>
        <w:rPr>
          <w:rFonts w:hint="eastAsia" w:hAnsi="宋体" w:cs="宋体"/>
          <w:b/>
          <w:snapToGrid w:val="0"/>
          <w:color w:val="auto"/>
          <w:kern w:val="0"/>
          <w:highlight w:val="none"/>
        </w:rPr>
        <w:t>格式</w:t>
      </w:r>
      <w:bookmarkStart w:id="331" w:name="_Hlt287950384"/>
      <w:bookmarkEnd w:id="331"/>
      <w:r>
        <w:rPr>
          <w:rFonts w:hint="eastAsia" w:hAnsi="宋体" w:cs="宋体"/>
          <w:b/>
          <w:bCs/>
          <w:snapToGrid w:val="0"/>
          <w:color w:val="auto"/>
          <w:kern w:val="0"/>
          <w:szCs w:val="24"/>
          <w:highlight w:val="none"/>
        </w:rPr>
        <w:t>十 项目监理机构组成人员汇总表</w:t>
      </w:r>
      <w:bookmarkEnd w:id="328"/>
    </w:p>
    <w:p w14:paraId="58540D5A">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highlight w:val="none"/>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highlight w:val="none"/>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highlight w:val="none"/>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highlight w:val="none"/>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highlight w:val="none"/>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highlight w:val="none"/>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highlight w:val="none"/>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highlight w:val="none"/>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highlight w:val="none"/>
              </w:rPr>
            </w:pPr>
          </w:p>
        </w:tc>
        <w:bookmarkStart w:id="332" w:name="_Hlt69116778"/>
        <w:bookmarkStart w:id="333" w:name="_附件十：单项工程费汇总表"/>
        <w:bookmarkStart w:id="334" w:name="_Hlt68774664"/>
        <w:bookmarkStart w:id="335" w:name="_附件二十五：综合评审合理低价法"/>
        <w:bookmarkStart w:id="336" w:name="_附件二十四：技术标提问单"/>
      </w:tr>
      <w:bookmarkEnd w:id="329"/>
      <w:bookmarkEnd w:id="330"/>
      <w:bookmarkEnd w:id="332"/>
      <w:bookmarkEnd w:id="333"/>
      <w:bookmarkEnd w:id="334"/>
      <w:bookmarkEnd w:id="335"/>
      <w:bookmarkEnd w:id="336"/>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highlight w:val="none"/>
              </w:rPr>
            </w:pPr>
          </w:p>
        </w:tc>
      </w:tr>
    </w:tbl>
    <w:p w14:paraId="4CDFA701">
      <w:pPr>
        <w:pStyle w:val="72"/>
        <w:widowControl w:val="0"/>
        <w:wordWrap w:val="0"/>
        <w:adjustRightInd w:val="0"/>
        <w:snapToGrid w:val="0"/>
        <w:spacing w:line="400" w:lineRule="exact"/>
        <w:rPr>
          <w:rFonts w:hAnsi="宋体" w:cs="宋体"/>
          <w:snapToGrid w:val="0"/>
          <w:color w:val="auto"/>
          <w:sz w:val="21"/>
          <w:highlight w:val="none"/>
        </w:rPr>
      </w:pPr>
      <w:r>
        <w:rPr>
          <w:rFonts w:hint="eastAsia" w:hAnsi="宋体" w:cs="宋体"/>
          <w:snapToGrid w:val="0"/>
          <w:color w:val="auto"/>
          <w:sz w:val="21"/>
          <w:highlight w:val="none"/>
        </w:rPr>
        <w:t>说明：</w:t>
      </w:r>
    </w:p>
    <w:p w14:paraId="24312D3D">
      <w:pPr>
        <w:pStyle w:val="72"/>
        <w:widowControl w:val="0"/>
        <w:wordWrap w:val="0"/>
        <w:adjustRightInd w:val="0"/>
        <w:snapToGrid w:val="0"/>
        <w:spacing w:line="400" w:lineRule="exact"/>
        <w:rPr>
          <w:rFonts w:hAnsi="宋体" w:cs="宋体"/>
          <w:snapToGrid w:val="0"/>
          <w:color w:val="auto"/>
          <w:sz w:val="21"/>
          <w:highlight w:val="none"/>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bookmarkEnd w:id="304"/>
      <w:bookmarkEnd w:id="305"/>
      <w:bookmarkEnd w:id="306"/>
      <w:bookmarkEnd w:id="307"/>
    </w:p>
    <w:p w14:paraId="63F60130">
      <w:pPr>
        <w:pStyle w:val="148"/>
        <w:keepNext/>
        <w:keepLines/>
        <w:snapToGrid w:val="0"/>
        <w:spacing w:line="400" w:lineRule="exact"/>
        <w:jc w:val="both"/>
        <w:rPr>
          <w:rFonts w:ascii="宋体" w:hAnsi="宋体" w:cs="宋体"/>
          <w:b/>
          <w:bCs/>
          <w:snapToGrid w:val="0"/>
          <w:color w:val="auto"/>
          <w:highlight w:val="none"/>
        </w:rPr>
      </w:pPr>
      <w:bookmarkStart w:id="337" w:name="_Toc24916"/>
      <w:bookmarkStart w:id="338" w:name="_Toc379"/>
      <w:r>
        <w:rPr>
          <w:rFonts w:hint="eastAsia" w:ascii="宋体" w:hAnsi="宋体" w:cs="宋体"/>
          <w:b/>
          <w:bCs/>
          <w:snapToGrid w:val="0"/>
          <w:color w:val="auto"/>
          <w:highlight w:val="none"/>
        </w:rPr>
        <w:t>格式十一  总监理工程师简历表</w:t>
      </w:r>
      <w:bookmarkEnd w:id="337"/>
      <w:bookmarkEnd w:id="338"/>
    </w:p>
    <w:p w14:paraId="6461E15D">
      <w:pPr>
        <w:adjustRightInd w:val="0"/>
        <w:snapToGrid w:val="0"/>
        <w:spacing w:line="400" w:lineRule="exact"/>
        <w:jc w:val="center"/>
        <w:rPr>
          <w:rFonts w:hAnsi="宋体" w:cs="宋体"/>
          <w:b/>
          <w:bCs/>
          <w:color w:val="auto"/>
          <w:sz w:val="32"/>
          <w:szCs w:val="22"/>
          <w:highlight w:val="none"/>
        </w:rPr>
      </w:pPr>
    </w:p>
    <w:p w14:paraId="13A99F0A">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总监理工程师简历表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highlight w:val="none"/>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highlight w:val="none"/>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highlight w:val="none"/>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highlight w:val="none"/>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highlight w:val="none"/>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highlight w:val="none"/>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highlight w:val="none"/>
              </w:rPr>
            </w:pPr>
          </w:p>
        </w:tc>
      </w:tr>
    </w:tbl>
    <w:p w14:paraId="05AF772E">
      <w:pPr>
        <w:adjustRightInd w:val="0"/>
        <w:snapToGrid w:val="0"/>
        <w:spacing w:line="400" w:lineRule="exact"/>
        <w:rPr>
          <w:rFonts w:hAnsi="宋体" w:cs="宋体"/>
          <w:color w:val="auto"/>
          <w:highlight w:val="none"/>
        </w:rPr>
      </w:pPr>
    </w:p>
    <w:p w14:paraId="55649CDC">
      <w:pPr>
        <w:pStyle w:val="73"/>
        <w:wordWrap w:val="0"/>
        <w:adjustRightInd w:val="0"/>
        <w:snapToGrid w:val="0"/>
        <w:spacing w:line="400" w:lineRule="exact"/>
        <w:jc w:val="right"/>
        <w:rPr>
          <w:rFonts w:hAnsi="宋体" w:cs="宋体"/>
          <w:snapToGrid w:val="0"/>
          <w:color w:val="auto"/>
          <w:kern w:val="0"/>
          <w:highlight w:val="none"/>
        </w:rPr>
      </w:pPr>
    </w:p>
    <w:p w14:paraId="5212B167">
      <w:pPr>
        <w:pStyle w:val="73"/>
        <w:wordWrap w:val="0"/>
        <w:adjustRightInd w:val="0"/>
        <w:snapToGrid w:val="0"/>
        <w:spacing w:line="400" w:lineRule="exact"/>
        <w:jc w:val="right"/>
        <w:rPr>
          <w:rFonts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0C2580C4">
      <w:pPr>
        <w:pStyle w:val="73"/>
        <w:wordWrap w:val="0"/>
        <w:adjustRightInd w:val="0"/>
        <w:snapToGrid w:val="0"/>
        <w:spacing w:line="400" w:lineRule="exact"/>
        <w:jc w:val="center"/>
        <w:rPr>
          <w:rFonts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54D577A5">
      <w:pPr>
        <w:wordWrap w:val="0"/>
        <w:adjustRightInd w:val="0"/>
        <w:snapToGrid w:val="0"/>
        <w:spacing w:line="400" w:lineRule="exact"/>
        <w:ind w:firstLine="570"/>
        <w:rPr>
          <w:rFonts w:hAnsi="宋体" w:cs="宋体"/>
          <w:snapToGrid w:val="0"/>
          <w:color w:val="auto"/>
          <w:kern w:val="0"/>
          <w:szCs w:val="28"/>
          <w:highlight w:val="none"/>
        </w:rPr>
      </w:pPr>
    </w:p>
    <w:p w14:paraId="1CA52C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2．监理工程师注册证书彩色扫描件（须彩色扫描至变更注册栏）</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hAnsi="宋体" w:cs="宋体"/>
          <w:snapToGrid w:val="0"/>
          <w:color w:val="auto"/>
          <w:kern w:val="0"/>
          <w:sz w:val="21"/>
          <w:szCs w:val="28"/>
          <w:highlight w:val="none"/>
        </w:rPr>
        <w:t>；</w:t>
      </w:r>
    </w:p>
    <w:p w14:paraId="4FD46B7A">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w:t>
      </w:r>
      <w:r>
        <w:rPr>
          <w:rFonts w:hint="eastAsia" w:hAnsi="宋体" w:cs="宋体"/>
          <w:caps w:val="0"/>
          <w:smallCaps w:val="0"/>
          <w:snapToGrid w:val="0"/>
          <w:color w:val="auto"/>
          <w:spacing w:val="0"/>
          <w:kern w:val="0"/>
          <w:sz w:val="21"/>
          <w:szCs w:val="28"/>
          <w:highlight w:val="none"/>
          <w:lang w:val="en-US" w:eastAsia="zh-CN"/>
        </w:rPr>
        <w:t>其中必须有2026年5月</w:t>
      </w:r>
      <w:r>
        <w:rPr>
          <w:rFonts w:hint="eastAsia" w:ascii="宋体" w:hAnsi="宋体" w:eastAsia="宋体" w:cs="宋体"/>
          <w:caps w:val="0"/>
          <w:smallCaps w:val="0"/>
          <w:snapToGrid w:val="0"/>
          <w:color w:val="auto"/>
          <w:spacing w:val="0"/>
          <w:kern w:val="0"/>
          <w:sz w:val="21"/>
          <w:szCs w:val="28"/>
          <w:highlight w:val="none"/>
          <w:lang w:val="en-US" w:eastAsia="zh-CN"/>
        </w:rPr>
        <w:t>）彩色扫描件。拟派总监理工程师为退休返聘人员无法提供社保证明的，提供退休证和劳动合同彩色扫描件；</w:t>
      </w:r>
    </w:p>
    <w:p w14:paraId="2DC2A311">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auto"/>
          <w:sz w:val="21"/>
          <w:highlight w:val="none"/>
        </w:rPr>
      </w:pPr>
    </w:p>
    <w:p w14:paraId="1F51A155">
      <w:pPr>
        <w:adjustRightInd w:val="0"/>
        <w:snapToGrid w:val="0"/>
        <w:spacing w:line="400" w:lineRule="exact"/>
        <w:rPr>
          <w:rFonts w:hAnsi="宋体" w:cs="宋体"/>
          <w:b/>
          <w:bCs/>
          <w:snapToGrid w:val="0"/>
          <w:color w:val="auto"/>
          <w:kern w:val="0"/>
          <w:szCs w:val="24"/>
          <w:highlight w:val="none"/>
        </w:rPr>
      </w:pPr>
      <w:bookmarkStart w:id="339" w:name="_Toc19546"/>
      <w:r>
        <w:rPr>
          <w:rFonts w:hint="eastAsia" w:hAnsi="宋体" w:cs="宋体"/>
          <w:b/>
          <w:bCs/>
          <w:snapToGrid w:val="0"/>
          <w:color w:val="auto"/>
          <w:kern w:val="0"/>
          <w:szCs w:val="24"/>
          <w:highlight w:val="none"/>
        </w:rPr>
        <w:br w:type="page"/>
      </w:r>
    </w:p>
    <w:p w14:paraId="32B105E3">
      <w:pPr>
        <w:pStyle w:val="148"/>
        <w:keepNext/>
        <w:keepLines/>
        <w:snapToGrid w:val="0"/>
        <w:spacing w:line="400" w:lineRule="exact"/>
        <w:jc w:val="both"/>
        <w:rPr>
          <w:rFonts w:ascii="宋体" w:hAnsi="宋体" w:cs="宋体"/>
          <w:b/>
          <w:bCs/>
          <w:snapToGrid w:val="0"/>
          <w:color w:val="auto"/>
          <w:highlight w:val="none"/>
        </w:rPr>
      </w:pPr>
      <w:bookmarkStart w:id="340" w:name="_Toc10500"/>
      <w:r>
        <w:rPr>
          <w:rFonts w:hint="eastAsia" w:ascii="宋体" w:hAnsi="宋体" w:cs="宋体"/>
          <w:b/>
          <w:bCs/>
          <w:snapToGrid w:val="0"/>
          <w:color w:val="auto"/>
          <w:highlight w:val="none"/>
        </w:rPr>
        <w:t>格式十二  其他拟派人员简历表</w:t>
      </w:r>
      <w:bookmarkEnd w:id="339"/>
      <w:bookmarkEnd w:id="340"/>
    </w:p>
    <w:p w14:paraId="6BB2F130">
      <w:pPr>
        <w:adjustRightInd w:val="0"/>
        <w:snapToGrid w:val="0"/>
        <w:spacing w:line="400" w:lineRule="exact"/>
        <w:jc w:val="center"/>
        <w:rPr>
          <w:rFonts w:hAnsi="宋体" w:cs="宋体"/>
          <w:b/>
          <w:bCs/>
          <w:color w:val="auto"/>
          <w:sz w:val="32"/>
          <w:szCs w:val="22"/>
          <w:highlight w:val="none"/>
        </w:rPr>
      </w:pPr>
    </w:p>
    <w:p w14:paraId="3FF56886">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其他拟派人员简历表（）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highlight w:val="none"/>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highlight w:val="none"/>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highlight w:val="none"/>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AEF7FE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6A8FC6B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highlight w:val="none"/>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highlight w:val="none"/>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highlight w:val="none"/>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highlight w:val="none"/>
              </w:rPr>
            </w:pPr>
          </w:p>
        </w:tc>
      </w:tr>
    </w:tbl>
    <w:p w14:paraId="77C02387">
      <w:pPr>
        <w:pStyle w:val="73"/>
        <w:wordWrap w:val="0"/>
        <w:adjustRightInd w:val="0"/>
        <w:snapToGrid w:val="0"/>
        <w:spacing w:line="400" w:lineRule="exact"/>
        <w:rPr>
          <w:rFonts w:hAnsi="宋体" w:cs="宋体"/>
          <w:snapToGrid w:val="0"/>
          <w:color w:val="auto"/>
          <w:kern w:val="0"/>
          <w:highlight w:val="none"/>
        </w:rPr>
      </w:pPr>
    </w:p>
    <w:p w14:paraId="51FC9EC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2C895D48">
      <w:pPr>
        <w:wordWrap w:val="0"/>
        <w:adjustRightInd w:val="0"/>
        <w:snapToGrid w:val="0"/>
        <w:spacing w:line="400" w:lineRule="exact"/>
        <w:ind w:firstLine="420"/>
        <w:rPr>
          <w:rFonts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highlight w:val="none"/>
        </w:rPr>
        <w:t>并标明序号。</w:t>
      </w:r>
    </w:p>
    <w:p w14:paraId="784C9BD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highlight w:val="none"/>
          <w:lang w:val="en-US" w:eastAsia="zh-CN"/>
        </w:rPr>
      </w:pPr>
      <w:r>
        <w:rPr>
          <w:rFonts w:hint="eastAsia" w:hAnsi="宋体" w:cs="宋体"/>
          <w:snapToGrid w:val="0"/>
          <w:color w:val="auto"/>
          <w:kern w:val="0"/>
          <w:sz w:val="21"/>
          <w:szCs w:val="28"/>
          <w:highlight w:val="none"/>
        </w:rPr>
        <w:t>（2）相关证书彩色扫描件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须彩色扫描至变更注册栏</w:t>
      </w:r>
      <w:r>
        <w:rPr>
          <w:rFonts w:hint="eastAsia" w:hAnsi="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ascii="宋体" w:hAnsi="宋体" w:eastAsia="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8"/>
          <w:highlight w:val="none"/>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Times New Roman"/>
          <w:snapToGrid w:val="0"/>
          <w:color w:val="auto"/>
          <w:kern w:val="0"/>
          <w:sz w:val="21"/>
          <w:szCs w:val="28"/>
          <w:highlight w:val="none"/>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w:t>
      </w:r>
      <w:r>
        <w:rPr>
          <w:rFonts w:hint="eastAsia" w:hAnsi="宋体" w:cs="宋体"/>
          <w:caps w:val="0"/>
          <w:smallCaps w:val="0"/>
          <w:snapToGrid w:val="0"/>
          <w:color w:val="auto"/>
          <w:spacing w:val="0"/>
          <w:kern w:val="0"/>
          <w:sz w:val="21"/>
          <w:szCs w:val="28"/>
          <w:highlight w:val="none"/>
          <w:lang w:val="en-US" w:eastAsia="zh-CN"/>
        </w:rPr>
        <w:t>其中必须有2026年5月</w:t>
      </w:r>
      <w:r>
        <w:rPr>
          <w:rFonts w:hint="eastAsia" w:ascii="宋体" w:hAnsi="宋体" w:eastAsia="宋体" w:cs="宋体"/>
          <w:caps w:val="0"/>
          <w:smallCaps w:val="0"/>
          <w:snapToGrid w:val="0"/>
          <w:color w:val="auto"/>
          <w:spacing w:val="0"/>
          <w:kern w:val="0"/>
          <w:sz w:val="21"/>
          <w:szCs w:val="28"/>
          <w:highlight w:val="none"/>
          <w:lang w:val="en-US" w:eastAsia="zh-CN"/>
        </w:rPr>
        <w:t>）</w:t>
      </w:r>
      <w:r>
        <w:rPr>
          <w:rFonts w:hint="eastAsia" w:ascii="Times New Roman"/>
          <w:snapToGrid w:val="0"/>
          <w:color w:val="auto"/>
          <w:kern w:val="0"/>
          <w:sz w:val="21"/>
          <w:szCs w:val="28"/>
          <w:highlight w:val="none"/>
        </w:rPr>
        <w:t>彩色扫描件。</w:t>
      </w:r>
      <w:r>
        <w:rPr>
          <w:rFonts w:hint="eastAsia" w:ascii="宋体" w:hAnsi="宋体" w:eastAsia="宋体" w:cs="宋体"/>
          <w:caps w:val="0"/>
          <w:smallCaps w:val="0"/>
          <w:snapToGrid w:val="0"/>
          <w:color w:val="auto"/>
          <w:spacing w:val="0"/>
          <w:kern w:val="0"/>
          <w:sz w:val="21"/>
          <w:szCs w:val="28"/>
          <w:highlight w:val="none"/>
          <w:lang w:val="en-US" w:eastAsia="zh-CN"/>
        </w:rPr>
        <w:t>拟派</w:t>
      </w:r>
      <w:r>
        <w:rPr>
          <w:rFonts w:hint="eastAsia" w:hAnsi="宋体" w:cs="宋体"/>
          <w:caps w:val="0"/>
          <w:smallCaps w:val="0"/>
          <w:snapToGrid w:val="0"/>
          <w:color w:val="auto"/>
          <w:spacing w:val="0"/>
          <w:kern w:val="0"/>
          <w:sz w:val="21"/>
          <w:szCs w:val="28"/>
          <w:highlight w:val="none"/>
          <w:lang w:val="en-US" w:eastAsia="zh-CN"/>
        </w:rPr>
        <w:t>人员</w:t>
      </w:r>
      <w:r>
        <w:rPr>
          <w:rFonts w:hint="eastAsia" w:ascii="宋体" w:hAnsi="宋体" w:eastAsia="宋体" w:cs="宋体"/>
          <w:caps w:val="0"/>
          <w:smallCaps w:val="0"/>
          <w:snapToGrid w:val="0"/>
          <w:color w:val="auto"/>
          <w:spacing w:val="0"/>
          <w:kern w:val="0"/>
          <w:sz w:val="21"/>
          <w:szCs w:val="28"/>
          <w:highlight w:val="none"/>
          <w:lang w:val="en-US" w:eastAsia="zh-CN"/>
        </w:rPr>
        <w:t>为退休返聘人员无法提供社保证明的，提供退休证和劳动合同彩色扫描件；</w:t>
      </w:r>
    </w:p>
    <w:p w14:paraId="14218DA9">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3.“进粤企业和人员诚信信息登记平台”个人信息情况截图。（适用于省外建筑企业）</w:t>
      </w:r>
    </w:p>
    <w:p w14:paraId="16DC49F0">
      <w:pPr>
        <w:rPr>
          <w:color w:val="auto"/>
          <w:highlight w:val="none"/>
        </w:rPr>
      </w:pPr>
      <w:bookmarkStart w:id="341" w:name="_Toc593"/>
      <w:bookmarkStart w:id="342" w:name="_Toc25312"/>
    </w:p>
    <w:p w14:paraId="4F5701AB">
      <w:pPr>
        <w:rPr>
          <w:color w:val="auto"/>
          <w:highlight w:val="none"/>
        </w:rPr>
      </w:pPr>
    </w:p>
    <w:p w14:paraId="0B0CC3A8">
      <w:pPr>
        <w:rPr>
          <w:color w:val="auto"/>
          <w:highlight w:val="none"/>
        </w:rPr>
      </w:pPr>
    </w:p>
    <w:p w14:paraId="0887FC9D">
      <w:pPr>
        <w:rPr>
          <w:color w:val="auto"/>
          <w:highlight w:val="none"/>
        </w:rPr>
      </w:pPr>
    </w:p>
    <w:p w14:paraId="4A3461BE">
      <w:pPr>
        <w:bidi w:val="0"/>
        <w:rPr>
          <w:color w:val="auto"/>
          <w:highlight w:val="none"/>
        </w:rPr>
      </w:pPr>
    </w:p>
    <w:p w14:paraId="20F0C669">
      <w:pPr>
        <w:pStyle w:val="3"/>
        <w:bidi w:val="0"/>
        <w:rPr>
          <w:rFonts w:hint="default"/>
          <w:b/>
          <w:bCs/>
          <w:color w:val="auto"/>
          <w:highlight w:val="none"/>
          <w:lang w:val="en-US" w:eastAsia="zh-CN"/>
        </w:rPr>
      </w:pPr>
      <w:bookmarkStart w:id="343" w:name="_Toc12078"/>
      <w:r>
        <w:rPr>
          <w:rFonts w:hint="eastAsia"/>
          <w:b/>
          <w:bCs/>
          <w:color w:val="auto"/>
          <w:highlight w:val="none"/>
          <w:lang w:val="en-US" w:eastAsia="zh-CN"/>
        </w:rPr>
        <w:t>格式十三 原件一览表</w:t>
      </w:r>
      <w:bookmarkEnd w:id="343"/>
    </w:p>
    <w:tbl>
      <w:tblPr>
        <w:tblStyle w:val="3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highlight w:val="none"/>
              </w:rPr>
            </w:pPr>
            <w:r>
              <w:rPr>
                <w:rFonts w:hAnsi="宋体" w:cs="宋体"/>
                <w:b/>
                <w:color w:val="auto"/>
                <w:highlight w:val="none"/>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highlight w:val="none"/>
              </w:rPr>
            </w:pPr>
            <w:r>
              <w:rPr>
                <w:rFonts w:hAnsi="宋体" w:cs="宋体"/>
                <w:color w:val="auto"/>
                <w:sz w:val="24"/>
                <w:szCs w:val="24"/>
                <w:highlight w:val="none"/>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highlight w:val="none"/>
              </w:rPr>
            </w:pPr>
            <w:r>
              <w:rPr>
                <w:rFonts w:hAnsi="宋体" w:cs="宋体"/>
                <w:color w:val="auto"/>
                <w:sz w:val="24"/>
                <w:szCs w:val="24"/>
                <w:highlight w:val="none"/>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highlight w:val="none"/>
              </w:rPr>
            </w:pPr>
            <w:r>
              <w:rPr>
                <w:rFonts w:hAnsi="宋体" w:cs="宋体"/>
                <w:color w:val="auto"/>
                <w:sz w:val="24"/>
                <w:szCs w:val="24"/>
                <w:highlight w:val="none"/>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highlight w:val="none"/>
              </w:rPr>
            </w:pPr>
            <w:r>
              <w:rPr>
                <w:rFonts w:hAnsi="宋体" w:cs="宋体"/>
                <w:color w:val="auto"/>
                <w:sz w:val="24"/>
                <w:szCs w:val="24"/>
                <w:highlight w:val="none"/>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highlight w:val="none"/>
              </w:rPr>
            </w:pPr>
            <w:r>
              <w:rPr>
                <w:rFonts w:hAnsi="宋体" w:cs="宋体"/>
                <w:color w:val="auto"/>
                <w:sz w:val="24"/>
                <w:szCs w:val="24"/>
                <w:highlight w:val="none"/>
              </w:rPr>
              <w:t>投标人法定代表人或其</w:t>
            </w:r>
          </w:p>
          <w:p w14:paraId="77524DC3">
            <w:pPr>
              <w:jc w:val="center"/>
              <w:rPr>
                <w:rFonts w:hAnsi="宋体" w:cs="宋体"/>
                <w:color w:val="auto"/>
                <w:sz w:val="24"/>
                <w:szCs w:val="24"/>
                <w:highlight w:val="none"/>
              </w:rPr>
            </w:pPr>
            <w:r>
              <w:rPr>
                <w:rFonts w:hAnsi="宋体" w:cs="宋体"/>
                <w:color w:val="auto"/>
                <w:sz w:val="24"/>
                <w:szCs w:val="24"/>
                <w:highlight w:val="none"/>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highlight w:val="none"/>
              </w:rPr>
            </w:pPr>
            <w:r>
              <w:rPr>
                <w:rFonts w:hAnsi="宋体" w:cs="宋体"/>
                <w:color w:val="auto"/>
                <w:sz w:val="24"/>
                <w:szCs w:val="24"/>
                <w:highlight w:val="none"/>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highlight w:val="none"/>
              </w:rPr>
            </w:pPr>
            <w:r>
              <w:rPr>
                <w:rFonts w:hAnsi="宋体" w:cs="宋体"/>
                <w:color w:val="auto"/>
                <w:sz w:val="24"/>
                <w:szCs w:val="24"/>
                <w:highlight w:val="none"/>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highlight w:val="none"/>
              </w:rPr>
            </w:pPr>
            <w:r>
              <w:rPr>
                <w:rFonts w:hAnsi="宋体" w:cs="宋体"/>
                <w:color w:val="auto"/>
                <w:sz w:val="24"/>
                <w:szCs w:val="24"/>
                <w:highlight w:val="none"/>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highlight w:val="none"/>
              </w:rPr>
            </w:pPr>
            <w:r>
              <w:rPr>
                <w:rFonts w:hAnsi="宋体" w:cs="宋体"/>
                <w:color w:val="auto"/>
                <w:sz w:val="24"/>
                <w:szCs w:val="24"/>
                <w:highlight w:val="none"/>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highlight w:val="none"/>
              </w:rPr>
            </w:pPr>
            <w:r>
              <w:rPr>
                <w:rFonts w:hAnsi="宋体" w:cs="宋体"/>
                <w:color w:val="auto"/>
                <w:sz w:val="24"/>
                <w:szCs w:val="24"/>
                <w:highlight w:val="none"/>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highlight w:val="none"/>
              </w:rPr>
            </w:pPr>
            <w:r>
              <w:rPr>
                <w:rFonts w:hAnsi="宋体" w:cs="宋体"/>
                <w:color w:val="auto"/>
                <w:sz w:val="24"/>
                <w:szCs w:val="24"/>
                <w:highlight w:val="none"/>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highlight w:val="none"/>
              </w:rPr>
            </w:pPr>
            <w:r>
              <w:rPr>
                <w:rFonts w:hAnsi="宋体" w:cs="宋体"/>
                <w:color w:val="auto"/>
                <w:sz w:val="24"/>
                <w:szCs w:val="24"/>
                <w:highlight w:val="none"/>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highlight w:val="none"/>
              </w:rPr>
            </w:pPr>
            <w:r>
              <w:rPr>
                <w:rFonts w:hAnsi="宋体" w:cs="宋体"/>
                <w:color w:val="auto"/>
                <w:sz w:val="24"/>
                <w:szCs w:val="24"/>
                <w:highlight w:val="none"/>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highlight w:val="none"/>
              </w:rPr>
            </w:pPr>
            <w:r>
              <w:rPr>
                <w:rFonts w:hAnsi="宋体" w:cs="宋体"/>
                <w:color w:val="auto"/>
                <w:sz w:val="24"/>
                <w:szCs w:val="24"/>
                <w:highlight w:val="none"/>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highlight w:val="none"/>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highlight w:val="none"/>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highlight w:val="none"/>
              </w:rPr>
            </w:pPr>
            <w:r>
              <w:rPr>
                <w:rFonts w:hAnsi="宋体" w:cs="宋体"/>
                <w:color w:val="auto"/>
                <w:sz w:val="24"/>
                <w:szCs w:val="24"/>
                <w:highlight w:val="none"/>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highlight w:val="none"/>
              </w:rPr>
            </w:pPr>
            <w:r>
              <w:rPr>
                <w:rFonts w:hint="eastAsia" w:hAnsi="宋体" w:cs="宋体"/>
                <w:color w:val="auto"/>
                <w:sz w:val="24"/>
                <w:szCs w:val="24"/>
                <w:highlight w:val="none"/>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highlight w:val="none"/>
              </w:rPr>
            </w:pPr>
            <w:r>
              <w:rPr>
                <w:rFonts w:hint="eastAsia" w:hAnsi="宋体" w:cs="宋体"/>
                <w:color w:val="auto"/>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highlight w:val="none"/>
              </w:rPr>
            </w:pPr>
            <w:r>
              <w:rPr>
                <w:rFonts w:hint="eastAsia" w:hAnsi="宋体" w:cs="宋体"/>
                <w:color w:val="auto"/>
                <w:sz w:val="24"/>
                <w:szCs w:val="24"/>
                <w:highlight w:val="none"/>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highlight w:val="none"/>
              </w:rPr>
            </w:pPr>
            <w:r>
              <w:rPr>
                <w:rFonts w:hint="eastAsia" w:hAnsi="宋体" w:cs="宋体"/>
                <w:color w:val="auto"/>
                <w:sz w:val="24"/>
                <w:szCs w:val="24"/>
                <w:highlight w:val="none"/>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highlight w:val="none"/>
              </w:rPr>
            </w:pPr>
            <w:r>
              <w:rPr>
                <w:rFonts w:hint="eastAsia" w:hAnsi="宋体" w:cs="宋体"/>
                <w:color w:val="auto"/>
                <w:sz w:val="24"/>
                <w:szCs w:val="24"/>
                <w:highlight w:val="none"/>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highlight w:val="none"/>
              </w:rPr>
            </w:pPr>
            <w:r>
              <w:rPr>
                <w:rFonts w:hint="eastAsia" w:hAnsi="宋体" w:cs="宋体"/>
                <w:color w:val="auto"/>
                <w:sz w:val="24"/>
                <w:szCs w:val="24"/>
                <w:highlight w:val="none"/>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bl>
    <w:p w14:paraId="2043B9AC">
      <w:pPr>
        <w:bidi w:val="0"/>
        <w:rPr>
          <w:color w:val="auto"/>
          <w:highlight w:val="none"/>
        </w:rPr>
      </w:pPr>
    </w:p>
    <w:p w14:paraId="59158BD3">
      <w:pPr>
        <w:rPr>
          <w:color w:val="auto"/>
          <w:highlight w:val="none"/>
        </w:rPr>
      </w:pPr>
    </w:p>
    <w:p w14:paraId="65603D6D">
      <w:pPr>
        <w:bidi w:val="0"/>
        <w:rPr>
          <w:color w:val="auto"/>
          <w:highlight w:val="none"/>
        </w:rPr>
      </w:pPr>
    </w:p>
    <w:p w14:paraId="2B3640DE">
      <w:pPr>
        <w:bidi w:val="0"/>
        <w:rPr>
          <w:color w:val="auto"/>
          <w:highlight w:val="none"/>
        </w:rPr>
      </w:pPr>
    </w:p>
    <w:p w14:paraId="1E5C483D">
      <w:pPr>
        <w:pStyle w:val="3"/>
        <w:bidi w:val="0"/>
        <w:rPr>
          <w:rFonts w:hint="default" w:ascii="宋体" w:hAnsi="Times New Roman" w:eastAsia="宋体" w:cs="Times New Roman"/>
          <w:b/>
          <w:bCs/>
          <w:color w:val="auto"/>
          <w:highlight w:val="none"/>
          <w:lang w:val="en-US" w:eastAsia="zh-CN"/>
        </w:rPr>
      </w:pPr>
      <w:bookmarkStart w:id="344" w:name="_Toc26582"/>
      <w:bookmarkStart w:id="345" w:name="_Toc591"/>
      <w:bookmarkStart w:id="346" w:name="_Toc20950"/>
      <w:r>
        <w:rPr>
          <w:rFonts w:hint="eastAsia" w:ascii="宋体" w:hAnsi="Times New Roman" w:eastAsia="宋体" w:cs="Times New Roman"/>
          <w:b/>
          <w:bCs/>
          <w:color w:val="auto"/>
          <w:highlight w:val="none"/>
          <w:lang w:val="en-US" w:eastAsia="zh-CN"/>
        </w:rPr>
        <w:t>格式十四 定标因素评审资料</w:t>
      </w:r>
      <w:bookmarkEnd w:id="344"/>
      <w:bookmarkEnd w:id="345"/>
      <w:bookmarkEnd w:id="346"/>
    </w:p>
    <w:p w14:paraId="24D780F8">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5DDF89F2">
      <w:pPr>
        <w:jc w:val="left"/>
        <w:rPr>
          <w:rFonts w:hint="eastAsia" w:ascii="宋体" w:hAnsi="宋体" w:eastAsia="宋体" w:cs="宋体"/>
          <w:color w:val="auto"/>
          <w:sz w:val="24"/>
          <w:highlight w:val="none"/>
          <w:lang w:eastAsia="zh-CN"/>
        </w:rPr>
      </w:pPr>
    </w:p>
    <w:p w14:paraId="430FF920">
      <w:pPr>
        <w:bidi w:val="0"/>
        <w:ind w:firstLine="560" w:firstLineChars="200"/>
        <w:rPr>
          <w:rFonts w:hint="eastAsia"/>
          <w:color w:val="auto"/>
          <w:highlight w:val="none"/>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rPr>
        <w:t>章</w:t>
      </w:r>
      <w:r>
        <w:rPr>
          <w:rFonts w:hint="eastAsia" w:ascii="宋体" w:hAnsi="宋体" w:eastAsia="宋体" w:cs="宋体"/>
          <w:b w:val="0"/>
          <w:bCs w:val="0"/>
          <w:color w:val="auto"/>
          <w:sz w:val="28"/>
          <w:szCs w:val="28"/>
          <w:highlight w:val="none"/>
          <w:lang w:val="en-US" w:eastAsia="zh-CN"/>
        </w:rPr>
        <w:t xml:space="preserve"> 第五节 定标规定及细则”载明的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7ADC733D">
      <w:pPr>
        <w:bidi w:val="0"/>
        <w:rPr>
          <w:color w:val="auto"/>
          <w:highlight w:val="none"/>
        </w:rPr>
      </w:pPr>
    </w:p>
    <w:p w14:paraId="62BBBD59">
      <w:pPr>
        <w:bidi w:val="0"/>
        <w:rPr>
          <w:color w:val="auto"/>
          <w:highlight w:val="none"/>
        </w:rPr>
      </w:pPr>
    </w:p>
    <w:p w14:paraId="5ABE802F">
      <w:pPr>
        <w:bidi w:val="0"/>
        <w:rPr>
          <w:color w:val="auto"/>
          <w:highlight w:val="none"/>
        </w:rPr>
      </w:pPr>
    </w:p>
    <w:p w14:paraId="52725042">
      <w:pPr>
        <w:bidi w:val="0"/>
        <w:rPr>
          <w:color w:val="auto"/>
          <w:highlight w:val="none"/>
        </w:rPr>
      </w:pPr>
    </w:p>
    <w:p w14:paraId="37C8388A">
      <w:pPr>
        <w:bidi w:val="0"/>
        <w:rPr>
          <w:color w:val="auto"/>
          <w:highlight w:val="none"/>
        </w:rPr>
      </w:pPr>
    </w:p>
    <w:p w14:paraId="11A8C02E">
      <w:pPr>
        <w:bidi w:val="0"/>
        <w:rPr>
          <w:color w:val="auto"/>
          <w:highlight w:val="none"/>
        </w:rPr>
      </w:pPr>
    </w:p>
    <w:p w14:paraId="2392D390">
      <w:pPr>
        <w:bidi w:val="0"/>
        <w:rPr>
          <w:color w:val="auto"/>
          <w:highlight w:val="none"/>
        </w:rPr>
      </w:pPr>
    </w:p>
    <w:p w14:paraId="6AC8BD70">
      <w:pPr>
        <w:bidi w:val="0"/>
        <w:rPr>
          <w:color w:val="auto"/>
          <w:highlight w:val="none"/>
        </w:rPr>
      </w:pPr>
    </w:p>
    <w:p w14:paraId="29FA3456">
      <w:pPr>
        <w:bidi w:val="0"/>
        <w:rPr>
          <w:color w:val="auto"/>
          <w:highlight w:val="none"/>
        </w:rPr>
      </w:pPr>
    </w:p>
    <w:p w14:paraId="6A29349A">
      <w:pPr>
        <w:bidi w:val="0"/>
        <w:rPr>
          <w:color w:val="auto"/>
          <w:highlight w:val="none"/>
        </w:rPr>
      </w:pPr>
    </w:p>
    <w:p w14:paraId="32CE6E86">
      <w:pPr>
        <w:bidi w:val="0"/>
        <w:rPr>
          <w:color w:val="auto"/>
          <w:highlight w:val="none"/>
        </w:rPr>
      </w:pPr>
    </w:p>
    <w:p w14:paraId="5E74C221">
      <w:pPr>
        <w:bidi w:val="0"/>
        <w:rPr>
          <w:color w:val="auto"/>
          <w:highlight w:val="none"/>
        </w:rPr>
      </w:pPr>
    </w:p>
    <w:p w14:paraId="4CF7A17E">
      <w:pPr>
        <w:bidi w:val="0"/>
        <w:rPr>
          <w:color w:val="auto"/>
          <w:highlight w:val="none"/>
        </w:rPr>
      </w:pPr>
    </w:p>
    <w:p w14:paraId="58D4A9FB">
      <w:pPr>
        <w:bidi w:val="0"/>
        <w:rPr>
          <w:color w:val="auto"/>
          <w:highlight w:val="none"/>
        </w:rPr>
      </w:pPr>
    </w:p>
    <w:p w14:paraId="46528A84">
      <w:pPr>
        <w:bidi w:val="0"/>
        <w:rPr>
          <w:color w:val="auto"/>
          <w:highlight w:val="none"/>
        </w:rPr>
      </w:pPr>
    </w:p>
    <w:p w14:paraId="5302C56F">
      <w:pPr>
        <w:bidi w:val="0"/>
        <w:rPr>
          <w:color w:val="auto"/>
          <w:highlight w:val="none"/>
        </w:rPr>
      </w:pPr>
    </w:p>
    <w:p w14:paraId="1CAB3E35">
      <w:pPr>
        <w:bidi w:val="0"/>
        <w:rPr>
          <w:color w:val="auto"/>
          <w:highlight w:val="none"/>
        </w:rPr>
      </w:pPr>
    </w:p>
    <w:p w14:paraId="365B93DB">
      <w:pPr>
        <w:bidi w:val="0"/>
        <w:rPr>
          <w:color w:val="auto"/>
          <w:highlight w:val="none"/>
        </w:rPr>
      </w:pPr>
    </w:p>
    <w:p w14:paraId="2B2AE304">
      <w:pPr>
        <w:bidi w:val="0"/>
        <w:rPr>
          <w:color w:val="auto"/>
          <w:highlight w:val="none"/>
        </w:rPr>
      </w:pPr>
    </w:p>
    <w:p w14:paraId="181109DD">
      <w:pPr>
        <w:bidi w:val="0"/>
        <w:rPr>
          <w:color w:val="auto"/>
          <w:highlight w:val="none"/>
        </w:rPr>
      </w:pPr>
    </w:p>
    <w:p w14:paraId="0357E4B1">
      <w:pPr>
        <w:bidi w:val="0"/>
        <w:rPr>
          <w:color w:val="auto"/>
          <w:highlight w:val="none"/>
        </w:rPr>
      </w:pPr>
    </w:p>
    <w:p w14:paraId="0CE5A8FC">
      <w:pPr>
        <w:bidi w:val="0"/>
        <w:rPr>
          <w:color w:val="auto"/>
          <w:highlight w:val="none"/>
        </w:rPr>
      </w:pPr>
    </w:p>
    <w:p w14:paraId="68831BDA">
      <w:pPr>
        <w:bidi w:val="0"/>
        <w:rPr>
          <w:color w:val="auto"/>
          <w:highlight w:val="none"/>
        </w:rPr>
      </w:pPr>
    </w:p>
    <w:p w14:paraId="05134154">
      <w:pPr>
        <w:bidi w:val="0"/>
        <w:rPr>
          <w:color w:val="auto"/>
          <w:highlight w:val="none"/>
        </w:rPr>
      </w:pPr>
    </w:p>
    <w:p w14:paraId="2E203DFC">
      <w:pPr>
        <w:bidi w:val="0"/>
        <w:rPr>
          <w:color w:val="auto"/>
          <w:highlight w:val="none"/>
        </w:rPr>
      </w:pPr>
    </w:p>
    <w:bookmarkEnd w:id="341"/>
    <w:bookmarkEnd w:id="342"/>
    <w:p w14:paraId="6FEFA5B3">
      <w:pPr>
        <w:pStyle w:val="149"/>
        <w:keepNext/>
        <w:keepLines/>
        <w:snapToGrid w:val="0"/>
        <w:spacing w:line="400" w:lineRule="exact"/>
        <w:jc w:val="center"/>
        <w:rPr>
          <w:rFonts w:ascii="宋体" w:hAnsi="宋体" w:cs="宋体"/>
          <w:b/>
          <w:color w:val="auto"/>
          <w:kern w:val="44"/>
          <w:sz w:val="32"/>
          <w:szCs w:val="22"/>
          <w:highlight w:val="none"/>
        </w:rPr>
      </w:pPr>
      <w:bookmarkStart w:id="347" w:name="_Toc137444778"/>
      <w:bookmarkStart w:id="348" w:name="_Toc1091"/>
      <w:bookmarkStart w:id="349" w:name="_Toc132687128"/>
      <w:bookmarkStart w:id="350" w:name="_Toc133160683"/>
      <w:bookmarkStart w:id="351" w:name="_Toc3174"/>
      <w:bookmarkStart w:id="352" w:name="_Toc142468134"/>
      <w:bookmarkStart w:id="353" w:name="_Toc13722"/>
      <w:bookmarkStart w:id="354" w:name="_Toc78794873"/>
      <w:bookmarkStart w:id="355" w:name="_Toc133815902"/>
      <w:r>
        <w:rPr>
          <w:rFonts w:hint="eastAsia" w:ascii="宋体" w:hAnsi="宋体" w:cs="宋体"/>
          <w:b/>
          <w:color w:val="auto"/>
          <w:kern w:val="44"/>
          <w:sz w:val="32"/>
          <w:szCs w:val="22"/>
          <w:highlight w:val="none"/>
        </w:rPr>
        <w:t>第六章 建设工程监理合同</w:t>
      </w:r>
      <w:bookmarkEnd w:id="347"/>
      <w:bookmarkEnd w:id="348"/>
      <w:bookmarkEnd w:id="349"/>
      <w:bookmarkEnd w:id="350"/>
      <w:bookmarkEnd w:id="351"/>
      <w:bookmarkEnd w:id="352"/>
      <w:bookmarkEnd w:id="353"/>
    </w:p>
    <w:p w14:paraId="489A5B59">
      <w:pPr>
        <w:wordWrap w:val="0"/>
        <w:adjustRightInd w:val="0"/>
        <w:snapToGrid w:val="0"/>
        <w:spacing w:before="360" w:beforeLines="150" w:line="400" w:lineRule="exact"/>
        <w:rPr>
          <w:rFonts w:hAnsi="宋体" w:cs="宋体"/>
          <w:color w:val="auto"/>
          <w:highlight w:val="none"/>
        </w:rPr>
      </w:pPr>
      <w:r>
        <w:rPr>
          <w:rFonts w:hint="eastAsia" w:hAnsi="宋体" w:cs="宋体"/>
          <w:snapToGrid w:val="0"/>
          <w:color w:val="auto"/>
          <w:kern w:val="0"/>
          <w:highlight w:val="none"/>
        </w:rPr>
        <w:t xml:space="preserve">    （略），</w:t>
      </w:r>
      <w:bookmarkEnd w:id="354"/>
      <w:bookmarkEnd w:id="355"/>
      <w:r>
        <w:rPr>
          <w:rFonts w:hint="eastAsia" w:hAnsi="宋体" w:cs="宋体"/>
          <w:snapToGrid w:val="0"/>
          <w:color w:val="auto"/>
          <w:kern w:val="0"/>
          <w:highlight w:val="none"/>
        </w:rPr>
        <w:t>按照《建设工程监理合同（示范文本）》（GF—2012—0202）执行。</w:t>
      </w:r>
    </w:p>
    <w:p w14:paraId="6CF11764">
      <w:pPr>
        <w:pStyle w:val="9"/>
        <w:snapToGrid w:val="0"/>
        <w:spacing w:line="400" w:lineRule="exact"/>
        <w:rPr>
          <w:rFonts w:hAnsi="宋体" w:cs="宋体"/>
          <w:snapToGrid w:val="0"/>
          <w:color w:val="auto"/>
          <w:highlight w:val="none"/>
        </w:rPr>
      </w:pPr>
    </w:p>
    <w:p w14:paraId="05AE5769">
      <w:pPr>
        <w:pStyle w:val="72"/>
        <w:widowControl w:val="0"/>
        <w:wordWrap w:val="0"/>
        <w:adjustRightInd w:val="0"/>
        <w:snapToGrid w:val="0"/>
        <w:spacing w:line="400" w:lineRule="exact"/>
        <w:ind w:firstLine="0"/>
        <w:rPr>
          <w:rFonts w:hAnsi="宋体" w:cs="宋体"/>
          <w:snapToGrid w:val="0"/>
          <w:color w:val="auto"/>
          <w:sz w:val="21"/>
          <w:highlight w:val="none"/>
        </w:rPr>
      </w:pPr>
    </w:p>
    <w:sectPr>
      <w:footerReference r:id="rId7"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09"/>
      <w:pBdr>
        <w:between w:val="none" w:color="auto" w:sz="0" w:space="0"/>
      </w:pBdr>
      <w:tabs>
        <w:tab w:val="left" w:pos="4803"/>
        <w:tab w:val="clear" w:pos="4153"/>
      </w:tabs>
      <w:rPr>
        <w:rFonts w:hint="eastAsia"/>
      </w:rPr>
    </w:pPr>
    <w:r>
      <w:rPr>
        <w:rFonts w:hint="eastAsia"/>
      </w:rPr>
      <w:tab/>
    </w:r>
  </w:p>
  <w:p w14:paraId="3881DEF1">
    <w:pPr>
      <w:pStyle w:val="109"/>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0097F">
                          <w:pPr>
                            <w:pStyle w:val="19"/>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ymp9cBAACyAwAADgAAAGRycy9lMm9Eb2MueG1srVPBjtMwEL0j8Q+W&#10;7zTZIq2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ospqfXAQAAsgMAAA4AAAAAAAAAAQAgAAAA&#10;HgEAAGRycy9lMm9Eb2MueG1sUEsFBgAAAAAGAAYAWQEAAGcFAAAAAA==&#10;">
              <v:fill on="f" focussize="0,0"/>
              <v:stroke on="f"/>
              <v:imagedata o:title=""/>
              <o:lock v:ext="edit" aspectratio="f"/>
              <v:textbox inset="0mm,0mm,0mm,0mm" style="mso-fit-shape-to-text:t;">
                <w:txbxContent>
                  <w:p w14:paraId="6360097F">
                    <w:pPr>
                      <w:pStyle w:val="19"/>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9"/>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9"/>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6E5B4D"/>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08F9"/>
    <w:rsid w:val="02D320E0"/>
    <w:rsid w:val="02E6644C"/>
    <w:rsid w:val="03280EF8"/>
    <w:rsid w:val="032B3195"/>
    <w:rsid w:val="03353615"/>
    <w:rsid w:val="03606DA8"/>
    <w:rsid w:val="03826431"/>
    <w:rsid w:val="03AA0611"/>
    <w:rsid w:val="03AE02E8"/>
    <w:rsid w:val="03B83805"/>
    <w:rsid w:val="0455083C"/>
    <w:rsid w:val="04780182"/>
    <w:rsid w:val="04841E6C"/>
    <w:rsid w:val="048707A2"/>
    <w:rsid w:val="04D81F7C"/>
    <w:rsid w:val="051067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C1416"/>
    <w:rsid w:val="07626CD1"/>
    <w:rsid w:val="076349FE"/>
    <w:rsid w:val="07BE1E2B"/>
    <w:rsid w:val="07CF4038"/>
    <w:rsid w:val="07F654CB"/>
    <w:rsid w:val="07F90245"/>
    <w:rsid w:val="08077FE9"/>
    <w:rsid w:val="08432B8E"/>
    <w:rsid w:val="085D1A1C"/>
    <w:rsid w:val="086557B5"/>
    <w:rsid w:val="0872069D"/>
    <w:rsid w:val="08767FD2"/>
    <w:rsid w:val="087D7F38"/>
    <w:rsid w:val="091B6406"/>
    <w:rsid w:val="0930374A"/>
    <w:rsid w:val="09702125"/>
    <w:rsid w:val="09B41737"/>
    <w:rsid w:val="09CA2D09"/>
    <w:rsid w:val="09E65669"/>
    <w:rsid w:val="09EA5159"/>
    <w:rsid w:val="09F5235C"/>
    <w:rsid w:val="0A0E69FD"/>
    <w:rsid w:val="0A1A6B67"/>
    <w:rsid w:val="0A3E54A5"/>
    <w:rsid w:val="0A570314"/>
    <w:rsid w:val="0A6523F4"/>
    <w:rsid w:val="0A685FB5"/>
    <w:rsid w:val="0A740EC6"/>
    <w:rsid w:val="0A9F6084"/>
    <w:rsid w:val="0AA53D1F"/>
    <w:rsid w:val="0B4006EB"/>
    <w:rsid w:val="0B6C7DF0"/>
    <w:rsid w:val="0B914627"/>
    <w:rsid w:val="0B9B6EF0"/>
    <w:rsid w:val="0B9E10B5"/>
    <w:rsid w:val="0B9E1CB0"/>
    <w:rsid w:val="0BBC2A29"/>
    <w:rsid w:val="0BC47C2C"/>
    <w:rsid w:val="0C0D7AE6"/>
    <w:rsid w:val="0CA02447"/>
    <w:rsid w:val="0CA20070"/>
    <w:rsid w:val="0CAA4063"/>
    <w:rsid w:val="0CC7733C"/>
    <w:rsid w:val="0CC80FED"/>
    <w:rsid w:val="0CD32A34"/>
    <w:rsid w:val="0CF12128"/>
    <w:rsid w:val="0D140105"/>
    <w:rsid w:val="0D2B0D04"/>
    <w:rsid w:val="0D364445"/>
    <w:rsid w:val="0D7E1192"/>
    <w:rsid w:val="0DB82B2F"/>
    <w:rsid w:val="0E0322E5"/>
    <w:rsid w:val="0E650489"/>
    <w:rsid w:val="0E75024E"/>
    <w:rsid w:val="0E8273DD"/>
    <w:rsid w:val="0E9438E5"/>
    <w:rsid w:val="0E954BA0"/>
    <w:rsid w:val="0EC544EB"/>
    <w:rsid w:val="0F177F3C"/>
    <w:rsid w:val="0F1B4006"/>
    <w:rsid w:val="0F1E7653"/>
    <w:rsid w:val="0F287BA3"/>
    <w:rsid w:val="0F3925E0"/>
    <w:rsid w:val="0F3B1552"/>
    <w:rsid w:val="0F823F1F"/>
    <w:rsid w:val="0FA1224B"/>
    <w:rsid w:val="0FAB1B4B"/>
    <w:rsid w:val="0FC147F0"/>
    <w:rsid w:val="0FC83017"/>
    <w:rsid w:val="0FDE143F"/>
    <w:rsid w:val="0FED49BA"/>
    <w:rsid w:val="103E1D5B"/>
    <w:rsid w:val="106141B0"/>
    <w:rsid w:val="106F6EDC"/>
    <w:rsid w:val="10BB100E"/>
    <w:rsid w:val="10CA0250"/>
    <w:rsid w:val="10CF5BBB"/>
    <w:rsid w:val="10E072B6"/>
    <w:rsid w:val="10FB5335"/>
    <w:rsid w:val="10FD39C4"/>
    <w:rsid w:val="112D1D65"/>
    <w:rsid w:val="11303196"/>
    <w:rsid w:val="11360437"/>
    <w:rsid w:val="113B11BA"/>
    <w:rsid w:val="11515ABE"/>
    <w:rsid w:val="116021A5"/>
    <w:rsid w:val="11A42091"/>
    <w:rsid w:val="11D67B34"/>
    <w:rsid w:val="11F70077"/>
    <w:rsid w:val="11FE6FE0"/>
    <w:rsid w:val="121459A3"/>
    <w:rsid w:val="123A47A4"/>
    <w:rsid w:val="1265442C"/>
    <w:rsid w:val="127C2803"/>
    <w:rsid w:val="127E10FD"/>
    <w:rsid w:val="12851648"/>
    <w:rsid w:val="128819B3"/>
    <w:rsid w:val="12884038"/>
    <w:rsid w:val="12C13398"/>
    <w:rsid w:val="12F876BF"/>
    <w:rsid w:val="13114669"/>
    <w:rsid w:val="131E22ED"/>
    <w:rsid w:val="132029E9"/>
    <w:rsid w:val="132F1E2E"/>
    <w:rsid w:val="13351019"/>
    <w:rsid w:val="135B72ED"/>
    <w:rsid w:val="136C6CCA"/>
    <w:rsid w:val="13841C28"/>
    <w:rsid w:val="139A08A3"/>
    <w:rsid w:val="13B3480E"/>
    <w:rsid w:val="13BE434A"/>
    <w:rsid w:val="13C925E9"/>
    <w:rsid w:val="13D87533"/>
    <w:rsid w:val="13E55A7C"/>
    <w:rsid w:val="13ED238A"/>
    <w:rsid w:val="144D28BE"/>
    <w:rsid w:val="14852625"/>
    <w:rsid w:val="14A11363"/>
    <w:rsid w:val="14AD3C82"/>
    <w:rsid w:val="14CC0800"/>
    <w:rsid w:val="14D507B4"/>
    <w:rsid w:val="14E82BDD"/>
    <w:rsid w:val="14FA0051"/>
    <w:rsid w:val="1530421B"/>
    <w:rsid w:val="15335E3C"/>
    <w:rsid w:val="154E749E"/>
    <w:rsid w:val="15585425"/>
    <w:rsid w:val="15632821"/>
    <w:rsid w:val="156E0438"/>
    <w:rsid w:val="159710CE"/>
    <w:rsid w:val="159D13D2"/>
    <w:rsid w:val="15FC7AD1"/>
    <w:rsid w:val="1613202A"/>
    <w:rsid w:val="161D4E95"/>
    <w:rsid w:val="162C017A"/>
    <w:rsid w:val="16435C60"/>
    <w:rsid w:val="165B50B5"/>
    <w:rsid w:val="16715F6C"/>
    <w:rsid w:val="16744260"/>
    <w:rsid w:val="168C342C"/>
    <w:rsid w:val="16921052"/>
    <w:rsid w:val="16991967"/>
    <w:rsid w:val="16A92C1F"/>
    <w:rsid w:val="16AB4918"/>
    <w:rsid w:val="16DF3B6C"/>
    <w:rsid w:val="16E216B8"/>
    <w:rsid w:val="17255A22"/>
    <w:rsid w:val="17292082"/>
    <w:rsid w:val="17394FF8"/>
    <w:rsid w:val="174437BC"/>
    <w:rsid w:val="17A50E24"/>
    <w:rsid w:val="17DE305B"/>
    <w:rsid w:val="17EB6EF9"/>
    <w:rsid w:val="17EF123E"/>
    <w:rsid w:val="181E2472"/>
    <w:rsid w:val="186F67C2"/>
    <w:rsid w:val="18AC5722"/>
    <w:rsid w:val="18BA750B"/>
    <w:rsid w:val="18C03544"/>
    <w:rsid w:val="18D45DFC"/>
    <w:rsid w:val="18DD6311"/>
    <w:rsid w:val="19000928"/>
    <w:rsid w:val="19183BAB"/>
    <w:rsid w:val="192341E3"/>
    <w:rsid w:val="192856B3"/>
    <w:rsid w:val="19506374"/>
    <w:rsid w:val="19AB63C4"/>
    <w:rsid w:val="19BF64ED"/>
    <w:rsid w:val="1A0D6313"/>
    <w:rsid w:val="1A3810FE"/>
    <w:rsid w:val="1A3D0F0C"/>
    <w:rsid w:val="1A3F521F"/>
    <w:rsid w:val="1A501F1B"/>
    <w:rsid w:val="1A7C0E8F"/>
    <w:rsid w:val="1A9A0468"/>
    <w:rsid w:val="1ABE60EB"/>
    <w:rsid w:val="1AFB4481"/>
    <w:rsid w:val="1B3626B5"/>
    <w:rsid w:val="1B544E28"/>
    <w:rsid w:val="1B5938A5"/>
    <w:rsid w:val="1B5D1E9E"/>
    <w:rsid w:val="1B6323E0"/>
    <w:rsid w:val="1BAE4064"/>
    <w:rsid w:val="1BD16179"/>
    <w:rsid w:val="1BD712B5"/>
    <w:rsid w:val="1BDB2B53"/>
    <w:rsid w:val="1C0D795C"/>
    <w:rsid w:val="1C0F788B"/>
    <w:rsid w:val="1C141501"/>
    <w:rsid w:val="1C3D55BC"/>
    <w:rsid w:val="1C7726C5"/>
    <w:rsid w:val="1C814C75"/>
    <w:rsid w:val="1C8F2794"/>
    <w:rsid w:val="1CAE7812"/>
    <w:rsid w:val="1CB20AFB"/>
    <w:rsid w:val="1CB751D0"/>
    <w:rsid w:val="1CB919A4"/>
    <w:rsid w:val="1CD83537"/>
    <w:rsid w:val="1CFC2D19"/>
    <w:rsid w:val="1D105D93"/>
    <w:rsid w:val="1D1E0445"/>
    <w:rsid w:val="1D215B00"/>
    <w:rsid w:val="1D270AE4"/>
    <w:rsid w:val="1D44283A"/>
    <w:rsid w:val="1D60342F"/>
    <w:rsid w:val="1D78009C"/>
    <w:rsid w:val="1D871C03"/>
    <w:rsid w:val="1D884CF0"/>
    <w:rsid w:val="1D8E0177"/>
    <w:rsid w:val="1DA3413D"/>
    <w:rsid w:val="1E170E52"/>
    <w:rsid w:val="1E543091"/>
    <w:rsid w:val="1E545B64"/>
    <w:rsid w:val="1E7B6870"/>
    <w:rsid w:val="1EC73280"/>
    <w:rsid w:val="1EFF124F"/>
    <w:rsid w:val="1F114792"/>
    <w:rsid w:val="1F444EB4"/>
    <w:rsid w:val="1F503858"/>
    <w:rsid w:val="1F8E7284"/>
    <w:rsid w:val="1FA6553A"/>
    <w:rsid w:val="1FB360E7"/>
    <w:rsid w:val="1FB873A4"/>
    <w:rsid w:val="1FF232DB"/>
    <w:rsid w:val="1FF45850"/>
    <w:rsid w:val="1FFC623F"/>
    <w:rsid w:val="201A430D"/>
    <w:rsid w:val="202D1235"/>
    <w:rsid w:val="203013AA"/>
    <w:rsid w:val="20327A15"/>
    <w:rsid w:val="206E565F"/>
    <w:rsid w:val="20C85CC2"/>
    <w:rsid w:val="20D364EF"/>
    <w:rsid w:val="20E97676"/>
    <w:rsid w:val="21002120"/>
    <w:rsid w:val="21295B5E"/>
    <w:rsid w:val="212D27FA"/>
    <w:rsid w:val="21746608"/>
    <w:rsid w:val="219E373C"/>
    <w:rsid w:val="21AF599B"/>
    <w:rsid w:val="21D0774F"/>
    <w:rsid w:val="223713D9"/>
    <w:rsid w:val="227B2B13"/>
    <w:rsid w:val="22A461F0"/>
    <w:rsid w:val="22C92E53"/>
    <w:rsid w:val="22E460C4"/>
    <w:rsid w:val="22FC4CE3"/>
    <w:rsid w:val="23187739"/>
    <w:rsid w:val="23291E8B"/>
    <w:rsid w:val="23437531"/>
    <w:rsid w:val="236457F5"/>
    <w:rsid w:val="236E081B"/>
    <w:rsid w:val="2387194A"/>
    <w:rsid w:val="238C2DA9"/>
    <w:rsid w:val="23E85901"/>
    <w:rsid w:val="241E63E6"/>
    <w:rsid w:val="24213A15"/>
    <w:rsid w:val="24372BE7"/>
    <w:rsid w:val="24390241"/>
    <w:rsid w:val="245105A4"/>
    <w:rsid w:val="245A0AF2"/>
    <w:rsid w:val="245C2F8D"/>
    <w:rsid w:val="249066DD"/>
    <w:rsid w:val="249F4E1D"/>
    <w:rsid w:val="24A00DDE"/>
    <w:rsid w:val="24E707BB"/>
    <w:rsid w:val="251C369C"/>
    <w:rsid w:val="25536401"/>
    <w:rsid w:val="2566287E"/>
    <w:rsid w:val="259A2AD2"/>
    <w:rsid w:val="25B75565"/>
    <w:rsid w:val="25FD1164"/>
    <w:rsid w:val="2612287C"/>
    <w:rsid w:val="26196704"/>
    <w:rsid w:val="26217CFD"/>
    <w:rsid w:val="26622FB7"/>
    <w:rsid w:val="26623C6C"/>
    <w:rsid w:val="26C86BA7"/>
    <w:rsid w:val="26E06C71"/>
    <w:rsid w:val="26EA0CB5"/>
    <w:rsid w:val="26F078EA"/>
    <w:rsid w:val="26FD55DC"/>
    <w:rsid w:val="27017996"/>
    <w:rsid w:val="273C36E8"/>
    <w:rsid w:val="2744740D"/>
    <w:rsid w:val="274B251F"/>
    <w:rsid w:val="274B5F1C"/>
    <w:rsid w:val="274C5507"/>
    <w:rsid w:val="274E67F3"/>
    <w:rsid w:val="275D27F4"/>
    <w:rsid w:val="27725362"/>
    <w:rsid w:val="27B17B22"/>
    <w:rsid w:val="27C923FA"/>
    <w:rsid w:val="281250A7"/>
    <w:rsid w:val="28131DB1"/>
    <w:rsid w:val="28251659"/>
    <w:rsid w:val="283C7070"/>
    <w:rsid w:val="284618DF"/>
    <w:rsid w:val="285E0F07"/>
    <w:rsid w:val="286F2FA1"/>
    <w:rsid w:val="289531DE"/>
    <w:rsid w:val="289A5396"/>
    <w:rsid w:val="28E47B36"/>
    <w:rsid w:val="29114FDA"/>
    <w:rsid w:val="291C1B2F"/>
    <w:rsid w:val="29234F87"/>
    <w:rsid w:val="29554B1B"/>
    <w:rsid w:val="29671ECA"/>
    <w:rsid w:val="298A6B2C"/>
    <w:rsid w:val="29B66A0D"/>
    <w:rsid w:val="29F05B24"/>
    <w:rsid w:val="29F179E6"/>
    <w:rsid w:val="2A350D3C"/>
    <w:rsid w:val="2A3A75DF"/>
    <w:rsid w:val="2A4D7E90"/>
    <w:rsid w:val="2A960744"/>
    <w:rsid w:val="2AB51533"/>
    <w:rsid w:val="2AC60E73"/>
    <w:rsid w:val="2ADA3A0F"/>
    <w:rsid w:val="2AFF2BF3"/>
    <w:rsid w:val="2B037A34"/>
    <w:rsid w:val="2B593377"/>
    <w:rsid w:val="2B7C1908"/>
    <w:rsid w:val="2BC1086B"/>
    <w:rsid w:val="2BDC351D"/>
    <w:rsid w:val="2BE13AE1"/>
    <w:rsid w:val="2BEF2275"/>
    <w:rsid w:val="2C230203"/>
    <w:rsid w:val="2C8D32F9"/>
    <w:rsid w:val="2CEB0040"/>
    <w:rsid w:val="2CFD7C72"/>
    <w:rsid w:val="2D427EAD"/>
    <w:rsid w:val="2D9515C6"/>
    <w:rsid w:val="2DC826D3"/>
    <w:rsid w:val="2DEF1607"/>
    <w:rsid w:val="2DEF6D5D"/>
    <w:rsid w:val="2DF27D49"/>
    <w:rsid w:val="2DF803FC"/>
    <w:rsid w:val="2E0C16EA"/>
    <w:rsid w:val="2E910CDC"/>
    <w:rsid w:val="2EBD1EFD"/>
    <w:rsid w:val="2EC715D4"/>
    <w:rsid w:val="2F0B092E"/>
    <w:rsid w:val="2F1D4D98"/>
    <w:rsid w:val="2F4E3303"/>
    <w:rsid w:val="2F625641"/>
    <w:rsid w:val="2F692E79"/>
    <w:rsid w:val="2FA33530"/>
    <w:rsid w:val="2FBF699C"/>
    <w:rsid w:val="2FE51478"/>
    <w:rsid w:val="301C3E1D"/>
    <w:rsid w:val="303C6E79"/>
    <w:rsid w:val="30405223"/>
    <w:rsid w:val="304479DC"/>
    <w:rsid w:val="30564DF2"/>
    <w:rsid w:val="306B0278"/>
    <w:rsid w:val="308E63ED"/>
    <w:rsid w:val="30A77050"/>
    <w:rsid w:val="30BF65F3"/>
    <w:rsid w:val="30C16364"/>
    <w:rsid w:val="30C47C02"/>
    <w:rsid w:val="30F90DEB"/>
    <w:rsid w:val="315F570D"/>
    <w:rsid w:val="31615422"/>
    <w:rsid w:val="3163741B"/>
    <w:rsid w:val="316D2D7B"/>
    <w:rsid w:val="31E0281A"/>
    <w:rsid w:val="31E712E6"/>
    <w:rsid w:val="31F94C18"/>
    <w:rsid w:val="31FE12D4"/>
    <w:rsid w:val="322352A8"/>
    <w:rsid w:val="32364B30"/>
    <w:rsid w:val="32B271D3"/>
    <w:rsid w:val="32BA0022"/>
    <w:rsid w:val="33240E2C"/>
    <w:rsid w:val="332643F5"/>
    <w:rsid w:val="33791178"/>
    <w:rsid w:val="33CB12A8"/>
    <w:rsid w:val="33D267D7"/>
    <w:rsid w:val="33D66E83"/>
    <w:rsid w:val="33E82ECD"/>
    <w:rsid w:val="33E95E00"/>
    <w:rsid w:val="33F7209D"/>
    <w:rsid w:val="33FE7F5F"/>
    <w:rsid w:val="34022441"/>
    <w:rsid w:val="340D366E"/>
    <w:rsid w:val="3428064F"/>
    <w:rsid w:val="3460329E"/>
    <w:rsid w:val="34675E29"/>
    <w:rsid w:val="34BF2BBB"/>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171DC5"/>
    <w:rsid w:val="362F5B1E"/>
    <w:rsid w:val="36493477"/>
    <w:rsid w:val="364D6ED6"/>
    <w:rsid w:val="36673031"/>
    <w:rsid w:val="36B726AE"/>
    <w:rsid w:val="36C3101C"/>
    <w:rsid w:val="36F3211B"/>
    <w:rsid w:val="373525CE"/>
    <w:rsid w:val="374F73CF"/>
    <w:rsid w:val="375873B1"/>
    <w:rsid w:val="375A09AF"/>
    <w:rsid w:val="3766112D"/>
    <w:rsid w:val="37B46FED"/>
    <w:rsid w:val="37CF580A"/>
    <w:rsid w:val="37D1291E"/>
    <w:rsid w:val="37D4026E"/>
    <w:rsid w:val="37DA5E90"/>
    <w:rsid w:val="37EB23BA"/>
    <w:rsid w:val="37EE502E"/>
    <w:rsid w:val="38170F5F"/>
    <w:rsid w:val="383A4B00"/>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C35213B"/>
    <w:rsid w:val="3C5067EE"/>
    <w:rsid w:val="3C581218"/>
    <w:rsid w:val="3CD218F9"/>
    <w:rsid w:val="3CD704BD"/>
    <w:rsid w:val="3CE75849"/>
    <w:rsid w:val="3D1A6A65"/>
    <w:rsid w:val="3D4B689C"/>
    <w:rsid w:val="3D8F7C9A"/>
    <w:rsid w:val="3DDC2A2F"/>
    <w:rsid w:val="3E2D4876"/>
    <w:rsid w:val="3E570493"/>
    <w:rsid w:val="3E88226F"/>
    <w:rsid w:val="3EAD5AA8"/>
    <w:rsid w:val="3EBC63BD"/>
    <w:rsid w:val="3EDB4A95"/>
    <w:rsid w:val="3EE057E6"/>
    <w:rsid w:val="3F18690D"/>
    <w:rsid w:val="3F1B285B"/>
    <w:rsid w:val="3F2A3743"/>
    <w:rsid w:val="3F310B59"/>
    <w:rsid w:val="3F43243B"/>
    <w:rsid w:val="3F47212A"/>
    <w:rsid w:val="3F6A3CD5"/>
    <w:rsid w:val="3FC3432C"/>
    <w:rsid w:val="3FCB19D9"/>
    <w:rsid w:val="3FCB2D5B"/>
    <w:rsid w:val="3FE57C96"/>
    <w:rsid w:val="3FF81D2D"/>
    <w:rsid w:val="400B5793"/>
    <w:rsid w:val="402847E9"/>
    <w:rsid w:val="40302BBE"/>
    <w:rsid w:val="405E34A3"/>
    <w:rsid w:val="407C7161"/>
    <w:rsid w:val="407D5E86"/>
    <w:rsid w:val="40807762"/>
    <w:rsid w:val="409A44DC"/>
    <w:rsid w:val="40A92971"/>
    <w:rsid w:val="40BC08F6"/>
    <w:rsid w:val="40BE0F76"/>
    <w:rsid w:val="40CB718C"/>
    <w:rsid w:val="40DD59C2"/>
    <w:rsid w:val="41610361"/>
    <w:rsid w:val="41A8307D"/>
    <w:rsid w:val="41C06995"/>
    <w:rsid w:val="41DB1250"/>
    <w:rsid w:val="41E2613A"/>
    <w:rsid w:val="421B6FDC"/>
    <w:rsid w:val="42595C18"/>
    <w:rsid w:val="429E14C7"/>
    <w:rsid w:val="429F2762"/>
    <w:rsid w:val="42AB17FE"/>
    <w:rsid w:val="42B11DCD"/>
    <w:rsid w:val="42B94A9C"/>
    <w:rsid w:val="42FF5094"/>
    <w:rsid w:val="43202928"/>
    <w:rsid w:val="436C03B1"/>
    <w:rsid w:val="439653C4"/>
    <w:rsid w:val="43C7528C"/>
    <w:rsid w:val="43CB220C"/>
    <w:rsid w:val="445415FA"/>
    <w:rsid w:val="445B3984"/>
    <w:rsid w:val="445B5455"/>
    <w:rsid w:val="44943A7F"/>
    <w:rsid w:val="44DF70BA"/>
    <w:rsid w:val="450F631C"/>
    <w:rsid w:val="453971E4"/>
    <w:rsid w:val="453C54BE"/>
    <w:rsid w:val="45476363"/>
    <w:rsid w:val="456069C3"/>
    <w:rsid w:val="456D040C"/>
    <w:rsid w:val="463F7FFF"/>
    <w:rsid w:val="46484BFF"/>
    <w:rsid w:val="46512233"/>
    <w:rsid w:val="46540D24"/>
    <w:rsid w:val="46A737E8"/>
    <w:rsid w:val="46C14018"/>
    <w:rsid w:val="46C73076"/>
    <w:rsid w:val="46D07EE5"/>
    <w:rsid w:val="46E465A3"/>
    <w:rsid w:val="46F806BD"/>
    <w:rsid w:val="47043CAB"/>
    <w:rsid w:val="472705CE"/>
    <w:rsid w:val="4770626C"/>
    <w:rsid w:val="479A2C46"/>
    <w:rsid w:val="479C5136"/>
    <w:rsid w:val="47E06018"/>
    <w:rsid w:val="48653A64"/>
    <w:rsid w:val="48811B8A"/>
    <w:rsid w:val="48C43988"/>
    <w:rsid w:val="48E83E36"/>
    <w:rsid w:val="49345B93"/>
    <w:rsid w:val="494C4B08"/>
    <w:rsid w:val="49951EFC"/>
    <w:rsid w:val="499A26FB"/>
    <w:rsid w:val="49B026D9"/>
    <w:rsid w:val="49B722B7"/>
    <w:rsid w:val="49C15E4A"/>
    <w:rsid w:val="49D955C3"/>
    <w:rsid w:val="49ED65A4"/>
    <w:rsid w:val="4A307756"/>
    <w:rsid w:val="4A442B1E"/>
    <w:rsid w:val="4A4F33AF"/>
    <w:rsid w:val="4A6D7DCA"/>
    <w:rsid w:val="4A9910AB"/>
    <w:rsid w:val="4A992597"/>
    <w:rsid w:val="4A9B332A"/>
    <w:rsid w:val="4AD625B4"/>
    <w:rsid w:val="4AFF509B"/>
    <w:rsid w:val="4B1D284D"/>
    <w:rsid w:val="4B4014D1"/>
    <w:rsid w:val="4B5E2E2F"/>
    <w:rsid w:val="4B675E1C"/>
    <w:rsid w:val="4B7E32F5"/>
    <w:rsid w:val="4BC73F17"/>
    <w:rsid w:val="4BEB73D9"/>
    <w:rsid w:val="4C166235"/>
    <w:rsid w:val="4C1C544C"/>
    <w:rsid w:val="4C313219"/>
    <w:rsid w:val="4C5D1828"/>
    <w:rsid w:val="4C6C738D"/>
    <w:rsid w:val="4C6D0CF6"/>
    <w:rsid w:val="4C7E6A54"/>
    <w:rsid w:val="4C865C08"/>
    <w:rsid w:val="4D317F76"/>
    <w:rsid w:val="4D7E2A50"/>
    <w:rsid w:val="4DA23565"/>
    <w:rsid w:val="4DA9629F"/>
    <w:rsid w:val="4DB7491F"/>
    <w:rsid w:val="4DD038A9"/>
    <w:rsid w:val="4DE1199C"/>
    <w:rsid w:val="4E49490E"/>
    <w:rsid w:val="4E551A8D"/>
    <w:rsid w:val="4EB250E6"/>
    <w:rsid w:val="4EE207BB"/>
    <w:rsid w:val="4EF75916"/>
    <w:rsid w:val="4F1720D5"/>
    <w:rsid w:val="4F1D51EC"/>
    <w:rsid w:val="4F1F0C9F"/>
    <w:rsid w:val="4F244C6A"/>
    <w:rsid w:val="4FB00148"/>
    <w:rsid w:val="4FE12F08"/>
    <w:rsid w:val="4FF63972"/>
    <w:rsid w:val="500B4BE0"/>
    <w:rsid w:val="504A7CCC"/>
    <w:rsid w:val="504B329A"/>
    <w:rsid w:val="50510FED"/>
    <w:rsid w:val="50580297"/>
    <w:rsid w:val="50697817"/>
    <w:rsid w:val="506F6B37"/>
    <w:rsid w:val="5086682B"/>
    <w:rsid w:val="5090365A"/>
    <w:rsid w:val="51096E4A"/>
    <w:rsid w:val="51106525"/>
    <w:rsid w:val="511A6C71"/>
    <w:rsid w:val="512567F5"/>
    <w:rsid w:val="513C4D1D"/>
    <w:rsid w:val="514C3DAD"/>
    <w:rsid w:val="515047BA"/>
    <w:rsid w:val="515217CE"/>
    <w:rsid w:val="5157430C"/>
    <w:rsid w:val="51916F53"/>
    <w:rsid w:val="519B2DB4"/>
    <w:rsid w:val="51AA4C59"/>
    <w:rsid w:val="51AD182B"/>
    <w:rsid w:val="51CB4CC2"/>
    <w:rsid w:val="51D829D5"/>
    <w:rsid w:val="51ED0D38"/>
    <w:rsid w:val="51F31FFB"/>
    <w:rsid w:val="51FA103F"/>
    <w:rsid w:val="520170B1"/>
    <w:rsid w:val="524428F4"/>
    <w:rsid w:val="5247070E"/>
    <w:rsid w:val="5257047F"/>
    <w:rsid w:val="525B5D4E"/>
    <w:rsid w:val="52693AF2"/>
    <w:rsid w:val="52765BD3"/>
    <w:rsid w:val="52851E0F"/>
    <w:rsid w:val="529B0943"/>
    <w:rsid w:val="52F44E38"/>
    <w:rsid w:val="52FE3AEF"/>
    <w:rsid w:val="53284056"/>
    <w:rsid w:val="537038AC"/>
    <w:rsid w:val="537540CD"/>
    <w:rsid w:val="53911E0A"/>
    <w:rsid w:val="53E13EC3"/>
    <w:rsid w:val="53E415EA"/>
    <w:rsid w:val="54140409"/>
    <w:rsid w:val="546837CB"/>
    <w:rsid w:val="54723DA3"/>
    <w:rsid w:val="547A0454"/>
    <w:rsid w:val="548C2969"/>
    <w:rsid w:val="549624AE"/>
    <w:rsid w:val="54CF254E"/>
    <w:rsid w:val="55081F04"/>
    <w:rsid w:val="550B7745"/>
    <w:rsid w:val="554A42CB"/>
    <w:rsid w:val="55607267"/>
    <w:rsid w:val="556421BF"/>
    <w:rsid w:val="55676BB4"/>
    <w:rsid w:val="55835251"/>
    <w:rsid w:val="55913CA7"/>
    <w:rsid w:val="55CC6A83"/>
    <w:rsid w:val="560E3249"/>
    <w:rsid w:val="56186177"/>
    <w:rsid w:val="561B7A15"/>
    <w:rsid w:val="56293EE0"/>
    <w:rsid w:val="563F3703"/>
    <w:rsid w:val="56643F7B"/>
    <w:rsid w:val="56821842"/>
    <w:rsid w:val="569F0646"/>
    <w:rsid w:val="56B45E9F"/>
    <w:rsid w:val="56D3302D"/>
    <w:rsid w:val="56D973CF"/>
    <w:rsid w:val="56FC63ED"/>
    <w:rsid w:val="57035F7F"/>
    <w:rsid w:val="570E4942"/>
    <w:rsid w:val="573222F5"/>
    <w:rsid w:val="5737262D"/>
    <w:rsid w:val="579A0B0F"/>
    <w:rsid w:val="57A62FDE"/>
    <w:rsid w:val="57BA102C"/>
    <w:rsid w:val="57DD6DD0"/>
    <w:rsid w:val="582A366D"/>
    <w:rsid w:val="585169D2"/>
    <w:rsid w:val="585C225A"/>
    <w:rsid w:val="5861548F"/>
    <w:rsid w:val="586E664B"/>
    <w:rsid w:val="58861256"/>
    <w:rsid w:val="58D03F93"/>
    <w:rsid w:val="59016B9E"/>
    <w:rsid w:val="595963DC"/>
    <w:rsid w:val="595A456A"/>
    <w:rsid w:val="59607A95"/>
    <w:rsid w:val="59964FFE"/>
    <w:rsid w:val="59C4137C"/>
    <w:rsid w:val="59DB6FF7"/>
    <w:rsid w:val="59E20C6B"/>
    <w:rsid w:val="5A2515C6"/>
    <w:rsid w:val="5A2E66EC"/>
    <w:rsid w:val="5A395940"/>
    <w:rsid w:val="5A402FFF"/>
    <w:rsid w:val="5A513553"/>
    <w:rsid w:val="5A7632E8"/>
    <w:rsid w:val="5A782BA3"/>
    <w:rsid w:val="5A7F7348"/>
    <w:rsid w:val="5A8329E1"/>
    <w:rsid w:val="5A8D4028"/>
    <w:rsid w:val="5A976D2B"/>
    <w:rsid w:val="5A9B5D67"/>
    <w:rsid w:val="5AD059E8"/>
    <w:rsid w:val="5AE92B8E"/>
    <w:rsid w:val="5B075A06"/>
    <w:rsid w:val="5B153530"/>
    <w:rsid w:val="5B3168E5"/>
    <w:rsid w:val="5B4C3B08"/>
    <w:rsid w:val="5B520207"/>
    <w:rsid w:val="5B600DA7"/>
    <w:rsid w:val="5B6D574D"/>
    <w:rsid w:val="5B8338B0"/>
    <w:rsid w:val="5B885B4D"/>
    <w:rsid w:val="5BFB6474"/>
    <w:rsid w:val="5C0D7037"/>
    <w:rsid w:val="5C2A7DE1"/>
    <w:rsid w:val="5C6829AF"/>
    <w:rsid w:val="5C6D1843"/>
    <w:rsid w:val="5C806B92"/>
    <w:rsid w:val="5C8E21D6"/>
    <w:rsid w:val="5C8F1D6F"/>
    <w:rsid w:val="5C9F5B4C"/>
    <w:rsid w:val="5CAC586B"/>
    <w:rsid w:val="5CF26970"/>
    <w:rsid w:val="5D1860EA"/>
    <w:rsid w:val="5D2D075A"/>
    <w:rsid w:val="5D5B375C"/>
    <w:rsid w:val="5D5D1495"/>
    <w:rsid w:val="5D634689"/>
    <w:rsid w:val="5D6D26E9"/>
    <w:rsid w:val="5D703886"/>
    <w:rsid w:val="5D9A4716"/>
    <w:rsid w:val="5E0733DA"/>
    <w:rsid w:val="5E1406C1"/>
    <w:rsid w:val="5E1A1D20"/>
    <w:rsid w:val="5E2F7E48"/>
    <w:rsid w:val="5E602469"/>
    <w:rsid w:val="5E717821"/>
    <w:rsid w:val="5EAB5584"/>
    <w:rsid w:val="5EC52DEA"/>
    <w:rsid w:val="5ECB3D0A"/>
    <w:rsid w:val="5ED510A9"/>
    <w:rsid w:val="5EF263E7"/>
    <w:rsid w:val="5EF75F46"/>
    <w:rsid w:val="5F21609C"/>
    <w:rsid w:val="5F230BEF"/>
    <w:rsid w:val="5F622ECF"/>
    <w:rsid w:val="5FA665A1"/>
    <w:rsid w:val="5FA8661B"/>
    <w:rsid w:val="5FAB7FB5"/>
    <w:rsid w:val="5FAD2544"/>
    <w:rsid w:val="5FB66017"/>
    <w:rsid w:val="5FFE29B9"/>
    <w:rsid w:val="60786190"/>
    <w:rsid w:val="608E7761"/>
    <w:rsid w:val="60915473"/>
    <w:rsid w:val="6092153B"/>
    <w:rsid w:val="609B683C"/>
    <w:rsid w:val="60A00576"/>
    <w:rsid w:val="60A531C7"/>
    <w:rsid w:val="60AF2097"/>
    <w:rsid w:val="60B34A44"/>
    <w:rsid w:val="60B753A8"/>
    <w:rsid w:val="60BB7E2A"/>
    <w:rsid w:val="60C870C1"/>
    <w:rsid w:val="60F51603"/>
    <w:rsid w:val="615D7134"/>
    <w:rsid w:val="618F268C"/>
    <w:rsid w:val="61EA23B0"/>
    <w:rsid w:val="620A72BB"/>
    <w:rsid w:val="62287615"/>
    <w:rsid w:val="622F67B3"/>
    <w:rsid w:val="627D4254"/>
    <w:rsid w:val="62897466"/>
    <w:rsid w:val="62AD3683"/>
    <w:rsid w:val="62B261AF"/>
    <w:rsid w:val="62F57B08"/>
    <w:rsid w:val="6303429D"/>
    <w:rsid w:val="631A2E6B"/>
    <w:rsid w:val="63205356"/>
    <w:rsid w:val="63424833"/>
    <w:rsid w:val="635822A8"/>
    <w:rsid w:val="63583AEB"/>
    <w:rsid w:val="63737FC7"/>
    <w:rsid w:val="63C656BB"/>
    <w:rsid w:val="63CE3380"/>
    <w:rsid w:val="63E36016"/>
    <w:rsid w:val="63F21DB5"/>
    <w:rsid w:val="63FF6480"/>
    <w:rsid w:val="640A1EA8"/>
    <w:rsid w:val="642900E6"/>
    <w:rsid w:val="64302590"/>
    <w:rsid w:val="64495DD6"/>
    <w:rsid w:val="64623809"/>
    <w:rsid w:val="64746C6E"/>
    <w:rsid w:val="647C3D75"/>
    <w:rsid w:val="65080F89"/>
    <w:rsid w:val="651D10B4"/>
    <w:rsid w:val="651E4E2C"/>
    <w:rsid w:val="65436EA9"/>
    <w:rsid w:val="655A76A7"/>
    <w:rsid w:val="655C6589"/>
    <w:rsid w:val="659470A7"/>
    <w:rsid w:val="65CE1E5C"/>
    <w:rsid w:val="66047425"/>
    <w:rsid w:val="661052EF"/>
    <w:rsid w:val="66207331"/>
    <w:rsid w:val="66272FE9"/>
    <w:rsid w:val="662830CF"/>
    <w:rsid w:val="66747DFB"/>
    <w:rsid w:val="66767F83"/>
    <w:rsid w:val="66AA160B"/>
    <w:rsid w:val="66D54C1C"/>
    <w:rsid w:val="66F41F1E"/>
    <w:rsid w:val="6701113C"/>
    <w:rsid w:val="671C40AC"/>
    <w:rsid w:val="672D4EE4"/>
    <w:rsid w:val="677658C0"/>
    <w:rsid w:val="6797113A"/>
    <w:rsid w:val="67AF1F51"/>
    <w:rsid w:val="67BC1DD1"/>
    <w:rsid w:val="67C86935"/>
    <w:rsid w:val="67D14F07"/>
    <w:rsid w:val="67D66924"/>
    <w:rsid w:val="67E07000"/>
    <w:rsid w:val="67E77C07"/>
    <w:rsid w:val="67EA3883"/>
    <w:rsid w:val="67EC51A3"/>
    <w:rsid w:val="680F17C8"/>
    <w:rsid w:val="681211EB"/>
    <w:rsid w:val="681C04AD"/>
    <w:rsid w:val="683A6B4A"/>
    <w:rsid w:val="68444162"/>
    <w:rsid w:val="686A6F2B"/>
    <w:rsid w:val="68825416"/>
    <w:rsid w:val="68AA0B6B"/>
    <w:rsid w:val="68AC217A"/>
    <w:rsid w:val="68C77ED2"/>
    <w:rsid w:val="68E24AEE"/>
    <w:rsid w:val="68E331BF"/>
    <w:rsid w:val="68EB3BE2"/>
    <w:rsid w:val="6922138F"/>
    <w:rsid w:val="69553CC1"/>
    <w:rsid w:val="69766FE4"/>
    <w:rsid w:val="699B3AEE"/>
    <w:rsid w:val="69F85C86"/>
    <w:rsid w:val="69FB2DD8"/>
    <w:rsid w:val="6A09523D"/>
    <w:rsid w:val="6A1B26B7"/>
    <w:rsid w:val="6A244C92"/>
    <w:rsid w:val="6A2809FC"/>
    <w:rsid w:val="6A883CBC"/>
    <w:rsid w:val="6A902328"/>
    <w:rsid w:val="6AF77EBF"/>
    <w:rsid w:val="6B19056F"/>
    <w:rsid w:val="6B340F05"/>
    <w:rsid w:val="6B345E30"/>
    <w:rsid w:val="6B3A216D"/>
    <w:rsid w:val="6B505357"/>
    <w:rsid w:val="6B735ED1"/>
    <w:rsid w:val="6B874EAB"/>
    <w:rsid w:val="6B985938"/>
    <w:rsid w:val="6BFB3E5A"/>
    <w:rsid w:val="6BFD3458"/>
    <w:rsid w:val="6C00034A"/>
    <w:rsid w:val="6C423778"/>
    <w:rsid w:val="6CAF118B"/>
    <w:rsid w:val="6CBB7E1F"/>
    <w:rsid w:val="6CC01E51"/>
    <w:rsid w:val="6CF372CA"/>
    <w:rsid w:val="6D027F59"/>
    <w:rsid w:val="6D1A6D54"/>
    <w:rsid w:val="6D2D1C64"/>
    <w:rsid w:val="6D475F5F"/>
    <w:rsid w:val="6D600E21"/>
    <w:rsid w:val="6D68133A"/>
    <w:rsid w:val="6D952804"/>
    <w:rsid w:val="6DA82289"/>
    <w:rsid w:val="6DAC29BA"/>
    <w:rsid w:val="6DE915B6"/>
    <w:rsid w:val="6E061A11"/>
    <w:rsid w:val="6E345B45"/>
    <w:rsid w:val="6E63668A"/>
    <w:rsid w:val="6E671CA5"/>
    <w:rsid w:val="6E741E30"/>
    <w:rsid w:val="6E9A5352"/>
    <w:rsid w:val="6EA0733B"/>
    <w:rsid w:val="6EBB122E"/>
    <w:rsid w:val="6EBB2C83"/>
    <w:rsid w:val="6EC77A48"/>
    <w:rsid w:val="6EC77E06"/>
    <w:rsid w:val="6EC97030"/>
    <w:rsid w:val="6F0E4F29"/>
    <w:rsid w:val="6F2B35AD"/>
    <w:rsid w:val="6F332F4A"/>
    <w:rsid w:val="6F3C2DD2"/>
    <w:rsid w:val="6F8063CA"/>
    <w:rsid w:val="6FB66044"/>
    <w:rsid w:val="6FE8588F"/>
    <w:rsid w:val="700A492A"/>
    <w:rsid w:val="703F6602"/>
    <w:rsid w:val="70F34F86"/>
    <w:rsid w:val="70F759D2"/>
    <w:rsid w:val="71211F2C"/>
    <w:rsid w:val="713E329A"/>
    <w:rsid w:val="7146159B"/>
    <w:rsid w:val="714D0321"/>
    <w:rsid w:val="715C7211"/>
    <w:rsid w:val="718D73C3"/>
    <w:rsid w:val="71900A0A"/>
    <w:rsid w:val="719A4E18"/>
    <w:rsid w:val="71BC787F"/>
    <w:rsid w:val="71BE3E19"/>
    <w:rsid w:val="72011EEA"/>
    <w:rsid w:val="720A0C12"/>
    <w:rsid w:val="723051E4"/>
    <w:rsid w:val="727517BE"/>
    <w:rsid w:val="72BB53F2"/>
    <w:rsid w:val="73004C22"/>
    <w:rsid w:val="733777E5"/>
    <w:rsid w:val="73530396"/>
    <w:rsid w:val="73555EBD"/>
    <w:rsid w:val="735B0092"/>
    <w:rsid w:val="7386317F"/>
    <w:rsid w:val="73920EBF"/>
    <w:rsid w:val="7395781C"/>
    <w:rsid w:val="73A53748"/>
    <w:rsid w:val="73B01345"/>
    <w:rsid w:val="73F00452"/>
    <w:rsid w:val="73F97D41"/>
    <w:rsid w:val="74A353FC"/>
    <w:rsid w:val="74B55FCA"/>
    <w:rsid w:val="751604C0"/>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464D20"/>
    <w:rsid w:val="78897474"/>
    <w:rsid w:val="78A64B86"/>
    <w:rsid w:val="78BD078C"/>
    <w:rsid w:val="78DE3D6C"/>
    <w:rsid w:val="78E33867"/>
    <w:rsid w:val="78E52BDC"/>
    <w:rsid w:val="78EF290F"/>
    <w:rsid w:val="78F93EFF"/>
    <w:rsid w:val="790776EC"/>
    <w:rsid w:val="798701EE"/>
    <w:rsid w:val="798720C7"/>
    <w:rsid w:val="798B75C8"/>
    <w:rsid w:val="798D230A"/>
    <w:rsid w:val="79A3081B"/>
    <w:rsid w:val="79A8143C"/>
    <w:rsid w:val="79E65AC0"/>
    <w:rsid w:val="7A071D78"/>
    <w:rsid w:val="7A254C15"/>
    <w:rsid w:val="7A2D742D"/>
    <w:rsid w:val="7A5600FC"/>
    <w:rsid w:val="7A6447EC"/>
    <w:rsid w:val="7A6E489C"/>
    <w:rsid w:val="7A716D06"/>
    <w:rsid w:val="7AC662B5"/>
    <w:rsid w:val="7B347D8A"/>
    <w:rsid w:val="7B8F4980"/>
    <w:rsid w:val="7B972CB9"/>
    <w:rsid w:val="7BA61501"/>
    <w:rsid w:val="7BAF14B0"/>
    <w:rsid w:val="7BD06448"/>
    <w:rsid w:val="7CA103C5"/>
    <w:rsid w:val="7CA420D7"/>
    <w:rsid w:val="7CC52305"/>
    <w:rsid w:val="7CE922B5"/>
    <w:rsid w:val="7CF0056D"/>
    <w:rsid w:val="7CFD4359"/>
    <w:rsid w:val="7D196F8A"/>
    <w:rsid w:val="7D324E38"/>
    <w:rsid w:val="7D376D09"/>
    <w:rsid w:val="7D3A16E9"/>
    <w:rsid w:val="7D4A2A43"/>
    <w:rsid w:val="7D6852E4"/>
    <w:rsid w:val="7D7B5294"/>
    <w:rsid w:val="7D9D74DD"/>
    <w:rsid w:val="7DA92784"/>
    <w:rsid w:val="7DB37D69"/>
    <w:rsid w:val="7DCA019C"/>
    <w:rsid w:val="7DE5100B"/>
    <w:rsid w:val="7DE55723"/>
    <w:rsid w:val="7DED451A"/>
    <w:rsid w:val="7E0B01EB"/>
    <w:rsid w:val="7E2214CE"/>
    <w:rsid w:val="7E2F24BC"/>
    <w:rsid w:val="7E564EE1"/>
    <w:rsid w:val="7E6D3957"/>
    <w:rsid w:val="7E6D67B0"/>
    <w:rsid w:val="7E8D7C7B"/>
    <w:rsid w:val="7EA83077"/>
    <w:rsid w:val="7ECD0B10"/>
    <w:rsid w:val="7ED53E1B"/>
    <w:rsid w:val="7F1D6A6D"/>
    <w:rsid w:val="7F2554A7"/>
    <w:rsid w:val="7F2A34D9"/>
    <w:rsid w:val="7F4D44C9"/>
    <w:rsid w:val="7F6359A5"/>
    <w:rsid w:val="7F7A3881"/>
    <w:rsid w:val="7F9D53CD"/>
    <w:rsid w:val="7FA60682"/>
    <w:rsid w:val="7FB5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2">
    <w:name w:val="heading 1"/>
    <w:basedOn w:val="1"/>
    <w:next w:val="1"/>
    <w:autoRedefine/>
    <w:qFormat/>
    <w:uiPriority w:val="0"/>
    <w:pPr>
      <w:autoSpaceDE w:val="0"/>
      <w:autoSpaceDN w:val="0"/>
      <w:adjustRightInd w:val="0"/>
      <w:jc w:val="left"/>
      <w:outlineLvl w:val="0"/>
    </w:pPr>
    <w:rPr>
      <w:kern w:val="0"/>
      <w:sz w:val="30"/>
    </w:rPr>
  </w:style>
  <w:style w:type="paragraph" w:styleId="3">
    <w:name w:val="heading 2"/>
    <w:basedOn w:val="1"/>
    <w:next w:val="1"/>
    <w:autoRedefine/>
    <w:qFormat/>
    <w:uiPriority w:val="0"/>
    <w:pPr>
      <w:autoSpaceDE w:val="0"/>
      <w:autoSpaceDN w:val="0"/>
      <w:adjustRightInd w:val="0"/>
      <w:jc w:val="left"/>
      <w:outlineLvl w:val="1"/>
    </w:pPr>
    <w:rPr>
      <w:kern w:val="0"/>
    </w:rPr>
  </w:style>
  <w:style w:type="paragraph" w:styleId="4">
    <w:name w:val="heading 3"/>
    <w:basedOn w:val="1"/>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5">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next w:val="11"/>
    <w:autoRedefine/>
    <w:qFormat/>
    <w:uiPriority w:val="0"/>
    <w:pPr>
      <w:spacing w:after="120"/>
    </w:pPr>
  </w:style>
  <w:style w:type="paragraph" w:styleId="11">
    <w:name w:val="Body Text 2"/>
    <w:basedOn w:val="1"/>
    <w:autoRedefine/>
    <w:qFormat/>
    <w:uiPriority w:val="0"/>
    <w:pPr>
      <w:spacing w:line="500" w:lineRule="exact"/>
    </w:pPr>
  </w:style>
  <w:style w:type="paragraph" w:styleId="12">
    <w:name w:val="Body Text Indent"/>
    <w:basedOn w:val="1"/>
    <w:link w:val="44"/>
    <w:autoRedefine/>
    <w:qFormat/>
    <w:uiPriority w:val="0"/>
    <w:pPr>
      <w:ind w:firstLine="560" w:firstLineChars="200"/>
    </w:pPr>
  </w:style>
  <w:style w:type="paragraph" w:styleId="13">
    <w:name w:val="toc 5"/>
    <w:basedOn w:val="1"/>
    <w:next w:val="1"/>
    <w:autoRedefine/>
    <w:qFormat/>
    <w:uiPriority w:val="0"/>
    <w:pPr>
      <w:ind w:left="1120"/>
      <w:jc w:val="left"/>
    </w:pPr>
  </w:style>
  <w:style w:type="paragraph" w:styleId="14">
    <w:name w:val="toc 3"/>
    <w:basedOn w:val="1"/>
    <w:next w:val="1"/>
    <w:autoRedefine/>
    <w:qFormat/>
    <w:uiPriority w:val="0"/>
    <w:pPr>
      <w:ind w:left="561"/>
      <w:jc w:val="left"/>
    </w:pPr>
  </w:style>
  <w:style w:type="paragraph" w:styleId="15">
    <w:name w:val="Plain Text"/>
    <w:basedOn w:val="1"/>
    <w:qFormat/>
    <w:uiPriority w:val="0"/>
    <w:rPr>
      <w:rFonts w:ascii="宋体" w:hAnsi="Courier New" w:eastAsia="宋体" w:cs="Courier New"/>
      <w:szCs w:val="21"/>
    </w:rPr>
  </w:style>
  <w:style w:type="paragraph" w:styleId="16">
    <w:name w:val="toc 8"/>
    <w:basedOn w:val="1"/>
    <w:next w:val="1"/>
    <w:autoRedefine/>
    <w:qFormat/>
    <w:uiPriority w:val="0"/>
    <w:pPr>
      <w:ind w:left="1960"/>
      <w:jc w:val="left"/>
    </w:pPr>
  </w:style>
  <w:style w:type="paragraph" w:styleId="17">
    <w:name w:val="Body Text Indent 2"/>
    <w:basedOn w:val="1"/>
    <w:autoRedefine/>
    <w:qFormat/>
    <w:uiPriority w:val="0"/>
    <w:pPr>
      <w:spacing w:line="480" w:lineRule="auto"/>
      <w:ind w:firstLine="561"/>
    </w:pPr>
  </w:style>
  <w:style w:type="paragraph" w:styleId="18">
    <w:name w:val="Balloon Text"/>
    <w:basedOn w:val="1"/>
    <w:autoRedefine/>
    <w:qFormat/>
    <w:uiPriority w:val="0"/>
    <w:rPr>
      <w:sz w:val="18"/>
      <w:szCs w:val="18"/>
    </w:rPr>
  </w:style>
  <w:style w:type="paragraph" w:styleId="19">
    <w:name w:val="footer"/>
    <w:basedOn w:val="1"/>
    <w:autoRedefine/>
    <w:qFormat/>
    <w:uiPriority w:val="0"/>
    <w:pPr>
      <w:widowControl/>
      <w:tabs>
        <w:tab w:val="center" w:pos="4153"/>
        <w:tab w:val="right" w:pos="8306"/>
      </w:tabs>
      <w:snapToGrid w:val="0"/>
      <w:jc w:val="left"/>
    </w:pPr>
    <w:rPr>
      <w:kern w:val="0"/>
      <w:sz w:val="18"/>
    </w:rPr>
  </w:style>
  <w:style w:type="paragraph" w:styleId="20">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1">
    <w:name w:val="toc 1"/>
    <w:basedOn w:val="1"/>
    <w:next w:val="1"/>
    <w:autoRedefine/>
    <w:qFormat/>
    <w:uiPriority w:val="0"/>
    <w:pPr>
      <w:spacing w:before="120" w:after="120"/>
      <w:jc w:val="left"/>
    </w:pPr>
    <w:rPr>
      <w:caps/>
    </w:rPr>
  </w:style>
  <w:style w:type="paragraph" w:styleId="22">
    <w:name w:val="toc 4"/>
    <w:basedOn w:val="1"/>
    <w:next w:val="1"/>
    <w:autoRedefine/>
    <w:qFormat/>
    <w:uiPriority w:val="0"/>
    <w:pPr>
      <w:ind w:left="840"/>
      <w:jc w:val="left"/>
    </w:pPr>
  </w:style>
  <w:style w:type="paragraph" w:styleId="23">
    <w:name w:val="toc 6"/>
    <w:basedOn w:val="1"/>
    <w:next w:val="1"/>
    <w:autoRedefine/>
    <w:qFormat/>
    <w:uiPriority w:val="0"/>
    <w:pPr>
      <w:ind w:left="1400"/>
      <w:jc w:val="left"/>
    </w:pPr>
  </w:style>
  <w:style w:type="paragraph" w:styleId="24">
    <w:name w:val="Body Text Indent 3"/>
    <w:basedOn w:val="1"/>
    <w:link w:val="45"/>
    <w:autoRedefine/>
    <w:qFormat/>
    <w:uiPriority w:val="0"/>
    <w:pPr>
      <w:ind w:firstLine="560"/>
    </w:pPr>
    <w:rPr>
      <w:color w:val="FF0000"/>
    </w:rPr>
  </w:style>
  <w:style w:type="paragraph" w:styleId="25">
    <w:name w:val="toc 2"/>
    <w:basedOn w:val="1"/>
    <w:next w:val="1"/>
    <w:autoRedefine/>
    <w:qFormat/>
    <w:uiPriority w:val="0"/>
    <w:pPr>
      <w:ind w:left="278"/>
      <w:jc w:val="left"/>
    </w:pPr>
    <w:rPr>
      <w:smallCaps/>
    </w:rPr>
  </w:style>
  <w:style w:type="paragraph" w:styleId="26">
    <w:name w:val="toc 9"/>
    <w:basedOn w:val="1"/>
    <w:next w:val="1"/>
    <w:autoRedefine/>
    <w:qFormat/>
    <w:uiPriority w:val="0"/>
    <w:pPr>
      <w:ind w:left="2240"/>
      <w:jc w:val="lef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Title"/>
    <w:basedOn w:val="1"/>
    <w:next w:val="1"/>
    <w:qFormat/>
    <w:uiPriority w:val="0"/>
    <w:pPr>
      <w:spacing w:line="360" w:lineRule="auto"/>
      <w:ind w:firstLine="200" w:firstLineChars="200"/>
      <w:jc w:val="both"/>
      <w:outlineLvl w:val="0"/>
    </w:pPr>
    <w:rPr>
      <w:b/>
      <w:bCs/>
      <w:sz w:val="28"/>
      <w:szCs w:val="32"/>
    </w:rPr>
  </w:style>
  <w:style w:type="paragraph" w:styleId="29">
    <w:name w:val="annotation subject"/>
    <w:basedOn w:val="9"/>
    <w:next w:val="9"/>
    <w:autoRedefine/>
    <w:qFormat/>
    <w:uiPriority w:val="0"/>
    <w:pPr>
      <w:adjustRightInd/>
      <w:spacing w:line="360" w:lineRule="auto"/>
      <w:textAlignment w:val="auto"/>
    </w:pPr>
    <w:rPr>
      <w:b/>
      <w:bCs/>
      <w:kern w:val="2"/>
    </w:rPr>
  </w:style>
  <w:style w:type="paragraph" w:styleId="30">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Hyperlink"/>
    <w:autoRedefine/>
    <w:qFormat/>
    <w:uiPriority w:val="0"/>
    <w:rPr>
      <w:color w:val="0000FF"/>
      <w:u w:val="single"/>
    </w:rPr>
  </w:style>
  <w:style w:type="character" w:styleId="38">
    <w:name w:val="annotation reference"/>
    <w:autoRedefine/>
    <w:qFormat/>
    <w:uiPriority w:val="0"/>
    <w:rPr>
      <w:sz w:val="21"/>
    </w:rPr>
  </w:style>
  <w:style w:type="paragraph" w:customStyle="1" w:styleId="39">
    <w:name w:val="Normal Indent1"/>
    <w:basedOn w:val="1"/>
    <w:autoRedefine/>
    <w:qFormat/>
    <w:uiPriority w:val="0"/>
    <w:pPr>
      <w:widowControl/>
      <w:ind w:firstLine="420"/>
      <w:jc w:val="left"/>
    </w:pPr>
    <w:rPr>
      <w:rFonts w:ascii="Times New Roman"/>
      <w:kern w:val="0"/>
    </w:rPr>
  </w:style>
  <w:style w:type="paragraph" w:customStyle="1" w:styleId="40">
    <w:name w:val="样式 宋体 行距: 1.5 倍行距"/>
    <w:basedOn w:val="41"/>
    <w:next w:val="1"/>
    <w:autoRedefine/>
    <w:qFormat/>
    <w:uiPriority w:val="0"/>
    <w:pPr>
      <w:jc w:val="center"/>
    </w:pPr>
    <w:rPr>
      <w:rFonts w:ascii="Times New Roman"/>
      <w:b/>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0"/>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0"/>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Char Char2"/>
    <w:basedOn w:val="8"/>
    <w:autoRedefine/>
    <w:qFormat/>
    <w:uiPriority w:val="0"/>
    <w:pPr>
      <w:spacing w:line="240" w:lineRule="auto"/>
    </w:pPr>
  </w:style>
  <w:style w:type="character" w:customStyle="1" w:styleId="44">
    <w:name w:val="正文文本缩进 字符"/>
    <w:link w:val="12"/>
    <w:autoRedefine/>
    <w:qFormat/>
    <w:uiPriority w:val="0"/>
    <w:rPr>
      <w:rFonts w:ascii="宋体"/>
      <w:kern w:val="2"/>
      <w:sz w:val="24"/>
    </w:rPr>
  </w:style>
  <w:style w:type="character" w:customStyle="1" w:styleId="45">
    <w:name w:val="正文文本缩进 3 字符"/>
    <w:link w:val="24"/>
    <w:autoRedefine/>
    <w:qFormat/>
    <w:uiPriority w:val="0"/>
    <w:rPr>
      <w:rFonts w:ascii="宋体" w:eastAsia="宋体"/>
      <w:color w:val="FF0000"/>
      <w:kern w:val="2"/>
      <w:sz w:val="24"/>
      <w:lang w:val="en-US" w:eastAsia="zh-CN" w:bidi="ar-SA"/>
    </w:rPr>
  </w:style>
  <w:style w:type="character" w:customStyle="1" w:styleId="46">
    <w:name w:val="超链接 New New"/>
    <w:autoRedefine/>
    <w:qFormat/>
    <w:uiPriority w:val="0"/>
    <w:rPr>
      <w:color w:val="000000"/>
      <w:sz w:val="18"/>
      <w:szCs w:val="18"/>
      <w:u w:val="none"/>
    </w:rPr>
  </w:style>
  <w:style w:type="character" w:customStyle="1" w:styleId="47">
    <w:name w:val="超链接 New"/>
    <w:autoRedefine/>
    <w:qFormat/>
    <w:uiPriority w:val="0"/>
    <w:rPr>
      <w:color w:val="000000"/>
      <w:sz w:val="18"/>
      <w:szCs w:val="18"/>
      <w:u w:val="none"/>
    </w:rPr>
  </w:style>
  <w:style w:type="character" w:customStyle="1" w:styleId="48">
    <w:name w:val="默认段落字体1"/>
    <w:autoRedefine/>
    <w:qFormat/>
    <w:uiPriority w:val="0"/>
    <w:rPr>
      <w:rFonts w:hint="default"/>
    </w:rPr>
  </w:style>
  <w:style w:type="character" w:customStyle="1" w:styleId="49">
    <w:name w:val="默认段落字体 New New"/>
    <w:link w:val="50"/>
    <w:autoRedefine/>
    <w:qFormat/>
    <w:uiPriority w:val="0"/>
    <w:rPr>
      <w:rFonts w:ascii="Tahoma" w:hAnsi="Tahoma"/>
      <w:szCs w:val="24"/>
    </w:rPr>
  </w:style>
  <w:style w:type="paragraph" w:customStyle="1" w:styleId="50">
    <w:name w:val="Char New New"/>
    <w:basedOn w:val="1"/>
    <w:link w:val="49"/>
    <w:autoRedefine/>
    <w:qFormat/>
    <w:uiPriority w:val="0"/>
    <w:pPr>
      <w:spacing w:line="240" w:lineRule="auto"/>
    </w:pPr>
    <w:rPr>
      <w:rFonts w:ascii="Tahoma" w:hAnsi="Tahoma"/>
      <w:szCs w:val="24"/>
    </w:rPr>
  </w:style>
  <w:style w:type="character" w:customStyle="1" w:styleId="51">
    <w:name w:val="默认段落字体 New"/>
    <w:link w:val="52"/>
    <w:autoRedefine/>
    <w:qFormat/>
    <w:uiPriority w:val="0"/>
    <w:rPr>
      <w:rFonts w:ascii="Tahoma" w:hAnsi="Tahoma"/>
      <w:szCs w:val="24"/>
    </w:rPr>
  </w:style>
  <w:style w:type="paragraph" w:customStyle="1" w:styleId="52">
    <w:name w:val="Char New"/>
    <w:basedOn w:val="1"/>
    <w:link w:val="51"/>
    <w:autoRedefine/>
    <w:qFormat/>
    <w:uiPriority w:val="0"/>
    <w:pPr>
      <w:spacing w:line="240" w:lineRule="auto"/>
    </w:pPr>
    <w:rPr>
      <w:rFonts w:ascii="Tahoma" w:hAnsi="Tahoma"/>
      <w:szCs w:val="24"/>
    </w:rPr>
  </w:style>
  <w:style w:type="character" w:customStyle="1" w:styleId="53">
    <w:name w:val="页码 New New New"/>
    <w:autoRedefine/>
    <w:qFormat/>
    <w:uiPriority w:val="0"/>
    <w:rPr>
      <w:rFonts w:eastAsia="宋体"/>
      <w:kern w:val="2"/>
      <w:sz w:val="24"/>
      <w:szCs w:val="24"/>
      <w:lang w:val="en-US" w:eastAsia="zh-CN" w:bidi="ar-SA"/>
    </w:rPr>
  </w:style>
  <w:style w:type="character" w:customStyle="1" w:styleId="54">
    <w:name w:val="页码 New New"/>
    <w:autoRedefine/>
    <w:qFormat/>
    <w:uiPriority w:val="0"/>
    <w:rPr>
      <w:rFonts w:eastAsia="宋体"/>
      <w:kern w:val="2"/>
      <w:sz w:val="24"/>
      <w:szCs w:val="24"/>
      <w:lang w:val="en-US" w:eastAsia="zh-CN" w:bidi="ar-SA"/>
    </w:rPr>
  </w:style>
  <w:style w:type="character" w:customStyle="1" w:styleId="55">
    <w:name w:val="Char Char1"/>
    <w:autoRedefine/>
    <w:qFormat/>
    <w:uiPriority w:val="0"/>
    <w:rPr>
      <w:rFonts w:ascii="宋体" w:eastAsia="宋体"/>
      <w:color w:val="FF0000"/>
      <w:kern w:val="2"/>
      <w:sz w:val="24"/>
      <w:lang w:val="en-US" w:eastAsia="zh-CN" w:bidi="ar-SA"/>
    </w:rPr>
  </w:style>
  <w:style w:type="character" w:customStyle="1" w:styleId="56">
    <w:name w:val="页码 New"/>
    <w:autoRedefine/>
    <w:qFormat/>
    <w:uiPriority w:val="0"/>
    <w:rPr>
      <w:rFonts w:eastAsia="宋体"/>
      <w:kern w:val="2"/>
      <w:sz w:val="24"/>
      <w:szCs w:val="24"/>
      <w:lang w:val="en-US" w:eastAsia="zh-CN" w:bidi="ar-SA"/>
    </w:rPr>
  </w:style>
  <w:style w:type="paragraph" w:customStyle="1" w:styleId="57">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8">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9">
    <w:name w:val="页脚 New New New New New New New New New New New New New"/>
    <w:basedOn w:val="60"/>
    <w:autoRedefine/>
    <w:qFormat/>
    <w:uiPriority w:val="0"/>
    <w:pPr>
      <w:widowControl/>
      <w:tabs>
        <w:tab w:val="center" w:pos="4153"/>
        <w:tab w:val="right" w:pos="8306"/>
      </w:tabs>
      <w:snapToGrid w:val="0"/>
      <w:jc w:val="left"/>
    </w:pPr>
    <w:rPr>
      <w:sz w:val="18"/>
    </w:rPr>
  </w:style>
  <w:style w:type="paragraph" w:customStyle="1" w:styleId="60">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4">
    <w:name w:val="页脚 New New New New New"/>
    <w:basedOn w:val="65"/>
    <w:autoRedefine/>
    <w:qFormat/>
    <w:uiPriority w:val="0"/>
    <w:pPr>
      <w:tabs>
        <w:tab w:val="center" w:pos="4153"/>
        <w:tab w:val="right" w:pos="8306"/>
      </w:tabs>
      <w:snapToGrid w:val="0"/>
      <w:jc w:val="left"/>
    </w:pPr>
    <w:rPr>
      <w:sz w:val="18"/>
    </w:rPr>
  </w:style>
  <w:style w:type="paragraph" w:customStyle="1" w:styleId="65">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纯文本 New New"/>
    <w:basedOn w:val="67"/>
    <w:autoRedefine/>
    <w:qFormat/>
    <w:uiPriority w:val="0"/>
    <w:rPr>
      <w:rFonts w:ascii="宋体" w:hAnsi="Courier New"/>
      <w:szCs w:val="24"/>
    </w:rPr>
  </w:style>
  <w:style w:type="paragraph" w:customStyle="1" w:styleId="67">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8">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9">
    <w:name w:val="页脚1"/>
    <w:basedOn w:val="68"/>
    <w:autoRedefine/>
    <w:qFormat/>
    <w:uiPriority w:val="0"/>
    <w:pPr>
      <w:widowControl/>
      <w:tabs>
        <w:tab w:val="center" w:pos="4153"/>
        <w:tab w:val="right" w:pos="8306"/>
      </w:tabs>
      <w:snapToGrid w:val="0"/>
      <w:jc w:val="left"/>
    </w:pPr>
    <w:rPr>
      <w:kern w:val="0"/>
      <w:sz w:val="18"/>
    </w:rPr>
  </w:style>
  <w:style w:type="paragraph" w:customStyle="1" w:styleId="70">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1">
    <w:name w:val="标题 3 New New"/>
    <w:basedOn w:val="72"/>
    <w:next w:val="72"/>
    <w:autoRedefine/>
    <w:qFormat/>
    <w:uiPriority w:val="0"/>
    <w:pPr>
      <w:keepNext/>
      <w:keepLines/>
      <w:spacing w:before="120" w:after="120"/>
      <w:jc w:val="center"/>
      <w:outlineLvl w:val="2"/>
    </w:pPr>
    <w:rPr>
      <w:sz w:val="24"/>
    </w:rPr>
  </w:style>
  <w:style w:type="paragraph" w:customStyle="1" w:styleId="72">
    <w:name w:val="正文缩进 New"/>
    <w:basedOn w:val="73"/>
    <w:autoRedefine/>
    <w:qFormat/>
    <w:uiPriority w:val="0"/>
    <w:pPr>
      <w:widowControl/>
      <w:ind w:firstLine="420"/>
      <w:jc w:val="left"/>
    </w:pPr>
    <w:rPr>
      <w:kern w:val="0"/>
      <w:sz w:val="20"/>
    </w:rPr>
  </w:style>
  <w:style w:type="paragraph" w:customStyle="1" w:styleId="73">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普通(网站) New"/>
    <w:basedOn w:val="75"/>
    <w:autoRedefine/>
    <w:qFormat/>
    <w:uiPriority w:val="0"/>
    <w:rPr>
      <w:sz w:val="24"/>
    </w:rPr>
  </w:style>
  <w:style w:type="paragraph" w:customStyle="1" w:styleId="75">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
    <w:name w:val="正文文本缩进 New"/>
    <w:basedOn w:val="73"/>
    <w:autoRedefine/>
    <w:qFormat/>
    <w:uiPriority w:val="0"/>
    <w:pPr>
      <w:ind w:firstLine="560" w:firstLineChars="200"/>
    </w:pPr>
  </w:style>
  <w:style w:type="paragraph" w:customStyle="1" w:styleId="77">
    <w:name w:val="Char"/>
    <w:basedOn w:val="8"/>
    <w:autoRedefine/>
    <w:qFormat/>
    <w:uiPriority w:val="0"/>
    <w:pPr>
      <w:spacing w:line="240" w:lineRule="auto"/>
    </w:pPr>
  </w:style>
  <w:style w:type="paragraph" w:customStyle="1" w:styleId="78">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9">
    <w:name w:val="页脚 New New New New"/>
    <w:basedOn w:val="80"/>
    <w:autoRedefine/>
    <w:qFormat/>
    <w:uiPriority w:val="0"/>
    <w:pPr>
      <w:tabs>
        <w:tab w:val="center" w:pos="4153"/>
        <w:tab w:val="right" w:pos="8306"/>
      </w:tabs>
      <w:snapToGrid w:val="0"/>
      <w:jc w:val="left"/>
    </w:pPr>
    <w:rPr>
      <w:sz w:val="18"/>
      <w:szCs w:val="18"/>
    </w:rPr>
  </w:style>
  <w:style w:type="paragraph" w:customStyle="1" w:styleId="80">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3">
    <w:name w:val="页眉 New New New New New New New New New"/>
    <w:basedOn w:val="60"/>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5">
    <w:name w:val="页眉 New New New New New New New New"/>
    <w:basedOn w:val="86"/>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6">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7">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0">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1">
    <w:name w:val="样式2"/>
    <w:basedOn w:val="21"/>
    <w:autoRedefine/>
    <w:qFormat/>
    <w:uiPriority w:val="0"/>
    <w:pPr>
      <w:tabs>
        <w:tab w:val="right" w:leader="dot" w:pos="9345"/>
      </w:tabs>
    </w:pPr>
    <w:rPr>
      <w:rFonts w:hAnsi="宋体"/>
      <w:b/>
      <w:color w:val="0000FF"/>
      <w:u w:val="single"/>
    </w:rPr>
  </w:style>
  <w:style w:type="paragraph" w:customStyle="1" w:styleId="92">
    <w:name w:val="页脚 New New New New New New New New"/>
    <w:basedOn w:val="93"/>
    <w:autoRedefine/>
    <w:qFormat/>
    <w:uiPriority w:val="0"/>
    <w:pPr>
      <w:tabs>
        <w:tab w:val="center" w:pos="4153"/>
        <w:tab w:val="right" w:pos="8306"/>
      </w:tabs>
      <w:snapToGrid w:val="0"/>
      <w:jc w:val="left"/>
    </w:pPr>
    <w:rPr>
      <w:sz w:val="18"/>
      <w:szCs w:val="18"/>
    </w:rPr>
  </w:style>
  <w:style w:type="paragraph" w:customStyle="1" w:styleId="93">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5">
    <w:name w:val="页脚 New New New New New New New New New New"/>
    <w:basedOn w:val="90"/>
    <w:autoRedefine/>
    <w:qFormat/>
    <w:uiPriority w:val="0"/>
    <w:pPr>
      <w:widowControl/>
      <w:tabs>
        <w:tab w:val="center" w:pos="4153"/>
        <w:tab w:val="right" w:pos="8306"/>
      </w:tabs>
      <w:snapToGrid w:val="0"/>
      <w:jc w:val="left"/>
    </w:pPr>
    <w:rPr>
      <w:sz w:val="18"/>
    </w:rPr>
  </w:style>
  <w:style w:type="paragraph" w:customStyle="1" w:styleId="96">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7">
    <w:name w:val="页脚 New New New New New New"/>
    <w:basedOn w:val="75"/>
    <w:autoRedefine/>
    <w:qFormat/>
    <w:uiPriority w:val="0"/>
    <w:pPr>
      <w:tabs>
        <w:tab w:val="center" w:pos="4153"/>
        <w:tab w:val="right" w:pos="8306"/>
      </w:tabs>
      <w:snapToGrid w:val="0"/>
      <w:jc w:val="left"/>
    </w:pPr>
    <w:rPr>
      <w:sz w:val="18"/>
    </w:rPr>
  </w:style>
  <w:style w:type="paragraph" w:customStyle="1" w:styleId="98">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1">
    <w:name w:val="页眉 New New New New New"/>
    <w:basedOn w:val="7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2">
    <w:name w:val="页脚 New New New New New New New New New New New"/>
    <w:basedOn w:val="86"/>
    <w:autoRedefine/>
    <w:qFormat/>
    <w:uiPriority w:val="0"/>
    <w:pPr>
      <w:widowControl/>
      <w:tabs>
        <w:tab w:val="center" w:pos="4153"/>
        <w:tab w:val="right" w:pos="8306"/>
      </w:tabs>
      <w:snapToGrid w:val="0"/>
      <w:jc w:val="left"/>
    </w:pPr>
    <w:rPr>
      <w:sz w:val="18"/>
    </w:rPr>
  </w:style>
  <w:style w:type="paragraph" w:customStyle="1" w:styleId="103">
    <w:name w:val="页眉 New New New New New New"/>
    <w:basedOn w:val="82"/>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4">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5">
    <w:name w:val="页眉 New New"/>
    <w:basedOn w:val="6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页眉 New"/>
    <w:basedOn w:val="10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7">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页脚 New"/>
    <w:basedOn w:val="107"/>
    <w:autoRedefine/>
    <w:qFormat/>
    <w:uiPriority w:val="0"/>
    <w:pPr>
      <w:tabs>
        <w:tab w:val="center" w:pos="4153"/>
        <w:tab w:val="right" w:pos="8306"/>
      </w:tabs>
      <w:snapToGrid w:val="0"/>
      <w:jc w:val="left"/>
    </w:pPr>
    <w:rPr>
      <w:sz w:val="18"/>
      <w:szCs w:val="18"/>
    </w:rPr>
  </w:style>
  <w:style w:type="paragraph" w:customStyle="1" w:styleId="110">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2">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3">
    <w:name w:val="页脚 New New New"/>
    <w:basedOn w:val="67"/>
    <w:autoRedefine/>
    <w:qFormat/>
    <w:uiPriority w:val="0"/>
    <w:pPr>
      <w:tabs>
        <w:tab w:val="center" w:pos="4153"/>
        <w:tab w:val="right" w:pos="8306"/>
      </w:tabs>
      <w:snapToGrid w:val="0"/>
      <w:jc w:val="left"/>
    </w:pPr>
    <w:rPr>
      <w:sz w:val="18"/>
      <w:szCs w:val="18"/>
    </w:rPr>
  </w:style>
  <w:style w:type="paragraph" w:customStyle="1" w:styleId="114">
    <w:name w:val="页眉 New New New New"/>
    <w:basedOn w:val="6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5">
    <w:name w:val="纯文本 New"/>
    <w:basedOn w:val="62"/>
    <w:autoRedefine/>
    <w:qFormat/>
    <w:uiPriority w:val="0"/>
    <w:rPr>
      <w:rFonts w:ascii="宋体" w:hAnsi="Courier New"/>
      <w:szCs w:val="24"/>
    </w:rPr>
  </w:style>
  <w:style w:type="paragraph" w:customStyle="1" w:styleId="116">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页脚 New New New New New New New New New New New New"/>
    <w:basedOn w:val="122"/>
    <w:autoRedefine/>
    <w:qFormat/>
    <w:uiPriority w:val="0"/>
    <w:pPr>
      <w:tabs>
        <w:tab w:val="center" w:pos="4153"/>
        <w:tab w:val="right" w:pos="8306"/>
      </w:tabs>
      <w:snapToGrid w:val="0"/>
      <w:jc w:val="left"/>
    </w:pPr>
    <w:rPr>
      <w:sz w:val="18"/>
      <w:szCs w:val="18"/>
    </w:rPr>
  </w:style>
  <w:style w:type="paragraph" w:customStyle="1" w:styleId="122">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3">
    <w:name w:val="目录 31"/>
    <w:basedOn w:val="68"/>
    <w:next w:val="68"/>
    <w:autoRedefine/>
    <w:qFormat/>
    <w:uiPriority w:val="0"/>
    <w:pPr>
      <w:ind w:left="561"/>
      <w:jc w:val="left"/>
    </w:pPr>
  </w:style>
  <w:style w:type="paragraph" w:customStyle="1" w:styleId="124">
    <w:name w:val="p0"/>
    <w:basedOn w:val="61"/>
    <w:autoRedefine/>
    <w:qFormat/>
    <w:uiPriority w:val="0"/>
    <w:pPr>
      <w:widowControl/>
      <w:spacing w:line="360" w:lineRule="auto"/>
    </w:pPr>
    <w:rPr>
      <w:rFonts w:ascii="宋体" w:hAnsi="宋体" w:cs="宋体"/>
      <w:kern w:val="0"/>
      <w:sz w:val="24"/>
      <w:szCs w:val="24"/>
    </w:rPr>
  </w:style>
  <w:style w:type="paragraph" w:customStyle="1" w:styleId="125">
    <w:name w:val="页眉 New New New New New New New"/>
    <w:basedOn w:val="90"/>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6">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7">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8">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9">
    <w:name w:val="标题 2 New"/>
    <w:basedOn w:val="88"/>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0">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1">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2">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4">
    <w:name w:val="正文文本缩进 New New New New"/>
    <w:basedOn w:val="127"/>
    <w:autoRedefine/>
    <w:qFormat/>
    <w:uiPriority w:val="0"/>
    <w:pPr>
      <w:ind w:firstLine="560" w:firstLineChars="200"/>
    </w:pPr>
    <w:rPr>
      <w:szCs w:val="28"/>
    </w:rPr>
  </w:style>
  <w:style w:type="paragraph" w:customStyle="1" w:styleId="135">
    <w:name w:val="页脚 New New New New New New New"/>
    <w:basedOn w:val="82"/>
    <w:autoRedefine/>
    <w:qFormat/>
    <w:uiPriority w:val="0"/>
    <w:pPr>
      <w:widowControl/>
      <w:tabs>
        <w:tab w:val="center" w:pos="4153"/>
        <w:tab w:val="right" w:pos="8306"/>
      </w:tabs>
      <w:snapToGrid w:val="0"/>
      <w:jc w:val="left"/>
    </w:pPr>
    <w:rPr>
      <w:kern w:val="0"/>
      <w:sz w:val="18"/>
      <w:szCs w:val="20"/>
    </w:rPr>
  </w:style>
  <w:style w:type="paragraph" w:customStyle="1" w:styleId="136">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页脚 New New New New New New New New New"/>
    <w:basedOn w:val="81"/>
    <w:autoRedefine/>
    <w:qFormat/>
    <w:uiPriority w:val="0"/>
    <w:pPr>
      <w:tabs>
        <w:tab w:val="center" w:pos="4153"/>
        <w:tab w:val="right" w:pos="8306"/>
      </w:tabs>
      <w:snapToGrid w:val="0"/>
      <w:jc w:val="left"/>
    </w:pPr>
    <w:rPr>
      <w:sz w:val="18"/>
      <w:szCs w:val="18"/>
    </w:rPr>
  </w:style>
  <w:style w:type="paragraph" w:customStyle="1" w:styleId="138">
    <w:name w:val="页脚 New New"/>
    <w:basedOn w:val="62"/>
    <w:autoRedefine/>
    <w:qFormat/>
    <w:uiPriority w:val="0"/>
    <w:pPr>
      <w:tabs>
        <w:tab w:val="center" w:pos="4153"/>
        <w:tab w:val="right" w:pos="8306"/>
      </w:tabs>
      <w:snapToGrid w:val="0"/>
      <w:jc w:val="left"/>
    </w:pPr>
    <w:rPr>
      <w:sz w:val="18"/>
      <w:szCs w:val="18"/>
    </w:rPr>
  </w:style>
  <w:style w:type="paragraph" w:customStyle="1" w:styleId="139">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2">
    <w:name w:val="样式1"/>
    <w:basedOn w:val="5"/>
    <w:autoRedefine/>
    <w:qFormat/>
    <w:uiPriority w:val="0"/>
    <w:pPr>
      <w:tabs>
        <w:tab w:val="right" w:leader="dot" w:pos="9345"/>
      </w:tabs>
    </w:pPr>
    <w:rPr>
      <w:rFonts w:ascii="宋体" w:hAnsi="宋体"/>
      <w:b/>
      <w:caps/>
      <w:u w:val="single"/>
    </w:rPr>
  </w:style>
  <w:style w:type="paragraph" w:customStyle="1" w:styleId="143">
    <w:name w:val="页眉 New New New"/>
    <w:basedOn w:val="6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4">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5">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6">
    <w:name w:val="正文正"/>
    <w:basedOn w:val="1"/>
    <w:autoRedefine/>
    <w:qFormat/>
    <w:uiPriority w:val="0"/>
    <w:pPr>
      <w:spacing w:line="560" w:lineRule="exact"/>
      <w:ind w:firstLine="561"/>
    </w:pPr>
    <w:rPr>
      <w:rFonts w:ascii="Calibri" w:hAnsi="Calibri"/>
      <w:sz w:val="28"/>
      <w:szCs w:val="28"/>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8">
    <w:name w:val="标题 2 New New"/>
    <w:basedOn w:val="117"/>
    <w:next w:val="117"/>
    <w:autoRedefine/>
    <w:qFormat/>
    <w:uiPriority w:val="0"/>
    <w:pPr>
      <w:autoSpaceDE w:val="0"/>
      <w:autoSpaceDN w:val="0"/>
      <w:adjustRightInd w:val="0"/>
      <w:jc w:val="left"/>
      <w:outlineLvl w:val="1"/>
    </w:pPr>
    <w:rPr>
      <w:kern w:val="0"/>
      <w:sz w:val="24"/>
    </w:rPr>
  </w:style>
  <w:style w:type="paragraph" w:customStyle="1" w:styleId="149">
    <w:name w:val="标题 1 New"/>
    <w:basedOn w:val="117"/>
    <w:next w:val="117"/>
    <w:autoRedefine/>
    <w:qFormat/>
    <w:uiPriority w:val="0"/>
    <w:pPr>
      <w:autoSpaceDE w:val="0"/>
      <w:autoSpaceDN w:val="0"/>
      <w:adjustRightInd w:val="0"/>
      <w:jc w:val="left"/>
      <w:outlineLvl w:val="0"/>
    </w:pPr>
    <w:rPr>
      <w:kern w:val="0"/>
      <w:sz w:val="30"/>
    </w:rPr>
  </w:style>
  <w:style w:type="paragraph" w:customStyle="1" w:styleId="150">
    <w:name w:val="WPSOffice手动目录 1"/>
    <w:autoRedefine/>
    <w:qFormat/>
    <w:uiPriority w:val="0"/>
    <w:rPr>
      <w:rFonts w:ascii="Times New Roman" w:hAnsi="Times New Roman" w:eastAsia="宋体" w:cs="Times New Roman"/>
      <w:lang w:val="en-US" w:eastAsia="zh-CN" w:bidi="ar-SA"/>
    </w:rPr>
  </w:style>
  <w:style w:type="paragraph" w:customStyle="1" w:styleId="15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2">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3">
    <w:name w:val="正文缩进1"/>
    <w:basedOn w:val="1"/>
    <w:autoRedefine/>
    <w:qFormat/>
    <w:uiPriority w:val="0"/>
    <w:pPr>
      <w:widowControl/>
      <w:ind w:firstLine="420"/>
      <w:jc w:val="left"/>
    </w:pPr>
    <w:rPr>
      <w:kern w:val="0"/>
    </w:rPr>
  </w:style>
  <w:style w:type="character" w:styleId="154">
    <w:name w:val="Placeholder Text"/>
    <w:basedOn w:val="33"/>
    <w:semiHidden/>
    <w:qFormat/>
    <w:uiPriority w:val="99"/>
    <w:rPr>
      <w:color w:val="808080"/>
    </w:rPr>
  </w:style>
  <w:style w:type="paragraph" w:customStyle="1" w:styleId="155">
    <w:name w:val="正文文本1"/>
    <w:basedOn w:val="1"/>
    <w:qFormat/>
    <w:uiPriority w:val="0"/>
    <w:pPr>
      <w:spacing w:after="120"/>
    </w:pPr>
  </w:style>
  <w:style w:type="character" w:customStyle="1" w:styleId="156">
    <w:name w:val="NormalCharacter"/>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78</Pages>
  <Words>5009</Words>
  <Characters>5430</Characters>
  <Lines>292</Lines>
  <Paragraphs>82</Paragraphs>
  <TotalTime>1</TotalTime>
  <ScaleCrop>false</ScaleCrop>
  <LinksUpToDate>false</LinksUpToDate>
  <CharactersWithSpaces>5734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蔡小健 j1aN</cp:lastModifiedBy>
  <cp:lastPrinted>2026-06-02T03:58:00Z</cp:lastPrinted>
  <dcterms:modified xsi:type="dcterms:W3CDTF">2026-06-12T03:50:27Z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ribbonExt">
    <vt:lpwstr>{"WPSExtOfficeTab":{"OnGetEnabled":false,"OnGetVisible":false}}</vt:lpwstr>
  </property>
  <property fmtid="{D5CDD505-2E9C-101B-9397-08002B2CF9AE}" pid="4" name="ICV">
    <vt:lpwstr>1B501801416B4B6D8CE7912B6711C930</vt:lpwstr>
  </property>
  <property fmtid="{D5CDD505-2E9C-101B-9397-08002B2CF9AE}" pid="5" name="KSOTemplateDocerSaveRecord">
    <vt:lpwstr>eyJoZGlkIjoiZGRiN2NkNGE1NDg1MGJjMjRjMmE1ZjM1NTY0OGU1MTciLCJ1c2VySWQiOiIzMDE1NjQ2MzcifQ==</vt:lpwstr>
  </property>
</Properties>
</file>